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Unlike New Source Performance Standards, 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This plan meets the requirement that DEQ 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Pr="003E2E01">
        <w:t xml:space="preserve">for </w:t>
      </w:r>
      <w:r w:rsidRPr="001C4862">
        <w:t>CISWI units other than incinerator units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Biomass, Used </w:t>
            </w:r>
            <w:r>
              <w:rPr>
                <w:rFonts w:ascii="Times New Roman" w:eastAsia="Times New Roman" w:hAnsi="Times New Roman" w:cs="Times New Roman"/>
                <w:color w:val="000000"/>
                <w:sz w:val="16"/>
                <w:szCs w:val="16"/>
              </w:rPr>
              <w:lastRenderedPageBreak/>
              <w:t>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340-230-0500(2)</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20024C">
        <w:rPr>
          <w:rFonts w:ascii="Times New Roman" w:hAnsi="Times New Roman" w:cs="Times New Roman"/>
          <w:color w:val="000000"/>
          <w:sz w:val="24"/>
          <w:szCs w:val="24"/>
        </w:rPr>
        <w:t xml:space="preserve">CISWI units in the incinerator subcategory that commenced construction on or before November 30, 1999, must achieve final compliance as expeditiously as practicable, but not later than the effective date of State plan approval. </w:t>
      </w: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20024C">
        <w:rPr>
          <w:rFonts w:ascii="Times New Roman" w:hAnsi="Times New Roman" w:cs="Times New Roman"/>
          <w:color w:val="000000"/>
          <w:sz w:val="24"/>
          <w:szCs w:val="24"/>
        </w:rPr>
        <w:t xml:space="preserve">CISWI units in the incinerator subcategory that commenced construction after November 30, 1999, but on or before June 4, 2010, and for CISWI units in the small remote incinerator, energy </w:t>
      </w:r>
      <w:r w:rsidRPr="0020024C">
        <w:rPr>
          <w:rFonts w:ascii="Times New Roman" w:hAnsi="Times New Roman" w:cs="Times New Roman"/>
          <w:color w:val="000000"/>
          <w:sz w:val="24"/>
          <w:szCs w:val="24"/>
        </w:rPr>
        <w:lastRenderedPageBreak/>
        <w:t>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 xml:space="preserve">40 CFR 60.2575 through 60.2615, OAR 340-230-0500(5)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B3D08" w:rsidRPr="005B3D08"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color w:val="000000"/>
          <w:sz w:val="24"/>
          <w:szCs w:val="24"/>
        </w:rPr>
      </w:pPr>
      <w:r w:rsidRPr="005B3D08">
        <w:rPr>
          <w:rFonts w:ascii="Times New Roman" w:hAnsi="Times New Roman" w:cs="Times New Roman"/>
          <w:color w:val="000000"/>
          <w:sz w:val="24"/>
          <w:szCs w:val="24"/>
        </w:rPr>
        <w:t xml:space="preserve">If planning to achieve compliance more than 1 year following the effective date of State plan approval, an owner or operator of an affected CISWI unit must meet the following requirements two increments of progress: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40 CFR 60.2585 through 60.2595 and 60.2605</w:t>
      </w:r>
      <w:r w:rsidRPr="00181299">
        <w:rPr>
          <w:rFonts w:ascii="Times New Roman" w:hAnsi="Times New Roman" w:cs="Times New Roman"/>
          <w:color w:val="000000"/>
          <w:sz w:val="24"/>
          <w:szCs w:val="24"/>
        </w:rPr>
        <w:t>.</w:t>
      </w:r>
    </w:p>
    <w:p w:rsidR="005B3D08" w:rsidRPr="00B630C9"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bCs/>
          <w:color w:val="000000"/>
          <w:sz w:val="24"/>
          <w:szCs w:val="24"/>
        </w:rPr>
      </w:pPr>
      <w:r w:rsidRPr="00C3081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30813">
        <w:rPr>
          <w:rFonts w:ascii="Times New Roman" w:hAnsi="Times New Roman" w:cs="Times New Roman"/>
          <w:bCs/>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5B3D08" w:rsidRP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sidRPr="005B3D08">
        <w:rPr>
          <w:rFonts w:ascii="Times New Roman" w:hAnsi="Times New Roman" w:cs="Times New Roman"/>
          <w:color w:val="000000"/>
          <w:sz w:val="24"/>
          <w:szCs w:val="24"/>
        </w:rPr>
        <w:t xml:space="preserve"> </w:t>
      </w:r>
    </w:p>
    <w:p w:rsidR="00795A85" w:rsidRDefault="005B3D08" w:rsidP="005B3D08">
      <w:pPr>
        <w:pStyle w:val="ListParagraph"/>
        <w:numPr>
          <w:ilvl w:val="1"/>
          <w:numId w:val="28"/>
        </w:numPr>
        <w:autoSpaceDE w:val="0"/>
        <w:autoSpaceDN w:val="0"/>
        <w:adjustRightInd w:val="0"/>
        <w:spacing w:after="0" w:line="240" w:lineRule="auto"/>
        <w:ind w:left="720"/>
      </w:pP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p>
    <w:p w:rsidR="005B3D08" w:rsidRDefault="005B3D08" w:rsidP="00795A85">
      <w:pPr>
        <w:pStyle w:val="NormalWeb"/>
        <w:spacing w:before="0" w:beforeAutospacing="0" w:after="0" w:afterAutospacing="0"/>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 xml:space="preserve">and (8)(a)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020AFA">
        <w:rPr>
          <w:rFonts w:ascii="Times New Roman" w:hAnsi="Times New Roman" w:cs="Times New Roman"/>
          <w:sz w:val="24"/>
          <w:szCs w:val="24"/>
        </w:rPr>
        <w:t>d</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340-230-0500(6</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020AFA">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020AFA">
        <w:rPr>
          <w:rFonts w:ascii="Times New Roman" w:hAnsi="Times New Roman" w:cs="Times New Roman"/>
          <w:sz w:val="24"/>
          <w:szCs w:val="24"/>
        </w:rPr>
        <w:t>d)</w:t>
      </w:r>
      <w:r>
        <w:rPr>
          <w:rFonts w:ascii="Times New Roman" w:hAnsi="Times New Roman" w:cs="Times New Roman"/>
          <w:sz w:val="24"/>
          <w:szCs w:val="24"/>
        </w:rPr>
        <w:t xml:space="preserve"> </w:t>
      </w:r>
      <w:r w:rsidR="00020AFA">
        <w:rPr>
          <w:rFonts w:ascii="Times New Roman" w:hAnsi="Times New Roman" w:cs="Times New Roman"/>
          <w:sz w:val="24"/>
          <w:szCs w:val="24"/>
        </w:rPr>
        <w:t xml:space="preserve">and (8)(b)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020AFA">
        <w:t>7</w:t>
      </w:r>
      <w:r>
        <w:t>)</w:t>
      </w:r>
      <w:r w:rsidR="00020AFA">
        <w:t>(d)</w:t>
      </w:r>
      <w:r>
        <w:t xml:space="preserve"> </w:t>
      </w:r>
      <w:r w:rsidR="00020AFA">
        <w:t xml:space="preserve">and (8)(b)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0177BF">
        <w:rPr>
          <w:rFonts w:ascii="Times New Roman" w:hAnsi="Times New Roman" w:cs="Times New Roman"/>
          <w:sz w:val="24"/>
          <w:szCs w:val="24"/>
        </w:rPr>
        <w:t>20</w:t>
      </w:r>
      <w:r>
        <w:rPr>
          <w:rFonts w:ascii="Times New Roman" w:hAnsi="Times New Roman" w:cs="Times New Roman"/>
          <w:sz w:val="24"/>
          <w:szCs w:val="24"/>
        </w:rPr>
        <w:t>13</w:t>
      </w:r>
      <w:r w:rsidRPr="000177BF">
        <w:rPr>
          <w:rFonts w:ascii="Times New Roman" w:hAnsi="Times New Roman" w:cs="Times New Roman"/>
          <w:sz w:val="24"/>
          <w:szCs w:val="24"/>
        </w:rPr>
        <w:t>: 260</w:t>
      </w:r>
      <w:r>
        <w:rPr>
          <w:rFonts w:ascii="Times New Roman" w:hAnsi="Times New Roman" w:cs="Times New Roman"/>
          <w:sz w:val="24"/>
          <w:szCs w:val="24"/>
        </w:rPr>
        <w:t>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21</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w:t>
      </w:r>
      <w:r>
        <w:rPr>
          <w:rFonts w:ascii="Times New Roman" w:hAnsi="Times New Roman" w:cs="Times New Roman"/>
          <w:sz w:val="24"/>
          <w:szCs w:val="24"/>
        </w:rPr>
        <w:t>400+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has adopted OAR 340-230-0500 that adopts the emission guidelines by reference. OAR 340-230-0500(7)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he commission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w:t>
      </w:r>
      <w:r>
        <w:rPr>
          <w:rFonts w:ascii="Times New Roman" w:eastAsia="Times New Roman" w:hAnsi="Times New Roman" w:cs="Times New Roman"/>
          <w:sz w:val="24"/>
          <w:szCs w:val="20"/>
        </w:rPr>
        <w:lastRenderedPageBreak/>
        <w:t xml:space="preserve">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A State governmental agency other than the State air pollution control agency may be assigned responsibility for carrying out a portion of a plan if the plan demonstrates to the </w:t>
      </w:r>
      <w:r w:rsidRPr="0095694E">
        <w:rPr>
          <w:rFonts w:ascii="Times New Roman" w:hAnsi="Times New Roman" w:cs="Times New Roman"/>
          <w:i/>
          <w:sz w:val="24"/>
          <w:szCs w:val="24"/>
        </w:rPr>
        <w:lastRenderedPageBreak/>
        <w:t>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6E09D8" w:rsidRPr="00CA3F1F"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6E09D8" w:rsidRPr="00BE1291"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and the EPA Administrator </w:t>
      </w:r>
      <w:r w:rsidRPr="00BE1291">
        <w:rPr>
          <w:rFonts w:ascii="Times New Roman" w:hAnsi="Times New Roman" w:cs="Times New Roman"/>
          <w:color w:val="000000"/>
          <w:sz w:val="24"/>
          <w:szCs w:val="24"/>
        </w:rPr>
        <w:t>that the qualifying small power production facility is combusting homogenous waste.</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6E09D8" w:rsidRPr="00BE1291"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6E09D8" w:rsidRPr="00DA4605" w:rsidRDefault="006E09D8" w:rsidP="006E09D8">
      <w:pPr>
        <w:autoSpaceDE w:val="0"/>
        <w:autoSpaceDN w:val="0"/>
        <w:adjustRightInd w:val="0"/>
        <w:spacing w:after="0" w:line="240" w:lineRule="auto"/>
        <w:rPr>
          <w:rFonts w:ascii="Times New Roman" w:hAnsi="Times New Roman" w:cs="Times New Roman"/>
          <w:iCs/>
          <w:color w:val="000000"/>
          <w:sz w:val="24"/>
          <w:szCs w:val="24"/>
        </w:rPr>
      </w:pPr>
      <w:r w:rsidRPr="00DA4605">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DA4605">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DA4605">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DA4605">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DA4605">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DA4605">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(7) of this rule: </w:t>
      </w:r>
    </w:p>
    <w:p w:rsidR="006E09D8" w:rsidRPr="00DA4605" w:rsidRDefault="006E09D8" w:rsidP="006E09D8">
      <w:pPr>
        <w:autoSpaceDE w:val="0"/>
        <w:autoSpaceDN w:val="0"/>
        <w:adjustRightInd w:val="0"/>
        <w:spacing w:after="0" w:line="240" w:lineRule="auto"/>
        <w:rPr>
          <w:rFonts w:ascii="Times New Roman" w:hAnsi="Times New Roman" w:cs="Times New Roman"/>
          <w:iCs/>
          <w:color w:val="000000"/>
          <w:sz w:val="24"/>
          <w:szCs w:val="24"/>
        </w:rPr>
      </w:pPr>
      <w:r w:rsidRPr="00DA4605">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DA4605">
        <w:rPr>
          <w:rFonts w:ascii="Times New Roman" w:hAnsi="Times New Roman" w:cs="Times New Roman"/>
          <w:iCs/>
          <w:color w:val="000000"/>
          <w:sz w:val="24"/>
          <w:szCs w:val="24"/>
        </w:rPr>
        <w:t>) 100 percent wood waste.</w:t>
      </w:r>
    </w:p>
    <w:p w:rsidR="006E09D8" w:rsidRPr="00DA4605" w:rsidRDefault="006E09D8" w:rsidP="006E09D8">
      <w:pPr>
        <w:autoSpaceDE w:val="0"/>
        <w:autoSpaceDN w:val="0"/>
        <w:adjustRightInd w:val="0"/>
        <w:spacing w:after="0" w:line="240" w:lineRule="auto"/>
        <w:rPr>
          <w:rFonts w:ascii="Times New Roman" w:hAnsi="Times New Roman" w:cs="Times New Roman"/>
          <w:iCs/>
          <w:color w:val="000000"/>
          <w:sz w:val="24"/>
          <w:szCs w:val="24"/>
        </w:rPr>
      </w:pPr>
      <w:r w:rsidRPr="00DA4605">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DA4605">
        <w:rPr>
          <w:rFonts w:ascii="Times New Roman" w:hAnsi="Times New Roman" w:cs="Times New Roman"/>
          <w:iCs/>
          <w:color w:val="000000"/>
          <w:sz w:val="24"/>
          <w:szCs w:val="24"/>
        </w:rPr>
        <w:t>) 100 percent clean lumber.</w:t>
      </w:r>
    </w:p>
    <w:p w:rsidR="006E09D8" w:rsidRPr="00DA4605" w:rsidRDefault="006E09D8" w:rsidP="006E09D8">
      <w:pPr>
        <w:autoSpaceDE w:val="0"/>
        <w:autoSpaceDN w:val="0"/>
        <w:adjustRightInd w:val="0"/>
        <w:spacing w:after="0" w:line="240" w:lineRule="auto"/>
        <w:rPr>
          <w:rFonts w:ascii="Times New Roman" w:hAnsi="Times New Roman" w:cs="Times New Roman"/>
          <w:iCs/>
          <w:color w:val="000000"/>
          <w:sz w:val="24"/>
          <w:szCs w:val="24"/>
        </w:rPr>
      </w:pPr>
      <w:r w:rsidRPr="00DA4605">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DA4605">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DA4605">
        <w:rPr>
          <w:rFonts w:ascii="Times New Roman" w:hAnsi="Times New Roman" w:cs="Times New Roman"/>
          <w:iCs/>
          <w:color w:val="000000"/>
          <w:sz w:val="24"/>
          <w:szCs w:val="24"/>
        </w:rPr>
        <w:t>waste, clean lumber, and/or yard waste.</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Pr="00BE1291"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6E09D8" w:rsidRPr="00BE1291"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5</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DA4605">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compliance date for the increment.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Pr="00DA4605">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DA4605">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DA4605">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progress has been achieved.</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DA4605">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progress.</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DA4605">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DA4605">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DA4605">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DA4605">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DA4605">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DA460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DA4605">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DA4605">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DA4605">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DA4605">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DA4605">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progress is met.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DA4605">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DA4605">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DA4605">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DA4605">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DA4605">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DA4605">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DA4605">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t>i</w:t>
      </w:r>
      <w:proofErr w:type="spellEnd"/>
      <w:r w:rsidRPr="00DA4605">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DA4605">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DA4605">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DA4605">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DA4605">
        <w:rPr>
          <w:rFonts w:ascii="Times New Roman" w:hAnsi="Times New Roman" w:cs="Times New Roman"/>
          <w:color w:val="000000"/>
          <w:sz w:val="24"/>
          <w:szCs w:val="24"/>
        </w:rPr>
        <w:t>) The type(s) of waste to be burned.</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DA4605">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capacity.</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proofErr w:type="gramStart"/>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DA4605">
        <w:rPr>
          <w:rFonts w:ascii="Times New Roman" w:hAnsi="Times New Roman" w:cs="Times New Roman"/>
          <w:color w:val="000000"/>
          <w:sz w:val="24"/>
          <w:szCs w:val="24"/>
        </w:rPr>
        <w:t>) The</w:t>
      </w:r>
      <w:proofErr w:type="gramEnd"/>
      <w:r w:rsidRPr="00DA4605">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rate.</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DA4605">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DA4605">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(6</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DA4605">
        <w:rPr>
          <w:rFonts w:ascii="Times New Roman" w:hAnsi="Times New Roman" w:cs="Times New Roman"/>
          <w:color w:val="000000"/>
          <w:sz w:val="24"/>
          <w:szCs w:val="24"/>
        </w:rPr>
        <w:t>.</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DA4605">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DA4605">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final control plan.</w:t>
      </w:r>
    </w:p>
    <w:p w:rsidR="006E09D8" w:rsidRPr="00DA4605"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DA4605">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DA4605">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DA4605">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DA4605">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designed.</w:t>
      </w:r>
    </w:p>
    <w:p w:rsidR="006E09D8" w:rsidRPr="00CA3F1F"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and the EPA Administrator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6E09D8" w:rsidRPr="008C7251"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340-230-0500(5</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proofErr w:type="spellStart"/>
      <w:r>
        <w:rPr>
          <w:rFonts w:ascii="Times New Roman" w:hAnsi="Times New Roman" w:cs="Times New Roman"/>
          <w:bCs/>
          <w:color w:val="000000"/>
          <w:sz w:val="24"/>
          <w:szCs w:val="24"/>
        </w:rPr>
        <w:t>i</w:t>
      </w:r>
      <w:proofErr w:type="spellEnd"/>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p>
    <w:p w:rsidR="006E09D8" w:rsidRPr="00162A24"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r>
        <w:rPr>
          <w:rFonts w:ascii="Times New Roman" w:hAnsi="Times New Roman" w:cs="Times New Roman"/>
          <w:bCs/>
          <w:color w:val="000000"/>
          <w:sz w:val="24"/>
          <w:szCs w:val="24"/>
        </w:rPr>
        <w:t xml:space="preserve">. In </w:t>
      </w:r>
      <w:r w:rsidRPr="00162A24">
        <w:rPr>
          <w:rFonts w:ascii="Times New Roman" w:hAnsi="Times New Roman" w:cs="Times New Roman"/>
          <w:b/>
          <w:bCs/>
          <w:color w:val="000000"/>
          <w:sz w:val="24"/>
          <w:szCs w:val="24"/>
        </w:rPr>
        <w:t xml:space="preserve">40 CFR </w:t>
      </w:r>
      <w:r>
        <w:rPr>
          <w:rFonts w:ascii="Times New Roman" w:hAnsi="Times New Roman" w:cs="Times New Roman"/>
          <w:b/>
          <w:bCs/>
          <w:color w:val="000000"/>
          <w:sz w:val="24"/>
          <w:szCs w:val="24"/>
        </w:rPr>
        <w:t>60.2665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“DEQ” is substituted for “the Administrator”</w:t>
      </w:r>
      <w:r>
        <w:rPr>
          <w:rFonts w:ascii="Times New Roman" w:hAnsi="Times New Roman" w:cs="Times New Roman"/>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Pr="009A51C3">
        <w:rPr>
          <w:rFonts w:ascii="Times New Roman" w:hAnsi="Times New Roman" w:cs="Times New Roman"/>
          <w:bCs/>
          <w:color w:val="000000"/>
          <w:sz w:val="24"/>
          <w:szCs w:val="24"/>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(d) Operating limits.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2675.</w:t>
      </w:r>
    </w:p>
    <w:p w:rsidR="006E09D8" w:rsidRPr="00D21444"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sidRPr="00D21444">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sidRPr="00CA3F1F">
        <w:rPr>
          <w:rFonts w:ascii="Times New Roman" w:hAnsi="Times New Roman" w:cs="Times New Roman"/>
          <w:b/>
          <w:bCs/>
          <w:color w:val="000000"/>
          <w:sz w:val="24"/>
          <w:szCs w:val="24"/>
        </w:rPr>
        <w:t xml:space="preserve">40 CFR </w:t>
      </w:r>
      <w:r>
        <w:rPr>
          <w:rFonts w:ascii="Times New Roman" w:hAnsi="Times New Roman" w:cs="Times New Roman"/>
          <w:b/>
          <w:bCs/>
          <w:color w:val="000000"/>
          <w:sz w:val="24"/>
          <w:szCs w:val="24"/>
        </w:rPr>
        <w:t>60.2680.</w:t>
      </w:r>
    </w:p>
    <w:p w:rsidR="006E09D8" w:rsidRPr="007F15CA"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sidRPr="007F15CA">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sidRPr="007F15C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7F15CA">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 xml:space="preserve">subsection (6)(c) of this rule, the owner or operator </w:t>
      </w:r>
      <w:r w:rsidRPr="007F15CA">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7F15CA">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D21444">
        <w:rPr>
          <w:rFonts w:ascii="Times New Roman" w:hAnsi="Times New Roman" w:cs="Times New Roman"/>
          <w:b/>
          <w:bCs/>
          <w:color w:val="000000"/>
          <w:sz w:val="24"/>
          <w:szCs w:val="24"/>
        </w:rPr>
        <w:t>40 CFR 60.2685</w:t>
      </w:r>
      <w:r w:rsidRPr="007F15C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“DEQ and the EPA administrator” is substituted for “the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g</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w:t>
      </w:r>
      <w:r>
        <w:rPr>
          <w:rFonts w:ascii="Times New Roman" w:hAnsi="Times New Roman" w:cs="Times New Roman"/>
          <w:b/>
          <w:bCs/>
          <w:color w:val="000000"/>
          <w:sz w:val="24"/>
          <w:szCs w:val="24"/>
        </w:rPr>
        <w:t>90</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 may request</w:t>
      </w:r>
      <w:r w:rsidRPr="00732BC6">
        <w:rPr>
          <w:rFonts w:ascii="Times New Roman" w:hAnsi="Times New Roman" w:cs="Times New Roman"/>
          <w:bCs/>
          <w:color w:val="000000"/>
          <w:sz w:val="24"/>
          <w:szCs w:val="24"/>
          <w:highlight w:val="yellow"/>
        </w:rPr>
        <w:t>” is substituted for “</w:t>
      </w:r>
      <w:r>
        <w:rPr>
          <w:rFonts w:ascii="Times New Roman" w:hAnsi="Times New Roman" w:cs="Times New Roman"/>
          <w:bCs/>
          <w:color w:val="000000"/>
          <w:sz w:val="24"/>
          <w:szCs w:val="24"/>
          <w:highlight w:val="yellow"/>
        </w:rPr>
        <w:t>T</w:t>
      </w:r>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w:t>
      </w:r>
      <w:r>
        <w:rPr>
          <w:rFonts w:ascii="Times New Roman" w:hAnsi="Times New Roman" w:cs="Times New Roman"/>
          <w:bCs/>
          <w:color w:val="000000"/>
          <w:sz w:val="24"/>
          <w:szCs w:val="24"/>
        </w:rPr>
        <w:t>B</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request by DEQ or the EPA Administrator may request</w:t>
      </w:r>
      <w:r w:rsidRPr="00732BC6">
        <w:rPr>
          <w:rFonts w:ascii="Times New Roman" w:hAnsi="Times New Roman" w:cs="Times New Roman"/>
          <w:bCs/>
          <w:color w:val="000000"/>
          <w:sz w:val="24"/>
          <w:szCs w:val="24"/>
          <w:highlight w:val="yellow"/>
        </w:rPr>
        <w:t>” is substituted for “</w:t>
      </w:r>
      <w:r w:rsidRPr="00C05D1D">
        <w:rPr>
          <w:rFonts w:ascii="Times New Roman" w:hAnsi="Times New Roman" w:cs="Times New Roman"/>
          <w:bCs/>
          <w:color w:val="000000"/>
          <w:sz w:val="24"/>
          <w:szCs w:val="24"/>
          <w:highlight w:val="yellow"/>
        </w:rPr>
        <w:t>request by the 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C</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 may request</w:t>
      </w:r>
      <w:r w:rsidRPr="00732BC6">
        <w:rPr>
          <w:rFonts w:ascii="Times New Roman" w:hAnsi="Times New Roman" w:cs="Times New Roman"/>
          <w:bCs/>
          <w:color w:val="000000"/>
          <w:sz w:val="24"/>
          <w:szCs w:val="24"/>
          <w:highlight w:val="yellow"/>
        </w:rPr>
        <w:t>” is substituted for “</w:t>
      </w:r>
      <w:r>
        <w:rPr>
          <w:rFonts w:ascii="Times New Roman" w:hAnsi="Times New Roman" w:cs="Times New Roman"/>
          <w:bCs/>
          <w:color w:val="000000"/>
          <w:sz w:val="24"/>
          <w:szCs w:val="24"/>
          <w:highlight w:val="yellow"/>
        </w:rPr>
        <w:t>T</w:t>
      </w:r>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notification to DEQ</w:t>
      </w:r>
      <w:r w:rsidRPr="00732BC6">
        <w:rPr>
          <w:rFonts w:ascii="Times New Roman" w:hAnsi="Times New Roman" w:cs="Times New Roman"/>
          <w:bCs/>
          <w:color w:val="000000"/>
          <w:sz w:val="24"/>
          <w:szCs w:val="24"/>
          <w:highlight w:val="yellow"/>
        </w:rPr>
        <w:t>” is substituted for “</w:t>
      </w:r>
      <w:r w:rsidRPr="009E3669">
        <w:rPr>
          <w:rFonts w:ascii="Times New Roman" w:hAnsi="Times New Roman" w:cs="Times New Roman"/>
          <w:bCs/>
          <w:color w:val="000000"/>
          <w:sz w:val="24"/>
          <w:szCs w:val="24"/>
          <w:highlight w:val="yellow"/>
        </w:rPr>
        <w:t>notification to 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Notify DEQ</w:t>
      </w:r>
      <w:r w:rsidRPr="00732BC6">
        <w:rPr>
          <w:rFonts w:ascii="Times New Roman" w:hAnsi="Times New Roman" w:cs="Times New Roman"/>
          <w:bCs/>
          <w:color w:val="000000"/>
          <w:sz w:val="24"/>
          <w:szCs w:val="24"/>
          <w:highlight w:val="yellow"/>
        </w:rPr>
        <w:t>” is substituted for “</w:t>
      </w:r>
      <w:r>
        <w:rPr>
          <w:rFonts w:ascii="Times New Roman" w:hAnsi="Times New Roman" w:cs="Times New Roman"/>
          <w:bCs/>
          <w:color w:val="000000"/>
          <w:sz w:val="24"/>
          <w:szCs w:val="24"/>
          <w:highlight w:val="yellow"/>
        </w:rPr>
        <w:t xml:space="preserve">Notify </w:t>
      </w:r>
      <w:r w:rsidRPr="00732BC6">
        <w:rPr>
          <w:rFonts w:ascii="Times New Roman" w:hAnsi="Times New Roman" w:cs="Times New Roman"/>
          <w:bCs/>
          <w:color w:val="000000"/>
          <w:sz w:val="24"/>
          <w:szCs w:val="24"/>
          <w:highlight w:val="yellow"/>
        </w:rPr>
        <w:t>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F</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G)</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60.2785</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H</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60.2790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highlight w:val="yellow"/>
        </w:rPr>
        <w:t>DEQ and the EPA Administrator</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p>
    <w:p w:rsidR="006E09D8" w:rsidRPr="00162A24"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“DEQ” is substituted for “the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Requirements for exempt air curtain incinerators. </w:t>
      </w:r>
    </w:p>
    <w:p w:rsidR="006E09D8" w:rsidRDefault="006E09D8" w:rsidP="006E09D8">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sidRPr="00CA3F1F">
        <w:rPr>
          <w:rFonts w:ascii="Times New Roman" w:hAnsi="Times New Roman" w:cs="Times New Roman"/>
          <w:b/>
          <w:color w:val="000000"/>
          <w:sz w:val="24"/>
          <w:szCs w:val="24"/>
        </w:rPr>
        <w:t>40 CFR 60.2860</w:t>
      </w:r>
      <w:r>
        <w:rPr>
          <w:rFonts w:ascii="Times New Roman" w:hAnsi="Times New Roman" w:cs="Times New Roman"/>
          <w:b/>
          <w:color w:val="000000"/>
          <w:sz w:val="24"/>
          <w:szCs w:val="24"/>
        </w:rPr>
        <w:t>.</w:t>
      </w:r>
    </w:p>
    <w:p w:rsidR="006E09D8" w:rsidRPr="00C304BE"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CA3F1F">
        <w:rPr>
          <w:rFonts w:ascii="Times New Roman" w:hAnsi="Times New Roman" w:cs="Times New Roman"/>
          <w:b/>
          <w:color w:val="000000"/>
          <w:sz w:val="24"/>
          <w:szCs w:val="24"/>
        </w:rPr>
        <w:t>40 CFR 60.286</w:t>
      </w:r>
      <w:r>
        <w:rPr>
          <w:rFonts w:ascii="Times New Roman" w:hAnsi="Times New Roman" w:cs="Times New Roman"/>
          <w:b/>
          <w:color w:val="000000"/>
          <w:sz w:val="24"/>
          <w:szCs w:val="24"/>
        </w:rPr>
        <w:t xml:space="preserve">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 xml:space="preserve">40 CFR </w:t>
      </w:r>
      <w:r w:rsidRPr="00162A24">
        <w:rPr>
          <w:rFonts w:ascii="Times New Roman" w:hAnsi="Times New Roman" w:cs="Times New Roman"/>
          <w:b/>
          <w:bCs/>
          <w:color w:val="000000"/>
          <w:sz w:val="24"/>
          <w:szCs w:val="24"/>
        </w:rPr>
        <w:t>60.2</w:t>
      </w:r>
      <w:r>
        <w:rPr>
          <w:rFonts w:ascii="Times New Roman" w:hAnsi="Times New Roman" w:cs="Times New Roman"/>
          <w:b/>
          <w:bCs/>
          <w:color w:val="000000"/>
          <w:sz w:val="24"/>
          <w:szCs w:val="24"/>
        </w:rPr>
        <w:t>870</w:t>
      </w:r>
      <w:r>
        <w:rPr>
          <w:rFonts w:ascii="Times New Roman" w:hAnsi="Times New Roman" w:cs="Times New Roman"/>
          <w:bCs/>
          <w:color w:val="000000"/>
          <w:sz w:val="24"/>
          <w:szCs w:val="24"/>
        </w:rPr>
        <w:t xml:space="preserve">, </w:t>
      </w:r>
      <w:r w:rsidRPr="00732BC6">
        <w:rPr>
          <w:rFonts w:ascii="Times New Roman" w:hAnsi="Times New Roman" w:cs="Times New Roman"/>
          <w:bCs/>
          <w:color w:val="000000"/>
          <w:sz w:val="24"/>
          <w:szCs w:val="24"/>
          <w:highlight w:val="yellow"/>
        </w:rPr>
        <w:t>“DEQ” is substituted for “the Administrator”</w:t>
      </w:r>
      <w:r>
        <w:rPr>
          <w:rFonts w:ascii="Times New Roman" w:hAnsi="Times New Roman" w:cs="Times New Roman"/>
          <w:bCs/>
          <w:color w:val="000000"/>
          <w:sz w:val="24"/>
          <w:szCs w:val="24"/>
        </w:rPr>
        <w:t>.</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6E09D8" w:rsidRPr="00E92C3B" w:rsidRDefault="006E09D8" w:rsidP="006E09D8">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(9)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 xml:space="preserve">40 CFR 60.2875, </w:t>
      </w:r>
      <w:r w:rsidRPr="00732BC6">
        <w:rPr>
          <w:rFonts w:ascii="Times New Roman" w:hAnsi="Times New Roman" w:cs="Times New Roman"/>
          <w:bCs/>
          <w:color w:val="000000"/>
          <w:sz w:val="24"/>
          <w:szCs w:val="24"/>
          <w:highlight w:val="yellow"/>
        </w:rPr>
        <w:t>“is defined by the EPA administrator” is substituted for “is defined by the Administrator” and “established by the EPA Administrator by rule” is substituted for “established by the Administrator by rule”</w:t>
      </w:r>
      <w:r>
        <w:rPr>
          <w:rFonts w:ascii="Times New Roman" w:hAnsi="Times New Roman" w:cs="Times New Roman"/>
          <w:bCs/>
          <w:color w:val="000000"/>
          <w:sz w:val="24"/>
          <w:szCs w:val="24"/>
        </w:rPr>
        <w:t>.</w:t>
      </w:r>
    </w:p>
    <w:p w:rsidR="003A068E" w:rsidRPr="00386DC3" w:rsidRDefault="006E09D8" w:rsidP="006E09D8">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lastRenderedPageBreak/>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98" w:rsidRDefault="00C41998" w:rsidP="00947A51">
      <w:pPr>
        <w:spacing w:after="0" w:line="240" w:lineRule="auto"/>
      </w:pPr>
      <w:r>
        <w:separator/>
      </w:r>
    </w:p>
  </w:endnote>
  <w:endnote w:type="continuationSeparator" w:id="0">
    <w:p w:rsidR="00C41998" w:rsidRDefault="00C4199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98" w:rsidRDefault="00C41998" w:rsidP="00947A51">
      <w:pPr>
        <w:spacing w:after="0" w:line="240" w:lineRule="auto"/>
      </w:pPr>
      <w:r>
        <w:separator/>
      </w:r>
    </w:p>
  </w:footnote>
  <w:footnote w:type="continuationSeparator" w:id="0">
    <w:p w:rsidR="00C41998" w:rsidRDefault="00C4199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98" w:rsidRDefault="00C4199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98" w:rsidRDefault="00C4199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C41998" w:rsidRDefault="00C4199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C41998" w:rsidRDefault="00C4199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C41998" w:rsidRDefault="00C4199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C41998" w:rsidRDefault="00C4199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C41998" w:rsidRDefault="00C4199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C41998" w:rsidRDefault="00C4199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F7"/>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5618F"/>
    <w:rsid w:val="00D60E61"/>
    <w:rsid w:val="00D820E8"/>
    <w:rsid w:val="00D842D3"/>
    <w:rsid w:val="00DC024E"/>
    <w:rsid w:val="00DC2C55"/>
    <w:rsid w:val="00E32414"/>
    <w:rsid w:val="00E407AC"/>
    <w:rsid w:val="00E52691"/>
    <w:rsid w:val="00E541D2"/>
    <w:rsid w:val="00E56715"/>
    <w:rsid w:val="00EB2970"/>
    <w:rsid w:val="00EB2C16"/>
    <w:rsid w:val="00ED0321"/>
    <w:rsid w:val="00EE530E"/>
    <w:rsid w:val="00EF11E0"/>
    <w:rsid w:val="00EF65FB"/>
    <w:rsid w:val="00F01ABA"/>
    <w:rsid w:val="00F13F74"/>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E4BD-F787-458B-BB49-38702DA4D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10280</Words>
  <Characters>58599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2013-09-27T22:57:00Z</dcterms:created>
  <dcterms:modified xsi:type="dcterms:W3CDTF">2013-09-27T22:57:00Z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