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600FA6" w:rsidRPr="00212CFA" w:rsidRDefault="00600FA6"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660EAC" w:rsidRDefault="00514304" w:rsidP="00A14F2E">
      <w:pPr>
        <w:pStyle w:val="NoSpacing"/>
        <w:rPr>
          <w:sz w:val="22"/>
          <w:szCs w:val="22"/>
        </w:rPr>
      </w:pPr>
      <w:r>
        <w:rPr>
          <w:sz w:val="22"/>
          <w:szCs w:val="22"/>
        </w:rPr>
        <w:t>On</w:t>
      </w:r>
      <w:r w:rsidR="008029AE" w:rsidRPr="00212CFA">
        <w:rPr>
          <w:sz w:val="22"/>
          <w:szCs w:val="22"/>
        </w:rPr>
        <w:t xml:space="preserve"> </w:t>
      </w:r>
      <w:r w:rsidR="006B4494">
        <w:rPr>
          <w:sz w:val="22"/>
          <w:szCs w:val="22"/>
        </w:rPr>
        <w:t>May</w:t>
      </w:r>
      <w:r w:rsidR="00742230">
        <w:rPr>
          <w:sz w:val="22"/>
          <w:szCs w:val="22"/>
        </w:rPr>
        <w:t xml:space="preserve"> </w:t>
      </w:r>
      <w:r w:rsidR="006B4494">
        <w:rPr>
          <w:sz w:val="22"/>
          <w:szCs w:val="22"/>
        </w:rPr>
        <w:t>13</w:t>
      </w:r>
      <w:r w:rsidR="00742230">
        <w:rPr>
          <w:sz w:val="22"/>
          <w:szCs w:val="22"/>
        </w:rPr>
        <w:t xml:space="preserve">,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6B4494">
        <w:rPr>
          <w:sz w:val="22"/>
          <w:szCs w:val="22"/>
        </w:rPr>
        <w:t xml:space="preserve">amendments to the Federal Plan Requirements that implement the Emission Guidelines </w:t>
      </w:r>
      <w:r w:rsidR="008029AE" w:rsidRPr="00212CFA">
        <w:rPr>
          <w:sz w:val="22"/>
          <w:szCs w:val="22"/>
        </w:rPr>
        <w:t xml:space="preserve">for </w:t>
      </w:r>
      <w:r w:rsidR="006B4494">
        <w:rPr>
          <w:sz w:val="22"/>
          <w:szCs w:val="22"/>
        </w:rPr>
        <w:t>hospital</w:t>
      </w:r>
      <w:r w:rsidR="00D51435">
        <w:rPr>
          <w:sz w:val="22"/>
          <w:szCs w:val="22"/>
        </w:rPr>
        <w:t xml:space="preserve">, </w:t>
      </w:r>
      <w:r w:rsidR="006B4494">
        <w:rPr>
          <w:sz w:val="22"/>
          <w:szCs w:val="22"/>
        </w:rPr>
        <w:t>medical</w:t>
      </w:r>
      <w:r w:rsidR="00D51435">
        <w:rPr>
          <w:sz w:val="22"/>
          <w:szCs w:val="22"/>
        </w:rPr>
        <w:t xml:space="preserve">, </w:t>
      </w:r>
      <w:r w:rsidR="006B4494">
        <w:rPr>
          <w:sz w:val="22"/>
          <w:szCs w:val="22"/>
        </w:rPr>
        <w:t xml:space="preserve">infectious </w:t>
      </w:r>
      <w:r w:rsidR="00742230">
        <w:rPr>
          <w:sz w:val="22"/>
          <w:szCs w:val="22"/>
        </w:rPr>
        <w:t xml:space="preserve">waste </w:t>
      </w:r>
      <w:r w:rsidR="004B5C66">
        <w:rPr>
          <w:sz w:val="22"/>
          <w:szCs w:val="22"/>
        </w:rPr>
        <w:t>i</w:t>
      </w:r>
      <w:r w:rsidR="008029AE" w:rsidRPr="00212CFA">
        <w:rPr>
          <w:sz w:val="22"/>
          <w:szCs w:val="22"/>
        </w:rPr>
        <w:t>ncinerat</w:t>
      </w:r>
      <w:r w:rsidR="006B4494">
        <w:rPr>
          <w:sz w:val="22"/>
          <w:szCs w:val="22"/>
        </w:rPr>
        <w:t>ors</w:t>
      </w:r>
      <w:r w:rsidR="008029AE" w:rsidRPr="00212CFA">
        <w:rPr>
          <w:sz w:val="22"/>
          <w:szCs w:val="22"/>
        </w:rPr>
        <w:t xml:space="preserve"> </w:t>
      </w:r>
      <w:r w:rsidR="006B4494">
        <w:rPr>
          <w:sz w:val="22"/>
          <w:szCs w:val="22"/>
        </w:rPr>
        <w:t xml:space="preserve">constructed on or before December 1, 2008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art 6</w:t>
      </w:r>
      <w:r w:rsidR="006B4494">
        <w:rPr>
          <w:sz w:val="22"/>
          <w:szCs w:val="22"/>
        </w:rPr>
        <w:t>2</w:t>
      </w:r>
      <w:r w:rsidR="008029AE" w:rsidRPr="00212CFA">
        <w:rPr>
          <w:sz w:val="22"/>
          <w:szCs w:val="22"/>
        </w:rPr>
        <w:t xml:space="preserve"> </w:t>
      </w:r>
      <w:r w:rsidR="004B5C66">
        <w:rPr>
          <w:sz w:val="22"/>
          <w:szCs w:val="22"/>
        </w:rPr>
        <w:t>s</w:t>
      </w:r>
      <w:r w:rsidR="008029AE" w:rsidRPr="00212CFA">
        <w:rPr>
          <w:sz w:val="22"/>
          <w:szCs w:val="22"/>
        </w:rPr>
        <w:t xml:space="preserve">ubpart </w:t>
      </w:r>
      <w:r w:rsidR="006B4494">
        <w:rPr>
          <w:sz w:val="22"/>
          <w:szCs w:val="22"/>
        </w:rPr>
        <w:t>HHH</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plan or a promulgated Federal P</w:t>
      </w:r>
      <w:r w:rsidR="008029AE" w:rsidRPr="00212CFA">
        <w:rPr>
          <w:sz w:val="22"/>
          <w:szCs w:val="22"/>
        </w:rPr>
        <w:t xml:space="preserve">lan. </w:t>
      </w:r>
    </w:p>
    <w:p w:rsidR="00660EAC" w:rsidRDefault="00660EAC" w:rsidP="00A14F2E">
      <w:pPr>
        <w:pStyle w:val="NoSpacing"/>
        <w:rPr>
          <w:sz w:val="22"/>
          <w:szCs w:val="22"/>
        </w:rPr>
      </w:pPr>
    </w:p>
    <w:p w:rsidR="00A14F2E" w:rsidRPr="00212CFA" w:rsidRDefault="004B5C66" w:rsidP="00A14F2E">
      <w:pPr>
        <w:pStyle w:val="NoSpacing"/>
        <w:rPr>
          <w:sz w:val="22"/>
          <w:szCs w:val="22"/>
        </w:rPr>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6B4494">
        <w:rPr>
          <w:sz w:val="22"/>
          <w:szCs w:val="22"/>
        </w:rPr>
        <w:t xml:space="preserve">that </w:t>
      </w:r>
      <w:r w:rsidR="00137592">
        <w:rPr>
          <w:sz w:val="22"/>
          <w:szCs w:val="22"/>
        </w:rPr>
        <w:t xml:space="preserve">EPA </w:t>
      </w:r>
      <w:r w:rsidR="006B4494">
        <w:rPr>
          <w:sz w:val="22"/>
          <w:szCs w:val="22"/>
        </w:rPr>
        <w:t>delegate to DEQ authority to implement the Federal</w:t>
      </w:r>
      <w:r w:rsidR="00196DDF">
        <w:rPr>
          <w:sz w:val="22"/>
          <w:szCs w:val="22"/>
        </w:rPr>
        <w:t xml:space="preserve"> </w:t>
      </w:r>
      <w:r w:rsidR="006B4494">
        <w:rPr>
          <w:sz w:val="22"/>
          <w:szCs w:val="22"/>
        </w:rPr>
        <w:t>P</w:t>
      </w:r>
      <w:r w:rsidR="00196DDF">
        <w:rPr>
          <w:sz w:val="22"/>
          <w:szCs w:val="22"/>
        </w:rPr>
        <w:t xml:space="preserve">lan </w:t>
      </w:r>
      <w:r w:rsidR="006B4494">
        <w:rPr>
          <w:sz w:val="22"/>
          <w:szCs w:val="22"/>
        </w:rPr>
        <w:t xml:space="preserve">Requirements </w:t>
      </w:r>
      <w:r w:rsidR="00196DDF" w:rsidRPr="00212CFA">
        <w:rPr>
          <w:sz w:val="22"/>
          <w:szCs w:val="22"/>
        </w:rPr>
        <w:t xml:space="preserve">for </w:t>
      </w:r>
      <w:r w:rsidR="00525CB6">
        <w:rPr>
          <w:sz w:val="22"/>
          <w:szCs w:val="22"/>
        </w:rPr>
        <w:t>hospital</w:t>
      </w:r>
      <w:r w:rsidR="00D51435">
        <w:rPr>
          <w:sz w:val="22"/>
          <w:szCs w:val="22"/>
        </w:rPr>
        <w:t xml:space="preserve">, </w:t>
      </w:r>
      <w:r w:rsidR="00525CB6">
        <w:rPr>
          <w:sz w:val="22"/>
          <w:szCs w:val="22"/>
        </w:rPr>
        <w:t>medical</w:t>
      </w:r>
      <w:r w:rsidR="00D51435">
        <w:rPr>
          <w:sz w:val="22"/>
          <w:szCs w:val="22"/>
        </w:rPr>
        <w:t xml:space="preserve">, and </w:t>
      </w:r>
      <w:r w:rsidR="00525CB6">
        <w:rPr>
          <w:sz w:val="22"/>
          <w:szCs w:val="22"/>
        </w:rPr>
        <w:t>infectious waste i</w:t>
      </w:r>
      <w:r w:rsidR="00525CB6" w:rsidRPr="00212CFA">
        <w:rPr>
          <w:sz w:val="22"/>
          <w:szCs w:val="22"/>
        </w:rPr>
        <w:t>ncinerat</w:t>
      </w:r>
      <w:r w:rsidR="00525CB6">
        <w:rPr>
          <w:sz w:val="22"/>
          <w:szCs w:val="22"/>
        </w:rPr>
        <w:t>ors</w:t>
      </w:r>
      <w:r w:rsidR="00A14F2E" w:rsidRPr="00212CFA">
        <w:rPr>
          <w:sz w:val="22"/>
          <w:szCs w:val="22"/>
        </w:rPr>
        <w:t>.</w:t>
      </w:r>
    </w:p>
    <w:p w:rsidR="008029AE" w:rsidRPr="00212CFA" w:rsidRDefault="008029AE" w:rsidP="00A14F2E">
      <w:pPr>
        <w:pStyle w:val="NoSpacing"/>
        <w:rPr>
          <w:sz w:val="22"/>
          <w:szCs w:val="22"/>
        </w:rPr>
      </w:pPr>
    </w:p>
    <w:p w:rsidR="004C5B09" w:rsidRDefault="004C5B09" w:rsidP="004C5B09">
      <w:pPr>
        <w:pStyle w:val="NoSpacing"/>
        <w:rPr>
          <w:sz w:val="22"/>
          <w:szCs w:val="22"/>
        </w:rPr>
      </w:pPr>
      <w:r>
        <w:rPr>
          <w:sz w:val="22"/>
          <w:szCs w:val="22"/>
        </w:rPr>
        <w:t>T</w:t>
      </w:r>
      <w:r w:rsidRPr="00212CFA">
        <w:rPr>
          <w:sz w:val="22"/>
          <w:szCs w:val="22"/>
        </w:rPr>
        <w:t xml:space="preserve">he </w:t>
      </w:r>
      <w:r>
        <w:rPr>
          <w:sz w:val="22"/>
          <w:szCs w:val="22"/>
        </w:rPr>
        <w:t xml:space="preserve">delegation request must address the following </w:t>
      </w:r>
      <w:r w:rsidRPr="00212CFA">
        <w:rPr>
          <w:sz w:val="22"/>
          <w:szCs w:val="22"/>
        </w:rPr>
        <w:t>requirements</w:t>
      </w:r>
      <w:r>
        <w:rPr>
          <w:sz w:val="22"/>
          <w:szCs w:val="22"/>
        </w:rPr>
        <w:t>:</w:t>
      </w:r>
    </w:p>
    <w:p w:rsidR="00725583" w:rsidRPr="00212CFA" w:rsidRDefault="00725583" w:rsidP="00525CB6">
      <w:pPr>
        <w:pStyle w:val="NoSpacing"/>
        <w:numPr>
          <w:ilvl w:val="0"/>
          <w:numId w:val="24"/>
        </w:numPr>
        <w:rPr>
          <w:sz w:val="22"/>
          <w:szCs w:val="22"/>
        </w:rPr>
      </w:pPr>
      <w:r w:rsidRPr="00212CFA">
        <w:rPr>
          <w:sz w:val="22"/>
          <w:szCs w:val="22"/>
        </w:rPr>
        <w:t xml:space="preserve">A demonstration of adequate </w:t>
      </w:r>
      <w:r w:rsidR="00831274">
        <w:rPr>
          <w:sz w:val="22"/>
          <w:szCs w:val="22"/>
        </w:rPr>
        <w:t>resources</w:t>
      </w:r>
    </w:p>
    <w:p w:rsidR="009519E3" w:rsidRDefault="009519E3" w:rsidP="00525CB6">
      <w:pPr>
        <w:pStyle w:val="NoSpacing"/>
        <w:numPr>
          <w:ilvl w:val="0"/>
          <w:numId w:val="24"/>
        </w:numPr>
        <w:rPr>
          <w:sz w:val="22"/>
          <w:szCs w:val="22"/>
        </w:rPr>
      </w:pPr>
      <w:r w:rsidRPr="00212CFA">
        <w:rPr>
          <w:sz w:val="22"/>
          <w:szCs w:val="22"/>
        </w:rPr>
        <w:t>A demonstration of adequate legal authority</w:t>
      </w:r>
    </w:p>
    <w:p w:rsidR="00725583" w:rsidRPr="00212CFA" w:rsidRDefault="00725583" w:rsidP="00525CB6">
      <w:pPr>
        <w:pStyle w:val="NoSpacing"/>
        <w:numPr>
          <w:ilvl w:val="0"/>
          <w:numId w:val="24"/>
        </w:numPr>
        <w:rPr>
          <w:sz w:val="22"/>
          <w:szCs w:val="22"/>
        </w:rPr>
      </w:pPr>
      <w:r w:rsidRPr="00212CFA">
        <w:rPr>
          <w:sz w:val="22"/>
          <w:szCs w:val="22"/>
        </w:rPr>
        <w:t>A</w:t>
      </w:r>
      <w:r w:rsidR="000B2E7B">
        <w:rPr>
          <w:sz w:val="22"/>
          <w:szCs w:val="22"/>
        </w:rPr>
        <w:t>n</w:t>
      </w:r>
      <w:r w:rsidRPr="00212CFA">
        <w:rPr>
          <w:sz w:val="22"/>
          <w:szCs w:val="22"/>
        </w:rPr>
        <w:t xml:space="preserve"> inventory of affected units</w:t>
      </w:r>
    </w:p>
    <w:p w:rsidR="008029AE" w:rsidRPr="00212CFA" w:rsidRDefault="00725583" w:rsidP="00525CB6">
      <w:pPr>
        <w:pStyle w:val="NoSpacing"/>
        <w:numPr>
          <w:ilvl w:val="0"/>
          <w:numId w:val="24"/>
        </w:numPr>
        <w:rPr>
          <w:sz w:val="22"/>
          <w:szCs w:val="22"/>
        </w:rPr>
      </w:pPr>
      <w:r w:rsidRPr="00212CFA">
        <w:rPr>
          <w:sz w:val="22"/>
          <w:szCs w:val="22"/>
        </w:rPr>
        <w:t xml:space="preserve">A public hearing certification </w:t>
      </w:r>
      <w:r w:rsidR="000B2E7B">
        <w:rPr>
          <w:sz w:val="22"/>
          <w:szCs w:val="22"/>
        </w:rPr>
        <w:t>of</w:t>
      </w:r>
      <w:r w:rsidR="00831274">
        <w:rPr>
          <w:sz w:val="22"/>
          <w:szCs w:val="22"/>
        </w:rPr>
        <w:t xml:space="preserve"> the delegation request</w:t>
      </w:r>
    </w:p>
    <w:p w:rsidR="00725583" w:rsidRDefault="00725583" w:rsidP="00525CB6">
      <w:pPr>
        <w:pStyle w:val="NoSpacing"/>
        <w:numPr>
          <w:ilvl w:val="0"/>
          <w:numId w:val="24"/>
        </w:numPr>
        <w:rPr>
          <w:sz w:val="22"/>
          <w:szCs w:val="22"/>
        </w:rPr>
      </w:pPr>
      <w:r w:rsidRPr="00212CFA">
        <w:rPr>
          <w:sz w:val="22"/>
          <w:szCs w:val="22"/>
        </w:rPr>
        <w:t xml:space="preserve">An </w:t>
      </w:r>
      <w:r w:rsidR="00600FA6">
        <w:rPr>
          <w:sz w:val="22"/>
          <w:szCs w:val="22"/>
        </w:rPr>
        <w:t>MOA</w:t>
      </w:r>
      <w:r w:rsidRPr="00212CFA">
        <w:rPr>
          <w:sz w:val="22"/>
          <w:szCs w:val="22"/>
        </w:rPr>
        <w:t xml:space="preserve"> that sets forth the terms of delegation</w:t>
      </w:r>
    </w:p>
    <w:p w:rsidR="004C5B09" w:rsidRDefault="004C5B09" w:rsidP="004C5B09">
      <w:pPr>
        <w:pStyle w:val="NoSpacing"/>
        <w:rPr>
          <w:sz w:val="22"/>
          <w:szCs w:val="22"/>
        </w:rPr>
      </w:pPr>
    </w:p>
    <w:p w:rsidR="004C5B09" w:rsidRPr="00212CFA" w:rsidRDefault="004C5B09" w:rsidP="004C5B09">
      <w:pPr>
        <w:pStyle w:val="NoSpacing"/>
        <w:rPr>
          <w:sz w:val="22"/>
          <w:szCs w:val="22"/>
        </w:rPr>
      </w:pPr>
      <w:r w:rsidRPr="00212CFA">
        <w:rPr>
          <w:sz w:val="22"/>
          <w:szCs w:val="22"/>
        </w:rPr>
        <w:t>These requirements are addressed in attach</w:t>
      </w:r>
      <w:r>
        <w:rPr>
          <w:sz w:val="22"/>
          <w:szCs w:val="22"/>
        </w:rPr>
        <w:t>ed</w:t>
      </w:r>
      <w:r w:rsidRPr="00212CFA">
        <w:rPr>
          <w:sz w:val="22"/>
          <w:szCs w:val="22"/>
        </w:rPr>
        <w:t xml:space="preserve"> </w:t>
      </w:r>
      <w:r>
        <w:rPr>
          <w:sz w:val="22"/>
          <w:szCs w:val="22"/>
        </w:rPr>
        <w:t>delegation request</w:t>
      </w:r>
      <w:r w:rsidRPr="00212CFA">
        <w:rPr>
          <w:sz w:val="22"/>
          <w:szCs w:val="22"/>
        </w:rPr>
        <w:t>.</w:t>
      </w:r>
    </w:p>
    <w:p w:rsidR="004B5C66" w:rsidRDefault="004B5C66"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525CB6" w:rsidRDefault="00795A85" w:rsidP="00795A85">
      <w:pPr>
        <w:pStyle w:val="Default"/>
        <w:jc w:val="center"/>
        <w:rPr>
          <w:sz w:val="56"/>
          <w:szCs w:val="56"/>
        </w:rPr>
      </w:pPr>
      <w:r>
        <w:rPr>
          <w:sz w:val="56"/>
          <w:szCs w:val="56"/>
        </w:rPr>
        <w:lastRenderedPageBreak/>
        <w:t>OREGON</w:t>
      </w:r>
    </w:p>
    <w:p w:rsidR="00795A85" w:rsidRPr="00841BA0" w:rsidRDefault="00525CB6" w:rsidP="00795A85">
      <w:pPr>
        <w:pStyle w:val="Default"/>
        <w:jc w:val="center"/>
        <w:rPr>
          <w:sz w:val="56"/>
          <w:szCs w:val="56"/>
        </w:rPr>
      </w:pPr>
      <w:r>
        <w:rPr>
          <w:sz w:val="56"/>
          <w:szCs w:val="56"/>
        </w:rPr>
        <w:t>REQUEST</w:t>
      </w:r>
      <w:r w:rsidR="00D51435">
        <w:rPr>
          <w:sz w:val="56"/>
          <w:szCs w:val="56"/>
        </w:rPr>
        <w:t xml:space="preserve"> FOR DELEGATION OF THE</w:t>
      </w:r>
    </w:p>
    <w:p w:rsidR="00196DDF" w:rsidRDefault="00525CB6" w:rsidP="004C5B09">
      <w:pPr>
        <w:pStyle w:val="Default"/>
        <w:ind w:firstLine="720"/>
        <w:jc w:val="center"/>
        <w:rPr>
          <w:sz w:val="56"/>
          <w:szCs w:val="56"/>
        </w:rPr>
      </w:pPr>
      <w:r>
        <w:rPr>
          <w:sz w:val="56"/>
          <w:szCs w:val="56"/>
        </w:rPr>
        <w:t xml:space="preserve">FEDERAL PLAN </w:t>
      </w:r>
      <w:r w:rsidR="00D51435">
        <w:rPr>
          <w:sz w:val="56"/>
          <w:szCs w:val="56"/>
        </w:rPr>
        <w:t xml:space="preserve">REQUIREMENTS </w:t>
      </w:r>
      <w:r>
        <w:rPr>
          <w:sz w:val="56"/>
          <w:szCs w:val="56"/>
        </w:rPr>
        <w:t>FOR HOSPITAL</w:t>
      </w:r>
      <w:r w:rsidR="00D51435">
        <w:rPr>
          <w:sz w:val="56"/>
          <w:szCs w:val="56"/>
        </w:rPr>
        <w:t xml:space="preserve">, </w:t>
      </w:r>
      <w:r>
        <w:rPr>
          <w:sz w:val="56"/>
          <w:szCs w:val="56"/>
        </w:rPr>
        <w:t>MEDICAL</w:t>
      </w:r>
      <w:r w:rsidR="00D51435">
        <w:rPr>
          <w:sz w:val="56"/>
          <w:szCs w:val="56"/>
        </w:rPr>
        <w:t xml:space="preserve">, AND </w:t>
      </w:r>
      <w:r>
        <w:rPr>
          <w:sz w:val="56"/>
          <w:szCs w:val="56"/>
        </w:rPr>
        <w:t>INFECTIOUS WASTE</w:t>
      </w:r>
      <w:r w:rsidR="004C5B09" w:rsidRPr="004C5B09">
        <w:rPr>
          <w:sz w:val="56"/>
          <w:szCs w:val="56"/>
        </w:rPr>
        <w:t xml:space="preserve"> </w:t>
      </w:r>
      <w:r>
        <w:rPr>
          <w:sz w:val="56"/>
          <w:szCs w:val="56"/>
        </w:rPr>
        <w:t>INCINERATORS</w:t>
      </w: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636772" w:rsidRDefault="00652B14" w:rsidP="00795A85">
      <w:pPr>
        <w:pStyle w:val="Default"/>
        <w:ind w:right="-140"/>
      </w:pPr>
      <w:r w:rsidRPr="00636772">
        <w:t>On May 13, 2013, EPA promulgated amendments to the Federal Plan Requirements that implement the Emission Guidelines for hospital/medical/infectious waste incinerators constructed on or before December 1, 2008 (40 CFR part 62 subpart HHH). Unlike New Source Performance Standards, emission guidelines are not directly enforceable until they are implemented and enforced through either an EPA-approved state plan or a promulgated Federal Plan. Oregon DEQ requests that EPA delegate to DEQ the authority to implement the Federal Plan Requirements for hospital/medical/infectious waste incinerators.</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337E3D" w:rsidRPr="00636772" w:rsidRDefault="00795A85" w:rsidP="00337E3D">
      <w:pPr>
        <w:pStyle w:val="NoSpacing"/>
        <w:rPr>
          <w:szCs w:val="24"/>
        </w:rPr>
      </w:pPr>
      <w:r w:rsidRPr="00636772">
        <w:rPr>
          <w:szCs w:val="24"/>
        </w:rPr>
        <w:t xml:space="preserve">This </w:t>
      </w:r>
      <w:r w:rsidR="00337E3D" w:rsidRPr="00636772">
        <w:rPr>
          <w:szCs w:val="24"/>
        </w:rPr>
        <w:t>p</w:t>
      </w:r>
      <w:r w:rsidRPr="00636772">
        <w:rPr>
          <w:szCs w:val="24"/>
        </w:rPr>
        <w:t xml:space="preserve">lan fulfills </w:t>
      </w:r>
      <w:r w:rsidR="00337E3D" w:rsidRPr="00636772">
        <w:rPr>
          <w:szCs w:val="24"/>
        </w:rPr>
        <w:t>e</w:t>
      </w:r>
      <w:r w:rsidRPr="00636772">
        <w:rPr>
          <w:szCs w:val="24"/>
        </w:rPr>
        <w:t xml:space="preserve">ach of the </w:t>
      </w:r>
      <w:r w:rsidR="00337E3D" w:rsidRPr="00636772">
        <w:rPr>
          <w:szCs w:val="24"/>
        </w:rPr>
        <w:t xml:space="preserve">following </w:t>
      </w:r>
      <w:r w:rsidRPr="00636772">
        <w:rPr>
          <w:szCs w:val="24"/>
        </w:rPr>
        <w:t xml:space="preserve">requirements </w:t>
      </w:r>
      <w:r w:rsidR="00337E3D" w:rsidRPr="00636772">
        <w:rPr>
          <w:szCs w:val="24"/>
        </w:rPr>
        <w:t xml:space="preserve">from 40 CFR part 60 subpart B for </w:t>
      </w:r>
      <w:r w:rsidRPr="00636772">
        <w:rPr>
          <w:szCs w:val="24"/>
        </w:rPr>
        <w:t xml:space="preserve">a </w:t>
      </w:r>
      <w:r w:rsidR="00514304" w:rsidRPr="00636772">
        <w:rPr>
          <w:szCs w:val="24"/>
        </w:rPr>
        <w:t>state plan submittal</w:t>
      </w:r>
      <w:r w:rsidR="00337E3D" w:rsidRPr="00636772">
        <w:rPr>
          <w:szCs w:val="24"/>
        </w:rPr>
        <w:t>:</w:t>
      </w:r>
    </w:p>
    <w:p w:rsidR="009519E3" w:rsidRPr="00636772" w:rsidRDefault="00337E3D" w:rsidP="00525CB6">
      <w:pPr>
        <w:pStyle w:val="NoSpacing"/>
        <w:numPr>
          <w:ilvl w:val="0"/>
          <w:numId w:val="25"/>
        </w:numPr>
        <w:rPr>
          <w:szCs w:val="24"/>
        </w:rPr>
      </w:pPr>
      <w:r w:rsidRPr="00636772">
        <w:rPr>
          <w:szCs w:val="24"/>
        </w:rPr>
        <w:t>A demonstration of adequate resources</w:t>
      </w:r>
      <w:r w:rsidR="00660EAC" w:rsidRPr="00636772">
        <w:rPr>
          <w:szCs w:val="24"/>
        </w:rPr>
        <w:t xml:space="preserve"> and </w:t>
      </w:r>
      <w:r w:rsidR="009519E3" w:rsidRPr="00636772">
        <w:rPr>
          <w:szCs w:val="24"/>
        </w:rPr>
        <w:t>legal authority</w:t>
      </w:r>
    </w:p>
    <w:p w:rsidR="00337E3D" w:rsidRPr="00636772" w:rsidRDefault="00337E3D" w:rsidP="00525CB6">
      <w:pPr>
        <w:pStyle w:val="NoSpacing"/>
        <w:numPr>
          <w:ilvl w:val="0"/>
          <w:numId w:val="25"/>
        </w:numPr>
        <w:rPr>
          <w:szCs w:val="24"/>
        </w:rPr>
      </w:pPr>
      <w:r w:rsidRPr="00636772">
        <w:rPr>
          <w:szCs w:val="24"/>
        </w:rPr>
        <w:t>An inventory of affected units</w:t>
      </w:r>
    </w:p>
    <w:p w:rsidR="00337E3D" w:rsidRPr="00636772" w:rsidRDefault="00337E3D" w:rsidP="00525CB6">
      <w:pPr>
        <w:pStyle w:val="NoSpacing"/>
        <w:numPr>
          <w:ilvl w:val="0"/>
          <w:numId w:val="25"/>
        </w:numPr>
        <w:rPr>
          <w:szCs w:val="24"/>
        </w:rPr>
      </w:pPr>
      <w:r w:rsidRPr="00636772">
        <w:rPr>
          <w:szCs w:val="24"/>
        </w:rPr>
        <w:t>A public hearing certification of the delegation request</w:t>
      </w:r>
    </w:p>
    <w:p w:rsidR="00795A85" w:rsidRPr="00636772" w:rsidRDefault="00337E3D" w:rsidP="00525CB6">
      <w:pPr>
        <w:pStyle w:val="NoSpacing"/>
        <w:numPr>
          <w:ilvl w:val="0"/>
          <w:numId w:val="25"/>
        </w:numPr>
        <w:rPr>
          <w:szCs w:val="24"/>
        </w:rPr>
      </w:pPr>
      <w:r w:rsidRPr="00636772">
        <w:rPr>
          <w:szCs w:val="24"/>
        </w:rPr>
        <w:t>An MOA that sets forth the terms of delegation</w:t>
      </w:r>
    </w:p>
    <w:p w:rsidR="00795A85" w:rsidRDefault="00795A85" w:rsidP="00795A85">
      <w:pPr>
        <w:tabs>
          <w:tab w:val="num" w:pos="2160"/>
        </w:tabs>
        <w:autoSpaceDE w:val="0"/>
        <w:autoSpaceDN w:val="0"/>
        <w:adjustRightInd w:val="0"/>
        <w:spacing w:after="0" w:line="240" w:lineRule="auto"/>
      </w:pPr>
    </w:p>
    <w:p w:rsidR="009519E3" w:rsidRDefault="009519E3" w:rsidP="002244A3">
      <w:pPr>
        <w:numPr>
          <w:ilvl w:val="0"/>
          <w:numId w:val="17"/>
        </w:numPr>
        <w:tabs>
          <w:tab w:val="clear" w:pos="1080"/>
          <w:tab w:val="num" w:pos="720"/>
        </w:tabs>
        <w:spacing w:after="0" w:line="240" w:lineRule="auto"/>
        <w:ind w:left="720"/>
        <w:rPr>
          <w:b/>
        </w:rPr>
      </w:pPr>
      <w:r>
        <w:rPr>
          <w:b/>
        </w:rPr>
        <w:t>Demonstration of adequate resources</w:t>
      </w:r>
      <w:r w:rsidR="00660EAC">
        <w:rPr>
          <w:b/>
        </w:rPr>
        <w:t xml:space="preserve"> and legal authority</w:t>
      </w:r>
    </w:p>
    <w:p w:rsidR="00636772" w:rsidRDefault="00636772" w:rsidP="005B53AC">
      <w:pPr>
        <w:pStyle w:val="NormalWeb"/>
        <w:rPr>
          <w:b/>
          <w:bCs/>
        </w:rPr>
      </w:pPr>
      <w:r>
        <w:rPr>
          <w:b/>
          <w:bCs/>
        </w:rPr>
        <w:t>Adequate Resources</w:t>
      </w:r>
    </w:p>
    <w:p w:rsidR="0031395B" w:rsidRDefault="00636772" w:rsidP="003739EF">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There is one source in Oregon subject to the Federal Plan Requirements, Oregon State University</w:t>
      </w:r>
      <w:r w:rsidR="003739EF"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College of Veterinary Medicine</w:t>
      </w:r>
      <w:r w:rsidR="003739EF" w:rsidRPr="003739EF">
        <w:rPr>
          <w:rFonts w:ascii="Times New Roman" w:hAnsi="Times New Roman" w:cs="Times New Roman"/>
          <w:bCs/>
          <w:sz w:val="24"/>
          <w:szCs w:val="24"/>
        </w:rPr>
        <w:t>’s</w:t>
      </w:r>
      <w:r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Research Animal Isolation Lab</w:t>
      </w:r>
      <w:r w:rsidR="003739EF" w:rsidRPr="003739EF">
        <w:rPr>
          <w:rFonts w:ascii="Times New Roman" w:hAnsi="Times New Roman" w:cs="Times New Roman"/>
          <w:bCs/>
          <w:sz w:val="24"/>
          <w:szCs w:val="24"/>
        </w:rPr>
        <w:t xml:space="preserve"> </w:t>
      </w:r>
      <w:r w:rsidRPr="003739EF">
        <w:rPr>
          <w:rFonts w:ascii="Times New Roman" w:hAnsi="Times New Roman" w:cs="Times New Roman"/>
          <w:bCs/>
          <w:sz w:val="24"/>
          <w:szCs w:val="24"/>
        </w:rPr>
        <w:t>in Corvallis. Th</w:t>
      </w:r>
      <w:r w:rsidR="003739EF" w:rsidRPr="003739EF">
        <w:rPr>
          <w:rFonts w:ascii="Times New Roman" w:hAnsi="Times New Roman" w:cs="Times New Roman"/>
          <w:bCs/>
          <w:sz w:val="24"/>
          <w:szCs w:val="24"/>
        </w:rPr>
        <w:t>e</w:t>
      </w:r>
      <w:r w:rsidRPr="003739EF">
        <w:rPr>
          <w:rFonts w:ascii="Times New Roman" w:hAnsi="Times New Roman" w:cs="Times New Roman"/>
          <w:bCs/>
          <w:sz w:val="24"/>
          <w:szCs w:val="24"/>
        </w:rPr>
        <w:t xml:space="preserve"> </w:t>
      </w:r>
      <w:r w:rsidR="003739EF" w:rsidRPr="003739EF">
        <w:rPr>
          <w:rFonts w:ascii="Times New Roman" w:hAnsi="Times New Roman" w:cs="Times New Roman"/>
          <w:bCs/>
          <w:sz w:val="24"/>
          <w:szCs w:val="24"/>
        </w:rPr>
        <w:t xml:space="preserve">Federal Plan only requires this </w:t>
      </w:r>
      <w:r w:rsidRPr="003739EF">
        <w:rPr>
          <w:rFonts w:ascii="Times New Roman" w:hAnsi="Times New Roman" w:cs="Times New Roman"/>
          <w:bCs/>
          <w:sz w:val="24"/>
          <w:szCs w:val="24"/>
        </w:rPr>
        <w:t xml:space="preserve">source to </w:t>
      </w:r>
      <w:r w:rsidR="003739EF" w:rsidRPr="003739EF">
        <w:rPr>
          <w:rFonts w:ascii="Times New Roman" w:hAnsi="Times New Roman" w:cs="Times New Roman"/>
          <w:bCs/>
          <w:sz w:val="24"/>
          <w:szCs w:val="24"/>
        </w:rPr>
        <w:t xml:space="preserve">keep records </w:t>
      </w:r>
      <w:r w:rsidR="003739EF" w:rsidRPr="003739EF">
        <w:rPr>
          <w:rFonts w:ascii="Times New Roman" w:hAnsi="Times New Roman" w:cs="Times New Roman"/>
          <w:sz w:val="24"/>
          <w:szCs w:val="24"/>
        </w:rPr>
        <w:t>on a calendar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quarter basis of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hospital</w:t>
      </w:r>
      <w:r w:rsidR="0031395B">
        <w:rPr>
          <w:rFonts w:ascii="Times New Roman" w:hAnsi="Times New Roman" w:cs="Times New Roman"/>
          <w:sz w:val="24"/>
          <w:szCs w:val="24"/>
        </w:rPr>
        <w:t>,</w:t>
      </w:r>
      <w:r w:rsidR="003739EF" w:rsidRPr="003739EF">
        <w:rPr>
          <w:rFonts w:ascii="Times New Roman" w:hAnsi="Times New Roman" w:cs="Times New Roman"/>
          <w:sz w:val="24"/>
          <w:szCs w:val="24"/>
        </w:rPr>
        <w:t xml:space="preserve"> medical</w:t>
      </w:r>
      <w:r w:rsidR="003739EF">
        <w:rPr>
          <w:rFonts w:ascii="Times New Roman" w:hAnsi="Times New Roman" w:cs="Times New Roman"/>
          <w:sz w:val="24"/>
          <w:szCs w:val="24"/>
        </w:rPr>
        <w:t xml:space="preserve"> and/or </w:t>
      </w:r>
      <w:r w:rsidR="003739EF" w:rsidRPr="003739EF">
        <w:rPr>
          <w:rFonts w:ascii="Times New Roman" w:hAnsi="Times New Roman" w:cs="Times New Roman"/>
          <w:sz w:val="24"/>
          <w:szCs w:val="24"/>
        </w:rPr>
        <w:t>infectious waste combusted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as well as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all other fuels and wastes</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combusted at the co-fired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combustor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and submit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such records upon</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request</w:t>
      </w:r>
      <w:r w:rsidR="003739EF" w:rsidRPr="003739EF">
        <w:rPr>
          <w:rFonts w:ascii="Times New Roman" w:hAnsi="Times New Roman" w:cs="Times New Roman"/>
          <w:bCs/>
          <w:sz w:val="24"/>
          <w:szCs w:val="24"/>
        </w:rPr>
        <w:t xml:space="preserve"> [see </w:t>
      </w:r>
      <w:r w:rsidRPr="003739EF">
        <w:rPr>
          <w:rFonts w:ascii="Times New Roman" w:hAnsi="Times New Roman" w:cs="Times New Roman"/>
          <w:bCs/>
          <w:sz w:val="24"/>
          <w:szCs w:val="24"/>
        </w:rPr>
        <w:t>40 CFR 62.14400(b)(2)</w:t>
      </w:r>
      <w:r w:rsidR="003739EF" w:rsidRPr="003739EF">
        <w:rPr>
          <w:rFonts w:ascii="Times New Roman" w:hAnsi="Times New Roman" w:cs="Times New Roman"/>
          <w:bCs/>
          <w:sz w:val="24"/>
          <w:szCs w:val="24"/>
        </w:rPr>
        <w:t xml:space="preserve">]. DEQ will implement the </w:t>
      </w:r>
      <w:r w:rsidR="003739EF">
        <w:rPr>
          <w:rFonts w:ascii="Times New Roman" w:hAnsi="Times New Roman" w:cs="Times New Roman"/>
          <w:bCs/>
          <w:sz w:val="24"/>
          <w:szCs w:val="24"/>
        </w:rPr>
        <w:t xml:space="preserve">recordkeeping requirement through its Air Contaminant Discharge Permit program which is part of Oregon’s State Implementation Plan. Oregon State University currently has a Simple Air Contaminant Discharge Permit and is required to pay </w:t>
      </w:r>
      <w:r w:rsidR="00B5742C">
        <w:rPr>
          <w:rFonts w:ascii="Times New Roman" w:hAnsi="Times New Roman" w:cs="Times New Roman"/>
          <w:bCs/>
          <w:sz w:val="24"/>
          <w:szCs w:val="24"/>
        </w:rPr>
        <w:t>an annual fee of $3,840.</w:t>
      </w:r>
      <w:r w:rsidR="003739EF" w:rsidRPr="003739EF">
        <w:rPr>
          <w:rFonts w:ascii="Times New Roman" w:hAnsi="Times New Roman" w:cs="Times New Roman"/>
          <w:bCs/>
          <w:sz w:val="24"/>
          <w:szCs w:val="24"/>
        </w:rPr>
        <w:t xml:space="preserve"> </w:t>
      </w:r>
      <w:r w:rsidR="0031395B">
        <w:rPr>
          <w:rFonts w:ascii="Times New Roman" w:hAnsi="Times New Roman" w:cs="Times New Roman"/>
          <w:bCs/>
          <w:sz w:val="24"/>
          <w:szCs w:val="24"/>
        </w:rPr>
        <w:t>The permit requires Oregon State University to report annually:</w:t>
      </w:r>
    </w:p>
    <w:p w:rsidR="0031395B" w:rsidRDefault="0031395B" w:rsidP="003739EF">
      <w:pPr>
        <w:autoSpaceDE w:val="0"/>
        <w:autoSpaceDN w:val="0"/>
        <w:adjustRightInd w:val="0"/>
        <w:spacing w:after="0" w:line="240" w:lineRule="auto"/>
        <w:rPr>
          <w:rFonts w:ascii="Times New Roman" w:hAnsi="Times New Roman" w:cs="Times New Roman"/>
          <w:bCs/>
          <w:sz w:val="24"/>
          <w:szCs w:val="24"/>
        </w:rPr>
      </w:pPr>
    </w:p>
    <w:p w:rsidR="0031395B" w:rsidRDefault="0031395B" w:rsidP="0031395B">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T</w:t>
      </w:r>
      <w:r w:rsidRPr="0031395B">
        <w:rPr>
          <w:rFonts w:ascii="Times New Roman" w:hAnsi="Times New Roman" w:cs="Times New Roman"/>
          <w:bCs/>
          <w:sz w:val="24"/>
          <w:szCs w:val="24"/>
        </w:rPr>
        <w:t>he materials combusted during the prior calendar year</w:t>
      </w:r>
      <w:r>
        <w:rPr>
          <w:rFonts w:ascii="Times New Roman" w:hAnsi="Times New Roman" w:cs="Times New Roman"/>
          <w:bCs/>
          <w:sz w:val="24"/>
          <w:szCs w:val="24"/>
        </w:rPr>
        <w:t>;</w:t>
      </w:r>
      <w:r w:rsidRPr="0031395B">
        <w:rPr>
          <w:rFonts w:ascii="Times New Roman" w:hAnsi="Times New Roman" w:cs="Times New Roman"/>
          <w:bCs/>
          <w:sz w:val="24"/>
          <w:szCs w:val="24"/>
        </w:rPr>
        <w:t xml:space="preserve"> and</w:t>
      </w:r>
    </w:p>
    <w:p w:rsidR="0031395B" w:rsidRDefault="0031395B" w:rsidP="0031395B">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R</w:t>
      </w:r>
      <w:r w:rsidRPr="0031395B">
        <w:rPr>
          <w:rFonts w:ascii="Times New Roman" w:hAnsi="Times New Roman" w:cs="Times New Roman"/>
          <w:bCs/>
          <w:sz w:val="24"/>
          <w:szCs w:val="24"/>
        </w:rPr>
        <w:t xml:space="preserve">ecords </w:t>
      </w:r>
      <w:r>
        <w:rPr>
          <w:rFonts w:ascii="Times New Roman" w:hAnsi="Times New Roman" w:cs="Times New Roman"/>
          <w:bCs/>
          <w:sz w:val="24"/>
          <w:szCs w:val="24"/>
        </w:rPr>
        <w:t xml:space="preserve">demonstrating the </w:t>
      </w:r>
      <w:r w:rsidRPr="0031395B">
        <w:rPr>
          <w:rFonts w:ascii="Times New Roman" w:hAnsi="Times New Roman" w:cs="Times New Roman"/>
          <w:bCs/>
          <w:sz w:val="24"/>
          <w:szCs w:val="24"/>
        </w:rPr>
        <w:t>amount of hospital, medical, and infectious waste combusted, in aggregate, was 10% or less by weight as measured on a calendar quarter basis</w:t>
      </w:r>
      <w:r>
        <w:rPr>
          <w:rFonts w:ascii="Times New Roman" w:hAnsi="Times New Roman" w:cs="Times New Roman"/>
          <w:bCs/>
          <w:sz w:val="24"/>
          <w:szCs w:val="24"/>
        </w:rPr>
        <w:t>.</w:t>
      </w:r>
    </w:p>
    <w:p w:rsidR="0031395B" w:rsidRDefault="0031395B" w:rsidP="0031395B">
      <w:pPr>
        <w:autoSpaceDE w:val="0"/>
        <w:autoSpaceDN w:val="0"/>
        <w:adjustRightInd w:val="0"/>
        <w:spacing w:after="0" w:line="240" w:lineRule="auto"/>
        <w:rPr>
          <w:rFonts w:ascii="Times New Roman" w:hAnsi="Times New Roman" w:cs="Times New Roman"/>
          <w:bCs/>
          <w:sz w:val="24"/>
          <w:szCs w:val="24"/>
        </w:rPr>
      </w:pPr>
    </w:p>
    <w:p w:rsidR="00636772" w:rsidRPr="0031395B" w:rsidRDefault="0031395B" w:rsidP="003139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DEQ typically inspect sources on a Simple Air Contaminant Discharge Permit once every 5 years.</w:t>
      </w:r>
      <w:r w:rsidR="003739EF" w:rsidRPr="0031395B">
        <w:rPr>
          <w:rFonts w:ascii="Times New Roman" w:hAnsi="Times New Roman" w:cs="Times New Roman"/>
          <w:bCs/>
          <w:sz w:val="24"/>
          <w:szCs w:val="24"/>
        </w:rPr>
        <w:t xml:space="preserve">  </w:t>
      </w:r>
      <w:r w:rsidR="00636772" w:rsidRPr="0031395B">
        <w:rPr>
          <w:rFonts w:ascii="Times New Roman" w:hAnsi="Times New Roman" w:cs="Times New Roman"/>
          <w:bCs/>
          <w:sz w:val="24"/>
          <w:szCs w:val="24"/>
        </w:rPr>
        <w:t xml:space="preserve"> </w:t>
      </w:r>
    </w:p>
    <w:p w:rsidR="00636772" w:rsidRDefault="00636772" w:rsidP="005B53AC">
      <w:pPr>
        <w:pStyle w:val="NormalWeb"/>
        <w:rPr>
          <w:b/>
          <w:bCs/>
        </w:rPr>
      </w:pPr>
      <w:r>
        <w:rPr>
          <w:b/>
          <w:bCs/>
        </w:rPr>
        <w:t>Legal Authority</w:t>
      </w:r>
    </w:p>
    <w:p w:rsidR="005B53AC" w:rsidRPr="0095694E" w:rsidRDefault="005B53AC" w:rsidP="005B53AC">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Oregon Environmental Quality Commission the authority to adopt such rules and standards as it considers necessary and proper in performing the functions vested by law in the commission.</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commission the authority to establish air quality standards including emission standards for the entire state or an area of the state. The standards shall set forth the </w:t>
      </w:r>
      <w:r>
        <w:rPr>
          <w:rFonts w:ascii="Times New Roman" w:hAnsi="Times New Roman"/>
          <w:sz w:val="24"/>
          <w:szCs w:val="20"/>
        </w:rPr>
        <w:lastRenderedPageBreak/>
        <w:t>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5B53AC"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 xml:space="preserve">OAR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 xml:space="preserve">OAR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5B53AC" w:rsidRDefault="005B53AC" w:rsidP="005B53AC">
      <w:pPr>
        <w:widowControl w:val="0"/>
        <w:tabs>
          <w:tab w:val="left" w:pos="360"/>
          <w:tab w:val="left" w:pos="720"/>
        </w:tabs>
        <w:adjustRightInd w:val="0"/>
        <w:spacing w:after="0" w:line="240" w:lineRule="auto"/>
        <w:rPr>
          <w:rFonts w:ascii="Times New Roman" w:hAnsi="Times New Roman" w:cs="Times New Roman"/>
          <w:sz w:val="24"/>
          <w:szCs w:val="24"/>
        </w:rPr>
      </w:pPr>
    </w:p>
    <w:p w:rsidR="005B53AC" w:rsidRPr="005849D8" w:rsidRDefault="005B53AC" w:rsidP="005B53AC">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5B53AC" w:rsidRDefault="005B53AC" w:rsidP="005B53AC">
      <w:pPr>
        <w:spacing w:after="0" w:line="240" w:lineRule="auto"/>
        <w:rPr>
          <w:rFonts w:ascii="Times New Roman" w:hAnsi="Times New Roman" w:cs="Times New Roman"/>
          <w:b/>
          <w:bCs/>
          <w:sz w:val="24"/>
          <w:szCs w:val="24"/>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ORS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5B53AC" w:rsidRPr="00E407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5B53AC" w:rsidRDefault="005B53AC" w:rsidP="005B53AC">
      <w:pPr>
        <w:widowControl w:val="0"/>
        <w:tabs>
          <w:tab w:val="left" w:pos="360"/>
          <w:tab w:val="left" w:pos="720"/>
        </w:tabs>
        <w:adjustRightInd w:val="0"/>
        <w:spacing w:after="0" w:line="240" w:lineRule="auto"/>
        <w:rPr>
          <w:b/>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5B53AC" w:rsidRDefault="005B53AC" w:rsidP="005B53AC">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Environmental Quality Commission the authority to require any information concerning air contaminant emissions as is necessary to determine whether proposed construction is in accordance with applicable rules or standards.</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testing of contamination sources and may perform such testing or may require any person in control of an air contamination source to perform the testing.</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5B53AC" w:rsidRPr="0016578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5B53AC" w:rsidRPr="0016578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lastRenderedPageBreak/>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5B53AC" w:rsidRPr="004608C9" w:rsidRDefault="005B53AC" w:rsidP="005B53AC">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5B53AC" w:rsidRPr="0095694E" w:rsidRDefault="005B53AC" w:rsidP="005B53AC">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w:t>
      </w:r>
      <w:r w:rsidR="00102064">
        <w:rPr>
          <w:rFonts w:ascii="Times New Roman" w:hAnsi="Times New Roman" w:cs="Times New Roman"/>
          <w:sz w:val="24"/>
          <w:szCs w:val="24"/>
        </w:rPr>
        <w:t>B</w:t>
      </w:r>
      <w:r w:rsidRPr="0095694E">
        <w:rPr>
          <w:rFonts w:ascii="Times New Roman" w:hAnsi="Times New Roman" w:cs="Times New Roman"/>
          <w:sz w:val="24"/>
          <w:szCs w:val="24"/>
        </w:rPr>
        <w:t>.</w:t>
      </w:r>
    </w:p>
    <w:p w:rsidR="005B53AC" w:rsidRPr="0095694E" w:rsidRDefault="005B53AC" w:rsidP="005B53AC">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5B53AC" w:rsidRDefault="005B53AC" w:rsidP="005B53AC">
      <w:pPr>
        <w:spacing w:after="0" w:line="240" w:lineRule="auto"/>
        <w:rPr>
          <w:rFonts w:ascii="Times New Roman" w:hAnsi="Times New Roman" w:cs="Times New Roman"/>
          <w:sz w:val="24"/>
          <w:szCs w:val="24"/>
        </w:rPr>
      </w:pPr>
    </w:p>
    <w:p w:rsidR="005B53AC" w:rsidRPr="0095694E" w:rsidRDefault="005B53AC" w:rsidP="005B53AC">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5B53AC" w:rsidRDefault="005B53AC" w:rsidP="00102064">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5B53AC" w:rsidRPr="0095694E"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5B53AC" w:rsidRDefault="005B53AC" w:rsidP="005B53AC">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CB2F72"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CB2F72">
        <w:rPr>
          <w:rFonts w:ascii="Times New Roman" w:eastAsia="Times New Roman" w:hAnsi="Times New Roman" w:cs="Times New Roman"/>
          <w:sz w:val="24"/>
          <w:szCs w:val="20"/>
        </w:rPr>
        <w:t xml:space="preserve">ORS 468A.135 </w:t>
      </w:r>
      <w:r>
        <w:rPr>
          <w:rFonts w:ascii="Times New Roman" w:eastAsia="Times New Roman" w:hAnsi="Times New Roman" w:cs="Times New Roman"/>
          <w:sz w:val="24"/>
          <w:szCs w:val="20"/>
        </w:rPr>
        <w:t xml:space="preserve">requires local agencies in Oregon to </w:t>
      </w:r>
      <w:r w:rsidRPr="00CB2F72">
        <w:rPr>
          <w:rFonts w:ascii="Times New Roman" w:eastAsia="Times New Roman" w:hAnsi="Times New Roman" w:cs="Times New Roman"/>
          <w:sz w:val="24"/>
          <w:szCs w:val="20"/>
        </w:rPr>
        <w:t xml:space="preserve">adopt </w:t>
      </w:r>
      <w:r>
        <w:rPr>
          <w:rFonts w:ascii="Times New Roman" w:eastAsia="Times New Roman" w:hAnsi="Times New Roman" w:cs="Times New Roman"/>
          <w:sz w:val="24"/>
          <w:szCs w:val="20"/>
        </w:rPr>
        <w:t xml:space="preserve">any </w:t>
      </w:r>
      <w:r w:rsidRPr="00CB2F72">
        <w:rPr>
          <w:rFonts w:ascii="Times New Roman" w:eastAsia="Times New Roman" w:hAnsi="Times New Roman" w:cs="Times New Roman"/>
          <w:sz w:val="24"/>
          <w:szCs w:val="20"/>
        </w:rPr>
        <w:t xml:space="preserve">rule or standard that </w:t>
      </w:r>
      <w:r>
        <w:rPr>
          <w:rFonts w:ascii="Times New Roman" w:eastAsia="Times New Roman" w:hAnsi="Times New Roman" w:cs="Times New Roman"/>
          <w:sz w:val="24"/>
          <w:szCs w:val="20"/>
        </w:rPr>
        <w:t xml:space="preserve">is at least as </w:t>
      </w:r>
      <w:r w:rsidRPr="00CB2F72">
        <w:rPr>
          <w:rFonts w:ascii="Times New Roman" w:eastAsia="Times New Roman" w:hAnsi="Times New Roman" w:cs="Times New Roman"/>
          <w:sz w:val="24"/>
          <w:szCs w:val="20"/>
        </w:rPr>
        <w:t xml:space="preserve">strict </w:t>
      </w:r>
      <w:r>
        <w:rPr>
          <w:rFonts w:ascii="Times New Roman" w:eastAsia="Times New Roman" w:hAnsi="Times New Roman" w:cs="Times New Roman"/>
          <w:sz w:val="24"/>
          <w:szCs w:val="20"/>
        </w:rPr>
        <w:t xml:space="preserve">as </w:t>
      </w:r>
      <w:r w:rsidRPr="00CB2F72">
        <w:rPr>
          <w:rFonts w:ascii="Times New Roman" w:eastAsia="Times New Roman" w:hAnsi="Times New Roman" w:cs="Times New Roman"/>
          <w:sz w:val="24"/>
          <w:szCs w:val="20"/>
        </w:rPr>
        <w:t xml:space="preserve">any rule or standard </w:t>
      </w:r>
      <w:r>
        <w:rPr>
          <w:rFonts w:ascii="Times New Roman" w:eastAsia="Times New Roman" w:hAnsi="Times New Roman" w:cs="Times New Roman"/>
          <w:sz w:val="24"/>
          <w:szCs w:val="20"/>
        </w:rPr>
        <w:t xml:space="preserve">adopted by </w:t>
      </w:r>
      <w:r w:rsidRPr="00CB2F72">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EQC</w:t>
      </w:r>
      <w:r w:rsidRPr="00CB2F7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This statute also requires local agencies to </w:t>
      </w:r>
      <w:r w:rsidRPr="00CB2F72">
        <w:rPr>
          <w:rFonts w:ascii="Times New Roman" w:eastAsia="Times New Roman" w:hAnsi="Times New Roman" w:cs="Times New Roman"/>
          <w:sz w:val="24"/>
          <w:szCs w:val="20"/>
        </w:rPr>
        <w:t xml:space="preserve">submit to the </w:t>
      </w:r>
      <w:r>
        <w:rPr>
          <w:rFonts w:ascii="Times New Roman" w:eastAsia="Times New Roman" w:hAnsi="Times New Roman" w:cs="Times New Roman"/>
          <w:sz w:val="24"/>
          <w:szCs w:val="20"/>
        </w:rPr>
        <w:t xml:space="preserve">EQC </w:t>
      </w:r>
      <w:r w:rsidRPr="00CB2F72">
        <w:rPr>
          <w:rFonts w:ascii="Times New Roman" w:eastAsia="Times New Roman" w:hAnsi="Times New Roman" w:cs="Times New Roman"/>
          <w:sz w:val="24"/>
          <w:szCs w:val="20"/>
        </w:rPr>
        <w:t xml:space="preserve">for its approval all air quality standards adopted by the </w:t>
      </w:r>
      <w:r>
        <w:rPr>
          <w:rFonts w:ascii="Times New Roman" w:eastAsia="Times New Roman" w:hAnsi="Times New Roman" w:cs="Times New Roman"/>
          <w:sz w:val="24"/>
          <w:szCs w:val="20"/>
        </w:rPr>
        <w:t xml:space="preserve">local agency </w:t>
      </w:r>
      <w:r w:rsidRPr="00CB2F72">
        <w:rPr>
          <w:rFonts w:ascii="Times New Roman" w:eastAsia="Times New Roman" w:hAnsi="Times New Roman" w:cs="Times New Roman"/>
          <w:sz w:val="24"/>
          <w:szCs w:val="20"/>
        </w:rPr>
        <w:t>prior to enforcing any such standards.</w:t>
      </w:r>
    </w:p>
    <w:p w:rsidR="005B53AC" w:rsidRDefault="005B53AC"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Pr>
          <w:b/>
        </w:rPr>
        <w:t>I</w:t>
      </w:r>
      <w:r w:rsidRPr="001F2025">
        <w:rPr>
          <w:b/>
        </w:rPr>
        <w:t>nventory of affected units</w:t>
      </w:r>
    </w:p>
    <w:p w:rsidR="001F2025" w:rsidRDefault="001F2025" w:rsidP="001F2025">
      <w:pPr>
        <w:pStyle w:val="ListParagraph"/>
        <w:spacing w:after="0" w:line="240" w:lineRule="auto"/>
        <w:rPr>
          <w:b/>
        </w:rPr>
      </w:pPr>
    </w:p>
    <w:p w:rsidR="00F04CDC"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E3B82" w:rsidRPr="006E3B82">
        <w:rPr>
          <w:rFonts w:ascii="Times New Roman" w:hAnsi="Times New Roman" w:cs="Times New Roman"/>
          <w:sz w:val="24"/>
          <w:szCs w:val="24"/>
        </w:rPr>
        <w:t>he</w:t>
      </w:r>
      <w:r>
        <w:rPr>
          <w:rFonts w:ascii="Times New Roman" w:hAnsi="Times New Roman" w:cs="Times New Roman"/>
          <w:sz w:val="24"/>
          <w:szCs w:val="24"/>
        </w:rPr>
        <w:t xml:space="preserve">re are two sources burning hospital/medical/infectious </w:t>
      </w:r>
      <w:r w:rsidRPr="006E3B82">
        <w:rPr>
          <w:rFonts w:ascii="Times New Roman" w:hAnsi="Times New Roman" w:cs="Times New Roman"/>
          <w:sz w:val="24"/>
          <w:szCs w:val="24"/>
        </w:rPr>
        <w:t>waste</w:t>
      </w:r>
      <w:r>
        <w:rPr>
          <w:rFonts w:ascii="Times New Roman" w:hAnsi="Times New Roman" w:cs="Times New Roman"/>
          <w:sz w:val="24"/>
          <w:szCs w:val="24"/>
        </w:rPr>
        <w:t xml:space="preserve">. </w:t>
      </w:r>
    </w:p>
    <w:p w:rsidR="00F04CDC" w:rsidRDefault="00F04CDC" w:rsidP="00F04CDC">
      <w:pPr>
        <w:autoSpaceDE w:val="0"/>
        <w:autoSpaceDN w:val="0"/>
        <w:adjustRightInd w:val="0"/>
        <w:spacing w:after="0" w:line="240" w:lineRule="auto"/>
        <w:rPr>
          <w:rFonts w:ascii="Times New Roman" w:hAnsi="Times New Roman" w:cs="Times New Roman"/>
          <w:sz w:val="24"/>
          <w:szCs w:val="24"/>
        </w:rPr>
      </w:pPr>
    </w:p>
    <w:p w:rsidR="007E112B" w:rsidRPr="00E21E72"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Covanta Marion in Brooks Oregon</w:t>
      </w:r>
      <w:r w:rsidR="00F04CDC">
        <w:rPr>
          <w:rFonts w:ascii="Times New Roman" w:hAnsi="Times New Roman" w:cs="Times New Roman"/>
          <w:sz w:val="24"/>
          <w:szCs w:val="24"/>
        </w:rPr>
        <w:t xml:space="preserve">, a municipal waste combustor that also burns hospital, medical, or infectious </w:t>
      </w:r>
      <w:r w:rsidR="00F04CDC" w:rsidRPr="006E3B82">
        <w:rPr>
          <w:rFonts w:ascii="Times New Roman" w:hAnsi="Times New Roman" w:cs="Times New Roman"/>
          <w:sz w:val="24"/>
          <w:szCs w:val="24"/>
        </w:rPr>
        <w:t>waste</w:t>
      </w:r>
      <w:r w:rsidR="00F04CDC">
        <w:rPr>
          <w:rFonts w:ascii="Times New Roman" w:hAnsi="Times New Roman" w:cs="Times New Roman"/>
          <w:sz w:val="24"/>
          <w:szCs w:val="24"/>
        </w:rPr>
        <w:t xml:space="preserve">, </w:t>
      </w:r>
      <w:r>
        <w:rPr>
          <w:rFonts w:ascii="Times New Roman" w:hAnsi="Times New Roman" w:cs="Times New Roman"/>
          <w:sz w:val="24"/>
          <w:szCs w:val="24"/>
        </w:rPr>
        <w:t xml:space="preserve">is exempt from the </w:t>
      </w:r>
      <w:r w:rsidRPr="007E112B">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Pr>
          <w:rFonts w:ascii="Times New Roman" w:hAnsi="Times New Roman" w:cs="Times New Roman"/>
          <w:sz w:val="24"/>
          <w:szCs w:val="24"/>
        </w:rPr>
        <w:t xml:space="preserve">because </w:t>
      </w:r>
      <w:r w:rsidR="00F04CDC">
        <w:rPr>
          <w:rFonts w:ascii="Times New Roman" w:hAnsi="Times New Roman" w:cs="Times New Roman"/>
          <w:sz w:val="24"/>
          <w:szCs w:val="24"/>
        </w:rPr>
        <w:t xml:space="preserve">they </w:t>
      </w:r>
      <w:r w:rsidRPr="007E112B">
        <w:rPr>
          <w:rFonts w:ascii="Times New Roman" w:hAnsi="Times New Roman" w:cs="Times New Roman"/>
          <w:sz w:val="24"/>
          <w:szCs w:val="24"/>
        </w:rPr>
        <w:t>meet the</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applicability requirements under</w:t>
      </w:r>
      <w:r w:rsidR="00F04CDC">
        <w:rPr>
          <w:rFonts w:ascii="Times New Roman" w:hAnsi="Times New Roman" w:cs="Times New Roman"/>
          <w:sz w:val="24"/>
          <w:szCs w:val="24"/>
        </w:rPr>
        <w:t xml:space="preserve"> 40 CFR part 60 </w:t>
      </w:r>
      <w:r w:rsidRPr="007E112B">
        <w:rPr>
          <w:rFonts w:ascii="Times New Roman" w:hAnsi="Times New Roman" w:cs="Times New Roman"/>
          <w:sz w:val="24"/>
          <w:szCs w:val="24"/>
        </w:rPr>
        <w:t xml:space="preserve">subpart </w:t>
      </w:r>
      <w:proofErr w:type="spellStart"/>
      <w:r w:rsidRPr="007E112B">
        <w:rPr>
          <w:rFonts w:ascii="Times New Roman" w:hAnsi="Times New Roman" w:cs="Times New Roman"/>
          <w:sz w:val="24"/>
          <w:szCs w:val="24"/>
        </w:rPr>
        <w:lastRenderedPageBreak/>
        <w:t>Cb</w:t>
      </w:r>
      <w:proofErr w:type="spellEnd"/>
      <w:r w:rsidR="00F04CDC">
        <w:rPr>
          <w:rFonts w:ascii="Times New Roman" w:hAnsi="Times New Roman" w:cs="Times New Roman"/>
          <w:sz w:val="24"/>
          <w:szCs w:val="24"/>
        </w:rPr>
        <w:t xml:space="preserve"> [see 40 CFR 60.32e(e)]. </w:t>
      </w:r>
      <w:r w:rsidR="00E21E72" w:rsidRPr="00E21E72">
        <w:rPr>
          <w:rStyle w:val="HTMLTypewriter"/>
          <w:rFonts w:ascii="Times New Roman" w:hAnsi="Times New Roman" w:cs="Times New Roman"/>
          <w:sz w:val="24"/>
          <w:szCs w:val="24"/>
        </w:rPr>
        <w:t>EPA i</w:t>
      </w:r>
      <w:r w:rsidR="00E21E72">
        <w:rPr>
          <w:rStyle w:val="HTMLTypewriter"/>
          <w:rFonts w:ascii="Times New Roman" w:hAnsi="Times New Roman" w:cs="Times New Roman"/>
          <w:sz w:val="24"/>
          <w:szCs w:val="24"/>
        </w:rPr>
        <w:t xml:space="preserve">nformed DEQ that there is no need </w:t>
      </w:r>
      <w:r w:rsidR="00E21E72" w:rsidRPr="00E21E72">
        <w:rPr>
          <w:rStyle w:val="HTMLTypewriter"/>
          <w:rFonts w:ascii="Times New Roman" w:hAnsi="Times New Roman" w:cs="Times New Roman"/>
          <w:sz w:val="24"/>
          <w:szCs w:val="24"/>
        </w:rPr>
        <w:t>for state rules or a federal plan</w:t>
      </w:r>
      <w:r w:rsidR="00E21E72">
        <w:rPr>
          <w:rStyle w:val="HTMLTypewriter"/>
          <w:rFonts w:ascii="Times New Roman" w:hAnsi="Times New Roman" w:cs="Times New Roman"/>
          <w:sz w:val="24"/>
          <w:szCs w:val="24"/>
        </w:rPr>
        <w:t xml:space="preserve"> for </w:t>
      </w:r>
      <w:r w:rsidR="00E21E72" w:rsidRPr="00E21E72">
        <w:rPr>
          <w:rStyle w:val="HTMLTypewriter"/>
          <w:rFonts w:ascii="Times New Roman" w:hAnsi="Times New Roman" w:cs="Times New Roman"/>
          <w:sz w:val="24"/>
          <w:szCs w:val="24"/>
        </w:rPr>
        <w:t>source</w:t>
      </w:r>
      <w:r w:rsidR="00E21E72">
        <w:rPr>
          <w:rStyle w:val="HTMLTypewriter"/>
          <w:rFonts w:ascii="Times New Roman" w:hAnsi="Times New Roman" w:cs="Times New Roman"/>
          <w:sz w:val="24"/>
          <w:szCs w:val="24"/>
        </w:rPr>
        <w:t>s</w:t>
      </w:r>
      <w:r w:rsidR="00E21E72" w:rsidRPr="00E21E72">
        <w:rPr>
          <w:rStyle w:val="HTMLTypewriter"/>
          <w:rFonts w:ascii="Times New Roman" w:hAnsi="Times New Roman" w:cs="Times New Roman"/>
          <w:sz w:val="24"/>
          <w:szCs w:val="24"/>
        </w:rPr>
        <w:t xml:space="preserve"> such as Covanta who </w:t>
      </w:r>
      <w:r w:rsidR="00E21E72">
        <w:rPr>
          <w:rStyle w:val="HTMLTypewriter"/>
          <w:rFonts w:ascii="Times New Roman" w:hAnsi="Times New Roman" w:cs="Times New Roman"/>
          <w:sz w:val="24"/>
          <w:szCs w:val="24"/>
        </w:rPr>
        <w:t xml:space="preserve">are </w:t>
      </w:r>
      <w:r w:rsidR="00E21E72" w:rsidRPr="00E21E72">
        <w:rPr>
          <w:rStyle w:val="HTMLTypewriter"/>
          <w:rFonts w:ascii="Times New Roman" w:hAnsi="Times New Roman" w:cs="Times New Roman"/>
          <w:sz w:val="24"/>
          <w:szCs w:val="24"/>
        </w:rPr>
        <w:t xml:space="preserve">exempt </w:t>
      </w:r>
      <w:r w:rsidR="00E21E72">
        <w:rPr>
          <w:rStyle w:val="HTMLTypewriter"/>
          <w:rFonts w:ascii="Times New Roman" w:hAnsi="Times New Roman" w:cs="Times New Roman"/>
          <w:sz w:val="24"/>
          <w:szCs w:val="24"/>
        </w:rPr>
        <w:t>from the Emission Guidelines with no strings attached</w:t>
      </w:r>
      <w:r w:rsidR="00E21E72" w:rsidRPr="00E21E72">
        <w:rPr>
          <w:rStyle w:val="HTMLTypewriter"/>
          <w:rFonts w:ascii="Times New Roman" w:hAnsi="Times New Roman" w:cs="Times New Roman"/>
          <w:sz w:val="24"/>
          <w:szCs w:val="24"/>
        </w:rPr>
        <w:t>.</w:t>
      </w:r>
    </w:p>
    <w:p w:rsidR="007E112B" w:rsidRDefault="007E112B" w:rsidP="006E3B82">
      <w:pPr>
        <w:spacing w:after="0" w:line="240" w:lineRule="auto"/>
        <w:rPr>
          <w:rFonts w:ascii="Times New Roman" w:hAnsi="Times New Roman" w:cs="Times New Roman"/>
          <w:sz w:val="24"/>
          <w:szCs w:val="24"/>
        </w:rPr>
      </w:pPr>
    </w:p>
    <w:p w:rsidR="006E3B82" w:rsidRPr="006E3B82" w:rsidRDefault="00F04CDC" w:rsidP="006E3B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E3B82">
        <w:rPr>
          <w:rFonts w:ascii="Times New Roman" w:hAnsi="Times New Roman" w:cs="Times New Roman"/>
          <w:sz w:val="24"/>
          <w:szCs w:val="24"/>
        </w:rPr>
        <w:t xml:space="preserve">following source </w:t>
      </w:r>
      <w:r>
        <w:rPr>
          <w:rFonts w:ascii="Times New Roman" w:hAnsi="Times New Roman" w:cs="Times New Roman"/>
          <w:sz w:val="24"/>
          <w:szCs w:val="24"/>
        </w:rPr>
        <w:t xml:space="preserve">is </w:t>
      </w:r>
      <w:r w:rsidR="006E3B82" w:rsidRPr="006E3B82">
        <w:rPr>
          <w:rFonts w:ascii="Times New Roman" w:hAnsi="Times New Roman" w:cs="Times New Roman"/>
          <w:sz w:val="24"/>
          <w:szCs w:val="24"/>
        </w:rPr>
        <w:t xml:space="preserve">exempt from the </w:t>
      </w:r>
      <w:r w:rsidR="006E3B82">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sidR="006E3B82" w:rsidRPr="006E3B82">
        <w:rPr>
          <w:rFonts w:ascii="Times New Roman" w:hAnsi="Times New Roman" w:cs="Times New Roman"/>
          <w:sz w:val="24"/>
          <w:szCs w:val="24"/>
        </w:rPr>
        <w:t xml:space="preserve">as </w:t>
      </w:r>
      <w:r w:rsidR="006E3B82">
        <w:rPr>
          <w:rFonts w:ascii="Times New Roman" w:hAnsi="Times New Roman" w:cs="Times New Roman"/>
          <w:sz w:val="24"/>
          <w:szCs w:val="24"/>
        </w:rPr>
        <w:t xml:space="preserve">a </w:t>
      </w:r>
      <w:r w:rsidR="006E3B82" w:rsidRPr="006E3B82">
        <w:rPr>
          <w:rFonts w:ascii="Times New Roman" w:hAnsi="Times New Roman" w:cs="Times New Roman"/>
          <w:sz w:val="24"/>
          <w:szCs w:val="24"/>
        </w:rPr>
        <w:t xml:space="preserve">co-fired combustor burning less than </w:t>
      </w:r>
      <w:r w:rsidR="006E3B82">
        <w:rPr>
          <w:rFonts w:ascii="Times New Roman" w:hAnsi="Times New Roman" w:cs="Times New Roman"/>
          <w:sz w:val="24"/>
          <w:szCs w:val="24"/>
        </w:rPr>
        <w:t xml:space="preserve">or equal to </w:t>
      </w:r>
      <w:r w:rsidR="006E3B82" w:rsidRPr="006E3B82">
        <w:rPr>
          <w:rFonts w:ascii="Times New Roman" w:hAnsi="Times New Roman" w:cs="Times New Roman"/>
          <w:sz w:val="24"/>
          <w:szCs w:val="24"/>
        </w:rPr>
        <w:t xml:space="preserve">10% </w:t>
      </w:r>
      <w:r w:rsidR="006E3B82">
        <w:rPr>
          <w:rFonts w:ascii="Times New Roman" w:hAnsi="Times New Roman" w:cs="Times New Roman"/>
          <w:sz w:val="24"/>
          <w:szCs w:val="24"/>
        </w:rPr>
        <w:t>hospital</w:t>
      </w:r>
      <w:r w:rsidR="00E21E72">
        <w:rPr>
          <w:rFonts w:ascii="Times New Roman" w:hAnsi="Times New Roman" w:cs="Times New Roman"/>
          <w:sz w:val="24"/>
          <w:szCs w:val="24"/>
        </w:rPr>
        <w:t xml:space="preserve">, </w:t>
      </w:r>
      <w:r w:rsidR="006E3B82">
        <w:rPr>
          <w:rFonts w:ascii="Times New Roman" w:hAnsi="Times New Roman" w:cs="Times New Roman"/>
          <w:sz w:val="24"/>
          <w:szCs w:val="24"/>
        </w:rPr>
        <w:t>medical</w:t>
      </w:r>
      <w:r w:rsidR="00E21E72">
        <w:rPr>
          <w:rFonts w:ascii="Times New Roman" w:hAnsi="Times New Roman" w:cs="Times New Roman"/>
          <w:sz w:val="24"/>
          <w:szCs w:val="24"/>
        </w:rPr>
        <w:t xml:space="preserve">, and </w:t>
      </w:r>
      <w:r w:rsidR="006E3B82">
        <w:rPr>
          <w:rFonts w:ascii="Times New Roman" w:hAnsi="Times New Roman" w:cs="Times New Roman"/>
          <w:sz w:val="24"/>
          <w:szCs w:val="24"/>
        </w:rPr>
        <w:t xml:space="preserve">infectious </w:t>
      </w:r>
      <w:r w:rsidR="006E3B82" w:rsidRPr="006E3B82">
        <w:rPr>
          <w:rFonts w:ascii="Times New Roman" w:hAnsi="Times New Roman" w:cs="Times New Roman"/>
          <w:sz w:val="24"/>
          <w:szCs w:val="24"/>
        </w:rPr>
        <w:t>waste</w:t>
      </w:r>
      <w:r w:rsidR="00E21E72">
        <w:rPr>
          <w:rFonts w:ascii="Times New Roman" w:hAnsi="Times New Roman" w:cs="Times New Roman"/>
          <w:sz w:val="24"/>
          <w:szCs w:val="24"/>
        </w:rPr>
        <w:t xml:space="preserve"> [see 40 CFR 60.32e(c)]</w:t>
      </w:r>
      <w:r w:rsidR="006E3B82" w:rsidRPr="006E3B82">
        <w:rPr>
          <w:rFonts w:ascii="Times New Roman" w:hAnsi="Times New Roman" w:cs="Times New Roman"/>
          <w:sz w:val="24"/>
          <w:szCs w:val="24"/>
        </w:rPr>
        <w:t xml:space="preserve">. </w:t>
      </w:r>
    </w:p>
    <w:p w:rsidR="006E3B82" w:rsidRDefault="006E3B82" w:rsidP="006E3B82">
      <w:pPr>
        <w:pStyle w:val="Default"/>
        <w:rPr>
          <w:b/>
        </w:rPr>
      </w:pPr>
      <w:r>
        <w:rPr>
          <w:b/>
        </w:rPr>
        <w:t xml:space="preserve">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610"/>
        <w:gridCol w:w="1620"/>
        <w:gridCol w:w="900"/>
        <w:gridCol w:w="720"/>
        <w:gridCol w:w="720"/>
        <w:gridCol w:w="2880"/>
      </w:tblGrid>
      <w:tr w:rsidR="00EB5FDF" w:rsidRPr="00C06CA2" w:rsidTr="00EB5FDF">
        <w:trPr>
          <w:trHeight w:val="179"/>
        </w:trPr>
        <w:tc>
          <w:tcPr>
            <w:tcW w:w="108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Source ID</w:t>
            </w:r>
          </w:p>
        </w:tc>
        <w:tc>
          <w:tcPr>
            <w:tcW w:w="261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Company</w:t>
            </w:r>
          </w:p>
        </w:tc>
        <w:tc>
          <w:tcPr>
            <w:tcW w:w="16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Facility Address</w:t>
            </w:r>
          </w:p>
        </w:tc>
        <w:tc>
          <w:tcPr>
            <w:tcW w:w="90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City</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State</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Zip</w:t>
            </w:r>
          </w:p>
        </w:tc>
        <w:tc>
          <w:tcPr>
            <w:tcW w:w="2880" w:type="dxa"/>
            <w:shd w:val="clear" w:color="000000" w:fill="BFBFBF"/>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Waste</w:t>
            </w:r>
            <w:r>
              <w:rPr>
                <w:rFonts w:ascii="Times New Roman" w:eastAsia="Times New Roman" w:hAnsi="Times New Roman" w:cs="Times New Roman"/>
                <w:b/>
                <w:bCs/>
                <w:color w:val="000000"/>
                <w:sz w:val="18"/>
                <w:szCs w:val="18"/>
              </w:rPr>
              <w:t xml:space="preserve"> Burned</w:t>
            </w:r>
          </w:p>
        </w:tc>
      </w:tr>
      <w:tr w:rsidR="00EB5FDF" w:rsidTr="00EB5FDF">
        <w:trPr>
          <w:trHeight w:val="206"/>
        </w:trPr>
        <w:tc>
          <w:tcPr>
            <w:tcW w:w="108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02-2524</w:t>
            </w:r>
          </w:p>
        </w:tc>
        <w:tc>
          <w:tcPr>
            <w:tcW w:w="261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Oregon State University</w:t>
            </w:r>
          </w:p>
          <w:p w:rsidR="00EB5FDF"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College of Veterinary Medicine</w:t>
            </w:r>
          </w:p>
          <w:p w:rsidR="00EB5FDF" w:rsidRPr="00FB5071" w:rsidRDefault="00EB5FDF" w:rsidP="005B53A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Research Animal Isolation Lab</w:t>
            </w:r>
          </w:p>
        </w:tc>
        <w:tc>
          <w:tcPr>
            <w:tcW w:w="162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Magruder Hall 105</w:t>
            </w:r>
          </w:p>
        </w:tc>
        <w:tc>
          <w:tcPr>
            <w:tcW w:w="90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Corvallis</w:t>
            </w:r>
          </w:p>
        </w:tc>
        <w:tc>
          <w:tcPr>
            <w:tcW w:w="720" w:type="dxa"/>
            <w:shd w:val="clear" w:color="000000" w:fill="auto"/>
            <w:noWrap/>
            <w:vAlign w:val="bottom"/>
            <w:hideMark/>
          </w:tcPr>
          <w:p w:rsidR="00EB5FDF" w:rsidRPr="00FB5071" w:rsidRDefault="00EB5FDF" w:rsidP="005B53AC">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w:t>
            </w:r>
          </w:p>
        </w:tc>
        <w:tc>
          <w:tcPr>
            <w:tcW w:w="72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97</w:t>
            </w:r>
            <w:r>
              <w:rPr>
                <w:rFonts w:ascii="Times New Roman" w:eastAsia="Times New Roman" w:hAnsi="Times New Roman" w:cs="Times New Roman"/>
                <w:color w:val="000000"/>
                <w:sz w:val="18"/>
                <w:szCs w:val="18"/>
              </w:rPr>
              <w:t>311</w:t>
            </w:r>
          </w:p>
        </w:tc>
        <w:tc>
          <w:tcPr>
            <w:tcW w:w="2880" w:type="dxa"/>
            <w:shd w:val="clear" w:color="000000" w:fill="auto"/>
            <w:vAlign w:val="bottom"/>
          </w:tcPr>
          <w:p w:rsidR="00EB5FDF" w:rsidRPr="00FB5071" w:rsidRDefault="00EB5FDF" w:rsidP="00EB5FD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Animal carcasses, animal care and husbandry materials/waste, including 10% or less infectious waste</w:t>
            </w:r>
          </w:p>
        </w:tc>
      </w:tr>
    </w:tbl>
    <w:p w:rsidR="001F2025" w:rsidRDefault="001F2025" w:rsidP="001F2025">
      <w:pPr>
        <w:spacing w:after="0" w:line="240" w:lineRule="auto"/>
        <w:rPr>
          <w:b/>
        </w:rPr>
      </w:pPr>
    </w:p>
    <w:p w:rsidR="00EB5FDF" w:rsidRPr="00EB5FDF" w:rsidRDefault="007E112B" w:rsidP="001F2025">
      <w:pPr>
        <w:spacing w:after="0" w:line="240" w:lineRule="auto"/>
        <w:rPr>
          <w:rFonts w:ascii="Times New Roman" w:hAnsi="Times New Roman" w:cs="Times New Roman"/>
          <w:sz w:val="24"/>
          <w:szCs w:val="24"/>
        </w:rPr>
      </w:pPr>
      <w:r w:rsidRPr="007E112B">
        <w:rPr>
          <w:rFonts w:ascii="Times New Roman" w:hAnsi="Times New Roman" w:cs="Times New Roman"/>
          <w:sz w:val="24"/>
          <w:szCs w:val="24"/>
        </w:rPr>
        <w:t xml:space="preserve">EPA </w:t>
      </w:r>
      <w:r w:rsidR="00E21E72">
        <w:rPr>
          <w:rFonts w:ascii="Times New Roman" w:hAnsi="Times New Roman" w:cs="Times New Roman"/>
          <w:sz w:val="24"/>
          <w:szCs w:val="24"/>
        </w:rPr>
        <w:t xml:space="preserve">informed DEQ that state rules or a federal plan is required for sources such as Oregon State University which are required to </w:t>
      </w:r>
      <w:r w:rsidRPr="007E112B">
        <w:rPr>
          <w:rFonts w:ascii="Times New Roman" w:hAnsi="Times New Roman" w:cs="Times New Roman"/>
          <w:sz w:val="24"/>
          <w:szCs w:val="24"/>
        </w:rPr>
        <w:t>keep records to show they are exempt.</w:t>
      </w:r>
    </w:p>
    <w:p w:rsidR="00EB5FDF" w:rsidRDefault="00EB5FDF"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sidRPr="001F2025">
        <w:rPr>
          <w:b/>
        </w:rPr>
        <w:t>A public hearing certification of the delegation request</w:t>
      </w:r>
    </w:p>
    <w:p w:rsidR="009519E3" w:rsidRDefault="009519E3" w:rsidP="009519E3">
      <w:pPr>
        <w:spacing w:after="0" w:line="240" w:lineRule="auto"/>
        <w:rPr>
          <w:b/>
        </w:rPr>
      </w:pPr>
    </w:p>
    <w:p w:rsidR="00795A85" w:rsidRDefault="00795A85" w:rsidP="000A0F2A">
      <w:pPr>
        <w:pStyle w:val="Default"/>
        <w:ind w:right="540"/>
      </w:pPr>
      <w:r w:rsidRPr="009E75EE">
        <w:t>Public hearings</w:t>
      </w:r>
      <w:r w:rsidR="000A0F2A">
        <w:t>:</w:t>
      </w:r>
    </w:p>
    <w:p w:rsidR="000A0F2A" w:rsidRDefault="000A0F2A" w:rsidP="000A0F2A">
      <w:pPr>
        <w:pStyle w:val="Default"/>
        <w:ind w:right="540"/>
      </w:pP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0A0F2A" w:rsidRPr="000A0F2A" w:rsidRDefault="000A0F2A" w:rsidP="000A0F2A">
      <w:pPr>
        <w:pStyle w:val="DEQSMALLHEADLINES"/>
        <w:outlineLvl w:val="0"/>
        <w:rPr>
          <w:rFonts w:ascii="Times New Roman" w:hAnsi="Times New Roman"/>
          <w:b w:val="0"/>
          <w:sz w:val="24"/>
          <w:szCs w:val="24"/>
        </w:rPr>
      </w:pPr>
    </w:p>
    <w:p w:rsidR="000A0F2A" w:rsidRPr="000A0F2A" w:rsidRDefault="000A0F2A" w:rsidP="000A0F2A">
      <w:pPr>
        <w:pStyle w:val="DEQTEXTforFACTSHEET"/>
        <w:spacing w:after="120"/>
        <w:rPr>
          <w:sz w:val="24"/>
          <w:szCs w:val="24"/>
        </w:rPr>
      </w:pPr>
      <w:r w:rsidRPr="000A0F2A">
        <w:rPr>
          <w:sz w:val="24"/>
          <w:szCs w:val="24"/>
        </w:rPr>
        <w:t xml:space="preserve">Those unable to attend hearing in person </w:t>
      </w:r>
      <w:r w:rsidR="008B4145">
        <w:rPr>
          <w:sz w:val="24"/>
          <w:szCs w:val="24"/>
        </w:rPr>
        <w:t xml:space="preserve">were invited to </w:t>
      </w:r>
      <w:r w:rsidRPr="000A0F2A">
        <w:rPr>
          <w:sz w:val="24"/>
          <w:szCs w:val="24"/>
        </w:rPr>
        <w:t>participate by conference line at the following locations:</w:t>
      </w:r>
    </w:p>
    <w:p w:rsidR="000A0F2A" w:rsidRPr="000A0F2A" w:rsidRDefault="000A0F2A" w:rsidP="000A0F2A">
      <w:pPr>
        <w:pStyle w:val="DEQTEXTforFACTSHEET"/>
        <w:rPr>
          <w:sz w:val="24"/>
          <w:szCs w:val="24"/>
        </w:rPr>
      </w:pPr>
      <w:r w:rsidRPr="000A0F2A">
        <w:rPr>
          <w:sz w:val="24"/>
          <w:szCs w:val="24"/>
        </w:rPr>
        <w:t>DEQ - Bend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pStyle w:val="DEQTEXTforFACTSHEET"/>
        <w:rPr>
          <w:sz w:val="24"/>
          <w:szCs w:val="24"/>
        </w:rPr>
      </w:pPr>
      <w:r w:rsidRPr="000A0F2A">
        <w:rPr>
          <w:sz w:val="24"/>
          <w:szCs w:val="24"/>
        </w:rPr>
        <w:t>475 NE Bellevue Dr., Suite 110</w:t>
      </w:r>
    </w:p>
    <w:p w:rsidR="000A0F2A" w:rsidRPr="000A0F2A" w:rsidRDefault="000A0F2A" w:rsidP="000A0F2A">
      <w:pPr>
        <w:pStyle w:val="DEQTEXTforFACTSHEET"/>
        <w:rPr>
          <w:sz w:val="24"/>
          <w:szCs w:val="24"/>
        </w:rPr>
      </w:pPr>
      <w:r w:rsidRPr="000A0F2A">
        <w:rPr>
          <w:sz w:val="24"/>
          <w:szCs w:val="24"/>
        </w:rPr>
        <w:t>Bend, OR 97701</w:t>
      </w:r>
    </w:p>
    <w:p w:rsidR="000A0F2A" w:rsidRPr="000A0F2A" w:rsidRDefault="000A0F2A" w:rsidP="000A0F2A">
      <w:pPr>
        <w:pStyle w:val="DEQTEXTforFACTSHEET"/>
        <w:rPr>
          <w:sz w:val="24"/>
          <w:szCs w:val="24"/>
        </w:rPr>
      </w:pPr>
    </w:p>
    <w:p w:rsidR="000A0F2A" w:rsidRPr="000A0F2A" w:rsidRDefault="000A0F2A" w:rsidP="000A0F2A">
      <w:pPr>
        <w:pStyle w:val="DEQTEXTforFACTSHEET"/>
        <w:rPr>
          <w:sz w:val="24"/>
          <w:szCs w:val="24"/>
        </w:rPr>
      </w:pPr>
      <w:r w:rsidRPr="000A0F2A">
        <w:rPr>
          <w:sz w:val="24"/>
          <w:szCs w:val="24"/>
        </w:rPr>
        <w:t>DEQ - Medford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0A0F2A" w:rsidRPr="000A0F2A" w:rsidRDefault="000A0F2A" w:rsidP="000A0F2A">
      <w:pPr>
        <w:pStyle w:val="DEQTEXTforFACTSHEET"/>
        <w:rPr>
          <w:sz w:val="24"/>
          <w:szCs w:val="24"/>
        </w:rPr>
      </w:pPr>
      <w:r w:rsidRPr="000A0F2A">
        <w:rPr>
          <w:sz w:val="24"/>
          <w:szCs w:val="24"/>
        </w:rPr>
        <w:t>Medford, OR 97501</w:t>
      </w:r>
    </w:p>
    <w:p w:rsidR="000A0F2A" w:rsidRDefault="000A0F2A" w:rsidP="000A0F2A">
      <w:pPr>
        <w:pStyle w:val="Default"/>
        <w:ind w:right="540"/>
      </w:pPr>
    </w:p>
    <w:p w:rsidR="001F2025" w:rsidRDefault="001F2025" w:rsidP="001F2025">
      <w:pPr>
        <w:pStyle w:val="Default"/>
        <w:ind w:right="540"/>
      </w:pPr>
      <w:r>
        <w:t xml:space="preserve">See Exhibit </w:t>
      </w:r>
      <w:r w:rsidR="00102064">
        <w:t>E</w:t>
      </w:r>
      <w:r>
        <w:t xml:space="preserve"> for certification of public hearing for the delegation request.</w:t>
      </w:r>
    </w:p>
    <w:p w:rsidR="001F2025" w:rsidRDefault="001F2025" w:rsidP="000A0F2A">
      <w:pPr>
        <w:pStyle w:val="Default"/>
        <w:ind w:right="540"/>
      </w:pPr>
    </w:p>
    <w:p w:rsidR="00795A85" w:rsidRPr="000177BF" w:rsidRDefault="000177BF" w:rsidP="00795A85">
      <w:pPr>
        <w:pStyle w:val="Default"/>
        <w:ind w:right="540"/>
      </w:pPr>
      <w:r>
        <w:t xml:space="preserve">DEQ </w:t>
      </w:r>
      <w:r w:rsidR="00795A85" w:rsidRPr="000177BF">
        <w:t>provide</w:t>
      </w:r>
      <w:r w:rsidR="008B4145">
        <w:t>d</w:t>
      </w:r>
      <w:r w:rsidR="00795A85" w:rsidRPr="000177BF">
        <w:t xml:space="preserve"> 30 day notification of public hearing as follows:  </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sidR="001F7BE1">
        <w:rPr>
          <w:rFonts w:ascii="Times New Roman" w:hAnsi="Times New Roman" w:cs="Times New Roman"/>
          <w:sz w:val="24"/>
          <w:szCs w:val="24"/>
        </w:rPr>
        <w:t>(Gov. delivery list)</w:t>
      </w:r>
    </w:p>
    <w:p w:rsidR="00795A85" w:rsidRPr="000177BF" w:rsidRDefault="000177BF"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1F7BE1">
        <w:rPr>
          <w:rFonts w:ascii="Times New Roman" w:hAnsi="Times New Roman" w:cs="Times New Roman"/>
          <w:sz w:val="24"/>
          <w:szCs w:val="24"/>
        </w:rPr>
        <w:t>.</w:t>
      </w:r>
      <w:r w:rsidR="00795A85" w:rsidRPr="000177BF">
        <w:rPr>
          <w:rFonts w:ascii="Times New Roman" w:hAnsi="Times New Roman" w:cs="Times New Roman"/>
          <w:sz w:val="24"/>
          <w:szCs w:val="24"/>
        </w:rPr>
        <w:t xml:space="preserve"> </w:t>
      </w:r>
      <w:r w:rsidR="001F7BE1">
        <w:rPr>
          <w:rFonts w:ascii="Times New Roman" w:hAnsi="Times New Roman" w:cs="Times New Roman"/>
          <w:sz w:val="24"/>
          <w:szCs w:val="24"/>
        </w:rPr>
        <w:t xml:space="preserve">21, </w:t>
      </w:r>
      <w:r w:rsidR="00795A85" w:rsidRPr="000177BF">
        <w:rPr>
          <w:rFonts w:ascii="Times New Roman" w:hAnsi="Times New Roman" w:cs="Times New Roman"/>
          <w:sz w:val="24"/>
          <w:szCs w:val="24"/>
        </w:rPr>
        <w:t>20</w:t>
      </w:r>
      <w:r>
        <w:rPr>
          <w:rFonts w:ascii="Times New Roman" w:hAnsi="Times New Roman" w:cs="Times New Roman"/>
          <w:sz w:val="24"/>
          <w:szCs w:val="24"/>
        </w:rPr>
        <w:t>13</w:t>
      </w:r>
      <w:r w:rsidR="00795A85" w:rsidRPr="000177BF">
        <w:rPr>
          <w:rFonts w:ascii="Times New Roman" w:hAnsi="Times New Roman" w:cs="Times New Roman"/>
          <w:sz w:val="24"/>
          <w:szCs w:val="24"/>
        </w:rPr>
        <w:t>: 260</w:t>
      </w:r>
      <w:r>
        <w:rPr>
          <w:rFonts w:ascii="Times New Roman" w:hAnsi="Times New Roman" w:cs="Times New Roman"/>
          <w:sz w:val="24"/>
          <w:szCs w:val="24"/>
        </w:rPr>
        <w:t>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sidR="001F7BE1">
        <w:rPr>
          <w:rFonts w:ascii="Times New Roman" w:hAnsi="Times New Roman" w:cs="Times New Roman"/>
          <w:sz w:val="24"/>
          <w:szCs w:val="24"/>
        </w:rPr>
        <w:t>(potentially affected sources)</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21</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400+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letter (and public notice package)</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1F7BE1">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0177BF" w:rsidRDefault="000177BF" w:rsidP="00795A85">
      <w:pPr>
        <w:pStyle w:val="Default"/>
        <w:ind w:right="540"/>
        <w:rPr>
          <w:b/>
          <w:bCs/>
        </w:rPr>
      </w:pPr>
    </w:p>
    <w:p w:rsidR="001F2025" w:rsidRPr="001F2025" w:rsidRDefault="001F2025" w:rsidP="001F2025">
      <w:pPr>
        <w:pStyle w:val="Default"/>
        <w:ind w:right="540"/>
        <w:rPr>
          <w:bCs/>
        </w:rPr>
      </w:pPr>
      <w:r w:rsidRPr="001F2025">
        <w:rPr>
          <w:bCs/>
        </w:rPr>
        <w:t xml:space="preserve">See </w:t>
      </w:r>
      <w:r>
        <w:rPr>
          <w:bCs/>
        </w:rPr>
        <w:t xml:space="preserve">Exhibit </w:t>
      </w:r>
      <w:r w:rsidR="00102064">
        <w:rPr>
          <w:bCs/>
        </w:rPr>
        <w:t>D</w:t>
      </w:r>
      <w:r>
        <w:rPr>
          <w:bCs/>
        </w:rPr>
        <w:t xml:space="preserve"> for proof of 30-day notification of the public hearing. </w:t>
      </w:r>
    </w:p>
    <w:p w:rsidR="001F2025" w:rsidRDefault="001F2025" w:rsidP="00795A85">
      <w:pPr>
        <w:pStyle w:val="Default"/>
        <w:ind w:right="540"/>
      </w:pPr>
    </w:p>
    <w:p w:rsidR="00795A85" w:rsidRPr="009E75EE" w:rsidRDefault="001F7BE1" w:rsidP="00795A85">
      <w:pPr>
        <w:pStyle w:val="Default"/>
        <w:ind w:right="540"/>
      </w:pPr>
      <w:r>
        <w:t>DEQ</w:t>
      </w:r>
      <w:r w:rsidR="00795A85" w:rsidRPr="009E75EE">
        <w:t xml:space="preserve"> prepare</w:t>
      </w:r>
      <w:r w:rsidR="008B4145">
        <w:t>d</w:t>
      </w:r>
      <w:r w:rsidR="00795A85" w:rsidRPr="009E75EE">
        <w:t xml:space="preserve"> and </w:t>
      </w:r>
      <w:r w:rsidR="008B4145">
        <w:t xml:space="preserve">will </w:t>
      </w:r>
      <w:r w:rsidR="00795A85" w:rsidRPr="009E75EE">
        <w:t xml:space="preserve">retain, for a minimum of 2 years, a record of </w:t>
      </w:r>
      <w:r w:rsidR="00CE1010">
        <w:t>the public</w:t>
      </w:r>
      <w:r w:rsidR="00795A85" w:rsidRPr="009E75EE">
        <w:t xml:space="preserve"> hearing for inspection by any interested party.</w:t>
      </w:r>
    </w:p>
    <w:p w:rsidR="001F7BE1" w:rsidRDefault="001F7BE1" w:rsidP="00795A85">
      <w:pPr>
        <w:pStyle w:val="Default"/>
        <w:ind w:right="540"/>
        <w:rPr>
          <w:b/>
          <w:bCs/>
        </w:rPr>
      </w:pPr>
    </w:p>
    <w:p w:rsidR="001F2025" w:rsidRPr="001F2025" w:rsidRDefault="001F2025" w:rsidP="00795A85">
      <w:pPr>
        <w:pStyle w:val="Default"/>
        <w:ind w:right="540"/>
        <w:rPr>
          <w:bCs/>
        </w:rPr>
      </w:pPr>
      <w:r w:rsidRPr="001F2025">
        <w:rPr>
          <w:bCs/>
        </w:rPr>
        <w:t xml:space="preserve">See </w:t>
      </w:r>
      <w:r>
        <w:rPr>
          <w:bCs/>
        </w:rPr>
        <w:t xml:space="preserve">Exhibit </w:t>
      </w:r>
      <w:r w:rsidR="00102064">
        <w:rPr>
          <w:bCs/>
        </w:rPr>
        <w:t>F</w:t>
      </w:r>
      <w:r>
        <w:rPr>
          <w:bCs/>
        </w:rPr>
        <w:t xml:space="preserve"> for public comments and DEQ responses. </w:t>
      </w:r>
    </w:p>
    <w:p w:rsidR="00795A85" w:rsidRPr="009E75EE" w:rsidRDefault="00795A85" w:rsidP="00795A85">
      <w:pPr>
        <w:pStyle w:val="NormalWeb"/>
        <w:spacing w:before="0" w:beforeAutospacing="0" w:after="0" w:afterAutospacing="0"/>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Exhibit</w:t>
      </w:r>
      <w:r w:rsidR="00102064" w:rsidRPr="00102064">
        <w:rPr>
          <w:rFonts w:ascii="Times New Roman" w:hAnsi="Times New Roman" w:cs="Times New Roman"/>
          <w:b/>
          <w:sz w:val="24"/>
          <w:szCs w:val="24"/>
        </w:rPr>
        <w:t xml:space="preserve"> A</w:t>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t>Emission Standards and Compliance Schedules</w:t>
      </w:r>
    </w:p>
    <w:p w:rsidR="003A068E" w:rsidRDefault="003A068E" w:rsidP="003A068E">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CISWI units in the incinerator subcategory that commenced construction on or before November 30, 1999, must achieve final compliance as expeditiously as practicable</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but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3A068E" w:rsidRPr="00386DC3"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sidRPr="00386DC3">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386DC3">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386DC3">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181299">
        <w:rPr>
          <w:rFonts w:ascii="Times New Roman" w:hAnsi="Times New Roman" w:cs="Times New Roman"/>
          <w:color w:val="000000"/>
          <w:sz w:val="24"/>
          <w:szCs w:val="24"/>
        </w:rPr>
        <w:t>Air curtain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incinerators are exempt from th</w:t>
      </w:r>
      <w:r>
        <w:rPr>
          <w:rFonts w:ascii="Times New Roman" w:hAnsi="Times New Roman" w:cs="Times New Roman"/>
          <w:color w:val="000000"/>
          <w:sz w:val="24"/>
          <w:szCs w:val="24"/>
        </w:rPr>
        <w:t xml:space="preserve">is rule </w:t>
      </w:r>
      <w:r w:rsidRPr="00181299">
        <w:rPr>
          <w:rFonts w:ascii="Times New Roman" w:hAnsi="Times New Roman" w:cs="Times New Roman"/>
          <w:color w:val="000000"/>
          <w:sz w:val="24"/>
          <w:szCs w:val="24"/>
        </w:rPr>
        <w:t>except for the provisions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sidRPr="00386DC3">
        <w:rPr>
          <w:rFonts w:ascii="Times New Roman" w:hAnsi="Times New Roman" w:cs="Times New Roman"/>
          <w:b/>
          <w:color w:val="000000"/>
          <w:sz w:val="24"/>
          <w:szCs w:val="24"/>
        </w:rPr>
        <w:t>40 CFR 60.2805, 60.2860, and 60.2870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 xml:space="preserve">ubpart Ea or </w:t>
      </w:r>
      <w:proofErr w:type="spellStart"/>
      <w:r w:rsidRPr="00386DC3">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 xml:space="preserve">ubpart </w:t>
      </w:r>
      <w:proofErr w:type="spellStart"/>
      <w:r w:rsidRPr="00386DC3">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EPA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and DEQ</w:t>
      </w:r>
      <w:r w:rsidRPr="00BE1291">
        <w:rPr>
          <w:rFonts w:ascii="Times New Roman" w:hAnsi="Times New Roman" w:cs="Times New Roman"/>
          <w:color w:val="000000"/>
          <w:sz w:val="24"/>
          <w:szCs w:val="24"/>
        </w:rPr>
        <w:t xml:space="preserve"> that the qualifying cogeneration facility is combusting homogenous waste.</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color w:val="000000"/>
          <w:sz w:val="24"/>
          <w:szCs w:val="24"/>
        </w:rPr>
        <w:t xml:space="preserve">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materials are only required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air curtain incinerator </w:t>
      </w:r>
      <w:r w:rsidRPr="00181299">
        <w:rPr>
          <w:rFonts w:ascii="Times New Roman" w:hAnsi="Times New Roman" w:cs="Times New Roman"/>
          <w:color w:val="000000"/>
          <w:sz w:val="24"/>
          <w:szCs w:val="24"/>
        </w:rPr>
        <w:t xml:space="preserve">requirements under </w:t>
      </w:r>
      <w:r w:rsidRPr="00386DC3">
        <w:rPr>
          <w:rFonts w:ascii="Times New Roman" w:hAnsi="Times New Roman" w:cs="Times New Roman"/>
          <w:b/>
          <w:color w:val="000000"/>
          <w:sz w:val="24"/>
          <w:szCs w:val="24"/>
        </w:rPr>
        <w:t xml:space="preserve">40 CFR </w:t>
      </w:r>
      <w:r w:rsidRPr="00527670">
        <w:rPr>
          <w:rFonts w:ascii="Times New Roman" w:hAnsi="Times New Roman" w:cs="Times New Roman"/>
          <w:b/>
          <w:color w:val="000000"/>
          <w:sz w:val="24"/>
          <w:szCs w:val="24"/>
        </w:rPr>
        <w:t>60.2860 and 60.2870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l</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3A068E"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sidRPr="00386DC3">
        <w:rPr>
          <w:rFonts w:ascii="Times New Roman" w:hAnsi="Times New Roman" w:cs="Times New Roman"/>
          <w:bCs/>
          <w:color w:val="000000"/>
          <w:sz w:val="24"/>
          <w:szCs w:val="24"/>
        </w:rPr>
        <w:t>(</w:t>
      </w:r>
      <w:r>
        <w:rPr>
          <w:rFonts w:ascii="Times New Roman" w:hAnsi="Times New Roman" w:cs="Times New Roman"/>
          <w:bCs/>
          <w:color w:val="000000"/>
          <w:sz w:val="24"/>
          <w:szCs w:val="24"/>
        </w:rPr>
        <w:t>5</w:t>
      </w:r>
      <w:r w:rsidRPr="00386DC3">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386DC3">
        <w:rPr>
          <w:rFonts w:ascii="Times New Roman" w:hAnsi="Times New Roman" w:cs="Times New Roman"/>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 xml:space="preserve"> in accordance with </w:t>
      </w:r>
      <w:r w:rsidRPr="00386DC3">
        <w:rPr>
          <w:rFonts w:ascii="Times New Roman" w:hAnsi="Times New Roman" w:cs="Times New Roman"/>
          <w:b/>
          <w:color w:val="000000"/>
          <w:sz w:val="24"/>
          <w:szCs w:val="24"/>
        </w:rPr>
        <w:t>40 CFR 60.2585 through 60.26</w:t>
      </w:r>
      <w:r>
        <w:rPr>
          <w:rFonts w:ascii="Times New Roman" w:hAnsi="Times New Roman" w:cs="Times New Roman"/>
          <w:b/>
          <w:color w:val="000000"/>
          <w:sz w:val="24"/>
          <w:szCs w:val="24"/>
        </w:rPr>
        <w:t>0</w:t>
      </w:r>
      <w:r w:rsidRPr="00386DC3">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3A068E" w:rsidRPr="00386DC3"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sidRPr="00386DC3">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386DC3">
        <w:rPr>
          <w:rFonts w:ascii="Times New Roman" w:hAnsi="Times New Roman" w:cs="Times New Roman"/>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 </w:t>
      </w:r>
      <w:r w:rsidRPr="00386DC3">
        <w:rPr>
          <w:rFonts w:ascii="Times New Roman" w:hAnsi="Times New Roman" w:cs="Times New Roman"/>
          <w:bCs/>
          <w:color w:val="000000"/>
          <w:sz w:val="24"/>
          <w:szCs w:val="24"/>
        </w:rPr>
        <w:t xml:space="preserve">General Requirements. </w:t>
      </w:r>
    </w:p>
    <w:p w:rsidR="003A068E"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CISWI units subject to this rule must comply with </w:t>
      </w:r>
      <w:r w:rsidRPr="00386DC3">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60.2795</w:t>
      </w:r>
      <w:r>
        <w:rPr>
          <w:rFonts w:ascii="Times New Roman" w:hAnsi="Times New Roman" w:cs="Times New Roman"/>
          <w:bCs/>
          <w:color w:val="000000"/>
          <w:sz w:val="24"/>
          <w:szCs w:val="24"/>
        </w:rPr>
        <w:t xml:space="preserve">. </w:t>
      </w:r>
    </w:p>
    <w:p w:rsidR="003A068E" w:rsidRPr="00A00AA3"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(b) Air curtain incinerators subject to this rule must comply with </w:t>
      </w:r>
      <w:r w:rsidRPr="00527670">
        <w:rPr>
          <w:rFonts w:ascii="Times New Roman" w:hAnsi="Times New Roman" w:cs="Times New Roman"/>
          <w:b/>
          <w:color w:val="000000"/>
          <w:sz w:val="24"/>
          <w:szCs w:val="24"/>
        </w:rPr>
        <w:t>40 CFR 60.2860 and 60.2870</w:t>
      </w:r>
      <w:r>
        <w:rPr>
          <w:rFonts w:ascii="Times New Roman" w:hAnsi="Times New Roman" w:cs="Times New Roman"/>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386DC3">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Definitions. Terms used in this rule are as defined in </w:t>
      </w:r>
      <w:r w:rsidRPr="00386DC3">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rsidR="003A068E" w:rsidRPr="00386DC3"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386DC3">
        <w:rPr>
          <w:rFonts w:ascii="Times New Roman" w:hAnsi="Times New Roman" w:cs="Times New Roman"/>
          <w:color w:val="000000"/>
          <w:sz w:val="24"/>
          <w:szCs w:val="24"/>
        </w:rPr>
        <w:lastRenderedPageBreak/>
        <w:t>Stat. Auth.: ORS 468.020</w:t>
      </w:r>
      <w:r w:rsidRPr="00386DC3">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143F77">
      <w:pPr>
        <w:pStyle w:val="NormalWeb"/>
        <w:spacing w:before="0" w:beforeAutospacing="0" w:after="0" w:afterAutospacing="0"/>
        <w:jc w:val="center"/>
        <w:rPr>
          <w:b/>
        </w:rPr>
      </w:pPr>
      <w:r w:rsidRPr="00D60E61">
        <w:rPr>
          <w:b/>
        </w:rPr>
        <w:lastRenderedPageBreak/>
        <w:t xml:space="preserve">Exhibit </w:t>
      </w:r>
      <w:r w:rsidR="00102064">
        <w:rPr>
          <w:b/>
        </w:rPr>
        <w:t>B</w:t>
      </w:r>
    </w:p>
    <w:p w:rsidR="00FD43EF" w:rsidRDefault="00FD43EF" w:rsidP="00FD43EF">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ORS Chapter 468 — Environmental Quality Generally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2013 EDITION</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FD43EF" w:rsidRDefault="00FD43EF"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lastRenderedPageBreak/>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lastRenderedPageBreak/>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143F77"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 xml:space="preserve">Exhibit </w:t>
      </w:r>
      <w:r w:rsidR="00102064">
        <w:rPr>
          <w:rFonts w:ascii="Times New Roman" w:hAnsi="Times New Roman" w:cs="Times New Roman"/>
          <w:b/>
          <w:sz w:val="24"/>
          <w:szCs w:val="24"/>
        </w:rPr>
        <w:t>C</w:t>
      </w:r>
    </w:p>
    <w:p w:rsidR="0031395B"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t>Draft MOA</w:t>
      </w:r>
    </w:p>
    <w:p w:rsidR="0031395B" w:rsidRPr="00651DB9" w:rsidRDefault="0031395B" w:rsidP="0031395B">
      <w:pPr>
        <w:jc w:val="center"/>
        <w:rPr>
          <w:rFonts w:ascii="Times New Roman" w:hAnsi="Times New Roman" w:cs="Times New Roman"/>
          <w:sz w:val="32"/>
          <w:szCs w:val="28"/>
        </w:rPr>
      </w:pPr>
      <w:r w:rsidRPr="00651DB9">
        <w:rPr>
          <w:rFonts w:ascii="Times New Roman" w:hAnsi="Times New Roman" w:cs="Times New Roman"/>
          <w:sz w:val="32"/>
          <w:szCs w:val="28"/>
        </w:rPr>
        <w:t>Hospital/Medical/Infectious Waste Incinerators</w:t>
      </w:r>
    </w:p>
    <w:p w:rsidR="0031395B" w:rsidRPr="00651DB9" w:rsidRDefault="0031395B" w:rsidP="0031395B">
      <w:pPr>
        <w:pStyle w:val="PlainText"/>
        <w:jc w:val="center"/>
        <w:rPr>
          <w:rFonts w:ascii="Times New Roman" w:hAnsi="Times New Roman" w:cs="Times New Roman"/>
          <w:sz w:val="28"/>
          <w:szCs w:val="28"/>
        </w:rPr>
      </w:pPr>
      <w:r w:rsidRPr="00651DB9">
        <w:rPr>
          <w:rFonts w:ascii="Times New Roman" w:hAnsi="Times New Roman" w:cs="Times New Roman"/>
          <w:sz w:val="32"/>
          <w:szCs w:val="28"/>
        </w:rPr>
        <w:t>Federal Plan Delegation</w:t>
      </w: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Memorandum of Agreement</w:t>
      </w:r>
    </w:p>
    <w:p w:rsidR="0031395B" w:rsidRPr="00651DB9" w:rsidRDefault="0031395B" w:rsidP="0031395B">
      <w:pPr>
        <w:pStyle w:val="PlainText"/>
        <w:jc w:val="center"/>
        <w:rPr>
          <w:rFonts w:ascii="Times New Roman" w:hAnsi="Times New Roman" w:cs="Times New Roman"/>
          <w:sz w:val="28"/>
          <w:szCs w:val="24"/>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Between</w:t>
      </w:r>
    </w:p>
    <w:p w:rsidR="0031395B" w:rsidRPr="00651DB9" w:rsidRDefault="0031395B" w:rsidP="0031395B">
      <w:pPr>
        <w:pStyle w:val="PlainText"/>
        <w:jc w:val="center"/>
        <w:rPr>
          <w:rFonts w:ascii="Times New Roman" w:hAnsi="Times New Roman" w:cs="Times New Roman"/>
          <w:sz w:val="28"/>
          <w:szCs w:val="24"/>
        </w:rPr>
      </w:pPr>
      <w:r>
        <w:rPr>
          <w:rFonts w:ascii="Times New Roman" w:hAnsi="Times New Roman" w:cs="Times New Roman"/>
          <w:sz w:val="28"/>
          <w:szCs w:val="24"/>
        </w:rPr>
        <w:t>Oregon</w:t>
      </w:r>
      <w:r w:rsidRPr="00651DB9">
        <w:rPr>
          <w:rFonts w:ascii="Times New Roman" w:hAnsi="Times New Roman" w:cs="Times New Roman"/>
          <w:sz w:val="28"/>
          <w:szCs w:val="24"/>
        </w:rPr>
        <w:t xml:space="preserve"> Department of Environmental Quality</w:t>
      </w:r>
      <w:r>
        <w:rPr>
          <w:rFonts w:ascii="Times New Roman" w:hAnsi="Times New Roman" w:cs="Times New Roman"/>
          <w:sz w:val="28"/>
          <w:szCs w:val="24"/>
        </w:rPr>
        <w:t xml:space="preserve"> </w:t>
      </w:r>
      <w:r w:rsidRPr="00651DB9">
        <w:rPr>
          <w:rFonts w:ascii="Times New Roman" w:hAnsi="Times New Roman" w:cs="Times New Roman"/>
          <w:sz w:val="28"/>
          <w:szCs w:val="24"/>
        </w:rPr>
        <w:t>and</w:t>
      </w: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The United States Environmental Protection Agency, Region 10</w:t>
      </w:r>
    </w:p>
    <w:p w:rsidR="0031395B" w:rsidRPr="00651DB9" w:rsidRDefault="0031395B" w:rsidP="0031395B">
      <w:pPr>
        <w:pStyle w:val="PlainText"/>
        <w:rPr>
          <w:rFonts w:ascii="Times New Roman" w:hAnsi="Times New Roman" w:cs="Times New Roman"/>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  GENERAL </w:t>
      </w:r>
    </w:p>
    <w:p w:rsidR="0031395B" w:rsidRPr="00651DB9" w:rsidRDefault="0031395B" w:rsidP="0031395B">
      <w:pPr>
        <w:pStyle w:val="PlainText"/>
        <w:rPr>
          <w:rFonts w:ascii="Times New Roman" w:hAnsi="Times New Roman" w:cs="Times New Roman"/>
          <w:sz w:val="22"/>
        </w:rPr>
      </w:pP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Memorandum of Agreement defines policies, responsibilities, and procedures pursuant to </w:t>
      </w:r>
      <w:r w:rsidR="00B115FE">
        <w:rPr>
          <w:rFonts w:ascii="Times New Roman" w:hAnsi="Times New Roman" w:cs="Times New Roman"/>
          <w:sz w:val="22"/>
        </w:rPr>
        <w:t xml:space="preserve">40 CFR Part 62 </w:t>
      </w:r>
      <w:r w:rsidRPr="00651DB9">
        <w:rPr>
          <w:rFonts w:ascii="Times New Roman" w:hAnsi="Times New Roman" w:cs="Times New Roman"/>
          <w:sz w:val="22"/>
        </w:rPr>
        <w:t xml:space="preserve">Subpart HHH and </w:t>
      </w:r>
      <w:r w:rsidR="00B115FE">
        <w:rPr>
          <w:rFonts w:ascii="Times New Roman" w:hAnsi="Times New Roman" w:cs="Times New Roman"/>
          <w:sz w:val="22"/>
        </w:rPr>
        <w:t xml:space="preserve">40 CFR Part 60 </w:t>
      </w:r>
      <w:r w:rsidRPr="00651DB9">
        <w:rPr>
          <w:rFonts w:ascii="Times New Roman" w:hAnsi="Times New Roman" w:cs="Times New Roman"/>
          <w:sz w:val="22"/>
        </w:rPr>
        <w:t xml:space="preserve">Subpart Ce, both of Chapter I of Title 40 of the Code of Federal Regulations, by which the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Federal Plan </w:t>
      </w:r>
      <w:r w:rsidR="00B115FE">
        <w:rPr>
          <w:rFonts w:ascii="Times New Roman" w:hAnsi="Times New Roman" w:cs="Times New Roman"/>
          <w:sz w:val="22"/>
        </w:rPr>
        <w:t>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 xml:space="preserve">ncinerators </w:t>
      </w:r>
      <w:r w:rsidRPr="00651DB9">
        <w:rPr>
          <w:rFonts w:ascii="Times New Roman" w:hAnsi="Times New Roman" w:cs="Times New Roman"/>
          <w:sz w:val="22"/>
        </w:rPr>
        <w:t xml:space="preserve">will be administered by both the </w:t>
      </w:r>
      <w:r w:rsidR="00B115FE">
        <w:rPr>
          <w:rFonts w:ascii="Times New Roman" w:hAnsi="Times New Roman" w:cs="Times New Roman"/>
          <w:sz w:val="22"/>
        </w:rPr>
        <w:t xml:space="preserve">Oregon </w:t>
      </w:r>
      <w:r w:rsidRPr="00651DB9">
        <w:rPr>
          <w:rFonts w:ascii="Times New Roman" w:hAnsi="Times New Roman" w:cs="Times New Roman"/>
          <w:sz w:val="22"/>
        </w:rPr>
        <w:t>Department of Environmental Quality</w:t>
      </w:r>
      <w:r>
        <w:rPr>
          <w:rFonts w:ascii="Times New Roman" w:hAnsi="Times New Roman" w:cs="Times New Roman"/>
          <w:sz w:val="22"/>
        </w:rPr>
        <w:t xml:space="preserve"> </w:t>
      </w:r>
      <w:r w:rsidRPr="00651DB9">
        <w:rPr>
          <w:rFonts w:ascii="Times New Roman" w:hAnsi="Times New Roman" w:cs="Times New Roman"/>
          <w:sz w:val="22"/>
        </w:rPr>
        <w:t xml:space="preserve">and the </w:t>
      </w:r>
      <w:r>
        <w:rPr>
          <w:rFonts w:ascii="Times New Roman" w:hAnsi="Times New Roman" w:cs="Times New Roman"/>
          <w:sz w:val="22"/>
        </w:rPr>
        <w:t xml:space="preserve">United States </w:t>
      </w:r>
      <w:r w:rsidRPr="00651DB9">
        <w:rPr>
          <w:rFonts w:ascii="Times New Roman" w:hAnsi="Times New Roman" w:cs="Times New Roman"/>
          <w:sz w:val="22"/>
        </w:rPr>
        <w:t xml:space="preserve">Environmental Protection Agency. Such agreement will be maintained consistent with the Clean Air Act and its regulations. The provisions of this </w:t>
      </w:r>
      <w:r>
        <w:rPr>
          <w:rFonts w:ascii="Times New Roman" w:hAnsi="Times New Roman" w:cs="Times New Roman"/>
          <w:sz w:val="22"/>
        </w:rPr>
        <w:t>MOA</w:t>
      </w:r>
      <w:r w:rsidRPr="00651DB9">
        <w:rPr>
          <w:rFonts w:ascii="Times New Roman" w:hAnsi="Times New Roman" w:cs="Times New Roman"/>
          <w:sz w:val="22"/>
        </w:rPr>
        <w:t xml:space="preserve"> include the terms, conditions, and the effective date of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for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This </w:t>
      </w:r>
      <w:r>
        <w:rPr>
          <w:rFonts w:ascii="Times New Roman" w:hAnsi="Times New Roman" w:cs="Times New Roman"/>
          <w:sz w:val="22"/>
        </w:rPr>
        <w:t>MOA</w:t>
      </w:r>
      <w:r w:rsidRPr="00651DB9">
        <w:rPr>
          <w:rFonts w:ascii="Times New Roman" w:hAnsi="Times New Roman" w:cs="Times New Roman"/>
          <w:sz w:val="22"/>
        </w:rPr>
        <w:t xml:space="preserve"> shall serve as a mechanism for the transfer of authority to the State.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to the State is designed to be in effect until there are no </w:t>
      </w:r>
      <w:r w:rsidR="00B115FE">
        <w:rPr>
          <w:rFonts w:ascii="Times New Roman" w:hAnsi="Times New Roman" w:cs="Times New Roman"/>
          <w:sz w:val="22"/>
        </w:rPr>
        <w:t>hospital/medical/infectious waste incinerators</w:t>
      </w:r>
      <w:r w:rsidRPr="00651DB9">
        <w:rPr>
          <w:rFonts w:ascii="Times New Roman" w:hAnsi="Times New Roman" w:cs="Times New Roman"/>
          <w:sz w:val="22"/>
        </w:rPr>
        <w:t xml:space="preserve"> within the jurisdiction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in </w:t>
      </w:r>
      <w:r w:rsidR="00B115FE">
        <w:rPr>
          <w:rFonts w:ascii="Times New Roman" w:hAnsi="Times New Roman" w:cs="Times New Roman"/>
          <w:sz w:val="22"/>
        </w:rPr>
        <w:t>Oregon</w:t>
      </w:r>
      <w:r w:rsidRPr="00651DB9">
        <w:rPr>
          <w:rFonts w:ascii="Times New Roman" w:hAnsi="Times New Roman" w:cs="Times New Roman"/>
          <w:sz w:val="22"/>
        </w:rPr>
        <w:t xml:space="preserve">, EPA publishes an approval of a State Plan that DEQ has submitted, or EPA withdraws delegation of the Federal Plan according to the provisions of this </w:t>
      </w:r>
      <w:r>
        <w:rPr>
          <w:rFonts w:ascii="Times New Roman" w:hAnsi="Times New Roman" w:cs="Times New Roman"/>
          <w:sz w:val="22"/>
        </w:rPr>
        <w:t>MOA</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Th</w:t>
      </w:r>
      <w:r>
        <w:rPr>
          <w:rFonts w:ascii="Times New Roman" w:hAnsi="Times New Roman" w:cs="Times New Roman"/>
          <w:sz w:val="22"/>
        </w:rPr>
        <w:t>is agreement is entered into by DEQ and</w:t>
      </w:r>
      <w:r w:rsidRPr="00651DB9">
        <w:rPr>
          <w:rFonts w:ascii="Times New Roman" w:hAnsi="Times New Roman" w:cs="Times New Roman"/>
          <w:sz w:val="22"/>
        </w:rPr>
        <w:t xml:space="preserve"> </w:t>
      </w:r>
      <w:r>
        <w:rPr>
          <w:rFonts w:ascii="Times New Roman" w:hAnsi="Times New Roman" w:cs="Times New Roman"/>
          <w:sz w:val="22"/>
        </w:rPr>
        <w:t>EPA</w:t>
      </w:r>
      <w:r w:rsidRPr="00651DB9">
        <w:rPr>
          <w:rFonts w:ascii="Times New Roman" w:hAnsi="Times New Roman" w:cs="Times New Roman"/>
          <w:sz w:val="22"/>
        </w:rPr>
        <w:t xml:space="preserve">. In a letter dated </w:t>
      </w:r>
      <w:r w:rsidR="00B115FE">
        <w:rPr>
          <w:rFonts w:ascii="Times New Roman" w:hAnsi="Times New Roman" w:cs="Times New Roman"/>
          <w:sz w:val="22"/>
        </w:rPr>
        <w:t>May</w:t>
      </w:r>
      <w:r w:rsidRPr="00651DB9">
        <w:rPr>
          <w:rFonts w:ascii="Times New Roman" w:hAnsi="Times New Roman" w:cs="Times New Roman"/>
          <w:sz w:val="22"/>
        </w:rPr>
        <w:t xml:space="preserve"> xx, 2013, Director </w:t>
      </w:r>
      <w:r w:rsidR="00B115FE">
        <w:rPr>
          <w:rFonts w:ascii="Times New Roman" w:hAnsi="Times New Roman" w:cs="Times New Roman"/>
          <w:sz w:val="22"/>
        </w:rPr>
        <w:t>Dick Pedersen</w:t>
      </w:r>
      <w:r w:rsidRPr="00651DB9">
        <w:rPr>
          <w:rFonts w:ascii="Times New Roman" w:hAnsi="Times New Roman" w:cs="Times New Roman"/>
          <w:sz w:val="22"/>
        </w:rPr>
        <w:t xml:space="preserve"> of DEQ requested from EPA delegation of authority for DEQ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The geographic area covered by this </w:t>
      </w:r>
      <w:r>
        <w:rPr>
          <w:rFonts w:ascii="Times New Roman" w:hAnsi="Times New Roman" w:cs="Times New Roman"/>
          <w:sz w:val="22"/>
        </w:rPr>
        <w:t>MOA</w:t>
      </w:r>
      <w:r w:rsidRPr="00651DB9">
        <w:rPr>
          <w:rFonts w:ascii="Times New Roman" w:hAnsi="Times New Roman" w:cs="Times New Roman"/>
          <w:sz w:val="22"/>
        </w:rPr>
        <w:t xml:space="preserve"> is the State </w:t>
      </w:r>
      <w:r w:rsidR="00B115FE">
        <w:rPr>
          <w:rFonts w:ascii="Times New Roman" w:hAnsi="Times New Roman" w:cs="Times New Roman"/>
          <w:sz w:val="22"/>
        </w:rPr>
        <w:t>of Oregon</w:t>
      </w:r>
      <w:r w:rsidRPr="00651DB9">
        <w:rPr>
          <w:rFonts w:ascii="Times New Roman" w:hAnsi="Times New Roman" w:cs="Times New Roman"/>
          <w:sz w:val="22"/>
        </w:rPr>
        <w:t xml:space="preserve"> excepting Tribal Lands.</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EPA shall have the authority to revoke all or part of this delegation if EPA determines that </w:t>
      </w:r>
      <w:r w:rsidR="00B115FE">
        <w:rPr>
          <w:rFonts w:ascii="Times New Roman" w:hAnsi="Times New Roman" w:cs="Times New Roman"/>
          <w:sz w:val="22"/>
        </w:rPr>
        <w:t>Oregon</w:t>
      </w:r>
      <w:r w:rsidRPr="00651DB9">
        <w:rPr>
          <w:rFonts w:ascii="Times New Roman" w:hAnsi="Times New Roman" w:cs="Times New Roman"/>
          <w:sz w:val="22"/>
        </w:rPr>
        <w:t xml:space="preserve"> has failed to properly implement or enforce the Federal Plan</w:t>
      </w:r>
      <w:r w:rsidR="00B115FE">
        <w:rPr>
          <w:rFonts w:ascii="Times New Roman" w:hAnsi="Times New Roman" w:cs="Times New Roman"/>
          <w:sz w:val="22"/>
        </w:rPr>
        <w:t xml:space="preserve"> 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ncinerators</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delegation of the Federal Plan to </w:t>
      </w:r>
      <w:r w:rsidR="00B115FE">
        <w:rPr>
          <w:rFonts w:ascii="Times New Roman" w:hAnsi="Times New Roman" w:cs="Times New Roman"/>
          <w:sz w:val="22"/>
        </w:rPr>
        <w:t xml:space="preserve">Oregon </w:t>
      </w:r>
      <w:r w:rsidRPr="00651DB9">
        <w:rPr>
          <w:rFonts w:ascii="Times New Roman" w:hAnsi="Times New Roman" w:cs="Times New Roman"/>
          <w:sz w:val="22"/>
        </w:rPr>
        <w:t xml:space="preserve">shall become effective upon signature by both DEQ and EPA. </w:t>
      </w:r>
    </w:p>
    <w:p w:rsidR="0031395B" w:rsidRPr="00651DB9"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w:t>
      </w:r>
      <w:r>
        <w:rPr>
          <w:rFonts w:ascii="Times New Roman" w:hAnsi="Times New Roman" w:cs="Times New Roman"/>
          <w:sz w:val="22"/>
        </w:rPr>
        <w:t>MOA</w:t>
      </w:r>
      <w:r w:rsidRPr="00651DB9">
        <w:rPr>
          <w:rFonts w:ascii="Times New Roman" w:hAnsi="Times New Roman" w:cs="Times New Roman"/>
          <w:sz w:val="22"/>
        </w:rPr>
        <w:t xml:space="preserve"> may be modified only after mutual consent of both parties for any purpose. Any revisions or modifications to this </w:t>
      </w:r>
      <w:r>
        <w:rPr>
          <w:rFonts w:ascii="Times New Roman" w:hAnsi="Times New Roman" w:cs="Times New Roman"/>
          <w:sz w:val="22"/>
        </w:rPr>
        <w:t>MOA</w:t>
      </w:r>
      <w:r w:rsidRPr="00651DB9">
        <w:rPr>
          <w:rFonts w:ascii="Times New Roman" w:hAnsi="Times New Roman" w:cs="Times New Roman"/>
          <w:sz w:val="22"/>
        </w:rPr>
        <w:t xml:space="preserve"> must be in writing and must be signed by both DEQ and EPA.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w:t>
      </w:r>
      <w:proofErr w:type="gramStart"/>
      <w:r w:rsidRPr="00651DB9">
        <w:rPr>
          <w:rFonts w:ascii="Times New Roman" w:hAnsi="Times New Roman" w:cs="Times New Roman"/>
          <w:b/>
          <w:sz w:val="22"/>
        </w:rPr>
        <w:t>.  DELEGATION</w:t>
      </w:r>
      <w:proofErr w:type="gramEnd"/>
      <w:r w:rsidRPr="00651DB9">
        <w:rPr>
          <w:rFonts w:ascii="Times New Roman" w:hAnsi="Times New Roman" w:cs="Times New Roman"/>
          <w:b/>
          <w:sz w:val="22"/>
        </w:rPr>
        <w:t xml:space="preserve"> OF AUTHORITIES</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By means of this </w:t>
      </w:r>
      <w:r>
        <w:rPr>
          <w:rFonts w:ascii="Times New Roman" w:hAnsi="Times New Roman" w:cs="Times New Roman"/>
          <w:sz w:val="22"/>
        </w:rPr>
        <w:t>MOA</w:t>
      </w:r>
      <w:r w:rsidRPr="00651DB9">
        <w:rPr>
          <w:rFonts w:ascii="Times New Roman" w:hAnsi="Times New Roman" w:cs="Times New Roman"/>
          <w:sz w:val="22"/>
        </w:rPr>
        <w:t>, EPA delegates to DEQ the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However, EPA also retains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additionally delegated to DEQ: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lastRenderedPageBreak/>
        <w:t xml:space="preserve">Authority to approve changes in the testing sequences of waste incinerator units.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requests of alternate testing schedules resulting from unforeseen circumstances.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an alternate records format.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changes to the semiannual or annual reporting dates. </w:t>
      </w:r>
    </w:p>
    <w:p w:rsidR="0031395B" w:rsidRPr="00651DB9" w:rsidRDefault="0031395B" w:rsidP="0031395B">
      <w:pPr>
        <w:pStyle w:val="PlainText"/>
        <w:ind w:left="1080"/>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retained by EPA: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establish site-specific operating parameters pursuant to 40 CFR 62.14453(b).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 methods of demonstrating compliance under 40 CFR 60.8, pursuant to 40 CFR 62.14495(b).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alternate opacity standards, pursuant to 40 CFR 60.11.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test methods, pursuant to 40 CFR 62.14495(b) and 40 CFR 60.8.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monitoring, pursuant to 40 CFR 60.13.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III. PROGRAM IMPLEMENTATION</w:t>
      </w:r>
    </w:p>
    <w:p w:rsidR="0031395B" w:rsidRPr="00651DB9" w:rsidRDefault="0031395B" w:rsidP="0031395B">
      <w:pPr>
        <w:pStyle w:val="PlainText"/>
        <w:ind w:left="720"/>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A.  The DEQ agrees to do the following:</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 xml:space="preserve">Enforce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in accordance with the provisions of </w:t>
      </w:r>
      <w:r w:rsidR="00D51435">
        <w:rPr>
          <w:rFonts w:ascii="Times New Roman" w:hAnsi="Times New Roman" w:cs="Times New Roman"/>
          <w:sz w:val="22"/>
        </w:rPr>
        <w:t>40 CFR Part 62 S</w:t>
      </w:r>
      <w:r w:rsidRPr="00651DB9">
        <w:rPr>
          <w:rFonts w:ascii="Times New Roman" w:hAnsi="Times New Roman" w:cs="Times New Roman"/>
          <w:sz w:val="22"/>
        </w:rPr>
        <w:t>ubpart HHH, "Federal Plan Requirements for Hospital/Medical/Infectious Waste Incinerators Constructed on or before December 1, 2008" published on May 13, 2013.</w:t>
      </w: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Submit copies of any air related permits for affected facilities</w:t>
      </w:r>
      <w:r>
        <w:rPr>
          <w:rFonts w:ascii="Times New Roman" w:hAnsi="Times New Roman" w:cs="Times New Roman"/>
          <w:sz w:val="22"/>
        </w:rPr>
        <w:t xml:space="preserve"> to EPA</w:t>
      </w:r>
      <w:r w:rsidRPr="00651DB9">
        <w:rPr>
          <w:rFonts w:ascii="Times New Roman" w:hAnsi="Times New Roman" w:cs="Times New Roman"/>
          <w:sz w:val="22"/>
        </w:rPr>
        <w:t>.</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Cs w:val="21"/>
        </w:rPr>
        <w:t xml:space="preserve">Ensure affected </w:t>
      </w:r>
      <w:r w:rsidR="00D51435">
        <w:rPr>
          <w:rFonts w:ascii="Times New Roman" w:hAnsi="Times New Roman" w:cs="Times New Roman"/>
          <w:szCs w:val="21"/>
        </w:rPr>
        <w:t>Oregon</w:t>
      </w:r>
      <w:r w:rsidRPr="00651DB9">
        <w:rPr>
          <w:rFonts w:ascii="Times New Roman" w:hAnsi="Times New Roman" w:cs="Times New Roman"/>
          <w:szCs w:val="21"/>
        </w:rPr>
        <w:t xml:space="preserve"> facilities comply with the "operator certification requirements" and "operator training requirements" sections of the Federal Plan.</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compliance reporting and record keeping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performance testing and monitoring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 xml:space="preserve">Inspect all affected Hospital/Medical/Infectious Waste Incinerators at least once every </w:t>
      </w:r>
      <w:r w:rsidR="00D51435">
        <w:rPr>
          <w:rFonts w:ascii="Times New Roman" w:hAnsi="Times New Roman" w:cs="Times New Roman"/>
          <w:sz w:val="24"/>
        </w:rPr>
        <w:t>five</w:t>
      </w:r>
      <w:r w:rsidRPr="00651DB9">
        <w:rPr>
          <w:rFonts w:ascii="Times New Roman" w:hAnsi="Times New Roman" w:cs="Times New Roman"/>
          <w:sz w:val="24"/>
        </w:rPr>
        <w:t xml:space="preserve"> years.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Cs w:val="21"/>
        </w:rPr>
        <w:t>Perform follow-up inspections or review of facility records to insure correction of violations discovered during routine inspections.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 w:val="24"/>
        </w:rPr>
        <w:t xml:space="preserve">Update the Federal Plan </w:t>
      </w:r>
      <w:r w:rsidR="00D51435">
        <w:rPr>
          <w:rFonts w:ascii="Times New Roman" w:hAnsi="Times New Roman" w:cs="Times New Roman"/>
          <w:sz w:val="24"/>
        </w:rPr>
        <w:t xml:space="preserve">Requirements </w:t>
      </w:r>
      <w:r w:rsidRPr="00651DB9">
        <w:rPr>
          <w:rFonts w:ascii="Times New Roman" w:hAnsi="Times New Roman" w:cs="Times New Roman"/>
          <w:sz w:val="24"/>
        </w:rPr>
        <w:t>and compliance monitoring and enforcement program in collaboration with EPA, as needed.</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B. EPA agrees to do the following: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Provide technical support and assistance, and training opportunities for interpretation of national regulations, development of technology-based requirements, automated transmission of data to EPA databases, and other areas as requested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Make reasonable efforts to communicate to DEQ when additional legal, technical, and financial resources may be necessary to implement new section 111(d) requirements as they become applicable.</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Expeditiously review and appropriately respond to all information submitted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lastRenderedPageBreak/>
        <w:t>Take final action on any substantial modification to this delegation agreement submitted by DEQ or initiated by EPA. Provide for final action in the Federal Register within 180 days of the submission/initiation of delegation agreement modification.</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C. DEQ and EPA agree:</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EPA will assess DEQ's administration of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on a continuing basis for consistency with </w:t>
      </w:r>
      <w:r w:rsidR="00D51435">
        <w:rPr>
          <w:rFonts w:ascii="Times New Roman" w:hAnsi="Times New Roman" w:cs="Times New Roman"/>
          <w:sz w:val="22"/>
        </w:rPr>
        <w:t xml:space="preserve">40 CFR Part 62 </w:t>
      </w:r>
      <w:r w:rsidRPr="00651DB9">
        <w:rPr>
          <w:rFonts w:ascii="Times New Roman" w:hAnsi="Times New Roman" w:cs="Times New Roman"/>
          <w:sz w:val="22"/>
        </w:rPr>
        <w:t xml:space="preserve">Subpart HHH. This assessment will be accomplished by EPA review of information submitted by DEQ, permit overview, and compliance and enforcement overview.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The EPA will consider written comments that are received from regulated persons, the public, and Federal, State, and local agencies in assessing the </w:t>
      </w:r>
      <w:r w:rsidR="00D51435">
        <w:rPr>
          <w:rFonts w:ascii="Times New Roman" w:hAnsi="Times New Roman" w:cs="Times New Roman"/>
          <w:sz w:val="22"/>
        </w:rPr>
        <w:t>Oregon</w:t>
      </w:r>
      <w:r w:rsidRPr="00651DB9">
        <w:rPr>
          <w:rFonts w:ascii="Times New Roman" w:hAnsi="Times New Roman" w:cs="Times New Roman"/>
          <w:sz w:val="22"/>
        </w:rPr>
        <w:t xml:space="preserve"> delegation of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xml:space="preserve">. Copies of any comments received from such sources will be provided to the DEQ within seven (7) working days of receipt.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The EPA may audit DEQ by examining the files and documents related to affected facilities.</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If EPA determines that DEQ is not adequately administering or enforcing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EPA will notify DEQ of the determination as soon as possible and provide the reasons for the determination. DEQ and EPA will then determine the process and time frame for correcting the deficiencies in an expeditious manner.</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DEQ agrees to allow EPA access to all files and other requested information deemed necessary by EPA to ensure management of the delegated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consistent with EPA policy. </w:t>
      </w:r>
    </w:p>
    <w:p w:rsidR="0031395B" w:rsidRPr="00651DB9" w:rsidRDefault="0031395B" w:rsidP="0031395B">
      <w:pPr>
        <w:pStyle w:val="PlainText"/>
        <w:numPr>
          <w:ilvl w:val="0"/>
          <w:numId w:val="6"/>
        </w:numPr>
        <w:spacing w:after="120"/>
        <w:rPr>
          <w:rFonts w:ascii="Times New Roman" w:hAnsi="Times New Roman" w:cs="Times New Roman"/>
          <w:sz w:val="22"/>
        </w:rPr>
      </w:pPr>
      <w:r w:rsidRPr="00651DB9">
        <w:rPr>
          <w:rFonts w:ascii="Times New Roman" w:hAnsi="Times New Roman" w:cs="Times New Roman"/>
          <w:sz w:val="22"/>
        </w:rPr>
        <w:t xml:space="preserve">DEQ and EPA agree to the following procedures with respect to confidentiality of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Pr>
          <w:rFonts w:ascii="Times New Roman" w:hAnsi="Times New Roman" w:cs="Times New Roman"/>
          <w:sz w:val="22"/>
        </w:rPr>
        <w:t>Except for attorney client communications, a</w:t>
      </w:r>
      <w:r w:rsidRPr="00651DB9">
        <w:rPr>
          <w:rFonts w:ascii="Times New Roman" w:hAnsi="Times New Roman" w:cs="Times New Roman"/>
          <w:sz w:val="22"/>
        </w:rPr>
        <w:t xml:space="preserve">ny information obtained or used in the administration of the Federal Plan shall be available to EPA or DEQ upon request without restriction. If the information has been submitted to DEQ under a claim of confidentiality, </w:t>
      </w:r>
      <w:r w:rsidR="00D51435">
        <w:rPr>
          <w:rFonts w:ascii="Times New Roman" w:hAnsi="Times New Roman" w:cs="Times New Roman"/>
          <w:sz w:val="22"/>
        </w:rPr>
        <w:t xml:space="preserve">DEQ </w:t>
      </w:r>
      <w:r w:rsidRPr="00651DB9">
        <w:rPr>
          <w:rFonts w:ascii="Times New Roman" w:hAnsi="Times New Roman" w:cs="Times New Roman"/>
          <w:sz w:val="22"/>
        </w:rPr>
        <w:t xml:space="preserve">must submit that claim to EPA when providing the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If any information is submitted to DEQ under a claim of confidentiality and </w:t>
      </w:r>
      <w:r w:rsidR="00D51435">
        <w:rPr>
          <w:rFonts w:ascii="Times New Roman" w:hAnsi="Times New Roman" w:cs="Times New Roman"/>
          <w:sz w:val="22"/>
        </w:rPr>
        <w:t xml:space="preserve">Oregon </w:t>
      </w:r>
      <w:r w:rsidRPr="00651DB9">
        <w:rPr>
          <w:rFonts w:ascii="Times New Roman" w:hAnsi="Times New Roman" w:cs="Times New Roman"/>
          <w:sz w:val="22"/>
        </w:rPr>
        <w:t xml:space="preserve">statutes prohibit submitting that information to EPA, DEQ will require the source to submit the information directly to EPA.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Any information obtained from DEQ or from a source subject to a claim of confidentiality will be treated by EPA in accordance with the regulations in 40 CFR. Part 2.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IV. Signatures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United States Environmental Protection Agency, Region 10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Regional Administrator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State of </w:t>
      </w:r>
      <w:r w:rsidR="00D51435">
        <w:rPr>
          <w:rFonts w:ascii="Times New Roman" w:hAnsi="Times New Roman" w:cs="Times New Roman"/>
          <w:sz w:val="22"/>
        </w:rPr>
        <w:t>Oregon</w:t>
      </w:r>
      <w:r w:rsidRPr="00651DB9">
        <w:rPr>
          <w:rFonts w:ascii="Times New Roman" w:hAnsi="Times New Roman" w:cs="Times New Roman"/>
          <w:sz w:val="22"/>
        </w:rPr>
        <w:t xml:space="preserve"> Department of Environmental Quality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102064" w:rsidRDefault="0031395B" w:rsidP="00D51435">
      <w:pPr>
        <w:pStyle w:val="PlainText"/>
        <w:rPr>
          <w:rFonts w:ascii="Times New Roman" w:hAnsi="Times New Roman" w:cs="Times New Roman"/>
          <w:sz w:val="22"/>
        </w:rPr>
      </w:pPr>
      <w:r w:rsidRPr="00651DB9">
        <w:rPr>
          <w:rFonts w:ascii="Times New Roman" w:hAnsi="Times New Roman" w:cs="Times New Roman"/>
          <w:sz w:val="22"/>
        </w:rPr>
        <w:t xml:space="preserve">Director </w:t>
      </w:r>
    </w:p>
    <w:p w:rsidR="00102064" w:rsidRDefault="00102064">
      <w:pPr>
        <w:rPr>
          <w:rFonts w:ascii="Times New Roman" w:hAnsi="Times New Roman" w:cs="Times New Roman"/>
          <w:szCs w:val="21"/>
        </w:rPr>
      </w:pPr>
      <w:r>
        <w:rPr>
          <w:rFonts w:ascii="Times New Roman" w:hAnsi="Times New Roman" w:cs="Times New Roman"/>
        </w:rPr>
        <w:lastRenderedPageBreak/>
        <w:br w:type="page"/>
      </w:r>
    </w:p>
    <w:p w:rsidR="00102064" w:rsidRDefault="00102064" w:rsidP="00102064">
      <w:pPr>
        <w:rPr>
          <w:rFonts w:ascii="Times New Roman" w:hAnsi="Times New Roman" w:cs="Times New Roman"/>
          <w:b/>
          <w:sz w:val="24"/>
          <w:szCs w:val="24"/>
        </w:rPr>
      </w:pPr>
      <w:r>
        <w:rPr>
          <w:rFonts w:ascii="Times New Roman" w:hAnsi="Times New Roman" w:cs="Times New Roman"/>
          <w:b/>
          <w:sz w:val="24"/>
          <w:szCs w:val="24"/>
        </w:rPr>
        <w:lastRenderedPageBreak/>
        <w:t>Other Exhibits to be added after the close of the comment period:</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D</w:t>
      </w:r>
      <w:r w:rsidRPr="00102064">
        <w:rPr>
          <w:rFonts w:ascii="Times New Roman" w:hAnsi="Times New Roman" w:cs="Times New Roman"/>
          <w:b/>
          <w:sz w:val="24"/>
          <w:szCs w:val="24"/>
        </w:rPr>
        <w:t>: 30-Day Notification</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E</w:t>
      </w:r>
      <w:r w:rsidRPr="00102064">
        <w:rPr>
          <w:rFonts w:ascii="Times New Roman" w:hAnsi="Times New Roman" w:cs="Times New Roman"/>
          <w:b/>
          <w:sz w:val="24"/>
          <w:szCs w:val="24"/>
        </w:rPr>
        <w:t>: Certification of Hearings</w:t>
      </w:r>
    </w:p>
    <w:p w:rsidR="0031395B"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F</w:t>
      </w:r>
      <w:r w:rsidRPr="00102064">
        <w:rPr>
          <w:rFonts w:ascii="Times New Roman" w:hAnsi="Times New Roman" w:cs="Times New Roman"/>
          <w:b/>
          <w:sz w:val="24"/>
          <w:szCs w:val="24"/>
        </w:rPr>
        <w:t>: Public Comments and Responses</w:t>
      </w:r>
    </w:p>
    <w:sectPr w:rsidR="0031395B" w:rsidRPr="00102064"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435" w:rsidRDefault="00D51435" w:rsidP="00947A51">
      <w:pPr>
        <w:spacing w:after="0" w:line="240" w:lineRule="auto"/>
      </w:pPr>
      <w:r>
        <w:separator/>
      </w:r>
    </w:p>
  </w:endnote>
  <w:endnote w:type="continuationSeparator" w:id="0">
    <w:p w:rsidR="00D51435" w:rsidRDefault="00D51435"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435" w:rsidRDefault="00D51435" w:rsidP="00947A51">
      <w:pPr>
        <w:spacing w:after="0" w:line="240" w:lineRule="auto"/>
      </w:pPr>
      <w:r>
        <w:separator/>
      </w:r>
    </w:p>
  </w:footnote>
  <w:footnote w:type="continuationSeparator" w:id="0">
    <w:p w:rsidR="00D51435" w:rsidRDefault="00D51435"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35" w:rsidRDefault="00D51435"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35" w:rsidRDefault="00D51435"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D51435" w:rsidRDefault="00D51435"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D51435" w:rsidRDefault="00D51435"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8B1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23B18"/>
    <w:multiLevelType w:val="hybridMultilevel"/>
    <w:tmpl w:val="7A2ED7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3740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C3732DB"/>
    <w:multiLevelType w:val="hybridMultilevel"/>
    <w:tmpl w:val="74BCE4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F02AF"/>
    <w:multiLevelType w:val="hybridMultilevel"/>
    <w:tmpl w:val="51FCA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B590F"/>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255758"/>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623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CE717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
  </w:num>
  <w:num w:numId="4">
    <w:abstractNumId w:val="18"/>
  </w:num>
  <w:num w:numId="5">
    <w:abstractNumId w:val="15"/>
  </w:num>
  <w:num w:numId="6">
    <w:abstractNumId w:val="16"/>
  </w:num>
  <w:num w:numId="7">
    <w:abstractNumId w:val="19"/>
  </w:num>
  <w:num w:numId="8">
    <w:abstractNumId w:val="27"/>
  </w:num>
  <w:num w:numId="9">
    <w:abstractNumId w:val="5"/>
  </w:num>
  <w:num w:numId="10">
    <w:abstractNumId w:val="0"/>
  </w:num>
  <w:num w:numId="11">
    <w:abstractNumId w:val="17"/>
  </w:num>
  <w:num w:numId="12">
    <w:abstractNumId w:val="28"/>
  </w:num>
  <w:num w:numId="13">
    <w:abstractNumId w:val="26"/>
  </w:num>
  <w:num w:numId="14">
    <w:abstractNumId w:val="25"/>
  </w:num>
  <w:num w:numId="15">
    <w:abstractNumId w:val="20"/>
  </w:num>
  <w:num w:numId="16">
    <w:abstractNumId w:val="12"/>
  </w:num>
  <w:num w:numId="17">
    <w:abstractNumId w:val="22"/>
  </w:num>
  <w:num w:numId="18">
    <w:abstractNumId w:val="24"/>
  </w:num>
  <w:num w:numId="19">
    <w:abstractNumId w:val="2"/>
  </w:num>
  <w:num w:numId="20">
    <w:abstractNumId w:val="14"/>
  </w:num>
  <w:num w:numId="21">
    <w:abstractNumId w:val="4"/>
  </w:num>
  <w:num w:numId="22">
    <w:abstractNumId w:val="10"/>
  </w:num>
  <w:num w:numId="23">
    <w:abstractNumId w:val="9"/>
  </w:num>
  <w:num w:numId="24">
    <w:abstractNumId w:val="8"/>
  </w:num>
  <w:num w:numId="25">
    <w:abstractNumId w:val="11"/>
  </w:num>
  <w:num w:numId="26">
    <w:abstractNumId w:val="21"/>
  </w:num>
  <w:num w:numId="27">
    <w:abstractNumId w:val="7"/>
  </w:num>
  <w:num w:numId="28">
    <w:abstractNumId w:val="3"/>
  </w:num>
  <w:num w:numId="29">
    <w:abstractNumId w:val="29"/>
  </w:num>
  <w:num w:numId="3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308F4"/>
    <w:rsid w:val="00067E14"/>
    <w:rsid w:val="00077085"/>
    <w:rsid w:val="000822D3"/>
    <w:rsid w:val="000A0F2A"/>
    <w:rsid w:val="000B2E7B"/>
    <w:rsid w:val="000C5ACF"/>
    <w:rsid w:val="000C636E"/>
    <w:rsid w:val="000E1C99"/>
    <w:rsid w:val="00102064"/>
    <w:rsid w:val="0011680B"/>
    <w:rsid w:val="00137592"/>
    <w:rsid w:val="00143F77"/>
    <w:rsid w:val="0016578C"/>
    <w:rsid w:val="00190603"/>
    <w:rsid w:val="00196DDF"/>
    <w:rsid w:val="001C05B5"/>
    <w:rsid w:val="001F2025"/>
    <w:rsid w:val="001F7BE1"/>
    <w:rsid w:val="00201EF7"/>
    <w:rsid w:val="00212CFA"/>
    <w:rsid w:val="002131C9"/>
    <w:rsid w:val="00217BC5"/>
    <w:rsid w:val="002244A3"/>
    <w:rsid w:val="002570F7"/>
    <w:rsid w:val="002A0A71"/>
    <w:rsid w:val="0031395B"/>
    <w:rsid w:val="00313EA7"/>
    <w:rsid w:val="00327FD0"/>
    <w:rsid w:val="00337E3D"/>
    <w:rsid w:val="00344015"/>
    <w:rsid w:val="003727F5"/>
    <w:rsid w:val="003739EF"/>
    <w:rsid w:val="00386581"/>
    <w:rsid w:val="00390916"/>
    <w:rsid w:val="003924F6"/>
    <w:rsid w:val="00395DA0"/>
    <w:rsid w:val="003A068E"/>
    <w:rsid w:val="003C2299"/>
    <w:rsid w:val="003C5984"/>
    <w:rsid w:val="00417AC9"/>
    <w:rsid w:val="004202ED"/>
    <w:rsid w:val="004237CE"/>
    <w:rsid w:val="004608C9"/>
    <w:rsid w:val="00473364"/>
    <w:rsid w:val="004879CD"/>
    <w:rsid w:val="00495ED4"/>
    <w:rsid w:val="004976BF"/>
    <w:rsid w:val="004B5C66"/>
    <w:rsid w:val="004C5B09"/>
    <w:rsid w:val="004E0824"/>
    <w:rsid w:val="004F0170"/>
    <w:rsid w:val="00500E9F"/>
    <w:rsid w:val="00501686"/>
    <w:rsid w:val="005071D2"/>
    <w:rsid w:val="00514304"/>
    <w:rsid w:val="00525CB6"/>
    <w:rsid w:val="00542567"/>
    <w:rsid w:val="00542B36"/>
    <w:rsid w:val="00563911"/>
    <w:rsid w:val="005849D8"/>
    <w:rsid w:val="005A4EFD"/>
    <w:rsid w:val="005B53AC"/>
    <w:rsid w:val="00600FA6"/>
    <w:rsid w:val="00607B6A"/>
    <w:rsid w:val="00636772"/>
    <w:rsid w:val="00637AA2"/>
    <w:rsid w:val="00652B14"/>
    <w:rsid w:val="006600B5"/>
    <w:rsid w:val="00660EAC"/>
    <w:rsid w:val="0066537F"/>
    <w:rsid w:val="00667B9D"/>
    <w:rsid w:val="0067627B"/>
    <w:rsid w:val="006931CE"/>
    <w:rsid w:val="006B0352"/>
    <w:rsid w:val="006B4494"/>
    <w:rsid w:val="006C2800"/>
    <w:rsid w:val="006E26C7"/>
    <w:rsid w:val="006E3B82"/>
    <w:rsid w:val="00700169"/>
    <w:rsid w:val="0072540B"/>
    <w:rsid w:val="00725583"/>
    <w:rsid w:val="00726D27"/>
    <w:rsid w:val="00742230"/>
    <w:rsid w:val="00781B38"/>
    <w:rsid w:val="00791921"/>
    <w:rsid w:val="00795A85"/>
    <w:rsid w:val="007A199D"/>
    <w:rsid w:val="007B2849"/>
    <w:rsid w:val="007B5524"/>
    <w:rsid w:val="007E112B"/>
    <w:rsid w:val="007E229A"/>
    <w:rsid w:val="008029AE"/>
    <w:rsid w:val="00804A2B"/>
    <w:rsid w:val="00825F38"/>
    <w:rsid w:val="00831274"/>
    <w:rsid w:val="00844615"/>
    <w:rsid w:val="008810CE"/>
    <w:rsid w:val="008B2211"/>
    <w:rsid w:val="008B4145"/>
    <w:rsid w:val="008B538D"/>
    <w:rsid w:val="008C0B2C"/>
    <w:rsid w:val="008F244F"/>
    <w:rsid w:val="00947A51"/>
    <w:rsid w:val="009519E3"/>
    <w:rsid w:val="00952D0E"/>
    <w:rsid w:val="0095694E"/>
    <w:rsid w:val="00972BDB"/>
    <w:rsid w:val="00974C91"/>
    <w:rsid w:val="0099503F"/>
    <w:rsid w:val="00995360"/>
    <w:rsid w:val="009B25BE"/>
    <w:rsid w:val="00A05868"/>
    <w:rsid w:val="00A14F2E"/>
    <w:rsid w:val="00A24810"/>
    <w:rsid w:val="00A82754"/>
    <w:rsid w:val="00A9394B"/>
    <w:rsid w:val="00A96474"/>
    <w:rsid w:val="00AC2743"/>
    <w:rsid w:val="00AD658B"/>
    <w:rsid w:val="00AD78A8"/>
    <w:rsid w:val="00B115FE"/>
    <w:rsid w:val="00B261A7"/>
    <w:rsid w:val="00B272C5"/>
    <w:rsid w:val="00B5742C"/>
    <w:rsid w:val="00B72C25"/>
    <w:rsid w:val="00B9586A"/>
    <w:rsid w:val="00B97042"/>
    <w:rsid w:val="00BB27B7"/>
    <w:rsid w:val="00BB2FE6"/>
    <w:rsid w:val="00BC4E0D"/>
    <w:rsid w:val="00BD2682"/>
    <w:rsid w:val="00BE10E2"/>
    <w:rsid w:val="00C06CA2"/>
    <w:rsid w:val="00C8588F"/>
    <w:rsid w:val="00CB2F72"/>
    <w:rsid w:val="00CC3C39"/>
    <w:rsid w:val="00CE1010"/>
    <w:rsid w:val="00D14751"/>
    <w:rsid w:val="00D51435"/>
    <w:rsid w:val="00D5618F"/>
    <w:rsid w:val="00D60E61"/>
    <w:rsid w:val="00D820E8"/>
    <w:rsid w:val="00D842D3"/>
    <w:rsid w:val="00DC024E"/>
    <w:rsid w:val="00DC2C55"/>
    <w:rsid w:val="00E21E72"/>
    <w:rsid w:val="00E32414"/>
    <w:rsid w:val="00E407AC"/>
    <w:rsid w:val="00E541D2"/>
    <w:rsid w:val="00EB2C16"/>
    <w:rsid w:val="00EB5FDF"/>
    <w:rsid w:val="00ED0321"/>
    <w:rsid w:val="00EE530E"/>
    <w:rsid w:val="00EF65FB"/>
    <w:rsid w:val="00F01ABA"/>
    <w:rsid w:val="00F04CDC"/>
    <w:rsid w:val="00F63A63"/>
    <w:rsid w:val="00FB5071"/>
    <w:rsid w:val="00FD4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HTMLTypewriter">
    <w:name w:val="HTML Typewriter"/>
    <w:basedOn w:val="DefaultParagraphFont"/>
    <w:uiPriority w:val="99"/>
    <w:semiHidden/>
    <w:unhideWhenUsed/>
    <w:rsid w:val="007E112B"/>
    <w:rPr>
      <w:rFonts w:ascii="Courier New" w:eastAsiaTheme="minorHAnsi" w:hAnsi="Courier New" w:cs="Courier New" w:hint="default"/>
      <w:sz w:val="20"/>
      <w:szCs w:val="20"/>
    </w:rPr>
  </w:style>
  <w:style w:type="paragraph" w:styleId="BodyTextIndent">
    <w:name w:val="Body Text Indent"/>
    <w:basedOn w:val="Normal"/>
    <w:link w:val="BodyTextIndentChar"/>
    <w:uiPriority w:val="99"/>
    <w:semiHidden/>
    <w:unhideWhenUsed/>
    <w:rsid w:val="00636772"/>
    <w:pPr>
      <w:spacing w:after="120"/>
      <w:ind w:left="360"/>
    </w:pPr>
  </w:style>
  <w:style w:type="character" w:customStyle="1" w:styleId="BodyTextIndentChar">
    <w:name w:val="Body Text Indent Char"/>
    <w:basedOn w:val="DefaultParagraphFont"/>
    <w:link w:val="BodyTextIndent"/>
    <w:uiPriority w:val="99"/>
    <w:semiHidden/>
    <w:rsid w:val="00636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10A19-F6C1-4C2F-99D9-61BAE73FB6E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B3F5BC7-39F8-4554-B0E4-1AEFDB2B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66DBA-A0FA-4957-97BF-6D0D7BD11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9568</Words>
  <Characters>54539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63980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2013-09-17T16:29:00Z</dcterms:created>
  <dcterms:modified xsi:type="dcterms:W3CDTF">2013-09-17T16:29:00Z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