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Oregon DEQ requests that EPA delegate to DEQ the authority to implement the Federal Plan Requirements for hospital/medical/infectious waste incinerators.</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31395B" w:rsidRDefault="00636772" w:rsidP="003739EF">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DEQ will implement the </w:t>
      </w:r>
      <w:r w:rsidR="003739EF">
        <w:rPr>
          <w:rFonts w:ascii="Times New Roman" w:hAnsi="Times New Roman" w:cs="Times New Roman"/>
          <w:bCs/>
          <w:sz w:val="24"/>
          <w:szCs w:val="24"/>
        </w:rPr>
        <w:t xml:space="preserve">recordkeeping requirement through its Air Contaminant Discharge Permit program which is part of Oregon’s State Implementation Plan. Oregon State University currently has a Simple Air Contaminant Discharge Permit and is required to pay </w:t>
      </w:r>
      <w:r w:rsidR="00B5742C">
        <w:rPr>
          <w:rFonts w:ascii="Times New Roman" w:hAnsi="Times New Roman" w:cs="Times New Roman"/>
          <w:bCs/>
          <w:sz w:val="24"/>
          <w:szCs w:val="24"/>
        </w:rPr>
        <w:t>an annual fee of $3,840.</w:t>
      </w:r>
      <w:r w:rsidR="003739EF" w:rsidRPr="003739EF">
        <w:rPr>
          <w:rFonts w:ascii="Times New Roman" w:hAnsi="Times New Roman" w:cs="Times New Roman"/>
          <w:bCs/>
          <w:sz w:val="24"/>
          <w:szCs w:val="24"/>
        </w:rPr>
        <w:t xml:space="preserve"> </w:t>
      </w:r>
      <w:r w:rsidR="0031395B">
        <w:rPr>
          <w:rFonts w:ascii="Times New Roman" w:hAnsi="Times New Roman" w:cs="Times New Roman"/>
          <w:bCs/>
          <w:sz w:val="24"/>
          <w:szCs w:val="24"/>
        </w:rPr>
        <w:t>The permit requires Oregon State University to report annually:</w:t>
      </w:r>
    </w:p>
    <w:p w:rsidR="0031395B" w:rsidRDefault="0031395B" w:rsidP="003739EF">
      <w:pPr>
        <w:autoSpaceDE w:val="0"/>
        <w:autoSpaceDN w:val="0"/>
        <w:adjustRightInd w:val="0"/>
        <w:spacing w:after="0" w:line="240" w:lineRule="auto"/>
        <w:rPr>
          <w:rFonts w:ascii="Times New Roman" w:hAnsi="Times New Roman" w:cs="Times New Roman"/>
          <w:bCs/>
          <w:sz w:val="24"/>
          <w:szCs w:val="24"/>
        </w:rPr>
      </w:pP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materials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31395B" w:rsidRDefault="0031395B" w:rsidP="0031395B">
      <w:pPr>
        <w:autoSpaceDE w:val="0"/>
        <w:autoSpaceDN w:val="0"/>
        <w:adjustRightInd w:val="0"/>
        <w:spacing w:after="0" w:line="240" w:lineRule="auto"/>
        <w:rPr>
          <w:rFonts w:ascii="Times New Roman" w:hAnsi="Times New Roman" w:cs="Times New Roman"/>
          <w:bCs/>
          <w:sz w:val="24"/>
          <w:szCs w:val="24"/>
        </w:rPr>
      </w:pPr>
    </w:p>
    <w:p w:rsidR="00636772" w:rsidRPr="0031395B" w:rsidRDefault="0031395B" w:rsidP="003139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DEQ typically inspect sources on a Simple Air Contaminant Discharge Permit once every 5 years.</w:t>
      </w:r>
      <w:r w:rsidR="003739EF" w:rsidRPr="0031395B">
        <w:rPr>
          <w:rFonts w:ascii="Times New Roman" w:hAnsi="Times New Roman" w:cs="Times New Roman"/>
          <w:bCs/>
          <w:sz w:val="24"/>
          <w:szCs w:val="24"/>
        </w:rPr>
        <w:t xml:space="preserve">  </w:t>
      </w:r>
      <w:r w:rsidR="00636772" w:rsidRPr="0031395B">
        <w:rPr>
          <w:rFonts w:ascii="Times New Roman" w:hAnsi="Times New Roman" w:cs="Times New Roman"/>
          <w:bCs/>
          <w:sz w:val="24"/>
          <w:szCs w:val="24"/>
        </w:rPr>
        <w:t xml:space="preserve"> </w:t>
      </w:r>
    </w:p>
    <w:p w:rsidR="00636772" w:rsidRDefault="00636772" w:rsidP="005B53AC">
      <w:pPr>
        <w:pStyle w:val="NormalWeb"/>
        <w:rPr>
          <w:b/>
          <w:bCs/>
        </w:rPr>
      </w:pPr>
      <w:r>
        <w:rPr>
          <w:b/>
          <w:bCs/>
        </w:rPr>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commission the authority to establish air quality standards including emission standards for the entire state or an area of the state. The standards shall set forth the </w:t>
      </w:r>
      <w:r>
        <w:rPr>
          <w:rFonts w:ascii="Times New Roman" w:hAnsi="Times New Roman"/>
          <w:sz w:val="24"/>
          <w:szCs w:val="20"/>
        </w:rPr>
        <w:lastRenderedPageBreak/>
        <w:t>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ORS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F04CDC">
        <w:rPr>
          <w:rFonts w:ascii="Times New Roman" w:hAnsi="Times New Roman" w:cs="Times New Roman"/>
          <w:sz w:val="24"/>
          <w:szCs w:val="24"/>
        </w:rPr>
        <w:t xml:space="preserve">they </w:t>
      </w:r>
      <w:r w:rsidRPr="007E112B">
        <w:rPr>
          <w:rFonts w:ascii="Times New Roman" w:hAnsi="Times New Roman" w:cs="Times New Roman"/>
          <w:sz w:val="24"/>
          <w:szCs w:val="24"/>
        </w:rPr>
        <w:t>meet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lastRenderedPageBreak/>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 no strings attached</w:t>
      </w:r>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E3B82">
        <w:rPr>
          <w:rFonts w:ascii="Times New Roman" w:hAnsi="Times New Roman" w:cs="Times New Roman"/>
          <w:sz w:val="24"/>
          <w:szCs w:val="24"/>
        </w:rPr>
        <w:t xml:space="preserve">following source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Oregon State University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3A068E" w:rsidRDefault="003A068E" w:rsidP="003A068E">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CISWI units in the incinerator subcategory that commenced construction on or before November 30, 1999, must achieve final compliance as expeditiously as practicable</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but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386DC3">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181299">
        <w:rPr>
          <w:rFonts w:ascii="Times New Roman" w:hAnsi="Times New Roman" w:cs="Times New Roman"/>
          <w:color w:val="000000"/>
          <w:sz w:val="24"/>
          <w:szCs w:val="24"/>
        </w:rPr>
        <w:t>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incinerators are exempt from th</w:t>
      </w:r>
      <w:r>
        <w:rPr>
          <w:rFonts w:ascii="Times New Roman" w:hAnsi="Times New Roman" w:cs="Times New Roman"/>
          <w:color w:val="000000"/>
          <w:sz w:val="24"/>
          <w:szCs w:val="24"/>
        </w:rPr>
        <w:t xml:space="preserve">is rule </w:t>
      </w:r>
      <w:r w:rsidRPr="00181299">
        <w:rPr>
          <w:rFonts w:ascii="Times New Roman" w:hAnsi="Times New Roman" w:cs="Times New Roman"/>
          <w:color w:val="000000"/>
          <w:sz w:val="24"/>
          <w:szCs w:val="24"/>
        </w:rPr>
        <w:t>except for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sidRPr="00386DC3">
        <w:rPr>
          <w:rFonts w:ascii="Times New Roman" w:hAnsi="Times New Roman" w:cs="Times New Roman"/>
          <w:b/>
          <w:color w:val="000000"/>
          <w:sz w:val="24"/>
          <w:szCs w:val="24"/>
        </w:rPr>
        <w:t>40 CFR 60.2805, 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Ea or </w:t>
      </w:r>
      <w:proofErr w:type="spellStart"/>
      <w:r w:rsidRPr="00386DC3">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w:t>
      </w:r>
      <w:proofErr w:type="spellStart"/>
      <w:r w:rsidRPr="00386DC3">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air curtain incinerator </w:t>
      </w:r>
      <w:r w:rsidRPr="00181299">
        <w:rPr>
          <w:rFonts w:ascii="Times New Roman" w:hAnsi="Times New Roman" w:cs="Times New Roman"/>
          <w:color w:val="000000"/>
          <w:sz w:val="24"/>
          <w:szCs w:val="24"/>
        </w:rPr>
        <w:t xml:space="preserve">requirements under </w:t>
      </w:r>
      <w:r w:rsidRPr="00386DC3">
        <w:rPr>
          <w:rFonts w:ascii="Times New Roman" w:hAnsi="Times New Roman" w:cs="Times New Roman"/>
          <w:b/>
          <w:color w:val="000000"/>
          <w:sz w:val="24"/>
          <w:szCs w:val="24"/>
        </w:rPr>
        <w:t xml:space="preserve">40 CFR </w:t>
      </w:r>
      <w:r w:rsidRPr="00527670">
        <w:rPr>
          <w:rFonts w:ascii="Times New Roman" w:hAnsi="Times New Roman" w:cs="Times New Roman"/>
          <w:b/>
          <w:color w:val="000000"/>
          <w:sz w:val="24"/>
          <w:szCs w:val="24"/>
        </w:rPr>
        <w:t>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w:t>
      </w:r>
      <w:r>
        <w:rPr>
          <w:rFonts w:ascii="Times New Roman" w:hAnsi="Times New Roman" w:cs="Times New Roman"/>
          <w:bCs/>
          <w:color w:val="000000"/>
          <w:sz w:val="24"/>
          <w:szCs w:val="24"/>
        </w:rPr>
        <w:t>5</w:t>
      </w:r>
      <w:r w:rsidRPr="00386DC3">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in accordance with </w:t>
      </w:r>
      <w:r w:rsidRPr="00386DC3">
        <w:rPr>
          <w:rFonts w:ascii="Times New Roman" w:hAnsi="Times New Roman" w:cs="Times New Roman"/>
          <w:b/>
          <w:color w:val="000000"/>
          <w:sz w:val="24"/>
          <w:szCs w:val="24"/>
        </w:rPr>
        <w:t>40 CFR 60.2585 through 60.26</w:t>
      </w:r>
      <w:r>
        <w:rPr>
          <w:rFonts w:ascii="Times New Roman" w:hAnsi="Times New Roman" w:cs="Times New Roman"/>
          <w:b/>
          <w:color w:val="000000"/>
          <w:sz w:val="24"/>
          <w:szCs w:val="24"/>
        </w:rPr>
        <w:t>0</w:t>
      </w:r>
      <w:r w:rsidRPr="00386DC3">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386DC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w:t>
      </w:r>
      <w:r w:rsidRPr="00386DC3">
        <w:rPr>
          <w:rFonts w:ascii="Times New Roman" w:hAnsi="Times New Roman" w:cs="Times New Roman"/>
          <w:bCs/>
          <w:color w:val="000000"/>
          <w:sz w:val="24"/>
          <w:szCs w:val="24"/>
        </w:rPr>
        <w:t xml:space="preserve">General Requirements.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CISWI units subject to this rule must comply with </w:t>
      </w:r>
      <w:r w:rsidRPr="00386DC3">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60.2795</w:t>
      </w:r>
      <w:r>
        <w:rPr>
          <w:rFonts w:ascii="Times New Roman" w:hAnsi="Times New Roman" w:cs="Times New Roman"/>
          <w:bCs/>
          <w:color w:val="000000"/>
          <w:sz w:val="24"/>
          <w:szCs w:val="24"/>
        </w:rPr>
        <w:t xml:space="preserve">. </w:t>
      </w:r>
    </w:p>
    <w:p w:rsidR="003A068E" w:rsidRPr="00A00AA3"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(b) Air curtain incinerators subject to this rule must comply with </w:t>
      </w:r>
      <w:r w:rsidRPr="00527670">
        <w:rPr>
          <w:rFonts w:ascii="Times New Roman" w:hAnsi="Times New Roman" w:cs="Times New Roman"/>
          <w:b/>
          <w:color w:val="000000"/>
          <w:sz w:val="24"/>
          <w:szCs w:val="24"/>
        </w:rPr>
        <w:t>40 CFR 60.2860 and 60.2870</w:t>
      </w:r>
      <w:r>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386DC3">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Definitions. Terms used in this rule are as defined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386DC3">
        <w:rPr>
          <w:rFonts w:ascii="Times New Roman" w:hAnsi="Times New Roman" w:cs="Times New Roman"/>
          <w:color w:val="000000"/>
          <w:sz w:val="24"/>
          <w:szCs w:val="24"/>
        </w:rPr>
        <w:lastRenderedPageBreak/>
        <w:t>Stat. Auth.: ORS 468.020</w:t>
      </w:r>
      <w:r w:rsidRPr="00386DC3">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and </w:t>
      </w:r>
      <w:r w:rsidR="00B115FE">
        <w:rPr>
          <w:rFonts w:ascii="Times New Roman" w:hAnsi="Times New Roman" w:cs="Times New Roman"/>
          <w:sz w:val="22"/>
        </w:rPr>
        <w:t xml:space="preserve">40 CFR Part 60 </w:t>
      </w:r>
      <w:r w:rsidRPr="00651DB9">
        <w:rPr>
          <w:rFonts w:ascii="Times New Roman" w:hAnsi="Times New Roman" w:cs="Times New Roman"/>
          <w:sz w:val="22"/>
        </w:rPr>
        <w:t xml:space="preserve">Subpart Ce, both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2013.</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pPr>
        <w:rPr>
          <w:rFonts w:ascii="Times New Roman" w:hAnsi="Times New Roman" w:cs="Times New Roman"/>
          <w:szCs w:val="21"/>
        </w:rPr>
      </w:pPr>
      <w:r>
        <w:rPr>
          <w:rFonts w:ascii="Times New Roman" w:hAnsi="Times New Roman" w:cs="Times New Roman"/>
        </w:rPr>
        <w:lastRenderedPageBreak/>
        <w:br w:type="page"/>
      </w:r>
    </w:p>
    <w:p w:rsidR="00102064" w:rsidRDefault="00102064" w:rsidP="00102064">
      <w:pPr>
        <w:rPr>
          <w:rFonts w:ascii="Times New Roman" w:hAnsi="Times New Roman" w:cs="Times New Roman"/>
          <w:b/>
          <w:sz w:val="24"/>
          <w:szCs w:val="24"/>
        </w:rPr>
      </w:pP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35" w:rsidRDefault="00D51435" w:rsidP="00947A51">
      <w:pPr>
        <w:spacing w:after="0" w:line="240" w:lineRule="auto"/>
      </w:pPr>
      <w:r>
        <w:separator/>
      </w:r>
    </w:p>
  </w:endnote>
  <w:endnote w:type="continuationSeparator" w:id="0">
    <w:p w:rsidR="00D51435" w:rsidRDefault="00D51435"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35" w:rsidRDefault="00D51435" w:rsidP="00947A51">
      <w:pPr>
        <w:spacing w:after="0" w:line="240" w:lineRule="auto"/>
      </w:pPr>
      <w:r>
        <w:separator/>
      </w:r>
    </w:p>
  </w:footnote>
  <w:footnote w:type="continuationSeparator" w:id="0">
    <w:p w:rsidR="00D51435" w:rsidRDefault="00D51435"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D51435" w:rsidRDefault="00D51435"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37592"/>
    <w:rsid w:val="00143F77"/>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F0170"/>
    <w:rsid w:val="00500E9F"/>
    <w:rsid w:val="00501686"/>
    <w:rsid w:val="005071D2"/>
    <w:rsid w:val="00514304"/>
    <w:rsid w:val="00525CB6"/>
    <w:rsid w:val="00542567"/>
    <w:rsid w:val="00542B36"/>
    <w:rsid w:val="00563911"/>
    <w:rsid w:val="005849D8"/>
    <w:rsid w:val="005A4EFD"/>
    <w:rsid w:val="005B53AC"/>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B2211"/>
    <w:rsid w:val="008B4145"/>
    <w:rsid w:val="008B538D"/>
    <w:rsid w:val="008C0B2C"/>
    <w:rsid w:val="008F244F"/>
    <w:rsid w:val="00947A51"/>
    <w:rsid w:val="009519E3"/>
    <w:rsid w:val="00952D0E"/>
    <w:rsid w:val="0095694E"/>
    <w:rsid w:val="00972BDB"/>
    <w:rsid w:val="00974C91"/>
    <w:rsid w:val="0099503F"/>
    <w:rsid w:val="00995360"/>
    <w:rsid w:val="009B25BE"/>
    <w:rsid w:val="00A05868"/>
    <w:rsid w:val="00A14F2E"/>
    <w:rsid w:val="00A24810"/>
    <w:rsid w:val="00A314DB"/>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8588F"/>
    <w:rsid w:val="00CB2F72"/>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89D66DBA-A0FA-4957-97BF-6D0D7BD11864}">
  <ds:schemaRefs>
    <ds:schemaRef ds:uri="http://schemas.microsoft.com/sharepoint/v3/contenttype/forms"/>
  </ds:schemaRefs>
</ds:datastoreItem>
</file>

<file path=customXml/itemProps2.xml><?xml version="1.0" encoding="utf-8"?>
<ds:datastoreItem xmlns:ds="http://schemas.openxmlformats.org/officeDocument/2006/customXml" ds:itemID="{3B3F5BC7-39F8-4554-B0E4-1AEFDB2B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10A19-F6C1-4C2F-99D9-61BAE73FB6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9566</Words>
  <Characters>54532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2013-09-18T23:06:00Z</dcterms:created>
  <dcterms:modified xsi:type="dcterms:W3CDTF">2013-09-18T23:06:00Z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