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481" w:rsidRDefault="007B570F" w:rsidP="00C63C64">
      <w:pPr>
        <w:pStyle w:val="Title"/>
      </w:pPr>
      <w:r>
        <w:fldChar w:fldCharType="begin"/>
      </w:r>
      <w:bookmarkStart w:id="0" w:name="Dropdown5"/>
      <w:r w:rsidR="00C63C64">
        <w:instrText xml:space="preserve"> FORMDROPDOWN </w:instrText>
      </w:r>
      <w:r>
        <w:fldChar w:fldCharType="end"/>
      </w:r>
      <w:bookmarkEnd w:id="0"/>
      <w:r>
        <w:fldChar w:fldCharType="begin">
          <w:ffData>
            <w:name w:val="Dropdown5"/>
            <w:enabled/>
            <w:calcOnExit w:val="0"/>
            <w:ddList>
              <w:listEntry w:val="Simple"/>
              <w:listEntry w:val="Standard"/>
            </w:ddList>
          </w:ffData>
        </w:fldChar>
      </w:r>
      <w:r w:rsidR="00584994">
        <w:instrText xml:space="preserve"> FORMDROPDOWN </w:instrText>
      </w:r>
      <w:r>
        <w:fldChar w:fldCharType="end"/>
      </w:r>
      <w:r w:rsidR="00584994">
        <w:t xml:space="preserve"> </w:t>
      </w:r>
      <w:r w:rsidR="00C27481">
        <w:t xml:space="preserve">air </w:t>
      </w:r>
      <w:r w:rsidR="00C27481" w:rsidRPr="00C63C64">
        <w:t>contaminant</w:t>
      </w:r>
      <w:r w:rsidR="00C27481">
        <w:t xml:space="preserve"> discharge permit</w:t>
      </w:r>
    </w:p>
    <w:p w:rsidR="00C27481" w:rsidRDefault="00C27481">
      <w:pPr>
        <w:pStyle w:val="Title"/>
      </w:pPr>
      <w:r>
        <w:t>review report</w:t>
      </w:r>
    </w:p>
    <w:p w:rsidR="005E1E7E" w:rsidRDefault="005E1E7E" w:rsidP="005E1E7E">
      <w:pPr>
        <w:jc w:val="center"/>
      </w:pPr>
      <w:r>
        <w:t>Department of Environmental Quality</w:t>
      </w:r>
    </w:p>
    <w:p w:rsidR="00584994" w:rsidRDefault="007B570F" w:rsidP="00584994">
      <w:pPr>
        <w:jc w:val="center"/>
      </w:pPr>
      <w:r>
        <w:fldChar w:fldCharType="begin"/>
      </w:r>
      <w:bookmarkStart w:id="1" w:name="Dropdown3"/>
      <w:r w:rsidR="00C63C64">
        <w:instrText xml:space="preserve"> FORMDROPDOWN </w:instrText>
      </w:r>
      <w:r>
        <w:fldChar w:fldCharType="end"/>
      </w:r>
      <w:bookmarkEnd w:id="1"/>
      <w:r>
        <w:fldChar w:fldCharType="begin">
          <w:ffData>
            <w:name w:val=""/>
            <w:enabled/>
            <w:calcOnExit w:val="0"/>
            <w:ddList>
              <w:listEntry w:val="Northwest Region"/>
              <w:listEntry w:val="Eastern Region"/>
              <w:listEntry w:val="Western Region"/>
            </w:ddList>
          </w:ffData>
        </w:fldChar>
      </w:r>
      <w:r w:rsidR="00CA1C01">
        <w:instrText xml:space="preserve"> FORMDROPDOWN </w:instrText>
      </w:r>
      <w:r>
        <w:fldChar w:fldCharType="end"/>
      </w:r>
    </w:p>
    <w:p w:rsidR="00120E53" w:rsidRDefault="00120E53" w:rsidP="00584994">
      <w:pPr>
        <w:jc w:val="center"/>
      </w:pPr>
      <w:r>
        <w:t>International Paper Company</w:t>
      </w:r>
    </w:p>
    <w:p w:rsidR="00120E53" w:rsidRDefault="00120E53" w:rsidP="00584994">
      <w:pPr>
        <w:jc w:val="center"/>
      </w:pPr>
      <w:r>
        <w:t>1601 NE 192</w:t>
      </w:r>
      <w:r w:rsidRPr="00120E53">
        <w:rPr>
          <w:vertAlign w:val="superscript"/>
        </w:rPr>
        <w:t>nd</w:t>
      </w:r>
      <w:r>
        <w:t xml:space="preserve"> Avenue</w:t>
      </w:r>
    </w:p>
    <w:p w:rsidR="00120E53" w:rsidRDefault="00120E53" w:rsidP="00584994">
      <w:pPr>
        <w:jc w:val="center"/>
      </w:pPr>
      <w:r>
        <w:t>Portland, OR 97230</w:t>
      </w:r>
    </w:p>
    <w:p w:rsidR="00120E53" w:rsidRDefault="00120E53" w:rsidP="00584994">
      <w:pPr>
        <w:jc w:val="center"/>
      </w:pPr>
      <w:r>
        <w:t>(503) 661-6161</w:t>
      </w:r>
    </w:p>
    <w:p w:rsidR="00C63C64" w:rsidRDefault="00C63C64" w:rsidP="00C63C64"/>
    <w:p w:rsidR="00C63C64" w:rsidRDefault="00C63C64" w:rsidP="00C63C64">
      <w:r w:rsidRPr="005803C9">
        <w:rPr>
          <w:b/>
        </w:rPr>
        <w:t>Source Information:</w:t>
      </w:r>
    </w:p>
    <w:p w:rsidR="00C63C64" w:rsidRDefault="00C63C64" w:rsidP="00C63C64">
      <w:pPr>
        <w:sectPr w:rsidR="00C63C64" w:rsidSect="00C63C64">
          <w:headerReference w:type="default" r:id="rId8"/>
          <w:footerReference w:type="default" r:id="rId9"/>
          <w:type w:val="continuous"/>
          <w:pgSz w:w="12240" w:h="15840"/>
          <w:pgMar w:top="1800" w:right="1440" w:bottom="1440" w:left="1440" w:header="720" w:footer="720" w:gutter="0"/>
          <w:cols w:space="720"/>
        </w:sectPr>
      </w:pP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2070"/>
      </w:tblGrid>
      <w:tr w:rsidR="00C63C64" w:rsidTr="00080406">
        <w:tc>
          <w:tcPr>
            <w:tcW w:w="2538" w:type="dxa"/>
          </w:tcPr>
          <w:p w:rsidR="00C63C64" w:rsidRDefault="00C63C64" w:rsidP="00080406">
            <w:pPr>
              <w:spacing w:beforeLines="40" w:afterLines="40"/>
            </w:pPr>
            <w:r>
              <w:lastRenderedPageBreak/>
              <w:t>SIC</w:t>
            </w:r>
          </w:p>
        </w:tc>
        <w:tc>
          <w:tcPr>
            <w:tcW w:w="2070" w:type="dxa"/>
          </w:tcPr>
          <w:p w:rsidR="00C63C64" w:rsidRDefault="00CA1C01" w:rsidP="00080406">
            <w:pPr>
              <w:spacing w:beforeLines="40" w:afterLines="40"/>
              <w:jc w:val="center"/>
            </w:pPr>
            <w:r>
              <w:t>2653/4961</w:t>
            </w:r>
          </w:p>
        </w:tc>
      </w:tr>
      <w:tr w:rsidR="00C63C64" w:rsidTr="00080406">
        <w:tc>
          <w:tcPr>
            <w:tcW w:w="2538" w:type="dxa"/>
          </w:tcPr>
          <w:p w:rsidR="00C63C64" w:rsidRDefault="00C63C64" w:rsidP="00080406">
            <w:pPr>
              <w:spacing w:beforeLines="40" w:afterLines="40"/>
            </w:pPr>
            <w:r>
              <w:t>NAICS</w:t>
            </w:r>
          </w:p>
        </w:tc>
        <w:tc>
          <w:tcPr>
            <w:tcW w:w="2070" w:type="dxa"/>
          </w:tcPr>
          <w:p w:rsidR="00C63C64" w:rsidRDefault="00CA1C01" w:rsidP="00080406">
            <w:pPr>
              <w:spacing w:beforeLines="40" w:afterLines="40"/>
              <w:jc w:val="center"/>
            </w:pPr>
            <w:r>
              <w:t>322211/221330</w:t>
            </w:r>
          </w:p>
        </w:tc>
      </w:tr>
    </w:tbl>
    <w:p w:rsidR="00C63C64" w:rsidRDefault="00C63C64"/>
    <w:p w:rsidR="00C63C64" w:rsidRDefault="00C63C64"/>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890"/>
      </w:tblGrid>
      <w:tr w:rsidR="00C63C64" w:rsidTr="00080406">
        <w:tc>
          <w:tcPr>
            <w:tcW w:w="2718" w:type="dxa"/>
          </w:tcPr>
          <w:p w:rsidR="00C63C64" w:rsidRDefault="00C63C64" w:rsidP="00080406">
            <w:pPr>
              <w:spacing w:beforeLines="40" w:afterLines="40"/>
            </w:pPr>
            <w:r>
              <w:lastRenderedPageBreak/>
              <w:t>Source Categories</w:t>
            </w:r>
            <w:r w:rsidR="00E81E85">
              <w:t xml:space="preserve">    </w:t>
            </w:r>
            <w:r>
              <w:t>(</w:t>
            </w:r>
            <w:r w:rsidR="006A3478">
              <w:t xml:space="preserve">Table 1 </w:t>
            </w:r>
            <w:r>
              <w:t>Part, code)</w:t>
            </w:r>
          </w:p>
        </w:tc>
        <w:tc>
          <w:tcPr>
            <w:tcW w:w="1890" w:type="dxa"/>
          </w:tcPr>
          <w:p w:rsidR="00C63C64" w:rsidRDefault="00CA1C01" w:rsidP="00080406">
            <w:pPr>
              <w:spacing w:beforeLines="40" w:afterLines="40"/>
              <w:jc w:val="center"/>
            </w:pPr>
            <w:r>
              <w:t>Part B, #75</w:t>
            </w:r>
          </w:p>
        </w:tc>
      </w:tr>
      <w:tr w:rsidR="00C63C64" w:rsidTr="00080406">
        <w:tc>
          <w:tcPr>
            <w:tcW w:w="2718" w:type="dxa"/>
          </w:tcPr>
          <w:p w:rsidR="00C63C64" w:rsidRDefault="00C63C64" w:rsidP="00080406">
            <w:pPr>
              <w:spacing w:beforeLines="40" w:afterLines="40"/>
            </w:pPr>
            <w:r>
              <w:t>Public Notice</w:t>
            </w:r>
            <w:r w:rsidR="00E81E85">
              <w:t xml:space="preserve"> Category</w:t>
            </w:r>
          </w:p>
        </w:tc>
        <w:tc>
          <w:tcPr>
            <w:tcW w:w="1890" w:type="dxa"/>
          </w:tcPr>
          <w:p w:rsidR="00C63C64" w:rsidRDefault="00CA1C01" w:rsidP="00080406">
            <w:pPr>
              <w:spacing w:beforeLines="40" w:afterLines="40"/>
              <w:jc w:val="center"/>
            </w:pPr>
            <w:r>
              <w:t>II</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r w:rsidRPr="005803C9">
        <w:rPr>
          <w:b/>
        </w:rPr>
        <w:lastRenderedPageBreak/>
        <w:t>Compliance and Emissions Monitoring Requirements: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2070"/>
      </w:tblGrid>
      <w:tr w:rsidR="006A3478" w:rsidTr="00080406">
        <w:tc>
          <w:tcPr>
            <w:tcW w:w="2538" w:type="dxa"/>
          </w:tcPr>
          <w:p w:rsidR="006A3478" w:rsidRDefault="006A3478" w:rsidP="00080406">
            <w:pPr>
              <w:spacing w:beforeLines="40" w:afterLines="40"/>
            </w:pPr>
            <w:r>
              <w:lastRenderedPageBreak/>
              <w:t>FCE</w:t>
            </w:r>
          </w:p>
        </w:tc>
        <w:tc>
          <w:tcPr>
            <w:tcW w:w="2070" w:type="dxa"/>
          </w:tcPr>
          <w:p w:rsidR="006A3478" w:rsidRDefault="006A3478" w:rsidP="00080406">
            <w:pPr>
              <w:spacing w:beforeLines="40" w:afterLines="40"/>
              <w:jc w:val="center"/>
            </w:pPr>
          </w:p>
        </w:tc>
      </w:tr>
      <w:tr w:rsidR="006A3478" w:rsidTr="00080406">
        <w:tc>
          <w:tcPr>
            <w:tcW w:w="2538" w:type="dxa"/>
          </w:tcPr>
          <w:p w:rsidR="006A3478" w:rsidRDefault="006A3478" w:rsidP="00080406">
            <w:pPr>
              <w:spacing w:beforeLines="40" w:afterLines="40"/>
            </w:pPr>
            <w:r>
              <w:t>Compliance schedule</w:t>
            </w:r>
          </w:p>
        </w:tc>
        <w:tc>
          <w:tcPr>
            <w:tcW w:w="2070" w:type="dxa"/>
          </w:tcPr>
          <w:p w:rsidR="006A3478" w:rsidRDefault="006A3478" w:rsidP="00080406">
            <w:pPr>
              <w:spacing w:beforeLines="40" w:afterLines="40"/>
              <w:jc w:val="center"/>
            </w:pPr>
          </w:p>
        </w:tc>
      </w:tr>
      <w:tr w:rsidR="00C63C64" w:rsidTr="00080406">
        <w:tc>
          <w:tcPr>
            <w:tcW w:w="2538" w:type="dxa"/>
          </w:tcPr>
          <w:p w:rsidR="00C63C64" w:rsidRDefault="00C63C64" w:rsidP="00080406">
            <w:pPr>
              <w:spacing w:beforeLines="40" w:afterLines="40"/>
            </w:pPr>
            <w:r>
              <w:t>Unassigned emissions</w:t>
            </w:r>
          </w:p>
        </w:tc>
        <w:tc>
          <w:tcPr>
            <w:tcW w:w="2070" w:type="dxa"/>
          </w:tcPr>
          <w:p w:rsidR="00C63C64" w:rsidRDefault="00C63C64" w:rsidP="00080406">
            <w:pPr>
              <w:spacing w:beforeLines="40" w:afterLines="40"/>
              <w:jc w:val="center"/>
            </w:pPr>
          </w:p>
        </w:tc>
      </w:tr>
      <w:tr w:rsidR="00C63C64" w:rsidTr="00080406">
        <w:tc>
          <w:tcPr>
            <w:tcW w:w="2538" w:type="dxa"/>
          </w:tcPr>
          <w:p w:rsidR="00C63C64" w:rsidRDefault="00C63C64" w:rsidP="00080406">
            <w:pPr>
              <w:spacing w:beforeLines="40" w:afterLines="40"/>
            </w:pPr>
            <w:r>
              <w:t>Emission credits</w:t>
            </w:r>
          </w:p>
        </w:tc>
        <w:tc>
          <w:tcPr>
            <w:tcW w:w="2070" w:type="dxa"/>
          </w:tcPr>
          <w:p w:rsidR="00C63C64" w:rsidRDefault="00C63C64" w:rsidP="00080406">
            <w:pPr>
              <w:spacing w:beforeLines="40" w:afterLines="40"/>
              <w:jc w:val="center"/>
            </w:pPr>
          </w:p>
        </w:tc>
      </w:tr>
      <w:tr w:rsidR="00C63C64" w:rsidTr="00080406">
        <w:tc>
          <w:tcPr>
            <w:tcW w:w="2538" w:type="dxa"/>
          </w:tcPr>
          <w:p w:rsidR="00C63C64" w:rsidRDefault="00E81E85" w:rsidP="00080406">
            <w:pPr>
              <w:spacing w:beforeLines="40" w:afterLines="40"/>
            </w:pPr>
            <w:r>
              <w:t>Special Conditions</w:t>
            </w:r>
          </w:p>
        </w:tc>
        <w:tc>
          <w:tcPr>
            <w:tcW w:w="2070" w:type="dxa"/>
          </w:tcPr>
          <w:p w:rsidR="00C63C64" w:rsidRDefault="00C63C64" w:rsidP="00080406">
            <w:pPr>
              <w:spacing w:beforeLines="40" w:afterLines="40"/>
              <w:jc w:val="center"/>
            </w:pPr>
          </w:p>
        </w:tc>
      </w:tr>
    </w:tbl>
    <w:p w:rsidR="00C63C64" w:rsidRDefault="00C63C64" w:rsidP="00C63C64"/>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890"/>
      </w:tblGrid>
      <w:tr w:rsidR="00C63C64" w:rsidTr="00080406">
        <w:tc>
          <w:tcPr>
            <w:tcW w:w="2718" w:type="dxa"/>
          </w:tcPr>
          <w:p w:rsidR="00C63C64" w:rsidRDefault="00E81E85" w:rsidP="00080406">
            <w:pPr>
              <w:spacing w:beforeLines="40" w:afterLines="40"/>
            </w:pPr>
            <w:r>
              <w:lastRenderedPageBreak/>
              <w:t>Source test [date(s)]</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t>COMS</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t>CEMS</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t>Ambient monitoring</w:t>
            </w:r>
          </w:p>
        </w:tc>
        <w:tc>
          <w:tcPr>
            <w:tcW w:w="1890" w:type="dxa"/>
          </w:tcPr>
          <w:p w:rsidR="00C63C64" w:rsidRDefault="00C63C64" w:rsidP="00080406">
            <w:pPr>
              <w:spacing w:beforeLines="40" w:afterLines="40"/>
              <w:jc w:val="center"/>
            </w:pP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Pr="005803C9" w:rsidRDefault="00C63C64" w:rsidP="00C63C64">
      <w:r w:rsidRPr="005803C9">
        <w:rPr>
          <w:b/>
        </w:rPr>
        <w:lastRenderedPageBreak/>
        <w:t>Reporting Requirements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2070"/>
      </w:tblGrid>
      <w:tr w:rsidR="00C63C64" w:rsidTr="00080406">
        <w:tc>
          <w:tcPr>
            <w:tcW w:w="2538" w:type="dxa"/>
          </w:tcPr>
          <w:p w:rsidR="00C63C64" w:rsidRDefault="00C63C64" w:rsidP="00080406">
            <w:pPr>
              <w:spacing w:beforeLines="40" w:afterLines="40"/>
            </w:pPr>
            <w:r>
              <w:lastRenderedPageBreak/>
              <w:t xml:space="preserve">Annual report </w:t>
            </w:r>
            <w:r w:rsidR="00E81E85">
              <w:t xml:space="preserve">         </w:t>
            </w:r>
            <w:r>
              <w:t>(due date)</w:t>
            </w:r>
          </w:p>
        </w:tc>
        <w:tc>
          <w:tcPr>
            <w:tcW w:w="2070" w:type="dxa"/>
          </w:tcPr>
          <w:p w:rsidR="00C63C64" w:rsidRDefault="00CA1C01" w:rsidP="00080406">
            <w:pPr>
              <w:spacing w:beforeLines="40" w:afterLines="40"/>
              <w:jc w:val="center"/>
            </w:pPr>
            <w:r>
              <w:t>February 15</w:t>
            </w:r>
          </w:p>
        </w:tc>
      </w:tr>
      <w:tr w:rsidR="00C63C64" w:rsidTr="00080406">
        <w:tc>
          <w:tcPr>
            <w:tcW w:w="2538" w:type="dxa"/>
          </w:tcPr>
          <w:p w:rsidR="00C63C64" w:rsidRDefault="00C63C64" w:rsidP="00080406">
            <w:pPr>
              <w:spacing w:beforeLines="40" w:afterLines="40"/>
            </w:pPr>
            <w:r>
              <w:t>Quarterly report</w:t>
            </w:r>
            <w:r w:rsidR="00E81E85">
              <w:t xml:space="preserve">     </w:t>
            </w:r>
            <w:r>
              <w:t xml:space="preserve"> (due dates)</w:t>
            </w:r>
          </w:p>
        </w:tc>
        <w:tc>
          <w:tcPr>
            <w:tcW w:w="2070" w:type="dxa"/>
          </w:tcPr>
          <w:p w:rsidR="00C63C64" w:rsidRDefault="00C63C64" w:rsidP="00080406">
            <w:pPr>
              <w:spacing w:beforeLines="40" w:afterLines="40"/>
              <w:jc w:val="center"/>
            </w:pPr>
          </w:p>
        </w:tc>
      </w:tr>
    </w:tbl>
    <w:p w:rsidR="00C63C64" w:rsidRDefault="00C63C64"/>
    <w:p w:rsidR="00C63C64" w:rsidRDefault="00C63C64"/>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2070"/>
      </w:tblGrid>
      <w:tr w:rsidR="00C63C64" w:rsidTr="00080406">
        <w:tc>
          <w:tcPr>
            <w:tcW w:w="2538" w:type="dxa"/>
          </w:tcPr>
          <w:p w:rsidR="00C63C64" w:rsidRDefault="00C63C64" w:rsidP="00080406">
            <w:pPr>
              <w:spacing w:beforeLines="40" w:afterLines="40"/>
            </w:pPr>
            <w:r>
              <w:lastRenderedPageBreak/>
              <w:t xml:space="preserve">Monthly report </w:t>
            </w:r>
            <w:r w:rsidR="00E81E85">
              <w:t xml:space="preserve">       </w:t>
            </w:r>
            <w:r>
              <w:t>(due dates)</w:t>
            </w:r>
          </w:p>
        </w:tc>
        <w:tc>
          <w:tcPr>
            <w:tcW w:w="2070" w:type="dxa"/>
          </w:tcPr>
          <w:p w:rsidR="00C63C64" w:rsidRDefault="00C63C64" w:rsidP="00080406">
            <w:pPr>
              <w:spacing w:beforeLines="40" w:afterLines="40"/>
              <w:jc w:val="center"/>
            </w:pPr>
          </w:p>
        </w:tc>
      </w:tr>
      <w:tr w:rsidR="00C63C64" w:rsidTr="00080406">
        <w:tc>
          <w:tcPr>
            <w:tcW w:w="2538" w:type="dxa"/>
          </w:tcPr>
          <w:p w:rsidR="00C63C64" w:rsidRDefault="00C63C64" w:rsidP="00080406">
            <w:pPr>
              <w:spacing w:beforeLines="40" w:afterLines="40"/>
            </w:pPr>
            <w:r>
              <w:t>Excess emissions report</w:t>
            </w:r>
          </w:p>
        </w:tc>
        <w:tc>
          <w:tcPr>
            <w:tcW w:w="2070" w:type="dxa"/>
          </w:tcPr>
          <w:p w:rsidR="00C63C64" w:rsidRDefault="00C63C64" w:rsidP="00080406">
            <w:pPr>
              <w:spacing w:beforeLines="40" w:afterLines="40"/>
              <w:jc w:val="center"/>
            </w:pPr>
          </w:p>
        </w:tc>
      </w:tr>
      <w:tr w:rsidR="00C63C64" w:rsidTr="00080406">
        <w:tc>
          <w:tcPr>
            <w:tcW w:w="2538" w:type="dxa"/>
          </w:tcPr>
          <w:p w:rsidR="00C63C64" w:rsidRDefault="00C63C64" w:rsidP="00080406">
            <w:pPr>
              <w:spacing w:beforeLines="40" w:afterLines="40"/>
            </w:pPr>
            <w:r>
              <w:t>Other (specify)</w:t>
            </w:r>
          </w:p>
        </w:tc>
        <w:tc>
          <w:tcPr>
            <w:tcW w:w="2070" w:type="dxa"/>
          </w:tcPr>
          <w:p w:rsidR="00C63C64" w:rsidRDefault="00C63C64" w:rsidP="00080406">
            <w:pPr>
              <w:spacing w:beforeLines="40" w:afterLines="40"/>
              <w:jc w:val="center"/>
            </w:pP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r w:rsidRPr="005803C9">
        <w:rPr>
          <w:b/>
        </w:rPr>
        <w:lastRenderedPageBreak/>
        <w:t>Air Programs</w:t>
      </w:r>
    </w:p>
    <w:p w:rsidR="00C63C64" w:rsidRDefault="00C63C64" w:rsidP="00C63C64">
      <w:pPr>
        <w:sectPr w:rsidR="00C63C64" w:rsidSect="00C63C64">
          <w:type w:val="continuous"/>
          <w:pgSz w:w="12240" w:h="15840"/>
          <w:pgMar w:top="1800" w:right="1440" w:bottom="1440" w:left="1440" w:header="720" w:footer="720" w:gutter="0"/>
          <w:cols w:space="720"/>
        </w:sectPr>
      </w:pPr>
    </w:p>
    <w:tbl>
      <w:tblPr>
        <w:tblW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18"/>
        <w:gridCol w:w="1890"/>
      </w:tblGrid>
      <w:tr w:rsidR="006A3478" w:rsidTr="00080406">
        <w:tc>
          <w:tcPr>
            <w:tcW w:w="2718" w:type="dxa"/>
          </w:tcPr>
          <w:p w:rsidR="006A3478" w:rsidRDefault="006A3478" w:rsidP="00080406">
            <w:pPr>
              <w:spacing w:beforeLines="40" w:afterLines="40"/>
            </w:pPr>
            <w:r>
              <w:lastRenderedPageBreak/>
              <w:t>Synthetic Minor (SM</w:t>
            </w:r>
            <w:r w:rsidR="007B7688">
              <w:t>)</w:t>
            </w:r>
          </w:p>
        </w:tc>
        <w:tc>
          <w:tcPr>
            <w:tcW w:w="1890" w:type="dxa"/>
          </w:tcPr>
          <w:p w:rsidR="006A3478" w:rsidRDefault="006A3478" w:rsidP="00080406">
            <w:pPr>
              <w:spacing w:beforeLines="40" w:afterLines="40"/>
              <w:jc w:val="center"/>
            </w:pPr>
          </w:p>
        </w:tc>
      </w:tr>
      <w:tr w:rsidR="007B7688" w:rsidTr="00080406">
        <w:tc>
          <w:tcPr>
            <w:tcW w:w="2718" w:type="dxa"/>
          </w:tcPr>
          <w:p w:rsidR="007B7688" w:rsidRDefault="007B7688" w:rsidP="00080406">
            <w:pPr>
              <w:spacing w:beforeLines="40" w:afterLines="40"/>
            </w:pPr>
            <w:r>
              <w:t>SM -80</w:t>
            </w:r>
          </w:p>
        </w:tc>
        <w:tc>
          <w:tcPr>
            <w:tcW w:w="1890" w:type="dxa"/>
          </w:tcPr>
          <w:p w:rsidR="007B7688" w:rsidRDefault="007B7688" w:rsidP="00080406">
            <w:pPr>
              <w:spacing w:beforeLines="40" w:afterLines="40"/>
              <w:jc w:val="center"/>
            </w:pPr>
          </w:p>
        </w:tc>
      </w:tr>
      <w:tr w:rsidR="00C63C64" w:rsidTr="00080406">
        <w:tc>
          <w:tcPr>
            <w:tcW w:w="2718" w:type="dxa"/>
          </w:tcPr>
          <w:p w:rsidR="00C63C64" w:rsidRDefault="00C63C64" w:rsidP="00080406">
            <w:pPr>
              <w:spacing w:beforeLines="40" w:afterLines="40"/>
            </w:pPr>
            <w:r>
              <w:t>NSPS (list subparts)</w:t>
            </w:r>
          </w:p>
        </w:tc>
        <w:tc>
          <w:tcPr>
            <w:tcW w:w="1890" w:type="dxa"/>
          </w:tcPr>
          <w:p w:rsidR="00C63C64" w:rsidRDefault="00AF73E3" w:rsidP="00080406">
            <w:pPr>
              <w:spacing w:beforeLines="40" w:afterLines="40"/>
              <w:jc w:val="center"/>
            </w:pPr>
            <w:r>
              <w:t>Subpart Dc</w:t>
            </w:r>
          </w:p>
        </w:tc>
      </w:tr>
      <w:tr w:rsidR="00C63C64" w:rsidTr="00080406">
        <w:tc>
          <w:tcPr>
            <w:tcW w:w="2718" w:type="dxa"/>
          </w:tcPr>
          <w:p w:rsidR="00C63C64" w:rsidRDefault="00C63C64" w:rsidP="00080406">
            <w:pPr>
              <w:spacing w:beforeLines="40" w:afterLines="40"/>
            </w:pPr>
            <w:r>
              <w:t>NESHAP (list subparts)</w:t>
            </w:r>
          </w:p>
        </w:tc>
        <w:tc>
          <w:tcPr>
            <w:tcW w:w="1890" w:type="dxa"/>
          </w:tcPr>
          <w:p w:rsidR="00C63C64" w:rsidRDefault="00AF73E3" w:rsidP="00080406">
            <w:pPr>
              <w:spacing w:beforeLines="40" w:afterLines="40"/>
              <w:jc w:val="center"/>
            </w:pPr>
            <w:r>
              <w:t>Subpart KK</w:t>
            </w:r>
          </w:p>
        </w:tc>
      </w:tr>
      <w:tr w:rsidR="00C63C64" w:rsidTr="00080406">
        <w:tc>
          <w:tcPr>
            <w:tcW w:w="2718" w:type="dxa"/>
          </w:tcPr>
          <w:p w:rsidR="00C63C64" w:rsidRDefault="00C63C64" w:rsidP="00080406">
            <w:pPr>
              <w:spacing w:beforeLines="40" w:afterLines="40"/>
            </w:pPr>
            <w:r>
              <w:t>Part 68 Risk Management</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lastRenderedPageBreak/>
              <w:t>CFC</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t>NSR</w:t>
            </w:r>
          </w:p>
        </w:tc>
        <w:tc>
          <w:tcPr>
            <w:tcW w:w="1890" w:type="dxa"/>
          </w:tcPr>
          <w:p w:rsidR="00C63C64" w:rsidRDefault="00C63C64" w:rsidP="00080406">
            <w:pPr>
              <w:spacing w:beforeLines="40" w:afterLines="40"/>
              <w:jc w:val="center"/>
            </w:pPr>
          </w:p>
        </w:tc>
      </w:tr>
      <w:tr w:rsidR="00C63C64" w:rsidTr="00080406">
        <w:tc>
          <w:tcPr>
            <w:tcW w:w="2718" w:type="dxa"/>
          </w:tcPr>
          <w:p w:rsidR="00C63C64" w:rsidRDefault="00C63C64" w:rsidP="00080406">
            <w:pPr>
              <w:spacing w:beforeLines="40" w:afterLines="40"/>
            </w:pPr>
            <w:r>
              <w:t>PSD</w:t>
            </w:r>
          </w:p>
        </w:tc>
        <w:tc>
          <w:tcPr>
            <w:tcW w:w="1890" w:type="dxa"/>
          </w:tcPr>
          <w:p w:rsidR="00C63C64" w:rsidRDefault="00C63C64" w:rsidP="00080406">
            <w:pPr>
              <w:spacing w:beforeLines="40" w:afterLines="40"/>
              <w:jc w:val="center"/>
            </w:pPr>
          </w:p>
        </w:tc>
      </w:tr>
      <w:tr w:rsidR="006A3478" w:rsidTr="00080406">
        <w:tc>
          <w:tcPr>
            <w:tcW w:w="2718" w:type="dxa"/>
          </w:tcPr>
          <w:p w:rsidR="006A3478" w:rsidRDefault="006A3478" w:rsidP="00080406">
            <w:pPr>
              <w:spacing w:beforeLines="40" w:afterLines="40"/>
            </w:pPr>
            <w:r>
              <w:t>RACT</w:t>
            </w:r>
          </w:p>
        </w:tc>
        <w:tc>
          <w:tcPr>
            <w:tcW w:w="1890" w:type="dxa"/>
          </w:tcPr>
          <w:p w:rsidR="006A3478" w:rsidRDefault="006A3478" w:rsidP="00080406">
            <w:pPr>
              <w:spacing w:beforeLines="40" w:afterLines="40"/>
              <w:jc w:val="center"/>
            </w:pPr>
          </w:p>
        </w:tc>
      </w:tr>
      <w:tr w:rsidR="00C63C64" w:rsidTr="00080406">
        <w:tc>
          <w:tcPr>
            <w:tcW w:w="2718" w:type="dxa"/>
          </w:tcPr>
          <w:p w:rsidR="00C63C64" w:rsidRDefault="00C63C64" w:rsidP="00080406">
            <w:pPr>
              <w:spacing w:beforeLines="40" w:afterLines="40"/>
            </w:pPr>
            <w:r>
              <w:t>TACT</w:t>
            </w:r>
          </w:p>
        </w:tc>
        <w:tc>
          <w:tcPr>
            <w:tcW w:w="1890" w:type="dxa"/>
          </w:tcPr>
          <w:p w:rsidR="00C63C64" w:rsidRDefault="000506A2" w:rsidP="00080406">
            <w:pPr>
              <w:spacing w:beforeLines="40" w:afterLines="40"/>
              <w:jc w:val="center"/>
            </w:pPr>
            <w:r>
              <w:t>X</w:t>
            </w:r>
          </w:p>
        </w:tc>
      </w:tr>
    </w:tbl>
    <w:p w:rsidR="00C63C64" w:rsidRDefault="00C63C64" w:rsidP="00C63C64">
      <w:pPr>
        <w:sectPr w:rsidR="00C63C64" w:rsidSect="00C63C64">
          <w:type w:val="continuous"/>
          <w:pgSz w:w="12240" w:h="15840"/>
          <w:pgMar w:top="1800" w:right="1440" w:bottom="1440" w:left="1440" w:header="720" w:footer="720" w:gutter="0"/>
          <w:cols w:num="2" w:space="720" w:equalWidth="0">
            <w:col w:w="4320" w:space="720"/>
            <w:col w:w="4320"/>
          </w:cols>
        </w:sectPr>
      </w:pPr>
    </w:p>
    <w:p w:rsidR="00C63C64" w:rsidRDefault="00C63C64" w:rsidP="00C63C64">
      <w:pPr>
        <w:sectPr w:rsidR="00C63C64">
          <w:headerReference w:type="default" r:id="rId10"/>
          <w:type w:val="continuous"/>
          <w:pgSz w:w="12240" w:h="15840"/>
          <w:pgMar w:top="1800" w:right="1440" w:bottom="1440" w:left="1440" w:header="720" w:footer="720" w:gutter="0"/>
          <w:cols w:space="720"/>
        </w:sectPr>
      </w:pPr>
    </w:p>
    <w:p w:rsidR="00C63C64" w:rsidRDefault="00C63C64" w:rsidP="00C63C64"/>
    <w:p w:rsidR="007D6C42" w:rsidRPr="007D6C42" w:rsidRDefault="00A07485" w:rsidP="007D6C42">
      <w:pPr>
        <w:rPr>
          <w:b/>
          <w:caps/>
          <w:szCs w:val="24"/>
        </w:rPr>
      </w:pPr>
      <w:r w:rsidRPr="007D6C42">
        <w:rPr>
          <w:b/>
          <w:caps/>
          <w:szCs w:val="24"/>
        </w:rPr>
        <w:t>Table Of Contents</w:t>
      </w:r>
    </w:p>
    <w:p w:rsidR="007D6C42" w:rsidRDefault="007D6C42" w:rsidP="007D6C42"/>
    <w:p w:rsidR="00ED5C74" w:rsidRDefault="007B570F">
      <w:pPr>
        <w:pStyle w:val="TOC1"/>
        <w:rPr>
          <w:rFonts w:ascii="Calibri" w:hAnsi="Calibri"/>
          <w:caps w:val="0"/>
          <w:sz w:val="22"/>
          <w:szCs w:val="22"/>
        </w:rPr>
      </w:pPr>
      <w:r w:rsidRPr="007B570F">
        <w:fldChar w:fldCharType="begin"/>
      </w:r>
      <w:r w:rsidR="00C27481">
        <w:instrText xml:space="preserve"> TOC \t "Section Header" \* MERGEFORMAT </w:instrText>
      </w:r>
      <w:r w:rsidRPr="007B570F">
        <w:fldChar w:fldCharType="separate"/>
      </w:r>
      <w:r w:rsidR="00ED5C74">
        <w:t>PERMITTING</w:t>
      </w:r>
      <w:r w:rsidR="00ED5C74">
        <w:tab/>
      </w:r>
      <w:r>
        <w:fldChar w:fldCharType="begin"/>
      </w:r>
      <w:r w:rsidR="00ED5C74">
        <w:instrText xml:space="preserve"> PAGEREF _Toc220408421 \h </w:instrText>
      </w:r>
      <w:r>
        <w:fldChar w:fldCharType="separate"/>
      </w:r>
      <w:r w:rsidR="00C000E0">
        <w:t>3</w:t>
      </w:r>
      <w:r>
        <w:fldChar w:fldCharType="end"/>
      </w:r>
    </w:p>
    <w:p w:rsidR="00ED5C74" w:rsidRDefault="00ED5C74">
      <w:pPr>
        <w:pStyle w:val="TOC1"/>
        <w:rPr>
          <w:rFonts w:ascii="Calibri" w:hAnsi="Calibri"/>
          <w:caps w:val="0"/>
          <w:sz w:val="22"/>
          <w:szCs w:val="22"/>
        </w:rPr>
      </w:pPr>
      <w:r>
        <w:t>source description</w:t>
      </w:r>
      <w:r>
        <w:tab/>
      </w:r>
      <w:r w:rsidR="007B570F">
        <w:fldChar w:fldCharType="begin"/>
      </w:r>
      <w:r>
        <w:instrText xml:space="preserve"> PAGEREF _Toc220408422 \h </w:instrText>
      </w:r>
      <w:r w:rsidR="007B570F">
        <w:fldChar w:fldCharType="separate"/>
      </w:r>
      <w:r w:rsidR="00C000E0">
        <w:t>3</w:t>
      </w:r>
      <w:r w:rsidR="007B570F">
        <w:fldChar w:fldCharType="end"/>
      </w:r>
    </w:p>
    <w:p w:rsidR="00ED5C74" w:rsidRDefault="00ED5C74">
      <w:pPr>
        <w:pStyle w:val="TOC1"/>
        <w:rPr>
          <w:rFonts w:ascii="Calibri" w:hAnsi="Calibri"/>
          <w:caps w:val="0"/>
          <w:sz w:val="22"/>
          <w:szCs w:val="22"/>
        </w:rPr>
      </w:pPr>
      <w:r>
        <w:t>compliance</w:t>
      </w:r>
      <w:r>
        <w:tab/>
      </w:r>
      <w:r w:rsidR="007B570F">
        <w:fldChar w:fldCharType="begin"/>
      </w:r>
      <w:r>
        <w:instrText xml:space="preserve"> PAGEREF _Toc220408423 \h </w:instrText>
      </w:r>
      <w:r w:rsidR="007B570F">
        <w:fldChar w:fldCharType="separate"/>
      </w:r>
      <w:r w:rsidR="00C000E0">
        <w:t>4</w:t>
      </w:r>
      <w:r w:rsidR="007B570F">
        <w:fldChar w:fldCharType="end"/>
      </w:r>
    </w:p>
    <w:p w:rsidR="00ED5C74" w:rsidRDefault="00ED5C74">
      <w:pPr>
        <w:pStyle w:val="TOC1"/>
        <w:rPr>
          <w:rFonts w:ascii="Calibri" w:hAnsi="Calibri"/>
          <w:caps w:val="0"/>
          <w:sz w:val="22"/>
          <w:szCs w:val="22"/>
        </w:rPr>
      </w:pPr>
      <w:r>
        <w:t>emissions</w:t>
      </w:r>
      <w:r>
        <w:tab/>
      </w:r>
      <w:r w:rsidR="007B570F">
        <w:fldChar w:fldCharType="begin"/>
      </w:r>
      <w:r>
        <w:instrText xml:space="preserve"> PAGEREF _Toc220408424 \h </w:instrText>
      </w:r>
      <w:r w:rsidR="007B570F">
        <w:fldChar w:fldCharType="separate"/>
      </w:r>
      <w:r w:rsidR="00C000E0">
        <w:t>4</w:t>
      </w:r>
      <w:r w:rsidR="007B570F">
        <w:fldChar w:fldCharType="end"/>
      </w:r>
    </w:p>
    <w:p w:rsidR="00ED5C74" w:rsidRDefault="00ED5C74">
      <w:pPr>
        <w:pStyle w:val="TOC1"/>
        <w:rPr>
          <w:rFonts w:ascii="Calibri" w:hAnsi="Calibri"/>
          <w:caps w:val="0"/>
          <w:sz w:val="22"/>
          <w:szCs w:val="22"/>
        </w:rPr>
      </w:pPr>
      <w:r>
        <w:t>major source applicability</w:t>
      </w:r>
      <w:r>
        <w:tab/>
      </w:r>
      <w:r w:rsidR="007B570F">
        <w:fldChar w:fldCharType="begin"/>
      </w:r>
      <w:r>
        <w:instrText xml:space="preserve"> PAGEREF _Toc220408425 \h </w:instrText>
      </w:r>
      <w:r w:rsidR="007B570F">
        <w:fldChar w:fldCharType="separate"/>
      </w:r>
      <w:r w:rsidR="00C000E0">
        <w:t>5</w:t>
      </w:r>
      <w:r w:rsidR="007B570F">
        <w:fldChar w:fldCharType="end"/>
      </w:r>
    </w:p>
    <w:p w:rsidR="00ED5C74" w:rsidRDefault="00ED5C74">
      <w:pPr>
        <w:pStyle w:val="TOC1"/>
        <w:rPr>
          <w:rFonts w:ascii="Calibri" w:hAnsi="Calibri"/>
          <w:caps w:val="0"/>
          <w:sz w:val="22"/>
          <w:szCs w:val="22"/>
        </w:rPr>
      </w:pPr>
      <w:r>
        <w:t>additional requirements</w:t>
      </w:r>
      <w:r>
        <w:tab/>
      </w:r>
      <w:r w:rsidR="007B570F">
        <w:fldChar w:fldCharType="begin"/>
      </w:r>
      <w:r>
        <w:instrText xml:space="preserve"> PAGEREF _Toc220408426 \h </w:instrText>
      </w:r>
      <w:r w:rsidR="007B570F">
        <w:fldChar w:fldCharType="separate"/>
      </w:r>
      <w:r w:rsidR="00C000E0">
        <w:t>5</w:t>
      </w:r>
      <w:r w:rsidR="007B570F">
        <w:fldChar w:fldCharType="end"/>
      </w:r>
    </w:p>
    <w:p w:rsidR="00ED5C74" w:rsidRDefault="00ED5C74">
      <w:pPr>
        <w:pStyle w:val="TOC1"/>
        <w:rPr>
          <w:rFonts w:ascii="Calibri" w:hAnsi="Calibri"/>
          <w:caps w:val="0"/>
          <w:sz w:val="22"/>
          <w:szCs w:val="22"/>
        </w:rPr>
      </w:pPr>
      <w:r>
        <w:t>source testing</w:t>
      </w:r>
      <w:r>
        <w:tab/>
      </w:r>
      <w:r w:rsidR="007B570F">
        <w:fldChar w:fldCharType="begin"/>
      </w:r>
      <w:r>
        <w:instrText xml:space="preserve"> PAGEREF _Toc220408427 \h </w:instrText>
      </w:r>
      <w:r w:rsidR="007B570F">
        <w:fldChar w:fldCharType="separate"/>
      </w:r>
      <w:r w:rsidR="00C000E0">
        <w:t>6</w:t>
      </w:r>
      <w:r w:rsidR="007B570F">
        <w:fldChar w:fldCharType="end"/>
      </w:r>
    </w:p>
    <w:p w:rsidR="00ED5C74" w:rsidRDefault="00ED5C74">
      <w:pPr>
        <w:pStyle w:val="TOC1"/>
        <w:rPr>
          <w:rFonts w:ascii="Calibri" w:hAnsi="Calibri"/>
          <w:caps w:val="0"/>
          <w:sz w:val="22"/>
          <w:szCs w:val="22"/>
        </w:rPr>
      </w:pPr>
      <w:r>
        <w:t>public notice</w:t>
      </w:r>
      <w:r>
        <w:tab/>
      </w:r>
      <w:r w:rsidR="007B570F">
        <w:fldChar w:fldCharType="begin"/>
      </w:r>
      <w:r>
        <w:instrText xml:space="preserve"> PAGEREF _Toc220408428 \h </w:instrText>
      </w:r>
      <w:r w:rsidR="007B570F">
        <w:fldChar w:fldCharType="separate"/>
      </w:r>
      <w:r w:rsidR="00C000E0">
        <w:t>6</w:t>
      </w:r>
      <w:r w:rsidR="007B570F">
        <w:fldChar w:fldCharType="end"/>
      </w:r>
    </w:p>
    <w:p w:rsidR="00C27481" w:rsidRDefault="007B570F">
      <w:r>
        <w:fldChar w:fldCharType="end"/>
      </w:r>
    </w:p>
    <w:p w:rsidR="00C27481" w:rsidRDefault="00C27481" w:rsidP="007D6C42">
      <w:pPr>
        <w:pStyle w:val="SectionHeader"/>
      </w:pPr>
      <w:r>
        <w:br w:type="page"/>
      </w:r>
      <w:bookmarkStart w:id="2" w:name="_Toc452882785"/>
      <w:bookmarkStart w:id="3" w:name="_Toc452883740"/>
      <w:bookmarkStart w:id="4" w:name="_Toc452883931"/>
      <w:bookmarkStart w:id="5" w:name="_Toc463344851"/>
      <w:bookmarkStart w:id="6" w:name="_Toc220408421"/>
      <w:r>
        <w:lastRenderedPageBreak/>
        <w:t>PERMITTING</w:t>
      </w:r>
      <w:bookmarkEnd w:id="2"/>
      <w:bookmarkEnd w:id="3"/>
      <w:bookmarkEnd w:id="4"/>
      <w:bookmarkEnd w:id="5"/>
      <w:bookmarkEnd w:id="6"/>
    </w:p>
    <w:p w:rsidR="00C27481" w:rsidRDefault="00C27481"/>
    <w:p w:rsidR="00C27481" w:rsidRDefault="00C27481">
      <w:pPr>
        <w:pStyle w:val="Sub-sectionheader"/>
      </w:pPr>
      <w:r>
        <w:t>PERMITTING ACTION</w:t>
      </w:r>
    </w:p>
    <w:p w:rsidR="00C27481" w:rsidRDefault="00C27481">
      <w:pPr>
        <w:tabs>
          <w:tab w:val="left" w:pos="-720"/>
        </w:tabs>
        <w:suppressAutoHyphens/>
        <w:rPr>
          <w:u w:val="single"/>
        </w:rPr>
      </w:pPr>
    </w:p>
    <w:p w:rsidR="00C27481" w:rsidRDefault="00C27481">
      <w:pPr>
        <w:pStyle w:val="Heading1"/>
      </w:pPr>
      <w:r>
        <w:t>The permit is a</w:t>
      </w:r>
      <w:r w:rsidR="000506A2">
        <w:t xml:space="preserve"> renewal</w:t>
      </w:r>
      <w:r w:rsidR="007B570F">
        <w:fldChar w:fldCharType="begin"/>
      </w:r>
      <w:r>
        <w:instrText xml:space="preserve"> FORMDROPDOWN </w:instrText>
      </w:r>
      <w:r w:rsidR="007B570F">
        <w:fldChar w:fldCharType="end"/>
      </w:r>
      <w:r>
        <w:t xml:space="preserve"> for an existing Air Contaminant Discharge Permit (ACDP) which was issued on </w:t>
      </w:r>
      <w:r w:rsidR="000506A2">
        <w:t>5/20/2004</w:t>
      </w:r>
      <w:r>
        <w:t xml:space="preserve"> and was originally scheduled to expire on </w:t>
      </w:r>
      <w:r w:rsidR="000506A2">
        <w:t>3/1/2009</w:t>
      </w:r>
      <w:r>
        <w:t>.</w:t>
      </w:r>
    </w:p>
    <w:p w:rsidR="00C27481" w:rsidRDefault="00C27481"/>
    <w:p w:rsidR="00C27481" w:rsidRDefault="00C27481">
      <w:pPr>
        <w:pStyle w:val="Sub-sectionheader"/>
      </w:pPr>
      <w:r>
        <w:t>OTHER PERMITS</w:t>
      </w:r>
    </w:p>
    <w:p w:rsidR="00C27481" w:rsidRDefault="00C27481"/>
    <w:p w:rsidR="00C27481" w:rsidRDefault="00C27481">
      <w:pPr>
        <w:pStyle w:val="Heading1"/>
      </w:pPr>
      <w:r>
        <w:t>Other permits issued or required by the Department of Environmental Quality for this source include</w:t>
      </w:r>
      <w:r w:rsidR="000506A2">
        <w:t xml:space="preserve"> a general storm water permit, 1200 COLS.</w:t>
      </w:r>
    </w:p>
    <w:p w:rsidR="00C27481" w:rsidRDefault="00C27481"/>
    <w:p w:rsidR="00C27481" w:rsidRDefault="00C27481">
      <w:pPr>
        <w:pStyle w:val="Sub-sectionheader"/>
      </w:pPr>
      <w:r>
        <w:t>ATTAINMENT STATUS</w:t>
      </w:r>
    </w:p>
    <w:p w:rsidR="00C27481" w:rsidRDefault="00C27481"/>
    <w:p w:rsidR="00C27481" w:rsidRDefault="00C27481">
      <w:pPr>
        <w:pStyle w:val="Heading1"/>
      </w:pPr>
      <w:r>
        <w:t xml:space="preserve">The source is located in </w:t>
      </w:r>
      <w:r w:rsidR="000506A2">
        <w:t>a maintenance area for CO and Ozone.  Ozone precursors NO</w:t>
      </w:r>
      <w:r w:rsidR="000506A2" w:rsidRPr="000506A2">
        <w:rPr>
          <w:vertAlign w:val="subscript"/>
        </w:rPr>
        <w:t xml:space="preserve">X </w:t>
      </w:r>
      <w:r w:rsidR="000506A2">
        <w:t>and VOC are regulated pollutants.  This source is an insignificant source of CO, NO</w:t>
      </w:r>
      <w:r w:rsidR="000506A2" w:rsidRPr="000506A2">
        <w:rPr>
          <w:vertAlign w:val="subscript"/>
        </w:rPr>
        <w:t>X</w:t>
      </w:r>
      <w:r w:rsidR="000506A2">
        <w:t xml:space="preserve">, and VOC.  The area is in attainment for all other pollutants.  </w:t>
      </w:r>
    </w:p>
    <w:p w:rsidR="00C27481" w:rsidRDefault="00C27481"/>
    <w:p w:rsidR="00C27481" w:rsidRDefault="00C27481"/>
    <w:p w:rsidR="00C27481" w:rsidRDefault="00C27481">
      <w:pPr>
        <w:pStyle w:val="SectionHeader"/>
      </w:pPr>
      <w:bookmarkStart w:id="7" w:name="_Toc220408422"/>
      <w:r>
        <w:t>source description</w:t>
      </w:r>
      <w:bookmarkEnd w:id="7"/>
    </w:p>
    <w:p w:rsidR="00C27481" w:rsidRDefault="00C27481"/>
    <w:p w:rsidR="00C27481" w:rsidRDefault="00C27481">
      <w:pPr>
        <w:pStyle w:val="Sub-sectionheader"/>
      </w:pPr>
      <w:r>
        <w:t>overview</w:t>
      </w:r>
    </w:p>
    <w:p w:rsidR="00C27481" w:rsidRDefault="00C27481"/>
    <w:p w:rsidR="000506A2" w:rsidRDefault="00C27481" w:rsidP="000506A2">
      <w:pPr>
        <w:pStyle w:val="Heading1"/>
      </w:pPr>
      <w:r>
        <w:t xml:space="preserve">The permittee </w:t>
      </w:r>
      <w:r w:rsidR="000506A2">
        <w:t xml:space="preserve">manufactures shipping boxes.  Three sheets of paper are used to make “containerboard”.  The outside sheets are heated by steam vents to make them pliable, </w:t>
      </w:r>
      <w:r w:rsidR="00587773">
        <w:t>and then</w:t>
      </w:r>
      <w:r w:rsidR="000506A2">
        <w:t xml:space="preserve"> joined to an inner corrugated sheet using a starch-based glue to make a paper “sandwich”. </w:t>
      </w:r>
      <w:r w:rsidR="00587773">
        <w:t xml:space="preserve"> </w:t>
      </w:r>
      <w:r w:rsidR="000506A2">
        <w:t>The formed sheet passes over heated plates to gel the starch, trimmed, then sent to the finishing area to be formed into boxes.  The sheet is cut to specified size, printed, slotted and folded, bottom flap sealed, then packaged for shipment.  Approximately 23% of the containerboard is printed; about 5% of the sheets are laminated before finishing, using cold set adhesive; and about 3% of the containerboard is waxed.</w:t>
      </w:r>
    </w:p>
    <w:p w:rsidR="000506A2" w:rsidRDefault="000506A2" w:rsidP="000506A2"/>
    <w:p w:rsidR="000506A2" w:rsidRDefault="000506A2" w:rsidP="000506A2">
      <w:pPr>
        <w:ind w:left="720"/>
      </w:pPr>
      <w:r>
        <w:t xml:space="preserve">Scrap paper is pneumatically collected, fed through one of two cyclones, and transferred to a baler.  The baled scrap is sent to a paper mill for recycling.  PM from a bulk starch silo </w:t>
      </w:r>
      <w:r w:rsidR="00587773">
        <w:t>is</w:t>
      </w:r>
      <w:r>
        <w:t xml:space="preserve"> negli</w:t>
      </w:r>
      <w:r w:rsidR="00587773">
        <w:t xml:space="preserve">gible and is not considered in the permit.  </w:t>
      </w:r>
    </w:p>
    <w:p w:rsidR="00587773" w:rsidRDefault="00587773" w:rsidP="000506A2">
      <w:pPr>
        <w:ind w:left="720"/>
      </w:pPr>
    </w:p>
    <w:p w:rsidR="00587773" w:rsidRDefault="00587773" w:rsidP="000506A2">
      <w:pPr>
        <w:ind w:left="720"/>
      </w:pPr>
      <w:r>
        <w:t>Steam for the process is provided by a 600 HP natural gas fired boiler, with diesel back-up.  The facility also has four natural gas fired heaters which are not considered in the permit.  The facility was built in 1980.</w:t>
      </w:r>
    </w:p>
    <w:p w:rsidR="00587773" w:rsidRDefault="00587773" w:rsidP="000506A2">
      <w:pPr>
        <w:ind w:left="720"/>
      </w:pPr>
    </w:p>
    <w:p w:rsidR="00587773" w:rsidRPr="000506A2" w:rsidRDefault="00587773" w:rsidP="00587773">
      <w:pPr>
        <w:pStyle w:val="Heading1"/>
      </w:pPr>
      <w:r>
        <w:t>A two-color rotary die cutter was added to the facility in March 2001.</w:t>
      </w:r>
    </w:p>
    <w:p w:rsidR="00C27481" w:rsidRDefault="00C27481" w:rsidP="000506A2">
      <w:pPr>
        <w:pStyle w:val="Heading1"/>
        <w:numPr>
          <w:ilvl w:val="0"/>
          <w:numId w:val="0"/>
        </w:numPr>
      </w:pPr>
    </w:p>
    <w:p w:rsidR="00C27481" w:rsidRDefault="00C27481"/>
    <w:p w:rsidR="00C27481" w:rsidRDefault="00C27481">
      <w:pPr>
        <w:pStyle w:val="Sub-sectionheader"/>
      </w:pPr>
      <w:r>
        <w:lastRenderedPageBreak/>
        <w:t>process and control devices</w:t>
      </w:r>
    </w:p>
    <w:p w:rsidR="00C27481" w:rsidRDefault="00C27481"/>
    <w:p w:rsidR="00C27481" w:rsidRDefault="00C27481">
      <w:pPr>
        <w:pStyle w:val="Heading1"/>
      </w:pPr>
      <w:r>
        <w:t>Existing air contaminant sources at the facility consist of the following:</w:t>
      </w:r>
    </w:p>
    <w:p w:rsidR="00C27481" w:rsidRDefault="00C27481"/>
    <w:p w:rsidR="00C27481" w:rsidRDefault="00587773" w:rsidP="00587773">
      <w:pPr>
        <w:pStyle w:val="Heading2"/>
      </w:pPr>
      <w:r>
        <w:t>One corrugator, installed 1980;</w:t>
      </w:r>
    </w:p>
    <w:p w:rsidR="00587773" w:rsidRDefault="00587773" w:rsidP="00587773">
      <w:pPr>
        <w:pStyle w:val="Heading2"/>
        <w:tabs>
          <w:tab w:val="clear" w:pos="1440"/>
        </w:tabs>
      </w:pPr>
      <w:r>
        <w:t>Two in-line cyclones on the scrap collection system, installed 1980 and 1989;</w:t>
      </w:r>
    </w:p>
    <w:p w:rsidR="00587773" w:rsidRDefault="00587773" w:rsidP="00587773">
      <w:pPr>
        <w:pStyle w:val="Heading2"/>
        <w:tabs>
          <w:tab w:val="clear" w:pos="1440"/>
        </w:tabs>
      </w:pPr>
      <w:r>
        <w:t>Printing/finishing station, installed 1980;</w:t>
      </w:r>
    </w:p>
    <w:p w:rsidR="00587773" w:rsidRDefault="00587773" w:rsidP="00587773">
      <w:pPr>
        <w:pStyle w:val="Heading2"/>
        <w:tabs>
          <w:tab w:val="clear" w:pos="1440"/>
        </w:tabs>
      </w:pPr>
      <w:r>
        <w:t>One Cleaver Brooks boiler, 25 MM Btu/hr, with diesel back-up, installed in 1980.</w:t>
      </w:r>
    </w:p>
    <w:p w:rsidR="00C27481" w:rsidRDefault="00C27481"/>
    <w:p w:rsidR="00C27481" w:rsidRDefault="00C27481"/>
    <w:p w:rsidR="00C27481" w:rsidRDefault="00C27481">
      <w:pPr>
        <w:pStyle w:val="SectionHeader"/>
      </w:pPr>
      <w:bookmarkStart w:id="8" w:name="_Toc452882787"/>
      <w:bookmarkStart w:id="9" w:name="_Toc452883742"/>
      <w:bookmarkStart w:id="10" w:name="_Toc452883933"/>
      <w:bookmarkStart w:id="11" w:name="_Toc463344853"/>
      <w:bookmarkStart w:id="12" w:name="_Toc220408423"/>
      <w:r>
        <w:t>compliance</w:t>
      </w:r>
      <w:bookmarkEnd w:id="8"/>
      <w:bookmarkEnd w:id="9"/>
      <w:bookmarkEnd w:id="10"/>
      <w:bookmarkEnd w:id="11"/>
      <w:bookmarkEnd w:id="12"/>
    </w:p>
    <w:p w:rsidR="00C27481" w:rsidRDefault="00C27481"/>
    <w:p w:rsidR="00C27481" w:rsidRDefault="00C27481">
      <w:pPr>
        <w:pStyle w:val="Heading1"/>
      </w:pPr>
      <w:r>
        <w:t xml:space="preserve">The facility was inspected on </w:t>
      </w:r>
      <w:r w:rsidR="004360C2">
        <w:t>2/10/2004</w:t>
      </w:r>
      <w:r>
        <w:t xml:space="preserve"> and found to be in compliance with permit conditions.</w:t>
      </w:r>
    </w:p>
    <w:p w:rsidR="00C27481" w:rsidRDefault="00C27481">
      <w:pPr>
        <w:pStyle w:val="Header"/>
        <w:tabs>
          <w:tab w:val="clear" w:pos="4320"/>
          <w:tab w:val="clear" w:pos="8640"/>
        </w:tabs>
      </w:pPr>
    </w:p>
    <w:p w:rsidR="00C27481" w:rsidRDefault="00C27481">
      <w:pPr>
        <w:pStyle w:val="Heading1"/>
      </w:pPr>
      <w:r>
        <w:t xml:space="preserve">During the prior permit period there were </w:t>
      </w:r>
      <w:r w:rsidR="004360C2">
        <w:t>no</w:t>
      </w:r>
      <w:r>
        <w:t xml:space="preserve"> complaints recorded for this </w:t>
      </w:r>
      <w:r w:rsidR="004360C2">
        <w:t>facility</w:t>
      </w:r>
      <w:r>
        <w:t xml:space="preserve">  </w:t>
      </w:r>
    </w:p>
    <w:p w:rsidR="00C27481" w:rsidRDefault="00C27481"/>
    <w:p w:rsidR="00C27481" w:rsidRDefault="00C27481">
      <w:pPr>
        <w:pStyle w:val="Heading1"/>
      </w:pPr>
      <w:r>
        <w:t>No enforcement actions have been taken against this source since the last permit renewal.</w:t>
      </w:r>
    </w:p>
    <w:p w:rsidR="00C27481" w:rsidRDefault="00C27481">
      <w:r>
        <w:t xml:space="preserve">      </w:t>
      </w:r>
    </w:p>
    <w:p w:rsidR="00C27481" w:rsidRDefault="00C27481"/>
    <w:p w:rsidR="00C27481" w:rsidRDefault="00C27481">
      <w:pPr>
        <w:pStyle w:val="SectionHeader"/>
      </w:pPr>
      <w:bookmarkStart w:id="13" w:name="_Toc452882789"/>
      <w:bookmarkStart w:id="14" w:name="_Toc452883744"/>
      <w:bookmarkStart w:id="15" w:name="_Toc452883935"/>
      <w:bookmarkStart w:id="16" w:name="_Toc463344855"/>
      <w:bookmarkStart w:id="17" w:name="_Toc220408424"/>
      <w:r>
        <w:t>emissions</w:t>
      </w:r>
      <w:bookmarkEnd w:id="13"/>
      <w:bookmarkEnd w:id="14"/>
      <w:bookmarkEnd w:id="15"/>
      <w:bookmarkEnd w:id="16"/>
      <w:bookmarkEnd w:id="17"/>
    </w:p>
    <w:p w:rsidR="00C27481" w:rsidRDefault="00C27481"/>
    <w:p w:rsidR="00C27481" w:rsidRDefault="00C27481">
      <w:pPr>
        <w:pStyle w:val="Heading1"/>
      </w:pPr>
      <w:r>
        <w:t>Proposed PSEL information:</w:t>
      </w:r>
    </w:p>
    <w:p w:rsidR="00C27481" w:rsidRDefault="00C27481"/>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61"/>
        <w:gridCol w:w="1440"/>
        <w:gridCol w:w="1296"/>
        <w:gridCol w:w="1296"/>
        <w:gridCol w:w="1296"/>
        <w:gridCol w:w="1296"/>
        <w:gridCol w:w="1296"/>
      </w:tblGrid>
      <w:tr w:rsidR="00C27481" w:rsidTr="00A05319">
        <w:trPr>
          <w:cantSplit/>
        </w:trPr>
        <w:tc>
          <w:tcPr>
            <w:tcW w:w="1861" w:type="dxa"/>
            <w:vMerge w:val="restart"/>
            <w:tcBorders>
              <w:top w:val="double" w:sz="4" w:space="0" w:color="auto"/>
              <w:left w:val="double" w:sz="4" w:space="0" w:color="auto"/>
              <w:bottom w:val="nil"/>
              <w:right w:val="nil"/>
            </w:tcBorders>
            <w:vAlign w:val="bottom"/>
          </w:tcPr>
          <w:p w:rsidR="00C27481" w:rsidRDefault="00C27481">
            <w:pPr>
              <w:spacing w:before="800" w:after="40"/>
              <w:rPr>
                <w:sz w:val="22"/>
              </w:rPr>
            </w:pPr>
            <w:r>
              <w:rPr>
                <w:sz w:val="22"/>
              </w:rPr>
              <w:t>Pollutant</w:t>
            </w:r>
          </w:p>
        </w:tc>
        <w:tc>
          <w:tcPr>
            <w:tcW w:w="1440" w:type="dxa"/>
            <w:vMerge w:val="restart"/>
            <w:tcBorders>
              <w:top w:val="double" w:sz="4" w:space="0" w:color="auto"/>
              <w:left w:val="single" w:sz="4" w:space="0" w:color="auto"/>
              <w:bottom w:val="nil"/>
              <w:right w:val="single" w:sz="4" w:space="0" w:color="auto"/>
            </w:tcBorders>
            <w:vAlign w:val="bottom"/>
          </w:tcPr>
          <w:p w:rsidR="00C27481" w:rsidRDefault="00C27481">
            <w:pPr>
              <w:spacing w:before="320" w:after="40"/>
              <w:jc w:val="center"/>
              <w:rPr>
                <w:sz w:val="22"/>
              </w:rPr>
            </w:pPr>
            <w:r>
              <w:rPr>
                <w:sz w:val="22"/>
              </w:rPr>
              <w:t>Baseline Emission Rate (tons/yr)</w:t>
            </w:r>
          </w:p>
        </w:tc>
        <w:tc>
          <w:tcPr>
            <w:tcW w:w="2592" w:type="dxa"/>
            <w:gridSpan w:val="2"/>
            <w:tcBorders>
              <w:top w:val="double" w:sz="4" w:space="0" w:color="auto"/>
              <w:left w:val="nil"/>
              <w:bottom w:val="single" w:sz="4" w:space="0" w:color="auto"/>
              <w:right w:val="single" w:sz="4" w:space="0" w:color="auto"/>
            </w:tcBorders>
            <w:vAlign w:val="bottom"/>
          </w:tcPr>
          <w:p w:rsidR="00C27481" w:rsidRDefault="00C27481">
            <w:pPr>
              <w:spacing w:before="40" w:after="40"/>
              <w:jc w:val="center"/>
              <w:rPr>
                <w:sz w:val="22"/>
              </w:rPr>
            </w:pPr>
            <w:r>
              <w:rPr>
                <w:sz w:val="22"/>
              </w:rPr>
              <w:t>Netting Basis</w:t>
            </w:r>
          </w:p>
        </w:tc>
        <w:tc>
          <w:tcPr>
            <w:tcW w:w="3888" w:type="dxa"/>
            <w:gridSpan w:val="3"/>
            <w:tcBorders>
              <w:top w:val="double" w:sz="4" w:space="0" w:color="auto"/>
              <w:left w:val="nil"/>
              <w:bottom w:val="single" w:sz="4" w:space="0" w:color="auto"/>
              <w:right w:val="double" w:sz="6" w:space="0" w:color="auto"/>
            </w:tcBorders>
            <w:vAlign w:val="bottom"/>
          </w:tcPr>
          <w:p w:rsidR="00C27481" w:rsidRDefault="00C27481">
            <w:pPr>
              <w:spacing w:before="40" w:after="40"/>
              <w:jc w:val="center"/>
              <w:rPr>
                <w:sz w:val="22"/>
              </w:rPr>
            </w:pPr>
            <w:r>
              <w:rPr>
                <w:sz w:val="22"/>
              </w:rPr>
              <w:t>Plant Site Emission Limits (PSEL)</w:t>
            </w:r>
          </w:p>
        </w:tc>
      </w:tr>
      <w:tr w:rsidR="00C27481" w:rsidTr="00A05319">
        <w:trPr>
          <w:cantSplit/>
          <w:trHeight w:val="550"/>
        </w:trPr>
        <w:tc>
          <w:tcPr>
            <w:tcW w:w="1861" w:type="dxa"/>
            <w:vMerge/>
            <w:tcBorders>
              <w:top w:val="nil"/>
              <w:left w:val="double" w:sz="4" w:space="0" w:color="auto"/>
              <w:bottom w:val="nil"/>
              <w:right w:val="nil"/>
            </w:tcBorders>
            <w:vAlign w:val="bottom"/>
          </w:tcPr>
          <w:p w:rsidR="00C27481" w:rsidRDefault="00C27481">
            <w:pPr>
              <w:spacing w:before="40" w:after="40"/>
              <w:jc w:val="center"/>
            </w:pPr>
          </w:p>
        </w:tc>
        <w:tc>
          <w:tcPr>
            <w:tcW w:w="1440" w:type="dxa"/>
            <w:vMerge/>
            <w:tcBorders>
              <w:top w:val="nil"/>
              <w:left w:val="single" w:sz="4" w:space="0" w:color="auto"/>
              <w:bottom w:val="nil"/>
              <w:right w:val="single" w:sz="4" w:space="0" w:color="auto"/>
            </w:tcBorders>
            <w:vAlign w:val="bottom"/>
          </w:tcPr>
          <w:p w:rsidR="00C27481" w:rsidRDefault="00C27481">
            <w:pPr>
              <w:spacing w:before="40" w:after="40"/>
              <w:jc w:val="center"/>
            </w:pPr>
          </w:p>
        </w:tc>
        <w:tc>
          <w:tcPr>
            <w:tcW w:w="1296" w:type="dxa"/>
            <w:tcBorders>
              <w:top w:val="nil"/>
              <w:left w:val="nil"/>
              <w:bottom w:val="nil"/>
            </w:tcBorders>
            <w:vAlign w:val="bottom"/>
          </w:tcPr>
          <w:p w:rsidR="00C27481" w:rsidRDefault="00C27481">
            <w:pPr>
              <w:spacing w:before="240" w:after="40"/>
              <w:jc w:val="center"/>
              <w:rPr>
                <w:sz w:val="22"/>
              </w:rPr>
            </w:pPr>
            <w:r>
              <w:rPr>
                <w:sz w:val="22"/>
              </w:rPr>
              <w:t>Previous (tons/yr)</w:t>
            </w:r>
          </w:p>
        </w:tc>
        <w:tc>
          <w:tcPr>
            <w:tcW w:w="1296" w:type="dxa"/>
            <w:tcBorders>
              <w:top w:val="nil"/>
              <w:bottom w:val="nil"/>
              <w:right w:val="single" w:sz="4" w:space="0" w:color="auto"/>
            </w:tcBorders>
            <w:vAlign w:val="bottom"/>
          </w:tcPr>
          <w:p w:rsidR="00C27481" w:rsidRDefault="00C27481">
            <w:pPr>
              <w:spacing w:before="240" w:after="40"/>
              <w:jc w:val="center"/>
              <w:rPr>
                <w:sz w:val="22"/>
              </w:rPr>
            </w:pPr>
            <w:r>
              <w:rPr>
                <w:sz w:val="22"/>
              </w:rPr>
              <w:t>Proposed (tons/yr)</w:t>
            </w:r>
          </w:p>
        </w:tc>
        <w:tc>
          <w:tcPr>
            <w:tcW w:w="1296" w:type="dxa"/>
            <w:tcBorders>
              <w:top w:val="nil"/>
              <w:left w:val="nil"/>
              <w:bottom w:val="nil"/>
            </w:tcBorders>
            <w:vAlign w:val="bottom"/>
          </w:tcPr>
          <w:p w:rsidR="00C27481" w:rsidRDefault="00C27481">
            <w:pPr>
              <w:spacing w:before="40" w:after="40"/>
              <w:jc w:val="center"/>
              <w:rPr>
                <w:sz w:val="22"/>
              </w:rPr>
            </w:pPr>
            <w:r>
              <w:rPr>
                <w:sz w:val="22"/>
              </w:rPr>
              <w:t>Previous PSEL (tons/yr)</w:t>
            </w:r>
          </w:p>
        </w:tc>
        <w:tc>
          <w:tcPr>
            <w:tcW w:w="1296" w:type="dxa"/>
            <w:tcBorders>
              <w:top w:val="nil"/>
              <w:bottom w:val="nil"/>
            </w:tcBorders>
            <w:vAlign w:val="bottom"/>
          </w:tcPr>
          <w:p w:rsidR="00C27481" w:rsidRDefault="00C27481">
            <w:pPr>
              <w:spacing w:before="40" w:after="40"/>
              <w:jc w:val="center"/>
              <w:rPr>
                <w:sz w:val="22"/>
              </w:rPr>
            </w:pPr>
            <w:r>
              <w:rPr>
                <w:sz w:val="22"/>
              </w:rPr>
              <w:t>Proposed PSEL (tons/yr)</w:t>
            </w:r>
          </w:p>
        </w:tc>
        <w:tc>
          <w:tcPr>
            <w:tcW w:w="1296" w:type="dxa"/>
            <w:tcBorders>
              <w:top w:val="nil"/>
              <w:bottom w:val="nil"/>
              <w:right w:val="double" w:sz="6" w:space="0" w:color="auto"/>
            </w:tcBorders>
            <w:vAlign w:val="bottom"/>
          </w:tcPr>
          <w:p w:rsidR="00C27481" w:rsidRDefault="00C27481">
            <w:pPr>
              <w:spacing w:before="40" w:after="40"/>
              <w:jc w:val="center"/>
              <w:rPr>
                <w:sz w:val="22"/>
              </w:rPr>
            </w:pPr>
            <w:r>
              <w:rPr>
                <w:sz w:val="22"/>
              </w:rPr>
              <w:t>PSEL Increase (tons/yr)</w:t>
            </w:r>
          </w:p>
        </w:tc>
      </w:tr>
      <w:tr w:rsidR="00C27481" w:rsidTr="00A05319">
        <w:trPr>
          <w:cantSplit/>
        </w:trPr>
        <w:tc>
          <w:tcPr>
            <w:tcW w:w="1861" w:type="dxa"/>
            <w:tcBorders>
              <w:top w:val="double" w:sz="4" w:space="0" w:color="auto"/>
              <w:left w:val="double" w:sz="4" w:space="0" w:color="auto"/>
              <w:right w:val="nil"/>
            </w:tcBorders>
          </w:tcPr>
          <w:p w:rsidR="00C27481" w:rsidRDefault="00C27481">
            <w:pPr>
              <w:pStyle w:val="Header"/>
              <w:tabs>
                <w:tab w:val="clear" w:pos="4320"/>
                <w:tab w:val="clear" w:pos="8640"/>
              </w:tabs>
              <w:spacing w:before="40" w:after="40"/>
              <w:rPr>
                <w:sz w:val="22"/>
              </w:rPr>
            </w:pPr>
            <w:r>
              <w:rPr>
                <w:sz w:val="22"/>
              </w:rPr>
              <w:t>PM</w:t>
            </w:r>
          </w:p>
        </w:tc>
        <w:tc>
          <w:tcPr>
            <w:tcW w:w="1440" w:type="dxa"/>
            <w:tcBorders>
              <w:top w:val="double" w:sz="4" w:space="0" w:color="auto"/>
              <w:left w:val="single" w:sz="4" w:space="0" w:color="auto"/>
              <w:right w:val="single" w:sz="4" w:space="0" w:color="auto"/>
            </w:tcBorders>
          </w:tcPr>
          <w:p w:rsidR="00C27481" w:rsidRDefault="004360C2">
            <w:pPr>
              <w:spacing w:before="40" w:after="40"/>
              <w:jc w:val="center"/>
              <w:rPr>
                <w:sz w:val="22"/>
              </w:rPr>
            </w:pPr>
            <w:r>
              <w:rPr>
                <w:sz w:val="22"/>
              </w:rPr>
              <w:t>0</w:t>
            </w:r>
          </w:p>
        </w:tc>
        <w:tc>
          <w:tcPr>
            <w:tcW w:w="1296" w:type="dxa"/>
            <w:tcBorders>
              <w:top w:val="double" w:sz="4" w:space="0" w:color="auto"/>
              <w:left w:val="nil"/>
            </w:tcBorders>
          </w:tcPr>
          <w:p w:rsidR="00C27481" w:rsidRDefault="004360C2">
            <w:pPr>
              <w:spacing w:before="40" w:after="40"/>
              <w:jc w:val="center"/>
              <w:rPr>
                <w:sz w:val="22"/>
              </w:rPr>
            </w:pPr>
            <w:r>
              <w:rPr>
                <w:sz w:val="22"/>
              </w:rPr>
              <w:t>0</w:t>
            </w:r>
          </w:p>
        </w:tc>
        <w:tc>
          <w:tcPr>
            <w:tcW w:w="1296" w:type="dxa"/>
            <w:tcBorders>
              <w:top w:val="double" w:sz="4" w:space="0" w:color="auto"/>
              <w:right w:val="single" w:sz="4" w:space="0" w:color="auto"/>
            </w:tcBorders>
          </w:tcPr>
          <w:p w:rsidR="00C27481" w:rsidRDefault="004360C2">
            <w:pPr>
              <w:spacing w:before="40" w:after="40"/>
              <w:jc w:val="center"/>
              <w:rPr>
                <w:sz w:val="22"/>
              </w:rPr>
            </w:pPr>
            <w:r>
              <w:rPr>
                <w:sz w:val="22"/>
              </w:rPr>
              <w:t>0</w:t>
            </w:r>
          </w:p>
        </w:tc>
        <w:tc>
          <w:tcPr>
            <w:tcW w:w="1296" w:type="dxa"/>
            <w:tcBorders>
              <w:top w:val="double" w:sz="4" w:space="0" w:color="auto"/>
              <w:left w:val="nil"/>
              <w:right w:val="nil"/>
            </w:tcBorders>
          </w:tcPr>
          <w:p w:rsidR="00C27481" w:rsidRDefault="004360C2">
            <w:pPr>
              <w:spacing w:before="40" w:after="40"/>
              <w:jc w:val="center"/>
              <w:rPr>
                <w:sz w:val="22"/>
              </w:rPr>
            </w:pPr>
            <w:r>
              <w:rPr>
                <w:sz w:val="22"/>
              </w:rPr>
              <w:t>24</w:t>
            </w:r>
          </w:p>
        </w:tc>
        <w:tc>
          <w:tcPr>
            <w:tcW w:w="1296" w:type="dxa"/>
            <w:tcBorders>
              <w:top w:val="double" w:sz="4" w:space="0" w:color="auto"/>
              <w:left w:val="single" w:sz="4" w:space="0" w:color="auto"/>
              <w:right w:val="single" w:sz="4" w:space="0" w:color="auto"/>
            </w:tcBorders>
          </w:tcPr>
          <w:p w:rsidR="00C27481" w:rsidRDefault="004360C2">
            <w:pPr>
              <w:spacing w:before="40" w:after="40"/>
              <w:jc w:val="center"/>
              <w:rPr>
                <w:sz w:val="22"/>
              </w:rPr>
            </w:pPr>
            <w:r>
              <w:rPr>
                <w:sz w:val="22"/>
              </w:rPr>
              <w:t>24</w:t>
            </w:r>
          </w:p>
        </w:tc>
        <w:tc>
          <w:tcPr>
            <w:tcW w:w="1296" w:type="dxa"/>
            <w:tcBorders>
              <w:top w:val="double" w:sz="4" w:space="0" w:color="auto"/>
              <w:left w:val="nil"/>
              <w:right w:val="double" w:sz="6" w:space="0" w:color="auto"/>
            </w:tcBorders>
          </w:tcPr>
          <w:p w:rsidR="00C27481" w:rsidRDefault="004360C2">
            <w:pPr>
              <w:spacing w:before="40" w:after="40"/>
              <w:jc w:val="center"/>
              <w:rPr>
                <w:sz w:val="22"/>
              </w:rPr>
            </w:pPr>
            <w:r>
              <w:rPr>
                <w:sz w:val="22"/>
              </w:rPr>
              <w:t>0</w:t>
            </w:r>
          </w:p>
        </w:tc>
      </w:tr>
      <w:tr w:rsidR="00C27481" w:rsidTr="00A05319">
        <w:trPr>
          <w:cantSplit/>
        </w:trPr>
        <w:tc>
          <w:tcPr>
            <w:tcW w:w="1861" w:type="dxa"/>
            <w:tcBorders>
              <w:left w:val="double" w:sz="4" w:space="0" w:color="auto"/>
              <w:bottom w:val="nil"/>
              <w:right w:val="nil"/>
            </w:tcBorders>
          </w:tcPr>
          <w:p w:rsidR="00C27481" w:rsidRDefault="00C27481">
            <w:pPr>
              <w:spacing w:before="40" w:after="40"/>
              <w:rPr>
                <w:sz w:val="22"/>
              </w:rPr>
            </w:pPr>
            <w:r>
              <w:rPr>
                <w:sz w:val="22"/>
              </w:rPr>
              <w:t>PM</w:t>
            </w:r>
            <w:r>
              <w:rPr>
                <w:sz w:val="22"/>
                <w:vertAlign w:val="subscript"/>
              </w:rPr>
              <w:t>10</w:t>
            </w:r>
          </w:p>
        </w:tc>
        <w:tc>
          <w:tcPr>
            <w:tcW w:w="1440" w:type="dxa"/>
            <w:tcBorders>
              <w:left w:val="single" w:sz="4" w:space="0" w:color="auto"/>
              <w:bottom w:val="nil"/>
              <w:right w:val="single" w:sz="4" w:space="0" w:color="auto"/>
            </w:tcBorders>
          </w:tcPr>
          <w:p w:rsidR="00C27481" w:rsidRDefault="004360C2">
            <w:pPr>
              <w:spacing w:before="40" w:after="40"/>
              <w:jc w:val="center"/>
              <w:rPr>
                <w:sz w:val="22"/>
              </w:rPr>
            </w:pPr>
            <w:r>
              <w:rPr>
                <w:sz w:val="22"/>
              </w:rPr>
              <w:t>0</w:t>
            </w:r>
          </w:p>
        </w:tc>
        <w:tc>
          <w:tcPr>
            <w:tcW w:w="1296" w:type="dxa"/>
            <w:tcBorders>
              <w:left w:val="nil"/>
              <w:bottom w:val="nil"/>
            </w:tcBorders>
          </w:tcPr>
          <w:p w:rsidR="00C27481" w:rsidRDefault="004360C2">
            <w:pPr>
              <w:spacing w:before="40" w:after="40"/>
              <w:jc w:val="center"/>
              <w:rPr>
                <w:sz w:val="22"/>
              </w:rPr>
            </w:pPr>
            <w:r>
              <w:rPr>
                <w:sz w:val="22"/>
              </w:rPr>
              <w:t>0</w:t>
            </w:r>
          </w:p>
        </w:tc>
        <w:tc>
          <w:tcPr>
            <w:tcW w:w="1296" w:type="dxa"/>
            <w:tcBorders>
              <w:bottom w:val="nil"/>
              <w:right w:val="single" w:sz="4" w:space="0" w:color="auto"/>
            </w:tcBorders>
          </w:tcPr>
          <w:p w:rsidR="00C27481" w:rsidRDefault="004360C2">
            <w:pPr>
              <w:spacing w:before="40" w:after="40"/>
              <w:jc w:val="center"/>
              <w:rPr>
                <w:sz w:val="22"/>
              </w:rPr>
            </w:pPr>
            <w:r>
              <w:rPr>
                <w:sz w:val="22"/>
              </w:rPr>
              <w:t>0</w:t>
            </w:r>
          </w:p>
        </w:tc>
        <w:tc>
          <w:tcPr>
            <w:tcW w:w="1296" w:type="dxa"/>
            <w:tcBorders>
              <w:left w:val="nil"/>
              <w:bottom w:val="nil"/>
              <w:right w:val="nil"/>
            </w:tcBorders>
          </w:tcPr>
          <w:p w:rsidR="00C27481" w:rsidRDefault="004360C2">
            <w:pPr>
              <w:spacing w:before="40" w:after="40"/>
              <w:jc w:val="center"/>
              <w:rPr>
                <w:sz w:val="22"/>
              </w:rPr>
            </w:pPr>
            <w:r>
              <w:rPr>
                <w:sz w:val="22"/>
              </w:rPr>
              <w:t>14</w:t>
            </w:r>
          </w:p>
        </w:tc>
        <w:tc>
          <w:tcPr>
            <w:tcW w:w="1296" w:type="dxa"/>
            <w:tcBorders>
              <w:left w:val="single" w:sz="4" w:space="0" w:color="auto"/>
              <w:bottom w:val="nil"/>
              <w:right w:val="single" w:sz="4" w:space="0" w:color="auto"/>
            </w:tcBorders>
          </w:tcPr>
          <w:p w:rsidR="00C27481" w:rsidRDefault="004360C2">
            <w:pPr>
              <w:spacing w:before="40" w:after="40"/>
              <w:jc w:val="center"/>
              <w:rPr>
                <w:sz w:val="22"/>
              </w:rPr>
            </w:pPr>
            <w:r>
              <w:rPr>
                <w:sz w:val="22"/>
              </w:rPr>
              <w:t>14</w:t>
            </w:r>
          </w:p>
        </w:tc>
        <w:tc>
          <w:tcPr>
            <w:tcW w:w="1296" w:type="dxa"/>
            <w:tcBorders>
              <w:left w:val="nil"/>
              <w:bottom w:val="nil"/>
              <w:right w:val="double" w:sz="6" w:space="0" w:color="auto"/>
            </w:tcBorders>
          </w:tcPr>
          <w:p w:rsidR="00C27481" w:rsidRDefault="004360C2">
            <w:pPr>
              <w:spacing w:before="40" w:after="40"/>
              <w:jc w:val="center"/>
              <w:rPr>
                <w:sz w:val="22"/>
              </w:rPr>
            </w:pPr>
            <w:r>
              <w:rPr>
                <w:sz w:val="22"/>
              </w:rPr>
              <w:t>0</w:t>
            </w:r>
          </w:p>
        </w:tc>
      </w:tr>
      <w:tr w:rsidR="00C27481" w:rsidTr="00A05319">
        <w:trPr>
          <w:cantSplit/>
        </w:trPr>
        <w:tc>
          <w:tcPr>
            <w:tcW w:w="1861" w:type="dxa"/>
            <w:tcBorders>
              <w:left w:val="double" w:sz="4" w:space="0" w:color="auto"/>
              <w:bottom w:val="nil"/>
              <w:right w:val="nil"/>
            </w:tcBorders>
          </w:tcPr>
          <w:p w:rsidR="00C27481" w:rsidRDefault="00C27481">
            <w:pPr>
              <w:spacing w:before="40" w:after="40"/>
              <w:rPr>
                <w:sz w:val="22"/>
              </w:rPr>
            </w:pPr>
            <w:r>
              <w:rPr>
                <w:sz w:val="22"/>
              </w:rPr>
              <w:t>SO</w:t>
            </w:r>
            <w:r>
              <w:rPr>
                <w:sz w:val="22"/>
                <w:vertAlign w:val="subscript"/>
              </w:rPr>
              <w:t>2</w:t>
            </w:r>
          </w:p>
        </w:tc>
        <w:tc>
          <w:tcPr>
            <w:tcW w:w="1440" w:type="dxa"/>
            <w:tcBorders>
              <w:left w:val="single" w:sz="4" w:space="0" w:color="auto"/>
              <w:bottom w:val="nil"/>
              <w:right w:val="single" w:sz="4" w:space="0" w:color="auto"/>
            </w:tcBorders>
          </w:tcPr>
          <w:p w:rsidR="00C27481" w:rsidRDefault="004360C2">
            <w:pPr>
              <w:spacing w:before="40" w:after="40"/>
              <w:jc w:val="center"/>
              <w:rPr>
                <w:sz w:val="22"/>
              </w:rPr>
            </w:pPr>
            <w:r>
              <w:rPr>
                <w:sz w:val="22"/>
              </w:rPr>
              <w:t>0</w:t>
            </w:r>
          </w:p>
        </w:tc>
        <w:tc>
          <w:tcPr>
            <w:tcW w:w="1296" w:type="dxa"/>
            <w:tcBorders>
              <w:left w:val="nil"/>
              <w:bottom w:val="nil"/>
            </w:tcBorders>
          </w:tcPr>
          <w:p w:rsidR="00C27481" w:rsidRDefault="004360C2">
            <w:pPr>
              <w:spacing w:before="40" w:after="40"/>
              <w:jc w:val="center"/>
              <w:rPr>
                <w:sz w:val="22"/>
              </w:rPr>
            </w:pPr>
            <w:r>
              <w:rPr>
                <w:sz w:val="22"/>
              </w:rPr>
              <w:t>0</w:t>
            </w:r>
          </w:p>
        </w:tc>
        <w:tc>
          <w:tcPr>
            <w:tcW w:w="1296" w:type="dxa"/>
            <w:tcBorders>
              <w:bottom w:val="nil"/>
              <w:right w:val="single" w:sz="4" w:space="0" w:color="auto"/>
            </w:tcBorders>
          </w:tcPr>
          <w:p w:rsidR="00C27481" w:rsidRDefault="004360C2">
            <w:pPr>
              <w:spacing w:before="40" w:after="40"/>
              <w:jc w:val="center"/>
              <w:rPr>
                <w:sz w:val="22"/>
              </w:rPr>
            </w:pPr>
            <w:r>
              <w:rPr>
                <w:sz w:val="22"/>
              </w:rPr>
              <w:t>0</w:t>
            </w:r>
          </w:p>
        </w:tc>
        <w:tc>
          <w:tcPr>
            <w:tcW w:w="1296" w:type="dxa"/>
            <w:tcBorders>
              <w:left w:val="nil"/>
              <w:bottom w:val="nil"/>
              <w:right w:val="nil"/>
            </w:tcBorders>
          </w:tcPr>
          <w:p w:rsidR="00C27481" w:rsidRDefault="00A05319">
            <w:pPr>
              <w:spacing w:before="40" w:after="40"/>
              <w:jc w:val="center"/>
              <w:rPr>
                <w:sz w:val="22"/>
              </w:rPr>
            </w:pPr>
            <w:r>
              <w:rPr>
                <w:sz w:val="22"/>
              </w:rPr>
              <w:t>39</w:t>
            </w:r>
          </w:p>
        </w:tc>
        <w:tc>
          <w:tcPr>
            <w:tcW w:w="1296" w:type="dxa"/>
            <w:tcBorders>
              <w:left w:val="single" w:sz="4" w:space="0" w:color="auto"/>
              <w:bottom w:val="nil"/>
              <w:right w:val="single" w:sz="4" w:space="0" w:color="auto"/>
            </w:tcBorders>
          </w:tcPr>
          <w:p w:rsidR="00C27481" w:rsidRDefault="00A05319">
            <w:pPr>
              <w:spacing w:before="40" w:after="40"/>
              <w:jc w:val="center"/>
              <w:rPr>
                <w:sz w:val="22"/>
              </w:rPr>
            </w:pPr>
            <w:r>
              <w:rPr>
                <w:sz w:val="22"/>
              </w:rPr>
              <w:t>39</w:t>
            </w:r>
          </w:p>
        </w:tc>
        <w:tc>
          <w:tcPr>
            <w:tcW w:w="1296" w:type="dxa"/>
            <w:tcBorders>
              <w:left w:val="nil"/>
              <w:bottom w:val="nil"/>
              <w:right w:val="double" w:sz="6" w:space="0" w:color="auto"/>
            </w:tcBorders>
          </w:tcPr>
          <w:p w:rsidR="00C27481" w:rsidRDefault="00A05319">
            <w:pPr>
              <w:spacing w:before="40" w:after="40"/>
              <w:jc w:val="center"/>
              <w:rPr>
                <w:sz w:val="22"/>
              </w:rPr>
            </w:pPr>
            <w:r>
              <w:rPr>
                <w:sz w:val="22"/>
              </w:rPr>
              <w:t>0</w:t>
            </w:r>
          </w:p>
        </w:tc>
      </w:tr>
      <w:tr w:rsidR="00C27481" w:rsidTr="00A05319">
        <w:trPr>
          <w:cantSplit/>
        </w:trPr>
        <w:tc>
          <w:tcPr>
            <w:tcW w:w="1861" w:type="dxa"/>
            <w:tcBorders>
              <w:top w:val="single" w:sz="4" w:space="0" w:color="auto"/>
              <w:left w:val="double" w:sz="4" w:space="0" w:color="auto"/>
              <w:bottom w:val="single" w:sz="4" w:space="0" w:color="auto"/>
              <w:right w:val="nil"/>
            </w:tcBorders>
          </w:tcPr>
          <w:p w:rsidR="00C27481" w:rsidRDefault="00C27481">
            <w:pPr>
              <w:spacing w:before="40" w:after="40"/>
              <w:rPr>
                <w:sz w:val="22"/>
              </w:rPr>
            </w:pPr>
            <w:r>
              <w:rPr>
                <w:sz w:val="22"/>
              </w:rPr>
              <w:t>NO</w:t>
            </w:r>
            <w:r>
              <w:rPr>
                <w:sz w:val="22"/>
                <w:vertAlign w:val="subscript"/>
              </w:rPr>
              <w:t>x</w:t>
            </w:r>
          </w:p>
        </w:tc>
        <w:tc>
          <w:tcPr>
            <w:tcW w:w="1440" w:type="dxa"/>
            <w:tcBorders>
              <w:top w:val="single" w:sz="4" w:space="0" w:color="auto"/>
              <w:left w:val="single" w:sz="4" w:space="0" w:color="auto"/>
              <w:bottom w:val="single" w:sz="4" w:space="0" w:color="auto"/>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bottom w:val="single" w:sz="4" w:space="0" w:color="auto"/>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single" w:sz="4" w:space="0" w:color="auto"/>
              <w:right w:val="nil"/>
            </w:tcBorders>
          </w:tcPr>
          <w:p w:rsidR="00C27481" w:rsidRDefault="00A05319">
            <w:pPr>
              <w:spacing w:before="40" w:after="40"/>
              <w:jc w:val="center"/>
              <w:rPr>
                <w:sz w:val="22"/>
              </w:rPr>
            </w:pPr>
            <w:r>
              <w:rPr>
                <w:sz w:val="22"/>
              </w:rPr>
              <w:t>39</w:t>
            </w:r>
          </w:p>
        </w:tc>
        <w:tc>
          <w:tcPr>
            <w:tcW w:w="1296" w:type="dxa"/>
            <w:tcBorders>
              <w:top w:val="single" w:sz="4" w:space="0" w:color="auto"/>
              <w:left w:val="single" w:sz="4" w:space="0" w:color="auto"/>
              <w:bottom w:val="single" w:sz="4" w:space="0" w:color="auto"/>
              <w:right w:val="single" w:sz="4" w:space="0" w:color="auto"/>
            </w:tcBorders>
          </w:tcPr>
          <w:p w:rsidR="00C27481" w:rsidRDefault="00A05319">
            <w:pPr>
              <w:spacing w:before="40" w:after="40"/>
              <w:jc w:val="center"/>
              <w:rPr>
                <w:sz w:val="22"/>
              </w:rPr>
            </w:pPr>
            <w:r>
              <w:rPr>
                <w:sz w:val="22"/>
              </w:rPr>
              <w:t>39</w:t>
            </w:r>
          </w:p>
        </w:tc>
        <w:tc>
          <w:tcPr>
            <w:tcW w:w="1296" w:type="dxa"/>
            <w:tcBorders>
              <w:top w:val="single" w:sz="4" w:space="0" w:color="auto"/>
              <w:left w:val="nil"/>
              <w:bottom w:val="single" w:sz="4" w:space="0" w:color="auto"/>
              <w:right w:val="double" w:sz="6" w:space="0" w:color="auto"/>
            </w:tcBorders>
          </w:tcPr>
          <w:p w:rsidR="00C27481" w:rsidRDefault="00A05319">
            <w:pPr>
              <w:spacing w:before="40" w:after="40"/>
              <w:jc w:val="center"/>
              <w:rPr>
                <w:sz w:val="22"/>
              </w:rPr>
            </w:pPr>
            <w:r>
              <w:rPr>
                <w:sz w:val="22"/>
              </w:rPr>
              <w:t>0</w:t>
            </w:r>
          </w:p>
        </w:tc>
      </w:tr>
      <w:tr w:rsidR="00C27481" w:rsidTr="00A05319">
        <w:trPr>
          <w:cantSplit/>
        </w:trPr>
        <w:tc>
          <w:tcPr>
            <w:tcW w:w="1861" w:type="dxa"/>
            <w:tcBorders>
              <w:top w:val="nil"/>
              <w:left w:val="double" w:sz="4" w:space="0" w:color="auto"/>
              <w:bottom w:val="nil"/>
              <w:right w:val="nil"/>
            </w:tcBorders>
          </w:tcPr>
          <w:p w:rsidR="00C27481" w:rsidRDefault="00C27481">
            <w:pPr>
              <w:spacing w:before="40" w:after="40"/>
              <w:rPr>
                <w:sz w:val="22"/>
              </w:rPr>
            </w:pPr>
            <w:r>
              <w:rPr>
                <w:sz w:val="22"/>
              </w:rPr>
              <w:t>CO</w:t>
            </w:r>
          </w:p>
        </w:tc>
        <w:tc>
          <w:tcPr>
            <w:tcW w:w="1440" w:type="dxa"/>
            <w:tcBorders>
              <w:top w:val="nil"/>
              <w:left w:val="single" w:sz="4" w:space="0" w:color="auto"/>
              <w:bottom w:val="nil"/>
              <w:right w:val="single" w:sz="4" w:space="0" w:color="auto"/>
            </w:tcBorders>
          </w:tcPr>
          <w:p w:rsidR="00C27481" w:rsidRDefault="00A05319">
            <w:pPr>
              <w:spacing w:before="40" w:after="40"/>
              <w:jc w:val="center"/>
              <w:rPr>
                <w:sz w:val="22"/>
              </w:rPr>
            </w:pPr>
            <w:r>
              <w:rPr>
                <w:sz w:val="22"/>
              </w:rPr>
              <w:t>0</w:t>
            </w:r>
          </w:p>
        </w:tc>
        <w:tc>
          <w:tcPr>
            <w:tcW w:w="1296" w:type="dxa"/>
            <w:tcBorders>
              <w:top w:val="nil"/>
              <w:left w:val="nil"/>
              <w:bottom w:val="nil"/>
            </w:tcBorders>
          </w:tcPr>
          <w:p w:rsidR="00C27481" w:rsidRDefault="00A05319">
            <w:pPr>
              <w:spacing w:before="40" w:after="40"/>
              <w:jc w:val="center"/>
              <w:rPr>
                <w:sz w:val="22"/>
              </w:rPr>
            </w:pPr>
            <w:r>
              <w:rPr>
                <w:sz w:val="22"/>
              </w:rPr>
              <w:t>0</w:t>
            </w:r>
          </w:p>
        </w:tc>
        <w:tc>
          <w:tcPr>
            <w:tcW w:w="1296" w:type="dxa"/>
            <w:tcBorders>
              <w:top w:val="nil"/>
              <w:bottom w:val="nil"/>
              <w:right w:val="single" w:sz="4" w:space="0" w:color="auto"/>
            </w:tcBorders>
          </w:tcPr>
          <w:p w:rsidR="00C27481" w:rsidRDefault="00A05319">
            <w:pPr>
              <w:spacing w:before="40" w:after="40"/>
              <w:jc w:val="center"/>
              <w:rPr>
                <w:sz w:val="22"/>
              </w:rPr>
            </w:pPr>
            <w:r>
              <w:rPr>
                <w:sz w:val="22"/>
              </w:rPr>
              <w:t>0</w:t>
            </w:r>
          </w:p>
        </w:tc>
        <w:tc>
          <w:tcPr>
            <w:tcW w:w="1296" w:type="dxa"/>
            <w:tcBorders>
              <w:top w:val="nil"/>
              <w:left w:val="nil"/>
              <w:bottom w:val="nil"/>
              <w:right w:val="nil"/>
            </w:tcBorders>
          </w:tcPr>
          <w:p w:rsidR="00C27481" w:rsidRDefault="00A05319">
            <w:pPr>
              <w:spacing w:before="40" w:after="40"/>
              <w:jc w:val="center"/>
              <w:rPr>
                <w:sz w:val="22"/>
              </w:rPr>
            </w:pPr>
            <w:r>
              <w:rPr>
                <w:sz w:val="22"/>
              </w:rPr>
              <w:t>99</w:t>
            </w:r>
          </w:p>
        </w:tc>
        <w:tc>
          <w:tcPr>
            <w:tcW w:w="1296" w:type="dxa"/>
            <w:tcBorders>
              <w:top w:val="nil"/>
              <w:left w:val="single" w:sz="4" w:space="0" w:color="auto"/>
              <w:bottom w:val="nil"/>
              <w:right w:val="single" w:sz="4" w:space="0" w:color="auto"/>
            </w:tcBorders>
          </w:tcPr>
          <w:p w:rsidR="00C27481" w:rsidRDefault="00A05319">
            <w:pPr>
              <w:spacing w:before="40" w:after="40"/>
              <w:jc w:val="center"/>
              <w:rPr>
                <w:sz w:val="22"/>
              </w:rPr>
            </w:pPr>
            <w:r>
              <w:rPr>
                <w:sz w:val="22"/>
              </w:rPr>
              <w:t>99</w:t>
            </w:r>
          </w:p>
        </w:tc>
        <w:tc>
          <w:tcPr>
            <w:tcW w:w="1296" w:type="dxa"/>
            <w:tcBorders>
              <w:top w:val="nil"/>
              <w:left w:val="nil"/>
              <w:bottom w:val="nil"/>
              <w:right w:val="double" w:sz="6" w:space="0" w:color="auto"/>
            </w:tcBorders>
          </w:tcPr>
          <w:p w:rsidR="00C27481" w:rsidRDefault="00A05319">
            <w:pPr>
              <w:spacing w:before="40" w:after="40"/>
              <w:jc w:val="center"/>
              <w:rPr>
                <w:sz w:val="22"/>
              </w:rPr>
            </w:pPr>
            <w:r>
              <w:rPr>
                <w:sz w:val="22"/>
              </w:rPr>
              <w:t>0</w:t>
            </w:r>
          </w:p>
        </w:tc>
      </w:tr>
      <w:tr w:rsidR="00C27481" w:rsidTr="00A05319">
        <w:trPr>
          <w:cantSplit/>
        </w:trPr>
        <w:tc>
          <w:tcPr>
            <w:tcW w:w="1861" w:type="dxa"/>
            <w:tcBorders>
              <w:top w:val="single" w:sz="4" w:space="0" w:color="auto"/>
              <w:left w:val="double" w:sz="4" w:space="0" w:color="auto"/>
              <w:bottom w:val="nil"/>
              <w:right w:val="nil"/>
            </w:tcBorders>
          </w:tcPr>
          <w:p w:rsidR="00C27481" w:rsidRDefault="00C27481">
            <w:pPr>
              <w:spacing w:before="40" w:after="40"/>
              <w:rPr>
                <w:sz w:val="22"/>
              </w:rPr>
            </w:pPr>
            <w:r>
              <w:rPr>
                <w:sz w:val="22"/>
              </w:rPr>
              <w:t>VOC</w:t>
            </w:r>
          </w:p>
        </w:tc>
        <w:tc>
          <w:tcPr>
            <w:tcW w:w="1440" w:type="dxa"/>
            <w:tcBorders>
              <w:top w:val="single" w:sz="4" w:space="0" w:color="auto"/>
              <w:left w:val="single" w:sz="4" w:space="0" w:color="auto"/>
              <w:bottom w:val="nil"/>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nil"/>
            </w:tcBorders>
          </w:tcPr>
          <w:p w:rsidR="00C27481" w:rsidRDefault="00A05319">
            <w:pPr>
              <w:spacing w:before="40" w:after="40"/>
              <w:jc w:val="center"/>
              <w:rPr>
                <w:sz w:val="22"/>
              </w:rPr>
            </w:pPr>
            <w:r>
              <w:rPr>
                <w:sz w:val="22"/>
              </w:rPr>
              <w:t>0</w:t>
            </w:r>
          </w:p>
        </w:tc>
        <w:tc>
          <w:tcPr>
            <w:tcW w:w="1296" w:type="dxa"/>
            <w:tcBorders>
              <w:top w:val="single" w:sz="4" w:space="0" w:color="auto"/>
              <w:bottom w:val="nil"/>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nil"/>
              <w:right w:val="nil"/>
            </w:tcBorders>
          </w:tcPr>
          <w:p w:rsidR="00C27481" w:rsidRDefault="00A05319">
            <w:pPr>
              <w:spacing w:before="40" w:after="40"/>
              <w:jc w:val="center"/>
              <w:rPr>
                <w:sz w:val="22"/>
              </w:rPr>
            </w:pPr>
            <w:r>
              <w:rPr>
                <w:sz w:val="22"/>
              </w:rPr>
              <w:t>39</w:t>
            </w:r>
          </w:p>
        </w:tc>
        <w:tc>
          <w:tcPr>
            <w:tcW w:w="1296" w:type="dxa"/>
            <w:tcBorders>
              <w:top w:val="single" w:sz="4" w:space="0" w:color="auto"/>
              <w:left w:val="single" w:sz="4" w:space="0" w:color="auto"/>
              <w:bottom w:val="nil"/>
              <w:right w:val="single" w:sz="4" w:space="0" w:color="auto"/>
            </w:tcBorders>
          </w:tcPr>
          <w:p w:rsidR="00C27481" w:rsidRDefault="00A05319">
            <w:pPr>
              <w:spacing w:before="40" w:after="40"/>
              <w:jc w:val="center"/>
              <w:rPr>
                <w:sz w:val="22"/>
              </w:rPr>
            </w:pPr>
            <w:r>
              <w:rPr>
                <w:sz w:val="22"/>
              </w:rPr>
              <w:t>39</w:t>
            </w:r>
          </w:p>
        </w:tc>
        <w:tc>
          <w:tcPr>
            <w:tcW w:w="1296" w:type="dxa"/>
            <w:tcBorders>
              <w:top w:val="single" w:sz="4" w:space="0" w:color="auto"/>
              <w:left w:val="nil"/>
              <w:bottom w:val="nil"/>
              <w:right w:val="double" w:sz="6" w:space="0" w:color="auto"/>
            </w:tcBorders>
          </w:tcPr>
          <w:p w:rsidR="00C27481" w:rsidRDefault="00A05319">
            <w:pPr>
              <w:spacing w:before="40" w:after="40"/>
              <w:jc w:val="center"/>
              <w:rPr>
                <w:sz w:val="22"/>
              </w:rPr>
            </w:pPr>
            <w:r>
              <w:rPr>
                <w:sz w:val="22"/>
              </w:rPr>
              <w:t>0</w:t>
            </w:r>
          </w:p>
        </w:tc>
      </w:tr>
      <w:tr w:rsidR="00C27481" w:rsidTr="00A05319">
        <w:trPr>
          <w:cantSplit/>
        </w:trPr>
        <w:tc>
          <w:tcPr>
            <w:tcW w:w="1861" w:type="dxa"/>
            <w:tcBorders>
              <w:top w:val="single" w:sz="4" w:space="0" w:color="auto"/>
              <w:left w:val="double" w:sz="4" w:space="0" w:color="auto"/>
              <w:bottom w:val="single" w:sz="4" w:space="0" w:color="auto"/>
              <w:right w:val="nil"/>
            </w:tcBorders>
          </w:tcPr>
          <w:p w:rsidR="00C27481" w:rsidRDefault="00A05319" w:rsidP="00A05319">
            <w:pPr>
              <w:spacing w:before="40" w:after="40"/>
              <w:rPr>
                <w:sz w:val="22"/>
              </w:rPr>
            </w:pPr>
            <w:r>
              <w:rPr>
                <w:sz w:val="22"/>
              </w:rPr>
              <w:t>Single HAP</w:t>
            </w:r>
          </w:p>
        </w:tc>
        <w:tc>
          <w:tcPr>
            <w:tcW w:w="1440" w:type="dxa"/>
            <w:tcBorders>
              <w:top w:val="single" w:sz="4" w:space="0" w:color="auto"/>
              <w:left w:val="single" w:sz="4" w:space="0" w:color="auto"/>
              <w:bottom w:val="single" w:sz="4" w:space="0" w:color="auto"/>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bottom w:val="single" w:sz="4" w:space="0" w:color="auto"/>
              <w:right w:val="single" w:sz="4" w:space="0" w:color="auto"/>
            </w:tcBorders>
          </w:tcPr>
          <w:p w:rsidR="00C27481" w:rsidRDefault="00A05319">
            <w:pPr>
              <w:spacing w:before="40" w:after="40"/>
              <w:jc w:val="center"/>
              <w:rPr>
                <w:sz w:val="22"/>
              </w:rPr>
            </w:pPr>
            <w:r>
              <w:rPr>
                <w:sz w:val="22"/>
              </w:rPr>
              <w:t>0</w:t>
            </w:r>
          </w:p>
        </w:tc>
        <w:tc>
          <w:tcPr>
            <w:tcW w:w="1296" w:type="dxa"/>
            <w:tcBorders>
              <w:top w:val="single" w:sz="4" w:space="0" w:color="auto"/>
              <w:left w:val="nil"/>
              <w:bottom w:val="single" w:sz="4" w:space="0" w:color="auto"/>
              <w:right w:val="nil"/>
            </w:tcBorders>
          </w:tcPr>
          <w:p w:rsidR="00C27481" w:rsidRDefault="00A05319">
            <w:pPr>
              <w:spacing w:before="40" w:after="40"/>
              <w:jc w:val="center"/>
              <w:rPr>
                <w:sz w:val="22"/>
              </w:rPr>
            </w:pPr>
            <w:r>
              <w:rPr>
                <w:sz w:val="22"/>
              </w:rPr>
              <w:t>9</w:t>
            </w:r>
          </w:p>
        </w:tc>
        <w:tc>
          <w:tcPr>
            <w:tcW w:w="1296" w:type="dxa"/>
            <w:tcBorders>
              <w:top w:val="single" w:sz="4" w:space="0" w:color="auto"/>
              <w:left w:val="single" w:sz="4" w:space="0" w:color="auto"/>
              <w:bottom w:val="single" w:sz="4" w:space="0" w:color="auto"/>
              <w:right w:val="single" w:sz="4" w:space="0" w:color="auto"/>
            </w:tcBorders>
          </w:tcPr>
          <w:p w:rsidR="00C27481" w:rsidRDefault="00A05319">
            <w:pPr>
              <w:spacing w:before="40" w:after="40"/>
              <w:jc w:val="center"/>
              <w:rPr>
                <w:sz w:val="22"/>
              </w:rPr>
            </w:pPr>
            <w:r>
              <w:rPr>
                <w:sz w:val="22"/>
              </w:rPr>
              <w:t>9</w:t>
            </w:r>
          </w:p>
        </w:tc>
        <w:tc>
          <w:tcPr>
            <w:tcW w:w="1296" w:type="dxa"/>
            <w:tcBorders>
              <w:top w:val="single" w:sz="4" w:space="0" w:color="auto"/>
              <w:left w:val="nil"/>
              <w:bottom w:val="single" w:sz="4" w:space="0" w:color="auto"/>
              <w:right w:val="double" w:sz="6" w:space="0" w:color="auto"/>
            </w:tcBorders>
          </w:tcPr>
          <w:p w:rsidR="00C27481" w:rsidRDefault="00A05319">
            <w:pPr>
              <w:spacing w:before="40" w:after="40"/>
              <w:jc w:val="center"/>
              <w:rPr>
                <w:sz w:val="22"/>
              </w:rPr>
            </w:pPr>
            <w:r>
              <w:rPr>
                <w:sz w:val="22"/>
              </w:rPr>
              <w:t>0</w:t>
            </w:r>
          </w:p>
        </w:tc>
      </w:tr>
      <w:tr w:rsidR="00A05319" w:rsidTr="00A05319">
        <w:trPr>
          <w:cantSplit/>
        </w:trPr>
        <w:tc>
          <w:tcPr>
            <w:tcW w:w="1861" w:type="dxa"/>
            <w:tcBorders>
              <w:top w:val="single" w:sz="4" w:space="0" w:color="auto"/>
              <w:left w:val="double" w:sz="4" w:space="0" w:color="auto"/>
              <w:bottom w:val="double" w:sz="6" w:space="0" w:color="auto"/>
              <w:right w:val="nil"/>
            </w:tcBorders>
          </w:tcPr>
          <w:p w:rsidR="00A05319" w:rsidRDefault="00A05319" w:rsidP="00A05319">
            <w:pPr>
              <w:spacing w:before="40" w:after="40"/>
              <w:rPr>
                <w:sz w:val="22"/>
              </w:rPr>
            </w:pPr>
            <w:r>
              <w:rPr>
                <w:sz w:val="22"/>
              </w:rPr>
              <w:t>Combined HAPS</w:t>
            </w:r>
          </w:p>
        </w:tc>
        <w:tc>
          <w:tcPr>
            <w:tcW w:w="1440" w:type="dxa"/>
            <w:tcBorders>
              <w:top w:val="single" w:sz="4" w:space="0" w:color="auto"/>
              <w:left w:val="single" w:sz="4" w:space="0" w:color="auto"/>
              <w:bottom w:val="double" w:sz="6" w:space="0" w:color="auto"/>
              <w:right w:val="single" w:sz="4" w:space="0" w:color="auto"/>
            </w:tcBorders>
          </w:tcPr>
          <w:p w:rsidR="00A05319" w:rsidRDefault="00A05319">
            <w:pPr>
              <w:spacing w:before="40" w:after="40"/>
              <w:jc w:val="center"/>
              <w:rPr>
                <w:sz w:val="22"/>
              </w:rPr>
            </w:pPr>
            <w:r>
              <w:rPr>
                <w:sz w:val="22"/>
              </w:rPr>
              <w:t>0</w:t>
            </w:r>
          </w:p>
        </w:tc>
        <w:tc>
          <w:tcPr>
            <w:tcW w:w="1296" w:type="dxa"/>
            <w:tcBorders>
              <w:top w:val="single" w:sz="4" w:space="0" w:color="auto"/>
              <w:left w:val="nil"/>
              <w:bottom w:val="double" w:sz="6" w:space="0" w:color="auto"/>
            </w:tcBorders>
          </w:tcPr>
          <w:p w:rsidR="00A05319" w:rsidRDefault="00A05319">
            <w:pPr>
              <w:spacing w:before="40" w:after="40"/>
              <w:jc w:val="center"/>
              <w:rPr>
                <w:sz w:val="22"/>
              </w:rPr>
            </w:pPr>
            <w:r>
              <w:rPr>
                <w:sz w:val="22"/>
              </w:rPr>
              <w:t>0</w:t>
            </w:r>
          </w:p>
        </w:tc>
        <w:tc>
          <w:tcPr>
            <w:tcW w:w="1296" w:type="dxa"/>
            <w:tcBorders>
              <w:top w:val="single" w:sz="4" w:space="0" w:color="auto"/>
              <w:bottom w:val="double" w:sz="6" w:space="0" w:color="auto"/>
              <w:right w:val="single" w:sz="4" w:space="0" w:color="auto"/>
            </w:tcBorders>
          </w:tcPr>
          <w:p w:rsidR="00A05319" w:rsidRDefault="00A05319">
            <w:pPr>
              <w:spacing w:before="40" w:after="40"/>
              <w:jc w:val="center"/>
              <w:rPr>
                <w:sz w:val="22"/>
              </w:rPr>
            </w:pPr>
            <w:r>
              <w:rPr>
                <w:sz w:val="22"/>
              </w:rPr>
              <w:t>0</w:t>
            </w:r>
          </w:p>
        </w:tc>
        <w:tc>
          <w:tcPr>
            <w:tcW w:w="1296" w:type="dxa"/>
            <w:tcBorders>
              <w:top w:val="single" w:sz="4" w:space="0" w:color="auto"/>
              <w:left w:val="nil"/>
              <w:bottom w:val="double" w:sz="6" w:space="0" w:color="auto"/>
              <w:right w:val="nil"/>
            </w:tcBorders>
          </w:tcPr>
          <w:p w:rsidR="00A05319" w:rsidRDefault="00A05319">
            <w:pPr>
              <w:spacing w:before="40" w:after="40"/>
              <w:jc w:val="center"/>
              <w:rPr>
                <w:sz w:val="22"/>
              </w:rPr>
            </w:pPr>
            <w:r>
              <w:rPr>
                <w:sz w:val="22"/>
              </w:rPr>
              <w:t>24</w:t>
            </w:r>
          </w:p>
        </w:tc>
        <w:tc>
          <w:tcPr>
            <w:tcW w:w="1296" w:type="dxa"/>
            <w:tcBorders>
              <w:top w:val="single" w:sz="4" w:space="0" w:color="auto"/>
              <w:left w:val="single" w:sz="4" w:space="0" w:color="auto"/>
              <w:bottom w:val="double" w:sz="6" w:space="0" w:color="auto"/>
              <w:right w:val="single" w:sz="4" w:space="0" w:color="auto"/>
            </w:tcBorders>
          </w:tcPr>
          <w:p w:rsidR="00A05319" w:rsidRDefault="00A05319">
            <w:pPr>
              <w:spacing w:before="40" w:after="40"/>
              <w:jc w:val="center"/>
              <w:rPr>
                <w:sz w:val="22"/>
              </w:rPr>
            </w:pPr>
            <w:r>
              <w:rPr>
                <w:sz w:val="22"/>
              </w:rPr>
              <w:t>24</w:t>
            </w:r>
          </w:p>
        </w:tc>
        <w:tc>
          <w:tcPr>
            <w:tcW w:w="1296" w:type="dxa"/>
            <w:tcBorders>
              <w:top w:val="single" w:sz="4" w:space="0" w:color="auto"/>
              <w:left w:val="nil"/>
              <w:bottom w:val="double" w:sz="6" w:space="0" w:color="auto"/>
              <w:right w:val="double" w:sz="6" w:space="0" w:color="auto"/>
            </w:tcBorders>
          </w:tcPr>
          <w:p w:rsidR="00A05319" w:rsidRDefault="00A05319">
            <w:pPr>
              <w:spacing w:before="40" w:after="40"/>
              <w:jc w:val="center"/>
              <w:rPr>
                <w:sz w:val="22"/>
              </w:rPr>
            </w:pPr>
            <w:r>
              <w:rPr>
                <w:sz w:val="22"/>
              </w:rPr>
              <w:t>0</w:t>
            </w:r>
          </w:p>
        </w:tc>
      </w:tr>
    </w:tbl>
    <w:p w:rsidR="00C27481" w:rsidRDefault="00C27481">
      <w:pPr>
        <w:rPr>
          <w:caps/>
          <w:u w:val="single"/>
        </w:rPr>
      </w:pPr>
    </w:p>
    <w:p w:rsidR="00C27481" w:rsidRDefault="00C27481">
      <w:pPr>
        <w:pStyle w:val="Heading2"/>
      </w:pPr>
      <w:r>
        <w:t>The proposed PSELs for all pollutants are equal to the Generic PSEL in accordance with OAR 340-216-0064(4</w:t>
      </w:r>
      <w:proofErr w:type="gramStart"/>
      <w:r>
        <w:t>)(</w:t>
      </w:r>
      <w:proofErr w:type="gramEnd"/>
      <w:r>
        <w:t xml:space="preserve">b) and the netting basis is zero in accordance with OAR 340-222-0040(2).  </w:t>
      </w:r>
    </w:p>
    <w:p w:rsidR="00C27481" w:rsidRDefault="00A05319">
      <w:pPr>
        <w:pStyle w:val="Heading2"/>
      </w:pPr>
      <w:r>
        <w:t xml:space="preserve">Anticipated emissions are the same as the previous PSEL and are based on the manufacture of 1.6 billion feet of containerboard per year and the use of 342,000 </w:t>
      </w:r>
      <w:r>
        <w:lastRenderedPageBreak/>
        <w:t>pounds of ink with an average VOC content of 5%, by weight, and an average 3% product that has been waxed (included in the corrugated emission factor).</w:t>
      </w:r>
    </w:p>
    <w:p w:rsidR="00A05319" w:rsidRPr="00A05319" w:rsidRDefault="00A05319" w:rsidP="00A05319">
      <w:pPr>
        <w:pStyle w:val="Heading2"/>
      </w:pPr>
      <w:r>
        <w:t>Although the facility does not have PTE for HAP, the permittee has specifically requested a limit on single and combined HAP be included in the permit.</w:t>
      </w:r>
    </w:p>
    <w:p w:rsidR="00C27481" w:rsidRDefault="00C27481">
      <w:pPr>
        <w:pStyle w:val="Heading2"/>
      </w:pPr>
      <w:r>
        <w:t>The PSEL is a federally enforceable limit on the potential to emit.</w:t>
      </w:r>
    </w:p>
    <w:p w:rsidR="00C27481" w:rsidRDefault="00C27481"/>
    <w:p w:rsidR="00C27481" w:rsidRDefault="00C27481"/>
    <w:p w:rsidR="00C27481" w:rsidRDefault="00C27481">
      <w:pPr>
        <w:pStyle w:val="Sub-sectionheader"/>
      </w:pPr>
      <w:bookmarkStart w:id="18" w:name="_Toc452882790"/>
      <w:bookmarkStart w:id="19" w:name="_Toc452883745"/>
      <w:bookmarkStart w:id="20" w:name="_Toc452883936"/>
      <w:bookmarkStart w:id="21" w:name="_Toc463344856"/>
      <w:r>
        <w:t>significant emission rate analysis</w:t>
      </w:r>
      <w:bookmarkEnd w:id="18"/>
      <w:bookmarkEnd w:id="19"/>
      <w:bookmarkEnd w:id="20"/>
      <w:bookmarkEnd w:id="21"/>
    </w:p>
    <w:p w:rsidR="00C27481" w:rsidRDefault="00C27481"/>
    <w:p w:rsidR="00C27481" w:rsidRDefault="00C27481">
      <w:pPr>
        <w:pStyle w:val="Heading1"/>
      </w:pPr>
      <w:r>
        <w:t>For each pollutant, the proposed Plant Site Emission Limit is less than the Netting Basis plus the significant emission rate, thus no further air quality analysis is required.</w:t>
      </w:r>
    </w:p>
    <w:p w:rsidR="00C27481" w:rsidRDefault="00C27481"/>
    <w:p w:rsidR="00C27481" w:rsidRDefault="00C27481"/>
    <w:p w:rsidR="00C27481" w:rsidRDefault="00C27481">
      <w:pPr>
        <w:pStyle w:val="SectionHeader"/>
      </w:pPr>
      <w:bookmarkStart w:id="22" w:name="_Toc452882791"/>
      <w:bookmarkStart w:id="23" w:name="_Toc452883746"/>
      <w:bookmarkStart w:id="24" w:name="_Toc452883937"/>
      <w:bookmarkStart w:id="25" w:name="_Toc463344857"/>
      <w:bookmarkStart w:id="26" w:name="_Toc220408425"/>
      <w:r>
        <w:t>major source applicability</w:t>
      </w:r>
      <w:bookmarkEnd w:id="22"/>
      <w:bookmarkEnd w:id="23"/>
      <w:bookmarkEnd w:id="24"/>
      <w:bookmarkEnd w:id="25"/>
      <w:bookmarkEnd w:id="26"/>
    </w:p>
    <w:p w:rsidR="00C27481" w:rsidRDefault="00C27481"/>
    <w:p w:rsidR="00C27481" w:rsidRDefault="00C27481">
      <w:pPr>
        <w:pStyle w:val="Sub-sectionheader"/>
      </w:pPr>
      <w:r>
        <w:t>criteria pollutants</w:t>
      </w:r>
    </w:p>
    <w:p w:rsidR="00C27481" w:rsidRDefault="00C27481"/>
    <w:p w:rsidR="00C27481" w:rsidRDefault="00C27481">
      <w:pPr>
        <w:pStyle w:val="Heading1"/>
      </w:pPr>
      <w:r>
        <w:t>A major source is a facility that has the potential to emit 100 tons</w:t>
      </w:r>
      <w:r w:rsidR="00E233AC">
        <w:t>/yr</w:t>
      </w:r>
      <w:r>
        <w:t xml:space="preserve"> </w:t>
      </w:r>
      <w:r w:rsidR="00E233AC">
        <w:t xml:space="preserve">or more </w:t>
      </w:r>
      <w:r>
        <w:t xml:space="preserve">per year of any criteria pollutant.  This facility </w:t>
      </w:r>
      <w:r w:rsidR="00A05319">
        <w:t xml:space="preserve">is not </w:t>
      </w:r>
      <w:r>
        <w:t>a major source of criteria pollutant emissions.</w:t>
      </w:r>
      <w:r w:rsidR="00A05319">
        <w:t xml:space="preserve">  Calculation of anticipated emissions was based on the facility’s maximum potential production, thus represents potential to emit. </w:t>
      </w:r>
    </w:p>
    <w:p w:rsidR="00C27481" w:rsidRDefault="00C27481"/>
    <w:p w:rsidR="00C27481" w:rsidRDefault="00C27481">
      <w:pPr>
        <w:pStyle w:val="Sub-sectionheader"/>
      </w:pPr>
      <w:r>
        <w:t>Hazardous air pollutants</w:t>
      </w:r>
    </w:p>
    <w:p w:rsidR="00C27481" w:rsidRDefault="00C27481"/>
    <w:p w:rsidR="00C27481" w:rsidRDefault="00C27481">
      <w:pPr>
        <w:pStyle w:val="Heading1"/>
      </w:pPr>
      <w:r>
        <w:t>A major source is a facility that has the potential to emit 10 tons</w:t>
      </w:r>
      <w:r w:rsidR="00E233AC">
        <w:t>/yr or more</w:t>
      </w:r>
      <w:r>
        <w:t xml:space="preserve"> of any single HAP or 25 tons</w:t>
      </w:r>
      <w:r w:rsidR="00E233AC">
        <w:t xml:space="preserve">/yr or more </w:t>
      </w:r>
      <w:r>
        <w:t>of combined HAPs.  This source</w:t>
      </w:r>
      <w:r w:rsidR="00A05319">
        <w:t xml:space="preserve"> is not</w:t>
      </w:r>
      <w:r w:rsidR="007B570F">
        <w:fldChar w:fldCharType="begin"/>
      </w:r>
      <w:bookmarkStart w:id="27" w:name="Dropdown8"/>
      <w:r>
        <w:instrText xml:space="preserve"> FORMDROPDOWN </w:instrText>
      </w:r>
      <w:r w:rsidR="007B570F">
        <w:fldChar w:fldCharType="end"/>
      </w:r>
      <w:bookmarkEnd w:id="27"/>
      <w:r>
        <w:t xml:space="preserve"> a major source of hazardous air pollutants.</w:t>
      </w:r>
      <w:r w:rsidR="00A05319">
        <w:t xml:space="preserve">  Glycol ethers from the use of inks and formaldehyde from starch additives total less than two tons/yr. </w:t>
      </w:r>
    </w:p>
    <w:p w:rsidR="00C27481" w:rsidRDefault="00C27481"/>
    <w:p w:rsidR="00C27481" w:rsidRDefault="00C27481"/>
    <w:p w:rsidR="00C27481" w:rsidRDefault="00C27481">
      <w:pPr>
        <w:pStyle w:val="SectionHeader"/>
      </w:pPr>
      <w:bookmarkStart w:id="28" w:name="_Toc452882792"/>
      <w:bookmarkStart w:id="29" w:name="_Toc452883747"/>
      <w:bookmarkStart w:id="30" w:name="_Toc452883938"/>
      <w:bookmarkStart w:id="31" w:name="_Toc463344858"/>
      <w:bookmarkStart w:id="32" w:name="_Toc220408426"/>
      <w:r>
        <w:t>additional requirements</w:t>
      </w:r>
      <w:bookmarkEnd w:id="28"/>
      <w:bookmarkEnd w:id="29"/>
      <w:bookmarkEnd w:id="30"/>
      <w:bookmarkEnd w:id="31"/>
      <w:bookmarkEnd w:id="32"/>
    </w:p>
    <w:p w:rsidR="00C27481" w:rsidRDefault="00C27481"/>
    <w:p w:rsidR="00C27481" w:rsidRDefault="00C27481">
      <w:pPr>
        <w:pStyle w:val="Sub-sectionheader"/>
      </w:pPr>
      <w:r>
        <w:t>nsps applicability</w:t>
      </w:r>
    </w:p>
    <w:p w:rsidR="00C27481" w:rsidRDefault="00C27481"/>
    <w:p w:rsidR="00C27481" w:rsidRDefault="00C27481" w:rsidP="00A05319">
      <w:pPr>
        <w:pStyle w:val="Heading1"/>
      </w:pPr>
      <w:r>
        <w:t>40 CFR Part 60, Subpart</w:t>
      </w:r>
      <w:r w:rsidR="00A05319">
        <w:t xml:space="preserve"> Dc, is not applicable to the facility because the boiler was installed prior to promulgation of the rule.</w:t>
      </w:r>
    </w:p>
    <w:p w:rsidR="00A05319" w:rsidRPr="00A05319" w:rsidRDefault="00A05319" w:rsidP="00A05319"/>
    <w:p w:rsidR="00C27481" w:rsidRDefault="00C27481">
      <w:pPr>
        <w:pStyle w:val="Sub-sectionheader"/>
      </w:pPr>
      <w:r>
        <w:t>neshaps/mact applicability</w:t>
      </w:r>
    </w:p>
    <w:p w:rsidR="00C27481" w:rsidRDefault="00C27481"/>
    <w:p w:rsidR="00C27481" w:rsidRDefault="00C27481" w:rsidP="00A05319">
      <w:pPr>
        <w:pStyle w:val="Heading1"/>
      </w:pPr>
      <w:r>
        <w:t xml:space="preserve">40 CFR Part 63, Subpart </w:t>
      </w:r>
      <w:r w:rsidR="00A05319">
        <w:t>KK applies to major sources in the printing and publishing industry.  This facility is a minor source, and is therefore not subject to the MACT standards.</w:t>
      </w:r>
    </w:p>
    <w:p w:rsidR="00A05319" w:rsidRDefault="00A05319">
      <w:r>
        <w:br w:type="page"/>
      </w:r>
    </w:p>
    <w:p w:rsidR="00A05319" w:rsidRPr="00A05319" w:rsidRDefault="00A05319" w:rsidP="00A05319"/>
    <w:p w:rsidR="00C27481" w:rsidRDefault="00C27481">
      <w:pPr>
        <w:pStyle w:val="Sub-sectionheader"/>
      </w:pPr>
      <w:r>
        <w:t>RACT applicability</w:t>
      </w:r>
    </w:p>
    <w:p w:rsidR="00C27481" w:rsidRDefault="00C27481"/>
    <w:p w:rsidR="00C27481" w:rsidRDefault="00C27481">
      <w:pPr>
        <w:pStyle w:val="Heading1"/>
      </w:pPr>
      <w:r>
        <w:t>The facility is located in the Portland AQMA, but it is not one of the listed source categories in OAR 340-232-0010, thus the RACT rules do not apply</w:t>
      </w:r>
    </w:p>
    <w:p w:rsidR="00C27481" w:rsidRDefault="00C27481">
      <w:r>
        <w:t xml:space="preserve">    </w:t>
      </w:r>
    </w:p>
    <w:p w:rsidR="00C27481" w:rsidRDefault="00C27481">
      <w:pPr>
        <w:pStyle w:val="Sub-sectionheader"/>
      </w:pPr>
      <w:r>
        <w:t>tact applicability</w:t>
      </w:r>
    </w:p>
    <w:p w:rsidR="00C27481" w:rsidRDefault="00C27481"/>
    <w:p w:rsidR="00C27481" w:rsidRDefault="00C27481">
      <w:pPr>
        <w:pStyle w:val="Heading1"/>
      </w:pPr>
      <w:r>
        <w:t xml:space="preserve">The source is meeting the </w:t>
      </w:r>
      <w:r w:rsidR="00A76C12">
        <w:t>S</w:t>
      </w:r>
      <w:r>
        <w:t>tate</w:t>
      </w:r>
      <w:r w:rsidR="00A76C12">
        <w:t>’</w:t>
      </w:r>
      <w:r>
        <w:t xml:space="preserve">s TACT/Highest and Best Rules by </w:t>
      </w:r>
      <w:r w:rsidR="003F3239">
        <w:t xml:space="preserve">pneumatically collecting containerboard scraps to decrease PM emissions.  Highest and Best practices are achieved by routine maintenance and tuning on the boiler.  </w:t>
      </w:r>
    </w:p>
    <w:p w:rsidR="00C27481" w:rsidRDefault="00C27481"/>
    <w:p w:rsidR="00C27481" w:rsidRDefault="00C27481"/>
    <w:p w:rsidR="00C27481" w:rsidRDefault="00C27481">
      <w:pPr>
        <w:pStyle w:val="SectionHeader"/>
      </w:pPr>
      <w:bookmarkStart w:id="33" w:name="_Toc452882793"/>
      <w:bookmarkStart w:id="34" w:name="_Toc452883748"/>
      <w:bookmarkStart w:id="35" w:name="_Toc452883939"/>
      <w:bookmarkStart w:id="36" w:name="_Toc463344859"/>
      <w:bookmarkStart w:id="37" w:name="_Toc220408427"/>
      <w:r>
        <w:t>source testing</w:t>
      </w:r>
      <w:bookmarkEnd w:id="33"/>
      <w:bookmarkEnd w:id="34"/>
      <w:bookmarkEnd w:id="35"/>
      <w:bookmarkEnd w:id="36"/>
      <w:bookmarkEnd w:id="37"/>
    </w:p>
    <w:p w:rsidR="00C27481" w:rsidRDefault="00C27481"/>
    <w:p w:rsidR="00C27481" w:rsidRDefault="00C27481">
      <w:pPr>
        <w:pStyle w:val="Sub-sectionheader"/>
      </w:pPr>
      <w:r>
        <w:t>prior testing results</w:t>
      </w:r>
    </w:p>
    <w:p w:rsidR="00C27481" w:rsidRDefault="00C27481"/>
    <w:p w:rsidR="00C27481" w:rsidRDefault="00C27481">
      <w:pPr>
        <w:pStyle w:val="Heading1"/>
      </w:pPr>
      <w:r>
        <w:t>The results of the most recent source tests are listed below:</w:t>
      </w:r>
    </w:p>
    <w:p w:rsidR="00C27481" w:rsidRDefault="00C27481"/>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72"/>
        <w:gridCol w:w="1548"/>
        <w:gridCol w:w="1710"/>
        <w:gridCol w:w="1260"/>
        <w:gridCol w:w="2790"/>
      </w:tblGrid>
      <w:tr w:rsidR="00C27481" w:rsidTr="003F3239">
        <w:tc>
          <w:tcPr>
            <w:tcW w:w="1872" w:type="dxa"/>
            <w:tcBorders>
              <w:top w:val="double" w:sz="4" w:space="0" w:color="auto"/>
              <w:left w:val="double" w:sz="4" w:space="0" w:color="auto"/>
              <w:bottom w:val="nil"/>
            </w:tcBorders>
          </w:tcPr>
          <w:p w:rsidR="00C27481" w:rsidRDefault="00C27481">
            <w:pPr>
              <w:spacing w:before="40" w:after="40"/>
              <w:rPr>
                <w:sz w:val="22"/>
              </w:rPr>
            </w:pPr>
            <w:r>
              <w:rPr>
                <w:sz w:val="22"/>
              </w:rPr>
              <w:t>Emission Device</w:t>
            </w:r>
          </w:p>
        </w:tc>
        <w:tc>
          <w:tcPr>
            <w:tcW w:w="1548" w:type="dxa"/>
            <w:tcBorders>
              <w:top w:val="double" w:sz="4" w:space="0" w:color="auto"/>
              <w:bottom w:val="nil"/>
            </w:tcBorders>
          </w:tcPr>
          <w:p w:rsidR="00C27481" w:rsidRDefault="00C27481">
            <w:pPr>
              <w:spacing w:before="40" w:after="40"/>
              <w:rPr>
                <w:sz w:val="22"/>
              </w:rPr>
            </w:pPr>
            <w:r>
              <w:rPr>
                <w:sz w:val="22"/>
              </w:rPr>
              <w:t>Test Date</w:t>
            </w:r>
          </w:p>
        </w:tc>
        <w:tc>
          <w:tcPr>
            <w:tcW w:w="1710" w:type="dxa"/>
            <w:tcBorders>
              <w:top w:val="double" w:sz="4" w:space="0" w:color="auto"/>
              <w:bottom w:val="nil"/>
            </w:tcBorders>
          </w:tcPr>
          <w:p w:rsidR="00C27481" w:rsidRDefault="00C27481">
            <w:pPr>
              <w:spacing w:before="40" w:after="40"/>
              <w:rPr>
                <w:sz w:val="22"/>
              </w:rPr>
            </w:pPr>
            <w:r>
              <w:rPr>
                <w:sz w:val="22"/>
              </w:rPr>
              <w:t>Production Rate</w:t>
            </w:r>
          </w:p>
        </w:tc>
        <w:tc>
          <w:tcPr>
            <w:tcW w:w="1260" w:type="dxa"/>
            <w:tcBorders>
              <w:top w:val="double" w:sz="4" w:space="0" w:color="auto"/>
              <w:bottom w:val="nil"/>
            </w:tcBorders>
          </w:tcPr>
          <w:p w:rsidR="00C27481" w:rsidRDefault="00C27481">
            <w:pPr>
              <w:spacing w:before="40" w:after="40"/>
              <w:rPr>
                <w:sz w:val="22"/>
              </w:rPr>
            </w:pPr>
            <w:r>
              <w:rPr>
                <w:sz w:val="22"/>
              </w:rPr>
              <w:t>Pollutant</w:t>
            </w:r>
          </w:p>
        </w:tc>
        <w:tc>
          <w:tcPr>
            <w:tcW w:w="2790" w:type="dxa"/>
            <w:tcBorders>
              <w:top w:val="double" w:sz="4" w:space="0" w:color="auto"/>
              <w:bottom w:val="nil"/>
              <w:right w:val="double" w:sz="4" w:space="0" w:color="auto"/>
            </w:tcBorders>
          </w:tcPr>
          <w:p w:rsidR="00C27481" w:rsidRDefault="00C27481">
            <w:pPr>
              <w:spacing w:before="40" w:after="40"/>
              <w:rPr>
                <w:sz w:val="22"/>
              </w:rPr>
            </w:pPr>
            <w:r>
              <w:rPr>
                <w:sz w:val="22"/>
              </w:rPr>
              <w:t>Measured Value</w:t>
            </w:r>
          </w:p>
        </w:tc>
      </w:tr>
      <w:tr w:rsidR="00C27481" w:rsidTr="003F3239">
        <w:tc>
          <w:tcPr>
            <w:tcW w:w="1872" w:type="dxa"/>
            <w:tcBorders>
              <w:top w:val="double" w:sz="4" w:space="0" w:color="auto"/>
              <w:left w:val="double" w:sz="4" w:space="0" w:color="auto"/>
            </w:tcBorders>
          </w:tcPr>
          <w:p w:rsidR="00C27481" w:rsidRDefault="003F3239">
            <w:pPr>
              <w:spacing w:before="40" w:after="40"/>
              <w:rPr>
                <w:sz w:val="22"/>
              </w:rPr>
            </w:pPr>
            <w:r>
              <w:rPr>
                <w:sz w:val="22"/>
              </w:rPr>
              <w:t>Corrugator</w:t>
            </w:r>
          </w:p>
        </w:tc>
        <w:tc>
          <w:tcPr>
            <w:tcW w:w="1548" w:type="dxa"/>
            <w:tcBorders>
              <w:top w:val="double" w:sz="4" w:space="0" w:color="auto"/>
            </w:tcBorders>
          </w:tcPr>
          <w:p w:rsidR="00C27481" w:rsidRDefault="003F3239">
            <w:pPr>
              <w:spacing w:before="40" w:after="40"/>
              <w:rPr>
                <w:sz w:val="22"/>
              </w:rPr>
            </w:pPr>
            <w:r>
              <w:rPr>
                <w:sz w:val="22"/>
              </w:rPr>
              <w:t>10/25/1994</w:t>
            </w:r>
          </w:p>
        </w:tc>
        <w:tc>
          <w:tcPr>
            <w:tcW w:w="1710" w:type="dxa"/>
            <w:tcBorders>
              <w:top w:val="double" w:sz="4" w:space="0" w:color="auto"/>
            </w:tcBorders>
          </w:tcPr>
          <w:p w:rsidR="00C27481" w:rsidRPr="003F3239" w:rsidRDefault="003F3239">
            <w:pPr>
              <w:spacing w:before="40" w:after="40"/>
              <w:rPr>
                <w:sz w:val="22"/>
              </w:rPr>
            </w:pPr>
            <w:r>
              <w:rPr>
                <w:sz w:val="22"/>
              </w:rPr>
              <w:t>204,000 ft</w:t>
            </w:r>
            <w:r w:rsidRPr="003F3239">
              <w:rPr>
                <w:sz w:val="22"/>
                <w:vertAlign w:val="superscript"/>
              </w:rPr>
              <w:t>2</w:t>
            </w:r>
            <w:r>
              <w:rPr>
                <w:sz w:val="22"/>
              </w:rPr>
              <w:t>/hr</w:t>
            </w:r>
          </w:p>
        </w:tc>
        <w:tc>
          <w:tcPr>
            <w:tcW w:w="1260" w:type="dxa"/>
            <w:tcBorders>
              <w:top w:val="double" w:sz="4" w:space="0" w:color="auto"/>
            </w:tcBorders>
          </w:tcPr>
          <w:p w:rsidR="00C27481" w:rsidRDefault="003F3239">
            <w:pPr>
              <w:spacing w:before="40" w:after="40"/>
              <w:rPr>
                <w:sz w:val="22"/>
              </w:rPr>
            </w:pPr>
            <w:r>
              <w:rPr>
                <w:sz w:val="22"/>
              </w:rPr>
              <w:t>VOC</w:t>
            </w:r>
          </w:p>
        </w:tc>
        <w:tc>
          <w:tcPr>
            <w:tcW w:w="2790" w:type="dxa"/>
            <w:tcBorders>
              <w:top w:val="double" w:sz="4" w:space="0" w:color="auto"/>
              <w:right w:val="double" w:sz="4" w:space="0" w:color="auto"/>
            </w:tcBorders>
          </w:tcPr>
          <w:p w:rsidR="00C27481" w:rsidRPr="003F3239" w:rsidRDefault="003F3239">
            <w:pPr>
              <w:spacing w:before="40" w:after="40"/>
              <w:rPr>
                <w:sz w:val="22"/>
              </w:rPr>
            </w:pPr>
            <w:r>
              <w:rPr>
                <w:sz w:val="22"/>
              </w:rPr>
              <w:t>0.0082 lb VOC/1000 ft</w:t>
            </w:r>
            <w:r w:rsidRPr="003F3239">
              <w:rPr>
                <w:sz w:val="22"/>
                <w:vertAlign w:val="superscript"/>
              </w:rPr>
              <w:t>2</w:t>
            </w:r>
          </w:p>
        </w:tc>
      </w:tr>
      <w:tr w:rsidR="00C27481" w:rsidTr="003F3239">
        <w:tc>
          <w:tcPr>
            <w:tcW w:w="1872" w:type="dxa"/>
            <w:tcBorders>
              <w:left w:val="double" w:sz="4" w:space="0" w:color="auto"/>
              <w:bottom w:val="double" w:sz="4" w:space="0" w:color="auto"/>
            </w:tcBorders>
          </w:tcPr>
          <w:p w:rsidR="00C27481" w:rsidRDefault="003F3239">
            <w:pPr>
              <w:spacing w:before="40" w:after="40"/>
              <w:rPr>
                <w:sz w:val="22"/>
              </w:rPr>
            </w:pPr>
            <w:r>
              <w:rPr>
                <w:sz w:val="22"/>
              </w:rPr>
              <w:t>Scrap cyclones</w:t>
            </w:r>
          </w:p>
        </w:tc>
        <w:tc>
          <w:tcPr>
            <w:tcW w:w="1548" w:type="dxa"/>
            <w:tcBorders>
              <w:bottom w:val="double" w:sz="4" w:space="0" w:color="auto"/>
            </w:tcBorders>
          </w:tcPr>
          <w:p w:rsidR="00C27481" w:rsidRDefault="003F3239">
            <w:pPr>
              <w:spacing w:before="40" w:after="40"/>
              <w:rPr>
                <w:sz w:val="22"/>
              </w:rPr>
            </w:pPr>
            <w:r>
              <w:rPr>
                <w:sz w:val="22"/>
              </w:rPr>
              <w:t>10/25/1994</w:t>
            </w:r>
          </w:p>
        </w:tc>
        <w:tc>
          <w:tcPr>
            <w:tcW w:w="1710" w:type="dxa"/>
            <w:tcBorders>
              <w:bottom w:val="double" w:sz="4" w:space="0" w:color="auto"/>
            </w:tcBorders>
          </w:tcPr>
          <w:p w:rsidR="00C27481" w:rsidRDefault="003F3239">
            <w:pPr>
              <w:spacing w:before="40" w:after="40"/>
              <w:rPr>
                <w:sz w:val="22"/>
              </w:rPr>
            </w:pPr>
            <w:r>
              <w:rPr>
                <w:sz w:val="22"/>
              </w:rPr>
              <w:t>1,341 lb/bale</w:t>
            </w:r>
          </w:p>
        </w:tc>
        <w:tc>
          <w:tcPr>
            <w:tcW w:w="1260" w:type="dxa"/>
            <w:tcBorders>
              <w:bottom w:val="double" w:sz="4" w:space="0" w:color="auto"/>
            </w:tcBorders>
          </w:tcPr>
          <w:p w:rsidR="00C27481" w:rsidRDefault="003F3239">
            <w:pPr>
              <w:spacing w:before="40" w:after="40"/>
              <w:rPr>
                <w:sz w:val="22"/>
              </w:rPr>
            </w:pPr>
            <w:r>
              <w:rPr>
                <w:sz w:val="22"/>
              </w:rPr>
              <w:t>PM</w:t>
            </w:r>
          </w:p>
        </w:tc>
        <w:tc>
          <w:tcPr>
            <w:tcW w:w="2790" w:type="dxa"/>
            <w:tcBorders>
              <w:bottom w:val="double" w:sz="4" w:space="0" w:color="auto"/>
              <w:right w:val="double" w:sz="4" w:space="0" w:color="auto"/>
            </w:tcBorders>
          </w:tcPr>
          <w:p w:rsidR="00C27481" w:rsidRPr="003F3239" w:rsidRDefault="00C766EE" w:rsidP="003F3239">
            <w:pPr>
              <w:pStyle w:val="ListParagraph"/>
              <w:numPr>
                <w:ilvl w:val="1"/>
                <w:numId w:val="27"/>
              </w:numPr>
              <w:spacing w:before="40" w:after="40"/>
              <w:rPr>
                <w:sz w:val="22"/>
              </w:rPr>
            </w:pPr>
            <w:r>
              <w:rPr>
                <w:sz w:val="22"/>
              </w:rPr>
              <w:t xml:space="preserve">lb </w:t>
            </w:r>
            <w:r w:rsidR="00ED5C74">
              <w:rPr>
                <w:sz w:val="22"/>
              </w:rPr>
              <w:t>P</w:t>
            </w:r>
            <w:r w:rsidR="003F3239" w:rsidRPr="003F3239">
              <w:rPr>
                <w:sz w:val="22"/>
              </w:rPr>
              <w:t>M/ton of scrap</w:t>
            </w:r>
          </w:p>
        </w:tc>
      </w:tr>
    </w:tbl>
    <w:p w:rsidR="00C27481" w:rsidRPr="003F3239" w:rsidRDefault="00C27481" w:rsidP="003F3239"/>
    <w:p w:rsidR="00C27481" w:rsidRDefault="003F3239" w:rsidP="003F3239">
      <w:pPr>
        <w:pStyle w:val="Heading2"/>
      </w:pPr>
      <w:r>
        <w:t>The value given for the corrugators is a weighted average, including 3% waxed product.</w:t>
      </w:r>
    </w:p>
    <w:p w:rsidR="003F3239" w:rsidRPr="003F3239" w:rsidRDefault="003F3239" w:rsidP="003F3239">
      <w:pPr>
        <w:pStyle w:val="Heading2"/>
      </w:pPr>
      <w:r>
        <w:t>The value given for the cyclones is an average.  Cyclone 2 feeds into cyclone 1.</w:t>
      </w:r>
    </w:p>
    <w:p w:rsidR="00C27481" w:rsidRDefault="00C27481"/>
    <w:p w:rsidR="00C27481" w:rsidRDefault="00C27481"/>
    <w:p w:rsidR="00C27481" w:rsidRDefault="00C27481">
      <w:pPr>
        <w:pStyle w:val="SectionHeader"/>
      </w:pPr>
      <w:bookmarkStart w:id="38" w:name="_Toc452882794"/>
      <w:bookmarkStart w:id="39" w:name="_Toc452883749"/>
      <w:bookmarkStart w:id="40" w:name="_Toc452883940"/>
      <w:bookmarkStart w:id="41" w:name="_Toc463344860"/>
      <w:bookmarkStart w:id="42" w:name="_Toc220408428"/>
      <w:r>
        <w:t>public notice</w:t>
      </w:r>
      <w:bookmarkEnd w:id="38"/>
      <w:bookmarkEnd w:id="39"/>
      <w:bookmarkEnd w:id="40"/>
      <w:bookmarkEnd w:id="41"/>
      <w:bookmarkEnd w:id="42"/>
    </w:p>
    <w:p w:rsidR="00C27481" w:rsidRDefault="00C27481"/>
    <w:p w:rsidR="00EC5243" w:rsidRPr="00EC5243" w:rsidRDefault="00C27481" w:rsidP="00EC5243">
      <w:pPr>
        <w:pStyle w:val="Heading1"/>
        <w:rPr>
          <w:b/>
        </w:rPr>
      </w:pPr>
      <w:r>
        <w:t>Pursuant to OAR 340-216-0064(</w:t>
      </w:r>
      <w:r w:rsidR="00CC1A79">
        <w:t>5</w:t>
      </w:r>
      <w:proofErr w:type="gramStart"/>
      <w:r>
        <w:t>)(</w:t>
      </w:r>
      <w:proofErr w:type="gramEnd"/>
      <w:r>
        <w:t>a), issuance of Simple Air Contaminant Discharge Permits require public notice in accordance with OAR 340-209-0030(3)(b)</w:t>
      </w:r>
      <w:r w:rsidR="00EC5243">
        <w:t>,</w:t>
      </w:r>
      <w:r>
        <w:t xml:space="preserve"> </w:t>
      </w:r>
      <w:r w:rsidR="00EC5243">
        <w:t xml:space="preserve">which requires that the Department  provide notice of the proposed permit action and a minimum of 30 days for interested persons to submit written comments.  </w:t>
      </w:r>
      <w:r w:rsidR="00EC5243" w:rsidRPr="00EC5243">
        <w:rPr>
          <w:b/>
        </w:rPr>
        <w:t xml:space="preserve">The public notice was mailed on </w:t>
      </w:r>
      <w:r w:rsidR="00080406">
        <w:rPr>
          <w:b/>
        </w:rPr>
        <w:t>March 13, 2009</w:t>
      </w:r>
      <w:r w:rsidR="003F2982">
        <w:rPr>
          <w:b/>
        </w:rPr>
        <w:t>,</w:t>
      </w:r>
      <w:r w:rsidR="00EC5243" w:rsidRPr="00EC5243">
        <w:rPr>
          <w:b/>
        </w:rPr>
        <w:t xml:space="preserve"> the comment period end</w:t>
      </w:r>
      <w:r w:rsidR="003F2982">
        <w:rPr>
          <w:b/>
        </w:rPr>
        <w:t>ed</w:t>
      </w:r>
      <w:r w:rsidR="00EC5243" w:rsidRPr="00EC5243">
        <w:rPr>
          <w:b/>
        </w:rPr>
        <w:t xml:space="preserve"> </w:t>
      </w:r>
      <w:r w:rsidR="00080406">
        <w:rPr>
          <w:b/>
        </w:rPr>
        <w:t xml:space="preserve">at 5pm, </w:t>
      </w:r>
      <w:r w:rsidR="00EC5243" w:rsidRPr="00EC5243">
        <w:rPr>
          <w:b/>
        </w:rPr>
        <w:t xml:space="preserve">on </w:t>
      </w:r>
      <w:r w:rsidR="00080406">
        <w:rPr>
          <w:b/>
        </w:rPr>
        <w:t>April 14, 2009</w:t>
      </w:r>
      <w:r w:rsidR="00EC5243" w:rsidRPr="00EC5243">
        <w:rPr>
          <w:b/>
        </w:rPr>
        <w:t>.</w:t>
      </w:r>
      <w:r w:rsidR="003F2982">
        <w:rPr>
          <w:b/>
        </w:rPr>
        <w:t xml:space="preserve">  No coments were received.</w:t>
      </w:r>
    </w:p>
    <w:p w:rsidR="00CF3BBC" w:rsidRPr="00CF3BBC" w:rsidRDefault="00CF3BBC" w:rsidP="00CF3BBC">
      <w:pPr>
        <w:ind w:left="720"/>
      </w:pPr>
    </w:p>
    <w:p w:rsidR="00C27481" w:rsidRDefault="00C27481"/>
    <w:p w:rsidR="00C27481" w:rsidRDefault="003F3239">
      <w:proofErr w:type="gramStart"/>
      <w:r>
        <w:t>tll</w:t>
      </w:r>
      <w:r w:rsidR="00C27481">
        <w:t>:</w:t>
      </w:r>
      <w:proofErr w:type="gramEnd"/>
      <w:r>
        <w:t>ggg</w:t>
      </w:r>
    </w:p>
    <w:p w:rsidR="00C27481" w:rsidRDefault="007B570F">
      <w:fldSimple w:instr=" FILENAME  \* MERGEFORMAT ">
        <w:r w:rsidR="00F85ED1">
          <w:rPr>
            <w:noProof/>
          </w:rPr>
          <w:t>Document5</w:t>
        </w:r>
      </w:fldSimple>
    </w:p>
    <w:sectPr w:rsidR="00C27481" w:rsidSect="00C63C64">
      <w:pgSz w:w="12240" w:h="15840"/>
      <w:pgMar w:top="18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79B4" w:rsidRDefault="00F379B4">
      <w:r>
        <w:separator/>
      </w:r>
    </w:p>
  </w:endnote>
  <w:endnote w:type="continuationSeparator" w:id="1">
    <w:p w:rsidR="00F379B4" w:rsidRDefault="00F37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E0" w:rsidRPr="00EA57EF" w:rsidRDefault="00C000E0">
    <w:pPr>
      <w:pStyle w:val="Footer"/>
      <w:rPr>
        <w:i/>
        <w:sz w:val="16"/>
        <w:szCs w:val="16"/>
      </w:rPr>
    </w:pPr>
    <w:r>
      <w:rPr>
        <w:i/>
        <w:sz w:val="16"/>
        <w:szCs w:val="16"/>
      </w:rPr>
      <w:t xml:space="preserve">Revised </w:t>
    </w:r>
    <w:smartTag w:uri="urn:schemas-microsoft-com:office:smarttags" w:element="date">
      <w:smartTagPr>
        <w:attr w:name="Month" w:val="4"/>
        <w:attr w:name="Day" w:val="25"/>
        <w:attr w:name="Year" w:val="2008"/>
      </w:smartTagPr>
      <w:r>
        <w:rPr>
          <w:i/>
          <w:sz w:val="16"/>
          <w:szCs w:val="16"/>
        </w:rPr>
        <w:t>4/25/2008</w:t>
      </w:r>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79B4" w:rsidRDefault="00F379B4">
      <w:r>
        <w:separator/>
      </w:r>
    </w:p>
  </w:footnote>
  <w:footnote w:type="continuationSeparator" w:id="1">
    <w:p w:rsidR="00F379B4" w:rsidRDefault="00F379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E0" w:rsidRDefault="00C000E0">
    <w:pPr>
      <w:pStyle w:val="Header"/>
      <w:tabs>
        <w:tab w:val="clear" w:pos="4320"/>
        <w:tab w:val="clear" w:pos="8640"/>
        <w:tab w:val="center" w:pos="-1800"/>
        <w:tab w:val="right" w:pos="9360"/>
      </w:tabs>
      <w:rPr>
        <w:b/>
      </w:rPr>
    </w:pPr>
    <w:r>
      <w:rPr>
        <w:b/>
      </w:rPr>
      <w:tab/>
    </w:r>
    <w:r>
      <w:t>Permit No.:  26-3051-SI-01</w:t>
    </w:r>
  </w:p>
  <w:p w:rsidR="00C000E0" w:rsidRDefault="00C000E0">
    <w:pPr>
      <w:pStyle w:val="Header"/>
      <w:tabs>
        <w:tab w:val="clear" w:pos="4320"/>
        <w:tab w:val="clear" w:pos="8640"/>
        <w:tab w:val="center" w:pos="-2790"/>
        <w:tab w:val="right" w:pos="9360"/>
      </w:tabs>
    </w:pPr>
    <w:r>
      <w:tab/>
      <w:t>Application No.:    023554</w:t>
    </w:r>
  </w:p>
  <w:p w:rsidR="00C000E0" w:rsidRDefault="00C000E0">
    <w:pPr>
      <w:pStyle w:val="Header"/>
      <w:tabs>
        <w:tab w:val="clear" w:pos="4320"/>
        <w:tab w:val="clear" w:pos="8640"/>
        <w:tab w:val="center" w:pos="-2790"/>
        <w:tab w:val="right" w:pos="9360"/>
      </w:tabs>
    </w:pPr>
    <w:r>
      <w:tab/>
      <w:t xml:space="preserve">Page </w:t>
    </w:r>
    <w:r>
      <w:rPr>
        <w:rStyle w:val="PageNumber"/>
      </w:rPr>
      <w:fldChar w:fldCharType="begin"/>
    </w:r>
    <w:r>
      <w:rPr>
        <w:rStyle w:val="PageNumber"/>
      </w:rPr>
      <w:instrText xml:space="preserve"> PAGE </w:instrText>
    </w:r>
    <w:r>
      <w:rPr>
        <w:rStyle w:val="PageNumber"/>
      </w:rPr>
      <w:fldChar w:fldCharType="separate"/>
    </w:r>
    <w:r w:rsidR="003F298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F2982">
      <w:rPr>
        <w:rStyle w:val="PageNumber"/>
        <w:noProof/>
      </w:rPr>
      <w:t>6</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0E0" w:rsidRDefault="00C000E0" w:rsidP="004C7E46">
    <w:pPr>
      <w:pStyle w:val="Header"/>
      <w:tabs>
        <w:tab w:val="clear" w:pos="4320"/>
        <w:tab w:val="clear" w:pos="8640"/>
        <w:tab w:val="center" w:pos="-1800"/>
        <w:tab w:val="right" w:pos="9360"/>
      </w:tabs>
      <w:rPr>
        <w:b/>
      </w:rPr>
    </w:pPr>
    <w:r>
      <w:rPr>
        <w:b/>
      </w:rPr>
      <w:t>Draft</w:t>
    </w:r>
    <w:r>
      <w:rPr>
        <w:b/>
      </w:rPr>
      <w:tab/>
    </w:r>
    <w:r>
      <w:t>Permit No.:  26-3051-SI-01</w:t>
    </w:r>
  </w:p>
  <w:p w:rsidR="00C000E0" w:rsidRDefault="00C000E0" w:rsidP="004C7E46">
    <w:pPr>
      <w:pStyle w:val="Header"/>
      <w:tabs>
        <w:tab w:val="clear" w:pos="4320"/>
        <w:tab w:val="clear" w:pos="8640"/>
        <w:tab w:val="center" w:pos="-2790"/>
        <w:tab w:val="right" w:pos="9360"/>
      </w:tabs>
    </w:pPr>
    <w:r>
      <w:t>1/9/2009</w:t>
    </w:r>
    <w:r>
      <w:tab/>
      <w:t>Application No.:    023554</w:t>
    </w:r>
  </w:p>
  <w:p w:rsidR="00C000E0" w:rsidRDefault="00C000E0" w:rsidP="004C7E46">
    <w:pPr>
      <w:pStyle w:val="Head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F2982">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F2982">
      <w:rPr>
        <w:rStyle w:val="PageNumber"/>
        <w:noProof/>
      </w:rPr>
      <w:t>6</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74D1A2D"/>
    <w:multiLevelType w:val="singleLevel"/>
    <w:tmpl w:val="0409000F"/>
    <w:lvl w:ilvl="0">
      <w:start w:val="1"/>
      <w:numFmt w:val="decimal"/>
      <w:lvlText w:val="%1."/>
      <w:lvlJc w:val="left"/>
      <w:pPr>
        <w:tabs>
          <w:tab w:val="num" w:pos="360"/>
        </w:tabs>
        <w:ind w:left="360" w:hanging="360"/>
      </w:pPr>
    </w:lvl>
  </w:abstractNum>
  <w:abstractNum w:abstractNumId="10">
    <w:nsid w:val="4EB94E40"/>
    <w:multiLevelType w:val="multilevel"/>
    <w:tmpl w:val="4E046B66"/>
    <w:lvl w:ilvl="0">
      <w:numFmt w:val="decimal"/>
      <w:lvlText w:val="%1"/>
      <w:lvlJc w:val="left"/>
      <w:pPr>
        <w:ind w:left="420" w:hanging="420"/>
      </w:pPr>
      <w:rPr>
        <w:rFonts w:hint="default"/>
      </w:rPr>
    </w:lvl>
    <w:lvl w:ilvl="1">
      <w:start w:val="8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AED03ED"/>
    <w:multiLevelType w:val="singleLevel"/>
    <w:tmpl w:val="0409000F"/>
    <w:lvl w:ilvl="0">
      <w:start w:val="1"/>
      <w:numFmt w:val="decimal"/>
      <w:lvlText w:val="%1."/>
      <w:lvlJc w:val="left"/>
      <w:pPr>
        <w:tabs>
          <w:tab w:val="num" w:pos="360"/>
        </w:tabs>
        <w:ind w:left="360" w:hanging="360"/>
      </w:pPr>
    </w:lvl>
  </w:abstractNum>
  <w:abstractNum w:abstractNumId="13">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nsid w:val="75FB78CF"/>
    <w:multiLevelType w:val="singleLevel"/>
    <w:tmpl w:val="0409000F"/>
    <w:lvl w:ilvl="0">
      <w:start w:val="1"/>
      <w:numFmt w:val="decimal"/>
      <w:lvlText w:val="%1."/>
      <w:lvlJc w:val="left"/>
      <w:pPr>
        <w:tabs>
          <w:tab w:val="num" w:pos="360"/>
        </w:tabs>
        <w:ind w:left="360" w:hanging="360"/>
      </w:pPr>
    </w:lvl>
  </w:abstractNum>
  <w:abstractNum w:abstractNumId="18">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5"/>
  </w:num>
  <w:num w:numId="7">
    <w:abstractNumId w:val="11"/>
  </w:num>
  <w:num w:numId="8">
    <w:abstractNumId w:val="4"/>
  </w:num>
  <w:num w:numId="9">
    <w:abstractNumId w:val="4"/>
  </w:num>
  <w:num w:numId="10">
    <w:abstractNumId w:val="4"/>
  </w:num>
  <w:num w:numId="11">
    <w:abstractNumId w:val="8"/>
  </w:num>
  <w:num w:numId="12">
    <w:abstractNumId w:val="4"/>
  </w:num>
  <w:num w:numId="13">
    <w:abstractNumId w:val="16"/>
  </w:num>
  <w:num w:numId="14">
    <w:abstractNumId w:val="17"/>
  </w:num>
  <w:num w:numId="15">
    <w:abstractNumId w:val="20"/>
  </w:num>
  <w:num w:numId="16">
    <w:abstractNumId w:val="9"/>
  </w:num>
  <w:num w:numId="17">
    <w:abstractNumId w:val="12"/>
  </w:num>
  <w:num w:numId="18">
    <w:abstractNumId w:val="6"/>
  </w:num>
  <w:num w:numId="19">
    <w:abstractNumId w:val="3"/>
  </w:num>
  <w:num w:numId="20">
    <w:abstractNumId w:val="5"/>
  </w:num>
  <w:num w:numId="21">
    <w:abstractNumId w:val="3"/>
  </w:num>
  <w:num w:numId="22">
    <w:abstractNumId w:val="3"/>
  </w:num>
  <w:num w:numId="23">
    <w:abstractNumId w:val="3"/>
  </w:num>
  <w:num w:numId="24">
    <w:abstractNumId w:val="3"/>
  </w:num>
  <w:num w:numId="25">
    <w:abstractNumId w:val="3"/>
  </w:num>
  <w:num w:numId="26">
    <w:abstractNumId w:val="3"/>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ocumentProtection w:edit="forms" w:enforcement="0"/>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A1C01"/>
    <w:rsid w:val="000506A2"/>
    <w:rsid w:val="00080406"/>
    <w:rsid w:val="000C300A"/>
    <w:rsid w:val="000C7A28"/>
    <w:rsid w:val="00120E53"/>
    <w:rsid w:val="00181434"/>
    <w:rsid w:val="001833F7"/>
    <w:rsid w:val="001A4C1A"/>
    <w:rsid w:val="00242CFB"/>
    <w:rsid w:val="002A398A"/>
    <w:rsid w:val="003C6E83"/>
    <w:rsid w:val="003F2982"/>
    <w:rsid w:val="003F30BC"/>
    <w:rsid w:val="003F3239"/>
    <w:rsid w:val="004102EA"/>
    <w:rsid w:val="004360C2"/>
    <w:rsid w:val="004C7E46"/>
    <w:rsid w:val="00556B80"/>
    <w:rsid w:val="00584994"/>
    <w:rsid w:val="00587773"/>
    <w:rsid w:val="00591ECE"/>
    <w:rsid w:val="005E1E7E"/>
    <w:rsid w:val="006A3478"/>
    <w:rsid w:val="006C6C4C"/>
    <w:rsid w:val="00736A56"/>
    <w:rsid w:val="007948B1"/>
    <w:rsid w:val="007B570F"/>
    <w:rsid w:val="007B7688"/>
    <w:rsid w:val="007D6C42"/>
    <w:rsid w:val="007E1B36"/>
    <w:rsid w:val="008F4499"/>
    <w:rsid w:val="00916E55"/>
    <w:rsid w:val="00932E7C"/>
    <w:rsid w:val="00A05319"/>
    <w:rsid w:val="00A07485"/>
    <w:rsid w:val="00A65D73"/>
    <w:rsid w:val="00A76C12"/>
    <w:rsid w:val="00AA1D17"/>
    <w:rsid w:val="00AF73E3"/>
    <w:rsid w:val="00B55A84"/>
    <w:rsid w:val="00C000E0"/>
    <w:rsid w:val="00C27481"/>
    <w:rsid w:val="00C33AB8"/>
    <w:rsid w:val="00C63C64"/>
    <w:rsid w:val="00C72DC9"/>
    <w:rsid w:val="00C766EE"/>
    <w:rsid w:val="00CA1C01"/>
    <w:rsid w:val="00CC1A79"/>
    <w:rsid w:val="00CF3BBC"/>
    <w:rsid w:val="00CF3BE4"/>
    <w:rsid w:val="00D01230"/>
    <w:rsid w:val="00D302B3"/>
    <w:rsid w:val="00DA0008"/>
    <w:rsid w:val="00E233AC"/>
    <w:rsid w:val="00E7416C"/>
    <w:rsid w:val="00E81E85"/>
    <w:rsid w:val="00EC5243"/>
    <w:rsid w:val="00ED5C74"/>
    <w:rsid w:val="00EF42B9"/>
    <w:rsid w:val="00F379B4"/>
    <w:rsid w:val="00F85ED1"/>
    <w:rsid w:val="00FA0BB6"/>
    <w:rsid w:val="00FF2DD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A56"/>
    <w:rPr>
      <w:sz w:val="24"/>
    </w:rPr>
  </w:style>
  <w:style w:type="paragraph" w:styleId="Heading1">
    <w:name w:val="heading 1"/>
    <w:basedOn w:val="Normal"/>
    <w:next w:val="Normal"/>
    <w:qFormat/>
    <w:rsid w:val="00736A56"/>
    <w:pPr>
      <w:widowControl w:val="0"/>
      <w:numPr>
        <w:numId w:val="19"/>
      </w:numPr>
      <w:outlineLvl w:val="0"/>
    </w:pPr>
  </w:style>
  <w:style w:type="paragraph" w:styleId="Heading2">
    <w:name w:val="heading 2"/>
    <w:basedOn w:val="Normal"/>
    <w:next w:val="Normal"/>
    <w:qFormat/>
    <w:rsid w:val="00736A56"/>
    <w:pPr>
      <w:widowControl w:val="0"/>
      <w:numPr>
        <w:ilvl w:val="1"/>
        <w:numId w:val="19"/>
      </w:numPr>
      <w:outlineLvl w:val="1"/>
    </w:pPr>
  </w:style>
  <w:style w:type="paragraph" w:styleId="Heading3">
    <w:name w:val="heading 3"/>
    <w:basedOn w:val="Normal"/>
    <w:next w:val="Normal"/>
    <w:qFormat/>
    <w:rsid w:val="00736A56"/>
    <w:pPr>
      <w:keepNext/>
      <w:numPr>
        <w:ilvl w:val="2"/>
        <w:numId w:val="19"/>
      </w:numPr>
      <w:outlineLvl w:val="2"/>
    </w:pPr>
    <w:rPr>
      <w:b/>
      <w:u w:val="single"/>
    </w:rPr>
  </w:style>
  <w:style w:type="paragraph" w:styleId="Heading4">
    <w:name w:val="heading 4"/>
    <w:basedOn w:val="Normal"/>
    <w:next w:val="Normal"/>
    <w:qFormat/>
    <w:rsid w:val="00736A56"/>
    <w:pPr>
      <w:keepNext/>
      <w:numPr>
        <w:ilvl w:val="3"/>
        <w:numId w:val="19"/>
      </w:numPr>
      <w:outlineLvl w:val="3"/>
    </w:pPr>
    <w:rPr>
      <w:b/>
      <w:u w:val="single"/>
    </w:rPr>
  </w:style>
  <w:style w:type="paragraph" w:styleId="Heading5">
    <w:name w:val="heading 5"/>
    <w:basedOn w:val="Normal"/>
    <w:next w:val="Normal"/>
    <w:qFormat/>
    <w:rsid w:val="00736A56"/>
    <w:pPr>
      <w:keepNext/>
      <w:numPr>
        <w:ilvl w:val="4"/>
        <w:numId w:val="19"/>
      </w:numPr>
      <w:outlineLvl w:val="4"/>
    </w:pPr>
    <w:rPr>
      <w:b/>
      <w:sz w:val="22"/>
    </w:rPr>
  </w:style>
  <w:style w:type="paragraph" w:styleId="Heading6">
    <w:name w:val="heading 6"/>
    <w:basedOn w:val="Normal"/>
    <w:next w:val="Normal"/>
    <w:qFormat/>
    <w:rsid w:val="00736A56"/>
    <w:pPr>
      <w:keepNext/>
      <w:numPr>
        <w:ilvl w:val="5"/>
        <w:numId w:val="19"/>
      </w:numPr>
      <w:jc w:val="center"/>
      <w:outlineLvl w:val="5"/>
    </w:pPr>
    <w:rPr>
      <w:b/>
      <w:sz w:val="22"/>
    </w:rPr>
  </w:style>
  <w:style w:type="paragraph" w:styleId="Heading7">
    <w:name w:val="heading 7"/>
    <w:basedOn w:val="Normal"/>
    <w:next w:val="Normal"/>
    <w:qFormat/>
    <w:rsid w:val="00736A56"/>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736A56"/>
    <w:pPr>
      <w:numPr>
        <w:ilvl w:val="7"/>
        <w:numId w:val="19"/>
      </w:numPr>
      <w:outlineLvl w:val="7"/>
    </w:pPr>
  </w:style>
  <w:style w:type="paragraph" w:styleId="Heading9">
    <w:name w:val="heading 9"/>
    <w:basedOn w:val="Normal"/>
    <w:next w:val="Normal"/>
    <w:qFormat/>
    <w:rsid w:val="00736A56"/>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A56"/>
    <w:pPr>
      <w:tabs>
        <w:tab w:val="center" w:pos="4320"/>
        <w:tab w:val="right" w:pos="8640"/>
      </w:tabs>
    </w:pPr>
  </w:style>
  <w:style w:type="paragraph" w:styleId="Footer">
    <w:name w:val="footer"/>
    <w:basedOn w:val="Normal"/>
    <w:rsid w:val="00736A56"/>
    <w:pPr>
      <w:tabs>
        <w:tab w:val="center" w:pos="4320"/>
        <w:tab w:val="right" w:pos="8640"/>
      </w:tabs>
    </w:pPr>
  </w:style>
  <w:style w:type="paragraph" w:customStyle="1" w:styleId="Sub-sectionheader">
    <w:name w:val="Sub-section header"/>
    <w:basedOn w:val="Normal"/>
    <w:next w:val="Normal"/>
    <w:rsid w:val="00736A56"/>
    <w:rPr>
      <w:caps/>
      <w:u w:val="single"/>
    </w:rPr>
  </w:style>
  <w:style w:type="paragraph" w:styleId="Title">
    <w:name w:val="Title"/>
    <w:basedOn w:val="Normal"/>
    <w:qFormat/>
    <w:rsid w:val="00736A56"/>
    <w:pPr>
      <w:jc w:val="center"/>
      <w:outlineLvl w:val="0"/>
    </w:pPr>
    <w:rPr>
      <w:rFonts w:ascii="Arial Black" w:hAnsi="Arial Black"/>
      <w:caps/>
      <w:kern w:val="28"/>
      <w:sz w:val="28"/>
    </w:rPr>
  </w:style>
  <w:style w:type="character" w:styleId="CommentReference">
    <w:name w:val="annotation reference"/>
    <w:basedOn w:val="DefaultParagraphFont"/>
    <w:semiHidden/>
    <w:rsid w:val="00736A56"/>
    <w:rPr>
      <w:sz w:val="16"/>
    </w:rPr>
  </w:style>
  <w:style w:type="paragraph" w:styleId="CommentText">
    <w:name w:val="annotation text"/>
    <w:basedOn w:val="Normal"/>
    <w:semiHidden/>
    <w:rsid w:val="00736A56"/>
    <w:rPr>
      <w:sz w:val="20"/>
    </w:rPr>
  </w:style>
  <w:style w:type="paragraph" w:customStyle="1" w:styleId="SectionHeader">
    <w:name w:val="Section Header"/>
    <w:basedOn w:val="Normal"/>
    <w:next w:val="Normal"/>
    <w:rsid w:val="00736A56"/>
    <w:pPr>
      <w:widowControl w:val="0"/>
    </w:pPr>
    <w:rPr>
      <w:rFonts w:ascii="Arial Black" w:hAnsi="Arial Black"/>
      <w:caps/>
      <w:sz w:val="28"/>
    </w:rPr>
  </w:style>
  <w:style w:type="paragraph" w:styleId="TOC1">
    <w:name w:val="toc 1"/>
    <w:basedOn w:val="Normal"/>
    <w:next w:val="Normal"/>
    <w:autoRedefine/>
    <w:uiPriority w:val="39"/>
    <w:rsid w:val="000506A2"/>
    <w:pPr>
      <w:widowControl w:val="0"/>
      <w:tabs>
        <w:tab w:val="right" w:leader="dot" w:pos="9360"/>
      </w:tabs>
      <w:spacing w:line="480" w:lineRule="auto"/>
    </w:pPr>
    <w:rPr>
      <w:caps/>
      <w:noProof/>
    </w:rPr>
  </w:style>
  <w:style w:type="character" w:styleId="PageNumber">
    <w:name w:val="page number"/>
    <w:basedOn w:val="DefaultParagraphFont"/>
    <w:rsid w:val="00736A56"/>
  </w:style>
  <w:style w:type="table" w:styleId="TableGrid">
    <w:name w:val="Table Grid"/>
    <w:basedOn w:val="TableNormal"/>
    <w:rsid w:val="00916E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D302B3"/>
    <w:rPr>
      <w:rFonts w:ascii="Tahoma" w:hAnsi="Tahoma" w:cs="Tahoma"/>
      <w:sz w:val="16"/>
      <w:szCs w:val="16"/>
    </w:rPr>
  </w:style>
  <w:style w:type="paragraph" w:styleId="CommentSubject">
    <w:name w:val="annotation subject"/>
    <w:basedOn w:val="CommentText"/>
    <w:next w:val="CommentText"/>
    <w:semiHidden/>
    <w:rsid w:val="00CF3BE4"/>
    <w:rPr>
      <w:b/>
      <w:bCs/>
    </w:rPr>
  </w:style>
  <w:style w:type="paragraph" w:styleId="ListParagraph">
    <w:name w:val="List Paragraph"/>
    <w:basedOn w:val="Normal"/>
    <w:uiPriority w:val="34"/>
    <w:qFormat/>
    <w:rsid w:val="003F32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QGRS1\templates\AQ\ACDP%20Review%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FBD90-DA9D-4501-AAD7-59185E09D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ACDP Review Report.dotx</Template>
  <TotalTime>1</TotalTime>
  <Pages>6</Pages>
  <Words>1185</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DEQ</Company>
  <LinksUpToDate>false</LinksUpToDate>
  <CharactersWithSpaces>7733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DEQ Build</dc:creator>
  <cp:keywords/>
  <cp:lastModifiedBy>cblaine</cp:lastModifiedBy>
  <cp:revision>2</cp:revision>
  <cp:lastPrinted>2009-03-12T18:44:00Z</cp:lastPrinted>
  <dcterms:created xsi:type="dcterms:W3CDTF">2009-04-16T22:40:00Z</dcterms:created>
  <dcterms:modified xsi:type="dcterms:W3CDTF">2009-04-16T22:40:00Z</dcterms:modified>
</cp:coreProperties>
</file>