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9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170"/>
        <w:gridCol w:w="1080"/>
        <w:gridCol w:w="5040"/>
        <w:gridCol w:w="6390"/>
      </w:tblGrid>
      <w:tr w:rsidR="00194CB0" w:rsidRPr="008923DE" w:rsidTr="00057B8D">
        <w:trPr>
          <w:tblHeader/>
        </w:trPr>
        <w:tc>
          <w:tcPr>
            <w:tcW w:w="918" w:type="dxa"/>
          </w:tcPr>
          <w:p w:rsidR="00194CB0" w:rsidRPr="008923DE" w:rsidRDefault="00194CB0" w:rsidP="008E0E79">
            <w:pPr>
              <w:spacing w:before="80" w:after="80"/>
              <w:jc w:val="center"/>
              <w:rPr>
                <w:b/>
              </w:rPr>
            </w:pPr>
            <w:r w:rsidRPr="008923DE">
              <w:rPr>
                <w:b/>
              </w:rPr>
              <w:t>Division</w:t>
            </w:r>
          </w:p>
        </w:tc>
        <w:tc>
          <w:tcPr>
            <w:tcW w:w="2250" w:type="dxa"/>
            <w:gridSpan w:val="2"/>
          </w:tcPr>
          <w:p w:rsidR="00194CB0" w:rsidRPr="007C0EF4" w:rsidRDefault="00194CB0" w:rsidP="008E0E79">
            <w:pPr>
              <w:spacing w:before="80" w:after="80"/>
              <w:jc w:val="center"/>
              <w:rPr>
                <w:b/>
                <w:highlight w:val="green"/>
              </w:rPr>
            </w:pPr>
            <w:r w:rsidRPr="007C0EF4">
              <w:rPr>
                <w:b/>
                <w:highlight w:val="green"/>
              </w:rPr>
              <w:t>Rule</w:t>
            </w:r>
          </w:p>
          <w:p w:rsidR="00194CB0" w:rsidRPr="007C0EF4" w:rsidRDefault="00194CB0" w:rsidP="00032A03">
            <w:pPr>
              <w:spacing w:before="80" w:after="80"/>
              <w:rPr>
                <w:b/>
                <w:highlight w:val="green"/>
              </w:rPr>
            </w:pPr>
            <w:r w:rsidRPr="007C0EF4">
              <w:rPr>
                <w:b/>
                <w:highlight w:val="green"/>
              </w:rPr>
              <w:t xml:space="preserve">Old#     </w:t>
            </w:r>
            <w:r w:rsidR="00057B8D" w:rsidRPr="007C0EF4">
              <w:rPr>
                <w:b/>
                <w:highlight w:val="green"/>
              </w:rPr>
              <w:t xml:space="preserve">              </w:t>
            </w:r>
            <w:r w:rsidRPr="007C0EF4">
              <w:rPr>
                <w:b/>
                <w:highlight w:val="green"/>
              </w:rPr>
              <w:t>New#</w:t>
            </w:r>
          </w:p>
        </w:tc>
        <w:tc>
          <w:tcPr>
            <w:tcW w:w="5040" w:type="dxa"/>
          </w:tcPr>
          <w:p w:rsidR="00194CB0" w:rsidRPr="008923DE" w:rsidRDefault="00194CB0" w:rsidP="008E0E79">
            <w:pPr>
              <w:spacing w:before="80" w:after="80"/>
              <w:jc w:val="center"/>
              <w:rPr>
                <w:b/>
              </w:rPr>
            </w:pPr>
            <w:r w:rsidRPr="008923DE">
              <w:rPr>
                <w:b/>
              </w:rPr>
              <w:t>Suggested change</w:t>
            </w:r>
          </w:p>
        </w:tc>
        <w:tc>
          <w:tcPr>
            <w:tcW w:w="6390" w:type="dxa"/>
          </w:tcPr>
          <w:p w:rsidR="00194CB0" w:rsidRPr="008923DE" w:rsidRDefault="00194CB0" w:rsidP="008E0E79">
            <w:pPr>
              <w:spacing w:before="80" w:after="80"/>
              <w:jc w:val="center"/>
              <w:rPr>
                <w:b/>
              </w:rPr>
            </w:pPr>
            <w:r>
              <w:rPr>
                <w:b/>
              </w:rPr>
              <w:t>Reason/Issues</w:t>
            </w:r>
          </w:p>
        </w:tc>
      </w:tr>
      <w:tr w:rsidR="00296AFD" w:rsidRPr="00F47EB9" w:rsidTr="000E72D9">
        <w:tc>
          <w:tcPr>
            <w:tcW w:w="918" w:type="dxa"/>
          </w:tcPr>
          <w:p w:rsidR="00296AFD" w:rsidRPr="00F47EB9" w:rsidRDefault="00296AFD" w:rsidP="000E72D9">
            <w:pPr>
              <w:spacing w:before="80" w:after="80"/>
              <w:rPr>
                <w:b/>
              </w:rPr>
            </w:pPr>
          </w:p>
        </w:tc>
        <w:tc>
          <w:tcPr>
            <w:tcW w:w="1170" w:type="dxa"/>
          </w:tcPr>
          <w:p w:rsidR="00296AFD" w:rsidRPr="007C0EF4" w:rsidRDefault="00296AFD" w:rsidP="000E72D9">
            <w:pPr>
              <w:spacing w:before="80" w:after="80"/>
              <w:rPr>
                <w:highlight w:val="green"/>
              </w:rPr>
            </w:pPr>
          </w:p>
        </w:tc>
        <w:tc>
          <w:tcPr>
            <w:tcW w:w="1080" w:type="dxa"/>
          </w:tcPr>
          <w:p w:rsidR="00296AFD" w:rsidRPr="007C0EF4" w:rsidRDefault="00296AFD" w:rsidP="000E72D9">
            <w:pPr>
              <w:spacing w:before="80" w:after="80"/>
              <w:rPr>
                <w:highlight w:val="green"/>
              </w:rPr>
            </w:pPr>
          </w:p>
        </w:tc>
        <w:tc>
          <w:tcPr>
            <w:tcW w:w="5040" w:type="dxa"/>
          </w:tcPr>
          <w:p w:rsidR="00296AFD" w:rsidRPr="00F5634D" w:rsidRDefault="00296AFD" w:rsidP="000E72D9">
            <w:pPr>
              <w:spacing w:before="80" w:after="80"/>
              <w:rPr>
                <w:highlight w:val="yellow"/>
              </w:rPr>
            </w:pPr>
            <w:r w:rsidRPr="00F5634D">
              <w:rPr>
                <w:highlight w:val="yellow"/>
              </w:rPr>
              <w:t>CHECK WITH JERRY AND ANDREA ON DEFINTIONS IN THEIR DIVISIONS AND WHETHER THEY NEED TO BE ADDED HERE.</w:t>
            </w:r>
          </w:p>
        </w:tc>
        <w:tc>
          <w:tcPr>
            <w:tcW w:w="6390" w:type="dxa"/>
          </w:tcPr>
          <w:p w:rsidR="00296AFD" w:rsidRPr="00F47EB9" w:rsidRDefault="00296AFD" w:rsidP="000E72D9">
            <w:pPr>
              <w:spacing w:before="80" w:after="80"/>
            </w:pPr>
          </w:p>
        </w:tc>
      </w:tr>
      <w:tr w:rsidR="000E72D9" w:rsidRPr="00F47EB9" w:rsidTr="000E72D9">
        <w:tc>
          <w:tcPr>
            <w:tcW w:w="918" w:type="dxa"/>
          </w:tcPr>
          <w:p w:rsidR="000E72D9" w:rsidRPr="00F47EB9" w:rsidRDefault="000E72D9" w:rsidP="000E72D9">
            <w:pPr>
              <w:spacing w:before="80" w:after="80"/>
              <w:rPr>
                <w:b/>
              </w:rPr>
            </w:pPr>
            <w:r w:rsidRPr="00F47EB9">
              <w:rPr>
                <w:b/>
              </w:rPr>
              <w:t>200-0020</w:t>
            </w:r>
          </w:p>
        </w:tc>
        <w:tc>
          <w:tcPr>
            <w:tcW w:w="1170" w:type="dxa"/>
          </w:tcPr>
          <w:p w:rsidR="000E72D9" w:rsidRPr="007C0EF4" w:rsidRDefault="000E72D9" w:rsidP="000E72D9">
            <w:pPr>
              <w:spacing w:before="80" w:after="80"/>
              <w:rPr>
                <w:highlight w:val="green"/>
              </w:rPr>
            </w:pPr>
            <w:r w:rsidRPr="007C0EF4">
              <w:rPr>
                <w:highlight w:val="green"/>
              </w:rPr>
              <w:t>(3)(a)</w:t>
            </w:r>
            <w:r w:rsidR="00EC4D1A" w:rsidRPr="007C0EF4">
              <w:rPr>
                <w:highlight w:val="green"/>
              </w:rPr>
              <w:t>(A)</w:t>
            </w:r>
          </w:p>
        </w:tc>
        <w:tc>
          <w:tcPr>
            <w:tcW w:w="1080" w:type="dxa"/>
          </w:tcPr>
          <w:p w:rsidR="000E72D9" w:rsidRPr="007C0EF4" w:rsidRDefault="00CD55DA" w:rsidP="000E72D9">
            <w:pPr>
              <w:spacing w:before="80" w:after="80"/>
              <w:rPr>
                <w:highlight w:val="green"/>
              </w:rPr>
            </w:pPr>
            <w:r w:rsidRPr="007C0EF4">
              <w:rPr>
                <w:highlight w:val="green"/>
              </w:rPr>
              <w:t>NA</w:t>
            </w:r>
          </w:p>
        </w:tc>
        <w:tc>
          <w:tcPr>
            <w:tcW w:w="5040" w:type="dxa"/>
          </w:tcPr>
          <w:p w:rsidR="000E72D9" w:rsidRPr="00F47EB9" w:rsidRDefault="00EC4D1A" w:rsidP="000E72D9">
            <w:pPr>
              <w:spacing w:before="80" w:after="80"/>
            </w:pPr>
            <w:r w:rsidRPr="00F47EB9">
              <w:t>Add exception for (C) in definition of actual emissions for sources that had not begun normal operation during the baseline period but were permitted to construct and operate</w:t>
            </w:r>
          </w:p>
        </w:tc>
        <w:tc>
          <w:tcPr>
            <w:tcW w:w="6390" w:type="dxa"/>
          </w:tcPr>
          <w:p w:rsidR="000E72D9" w:rsidRPr="00F47EB9" w:rsidRDefault="00F47EB9" w:rsidP="000E72D9">
            <w:pPr>
              <w:spacing w:before="80" w:after="80"/>
            </w:pPr>
            <w:r w:rsidRPr="00F47EB9">
              <w:t xml:space="preserve">This was omitted in the past and needs correction.  </w:t>
            </w:r>
          </w:p>
        </w:tc>
      </w:tr>
      <w:tr w:rsidR="00194CB0" w:rsidRPr="00F47EB9" w:rsidTr="00057B8D">
        <w:tc>
          <w:tcPr>
            <w:tcW w:w="918" w:type="dxa"/>
          </w:tcPr>
          <w:p w:rsidR="00194CB0" w:rsidRPr="00F47EB9" w:rsidRDefault="00194CB0" w:rsidP="008E0E79">
            <w:pPr>
              <w:spacing w:before="80" w:after="80"/>
              <w:rPr>
                <w:b/>
              </w:rPr>
            </w:pPr>
            <w:r w:rsidRPr="00F47EB9">
              <w:rPr>
                <w:b/>
              </w:rPr>
              <w:t>200-0020</w:t>
            </w:r>
          </w:p>
        </w:tc>
        <w:tc>
          <w:tcPr>
            <w:tcW w:w="1170" w:type="dxa"/>
          </w:tcPr>
          <w:p w:rsidR="00194CB0" w:rsidRPr="007C0EF4" w:rsidRDefault="008045A3" w:rsidP="008E327D">
            <w:pPr>
              <w:spacing w:before="80" w:after="80"/>
              <w:rPr>
                <w:highlight w:val="green"/>
              </w:rPr>
            </w:pPr>
            <w:r w:rsidRPr="007C0EF4">
              <w:rPr>
                <w:highlight w:val="green"/>
              </w:rPr>
              <w:t>(3)(C</w:t>
            </w:r>
            <w:r w:rsidR="00194CB0" w:rsidRPr="007C0EF4">
              <w:rPr>
                <w:highlight w:val="green"/>
              </w:rPr>
              <w:t>)</w:t>
            </w:r>
          </w:p>
        </w:tc>
        <w:tc>
          <w:tcPr>
            <w:tcW w:w="1080" w:type="dxa"/>
          </w:tcPr>
          <w:p w:rsidR="00194CB0" w:rsidRPr="007C0EF4" w:rsidRDefault="00CD55DA" w:rsidP="008E0E79">
            <w:pPr>
              <w:spacing w:before="80" w:after="80"/>
              <w:rPr>
                <w:highlight w:val="green"/>
              </w:rPr>
            </w:pPr>
            <w:r w:rsidRPr="007C0EF4">
              <w:rPr>
                <w:highlight w:val="green"/>
              </w:rPr>
              <w:t>NA</w:t>
            </w:r>
          </w:p>
        </w:tc>
        <w:tc>
          <w:tcPr>
            <w:tcW w:w="5040" w:type="dxa"/>
          </w:tcPr>
          <w:p w:rsidR="00194CB0" w:rsidRPr="00F47EB9" w:rsidRDefault="008045A3" w:rsidP="008E0E79">
            <w:pPr>
              <w:spacing w:before="80" w:after="80"/>
            </w:pPr>
            <w:r w:rsidRPr="00F47EB9">
              <w:t>Clarify</w:t>
            </w:r>
            <w:r w:rsidR="00194CB0" w:rsidRPr="00F47EB9">
              <w:t xml:space="preserve"> the definition of actual emissions to include sources that were permitted even though they had not begun normal operation</w:t>
            </w:r>
          </w:p>
        </w:tc>
        <w:tc>
          <w:tcPr>
            <w:tcW w:w="6390" w:type="dxa"/>
          </w:tcPr>
          <w:p w:rsidR="00194CB0" w:rsidRPr="00F47EB9" w:rsidRDefault="00194CB0" w:rsidP="008E0E79">
            <w:pPr>
              <w:spacing w:before="80" w:after="80"/>
            </w:pPr>
            <w:r w:rsidRPr="00F47EB9">
              <w:t xml:space="preserve">The rules don’t address sources that had not begun normal operations </w:t>
            </w:r>
            <w:r w:rsidR="008045A3" w:rsidRPr="00F47EB9">
              <w:t xml:space="preserve">during the baseline year </w:t>
            </w:r>
            <w:r w:rsidRPr="00F47EB9">
              <w:t xml:space="preserve">but were permitted to construct and operate </w:t>
            </w:r>
          </w:p>
        </w:tc>
      </w:tr>
      <w:tr w:rsidR="000E72D9" w:rsidTr="00057B8D">
        <w:tc>
          <w:tcPr>
            <w:tcW w:w="918" w:type="dxa"/>
          </w:tcPr>
          <w:p w:rsidR="000E72D9" w:rsidRPr="00F47EB9" w:rsidRDefault="000E72D9" w:rsidP="00F61DCA">
            <w:pPr>
              <w:spacing w:before="80" w:after="80"/>
              <w:rPr>
                <w:b/>
              </w:rPr>
            </w:pPr>
            <w:r w:rsidRPr="00F47EB9">
              <w:rPr>
                <w:b/>
              </w:rPr>
              <w:t>200-0020</w:t>
            </w:r>
          </w:p>
        </w:tc>
        <w:tc>
          <w:tcPr>
            <w:tcW w:w="1170" w:type="dxa"/>
          </w:tcPr>
          <w:p w:rsidR="000E72D9" w:rsidRPr="007C0EF4" w:rsidRDefault="00CD55DA" w:rsidP="008E0E79">
            <w:pPr>
              <w:spacing w:before="80" w:after="80"/>
              <w:rPr>
                <w:highlight w:val="green"/>
              </w:rPr>
            </w:pPr>
            <w:r w:rsidRPr="007C0EF4">
              <w:rPr>
                <w:highlight w:val="green"/>
              </w:rPr>
              <w:t>NA</w:t>
            </w:r>
          </w:p>
        </w:tc>
        <w:tc>
          <w:tcPr>
            <w:tcW w:w="1080" w:type="dxa"/>
          </w:tcPr>
          <w:p w:rsidR="000E72D9" w:rsidRPr="007C0EF4" w:rsidRDefault="00CD55DA" w:rsidP="008E0E79">
            <w:pPr>
              <w:spacing w:before="80" w:after="80"/>
              <w:rPr>
                <w:highlight w:val="green"/>
              </w:rPr>
            </w:pPr>
            <w:r w:rsidRPr="007C0EF4">
              <w:rPr>
                <w:highlight w:val="green"/>
              </w:rPr>
              <w:t>(3)(b)</w:t>
            </w:r>
          </w:p>
        </w:tc>
        <w:tc>
          <w:tcPr>
            <w:tcW w:w="5040" w:type="dxa"/>
          </w:tcPr>
          <w:p w:rsidR="000E72D9" w:rsidRPr="00F47EB9" w:rsidRDefault="008045A3" w:rsidP="008E0E79">
            <w:pPr>
              <w:spacing w:before="80" w:after="80"/>
            </w:pPr>
            <w:r w:rsidRPr="00F47EB9">
              <w:t>Add a provision for sources that had not begun normal operation during any specified period</w:t>
            </w:r>
          </w:p>
        </w:tc>
        <w:tc>
          <w:tcPr>
            <w:tcW w:w="6390" w:type="dxa"/>
          </w:tcPr>
          <w:p w:rsidR="000E72D9" w:rsidRPr="007039E7" w:rsidRDefault="008045A3" w:rsidP="008E0E79">
            <w:pPr>
              <w:spacing w:before="80" w:after="80"/>
            </w:pPr>
            <w:r w:rsidRPr="00F47EB9">
              <w:t>The rules don’t address sources that had not begun normal operations during any specified period but were permitted to construct and operate</w:t>
            </w:r>
          </w:p>
        </w:tc>
      </w:tr>
      <w:tr w:rsidR="008045A3" w:rsidTr="00057B8D">
        <w:tc>
          <w:tcPr>
            <w:tcW w:w="918" w:type="dxa"/>
          </w:tcPr>
          <w:p w:rsidR="008045A3" w:rsidRDefault="008045A3" w:rsidP="00F61DCA">
            <w:pPr>
              <w:spacing w:before="80" w:after="80"/>
              <w:rPr>
                <w:b/>
              </w:rPr>
            </w:pPr>
            <w:r>
              <w:rPr>
                <w:b/>
              </w:rPr>
              <w:t>200-0020</w:t>
            </w:r>
          </w:p>
        </w:tc>
        <w:tc>
          <w:tcPr>
            <w:tcW w:w="1170" w:type="dxa"/>
          </w:tcPr>
          <w:p w:rsidR="008045A3" w:rsidRPr="007C0EF4" w:rsidRDefault="00CD55DA" w:rsidP="008E0E79">
            <w:pPr>
              <w:spacing w:before="80" w:after="80"/>
              <w:rPr>
                <w:highlight w:val="green"/>
              </w:rPr>
            </w:pPr>
            <w:r w:rsidRPr="007C0EF4">
              <w:rPr>
                <w:highlight w:val="green"/>
              </w:rPr>
              <w:t>(3)(c</w:t>
            </w:r>
            <w:r w:rsidR="008045A3" w:rsidRPr="007C0EF4">
              <w:rPr>
                <w:highlight w:val="green"/>
              </w:rPr>
              <w:t>)</w:t>
            </w:r>
          </w:p>
        </w:tc>
        <w:tc>
          <w:tcPr>
            <w:tcW w:w="1080" w:type="dxa"/>
          </w:tcPr>
          <w:p w:rsidR="008045A3" w:rsidRPr="007C0EF4" w:rsidRDefault="00CD55DA" w:rsidP="008E0E79">
            <w:pPr>
              <w:spacing w:before="80" w:after="80"/>
              <w:rPr>
                <w:highlight w:val="green"/>
              </w:rPr>
            </w:pPr>
            <w:r w:rsidRPr="007C0EF4">
              <w:rPr>
                <w:highlight w:val="green"/>
              </w:rPr>
              <w:t>(3)(d)</w:t>
            </w:r>
          </w:p>
        </w:tc>
        <w:tc>
          <w:tcPr>
            <w:tcW w:w="5040" w:type="dxa"/>
          </w:tcPr>
          <w:p w:rsidR="008045A3" w:rsidRPr="007039E7" w:rsidRDefault="008045A3" w:rsidP="008045A3">
            <w:pPr>
              <w:spacing w:before="80" w:after="80"/>
            </w:pPr>
            <w:r>
              <w:t xml:space="preserve">Add reference to Division 220 </w:t>
            </w:r>
          </w:p>
        </w:tc>
        <w:tc>
          <w:tcPr>
            <w:tcW w:w="6390" w:type="dxa"/>
          </w:tcPr>
          <w:p w:rsidR="008045A3" w:rsidRPr="007039E7" w:rsidRDefault="008045A3" w:rsidP="008045A3">
            <w:pPr>
              <w:spacing w:before="80" w:after="80"/>
            </w:pPr>
            <w:r>
              <w:t xml:space="preserve">This addition ensures that the procedures for establishing verified emissions factors are followed.  </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CD55DA" w:rsidP="008E0E79">
            <w:pPr>
              <w:spacing w:before="80" w:after="80"/>
              <w:rPr>
                <w:highlight w:val="green"/>
              </w:rPr>
            </w:pPr>
            <w:r w:rsidRPr="007C0EF4">
              <w:rPr>
                <w:highlight w:val="green"/>
              </w:rPr>
              <w:t>NA</w:t>
            </w:r>
          </w:p>
        </w:tc>
        <w:tc>
          <w:tcPr>
            <w:tcW w:w="1080" w:type="dxa"/>
          </w:tcPr>
          <w:p w:rsidR="00194CB0" w:rsidRPr="007C0EF4" w:rsidRDefault="00CD55DA" w:rsidP="008E0E79">
            <w:pPr>
              <w:spacing w:before="80" w:after="80"/>
              <w:rPr>
                <w:highlight w:val="green"/>
              </w:rPr>
            </w:pPr>
            <w:r w:rsidRPr="007C0EF4">
              <w:rPr>
                <w:highlight w:val="green"/>
              </w:rPr>
              <w:t>(7)(e)</w:t>
            </w:r>
          </w:p>
        </w:tc>
        <w:tc>
          <w:tcPr>
            <w:tcW w:w="5040" w:type="dxa"/>
          </w:tcPr>
          <w:p w:rsidR="00194CB0" w:rsidRPr="007039E7" w:rsidRDefault="00194CB0" w:rsidP="008E0E79">
            <w:pPr>
              <w:spacing w:before="80" w:after="80"/>
            </w:pPr>
            <w:r w:rsidRPr="007039E7">
              <w:t>Add aggregate insignificant emissions threshold for PM2.5 in PM2.5 nonattainment areas</w:t>
            </w:r>
          </w:p>
        </w:tc>
        <w:tc>
          <w:tcPr>
            <w:tcW w:w="6390" w:type="dxa"/>
          </w:tcPr>
          <w:p w:rsidR="00194CB0" w:rsidRPr="007039E7" w:rsidRDefault="00194CB0" w:rsidP="008E0E79">
            <w:pPr>
              <w:spacing w:before="80" w:after="80"/>
            </w:pPr>
            <w:r w:rsidRPr="007039E7">
              <w:t>This makes PM2.5 consistent with the PM10 threshold, which is 5% of the SER (5 tons) in Medford and other nonattainment areas in older rules.  5% of 10 tons equals 0.5 tons.</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CD55DA" w:rsidP="008E0E79">
            <w:pPr>
              <w:spacing w:before="80" w:after="80"/>
              <w:rPr>
                <w:highlight w:val="green"/>
              </w:rPr>
            </w:pPr>
            <w:r w:rsidRPr="007C0EF4">
              <w:rPr>
                <w:highlight w:val="green"/>
              </w:rPr>
              <w:t>NA</w:t>
            </w:r>
          </w:p>
        </w:tc>
        <w:tc>
          <w:tcPr>
            <w:tcW w:w="1080" w:type="dxa"/>
          </w:tcPr>
          <w:p w:rsidR="00194CB0" w:rsidRPr="007C0EF4" w:rsidRDefault="00CD55DA" w:rsidP="008E0E79">
            <w:pPr>
              <w:spacing w:before="80" w:after="80"/>
              <w:rPr>
                <w:highlight w:val="green"/>
              </w:rPr>
            </w:pPr>
            <w:r w:rsidRPr="007C0EF4">
              <w:rPr>
                <w:highlight w:val="green"/>
              </w:rPr>
              <w:t>(13)</w:t>
            </w:r>
          </w:p>
        </w:tc>
        <w:tc>
          <w:tcPr>
            <w:tcW w:w="5040" w:type="dxa"/>
          </w:tcPr>
          <w:p w:rsidR="00194CB0" w:rsidRDefault="00194CB0" w:rsidP="00C54D67">
            <w:pPr>
              <w:spacing w:before="80" w:after="80"/>
            </w:pPr>
            <w:r>
              <w:t xml:space="preserve">Add definition of average operating opacity </w:t>
            </w:r>
          </w:p>
        </w:tc>
        <w:tc>
          <w:tcPr>
            <w:tcW w:w="6390" w:type="dxa"/>
          </w:tcPr>
          <w:p w:rsidR="00194CB0" w:rsidRDefault="00194CB0" w:rsidP="008E0E79">
            <w:pPr>
              <w:spacing w:before="80" w:after="80"/>
            </w:pPr>
            <w:r>
              <w:t>Move from Divisions 234 and 240</w:t>
            </w:r>
            <w:r w:rsidR="00C54D67">
              <w:t xml:space="preserve"> but move the statement about when a violation occurs</w:t>
            </w:r>
            <w:r w:rsidR="00CD55DA">
              <w:t xml:space="preserve"> to the standards</w:t>
            </w:r>
            <w:r w:rsidR="00C54D67">
              <w:t xml:space="preserve"> in Divisions 234 and 240.  </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194CB0" w:rsidP="008E0E79">
            <w:pPr>
              <w:spacing w:before="80" w:after="80"/>
              <w:rPr>
                <w:highlight w:val="green"/>
              </w:rPr>
            </w:pPr>
            <w:r w:rsidRPr="007C0EF4">
              <w:rPr>
                <w:highlight w:val="green"/>
              </w:rPr>
              <w:t xml:space="preserve">(13) </w:t>
            </w:r>
          </w:p>
        </w:tc>
        <w:tc>
          <w:tcPr>
            <w:tcW w:w="1080" w:type="dxa"/>
          </w:tcPr>
          <w:p w:rsidR="00194CB0" w:rsidRPr="007C0EF4" w:rsidRDefault="00CD55DA" w:rsidP="008E0E79">
            <w:pPr>
              <w:spacing w:before="80" w:after="80"/>
              <w:rPr>
                <w:highlight w:val="green"/>
              </w:rPr>
            </w:pPr>
            <w:r w:rsidRPr="007C0EF4">
              <w:rPr>
                <w:highlight w:val="green"/>
              </w:rPr>
              <w:t>(14)(a)</w:t>
            </w:r>
          </w:p>
        </w:tc>
        <w:tc>
          <w:tcPr>
            <w:tcW w:w="5040" w:type="dxa"/>
          </w:tcPr>
          <w:p w:rsidR="00194CB0" w:rsidRPr="00DA5F64" w:rsidRDefault="00194CB0" w:rsidP="008E0E79">
            <w:pPr>
              <w:spacing w:before="80" w:after="80"/>
            </w:pPr>
            <w:r w:rsidRPr="00DA5F64">
              <w:t>Add subsection for regulated pollutants only</w:t>
            </w:r>
          </w:p>
        </w:tc>
        <w:tc>
          <w:tcPr>
            <w:tcW w:w="6390" w:type="dxa"/>
          </w:tcPr>
          <w:p w:rsidR="00194CB0" w:rsidRPr="00DA5F64" w:rsidRDefault="00194CB0" w:rsidP="008E0E79">
            <w:pPr>
              <w:spacing w:before="80" w:after="80"/>
            </w:pPr>
            <w:r w:rsidRPr="00DA5F64">
              <w:t>Provided clarification that the b</w:t>
            </w:r>
            <w:r>
              <w:t>aseline emission rate only applies</w:t>
            </w:r>
            <w:r w:rsidRPr="00DA5F64">
              <w:t xml:space="preserve"> to pollutants subject to the New Source Review program.  Specifically, HAPs are not subject to NSR, but other there may be other pollutants also not subject to NSR. </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194CB0" w:rsidP="008E0E79">
            <w:pPr>
              <w:spacing w:before="80" w:after="80"/>
              <w:rPr>
                <w:highlight w:val="green"/>
              </w:rPr>
            </w:pPr>
            <w:r w:rsidRPr="007C0EF4">
              <w:rPr>
                <w:highlight w:val="green"/>
              </w:rPr>
              <w:t>(13)</w:t>
            </w:r>
          </w:p>
        </w:tc>
        <w:tc>
          <w:tcPr>
            <w:tcW w:w="1080" w:type="dxa"/>
          </w:tcPr>
          <w:p w:rsidR="00194CB0" w:rsidRPr="007C0EF4" w:rsidRDefault="00CD55DA" w:rsidP="008E0E79">
            <w:pPr>
              <w:spacing w:before="80" w:after="80"/>
              <w:rPr>
                <w:highlight w:val="green"/>
              </w:rPr>
            </w:pPr>
            <w:r w:rsidRPr="007C0EF4">
              <w:rPr>
                <w:highlight w:val="green"/>
              </w:rPr>
              <w:t>(14)(b)</w:t>
            </w:r>
          </w:p>
        </w:tc>
        <w:tc>
          <w:tcPr>
            <w:tcW w:w="5040" w:type="dxa"/>
          </w:tcPr>
          <w:p w:rsidR="00194CB0" w:rsidRPr="007039E7" w:rsidRDefault="00194CB0" w:rsidP="008E0E79">
            <w:pPr>
              <w:spacing w:before="80" w:after="80"/>
            </w:pPr>
            <w:r>
              <w:t xml:space="preserve">Move the rules in netting basis that apply to the baseline emission rate </w:t>
            </w:r>
          </w:p>
        </w:tc>
        <w:tc>
          <w:tcPr>
            <w:tcW w:w="6390" w:type="dxa"/>
          </w:tcPr>
          <w:p w:rsidR="00194CB0" w:rsidRDefault="00194CB0" w:rsidP="008E0E79">
            <w:pPr>
              <w:spacing w:before="80" w:after="80"/>
            </w:pPr>
            <w:r>
              <w:t>The requirements for establishing the baseline emission rate should be in the definition of baseline emission rate, not the netting basis</w:t>
            </w:r>
          </w:p>
        </w:tc>
      </w:tr>
      <w:tr w:rsidR="00CD55DA" w:rsidTr="00057B8D">
        <w:tc>
          <w:tcPr>
            <w:tcW w:w="918" w:type="dxa"/>
          </w:tcPr>
          <w:p w:rsidR="00CD55DA" w:rsidRDefault="00CD55DA" w:rsidP="00F61DCA">
            <w:pPr>
              <w:spacing w:before="80" w:after="80"/>
              <w:rPr>
                <w:b/>
              </w:rPr>
            </w:pPr>
            <w:r>
              <w:rPr>
                <w:b/>
              </w:rPr>
              <w:t>200-0020</w:t>
            </w:r>
          </w:p>
        </w:tc>
        <w:tc>
          <w:tcPr>
            <w:tcW w:w="1170" w:type="dxa"/>
          </w:tcPr>
          <w:p w:rsidR="00CD55DA" w:rsidRPr="007C0EF4" w:rsidRDefault="00091D43" w:rsidP="008E0E79">
            <w:pPr>
              <w:spacing w:before="80" w:after="80"/>
              <w:rPr>
                <w:highlight w:val="green"/>
              </w:rPr>
            </w:pPr>
            <w:r w:rsidRPr="007C0EF4">
              <w:rPr>
                <w:highlight w:val="green"/>
              </w:rPr>
              <w:t>(13)</w:t>
            </w:r>
          </w:p>
        </w:tc>
        <w:tc>
          <w:tcPr>
            <w:tcW w:w="1080" w:type="dxa"/>
          </w:tcPr>
          <w:p w:rsidR="00CD55DA" w:rsidRPr="007C0EF4" w:rsidRDefault="00091D43" w:rsidP="008E0E79">
            <w:pPr>
              <w:spacing w:before="80" w:after="80"/>
              <w:rPr>
                <w:highlight w:val="green"/>
              </w:rPr>
            </w:pPr>
            <w:r w:rsidRPr="007C0EF4">
              <w:rPr>
                <w:highlight w:val="green"/>
              </w:rPr>
              <w:t>(14)(b)(D)</w:t>
            </w:r>
          </w:p>
        </w:tc>
        <w:tc>
          <w:tcPr>
            <w:tcW w:w="5040" w:type="dxa"/>
          </w:tcPr>
          <w:p w:rsidR="00CD55DA" w:rsidRDefault="00091D43" w:rsidP="008E0E79">
            <w:pPr>
              <w:spacing w:before="80" w:after="80"/>
            </w:pPr>
            <w:r>
              <w:t>Add provision for change to baseline emission rate if material mistake discovered</w:t>
            </w:r>
          </w:p>
        </w:tc>
        <w:tc>
          <w:tcPr>
            <w:tcW w:w="6390" w:type="dxa"/>
          </w:tcPr>
          <w:p w:rsidR="00CD55DA" w:rsidRDefault="006B6C77" w:rsidP="008E0E79">
            <w:pPr>
              <w:spacing w:before="80" w:after="80"/>
            </w:pPr>
            <w:r>
              <w:t xml:space="preserve">If an error was made in establishing baseline, a provision for correcting it is needed.  </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194CB0" w:rsidP="008E0E79">
            <w:pPr>
              <w:spacing w:before="80" w:after="80"/>
              <w:rPr>
                <w:highlight w:val="green"/>
              </w:rPr>
            </w:pPr>
            <w:r w:rsidRPr="007C0EF4">
              <w:rPr>
                <w:highlight w:val="green"/>
              </w:rPr>
              <w:t>(13)</w:t>
            </w:r>
          </w:p>
        </w:tc>
        <w:tc>
          <w:tcPr>
            <w:tcW w:w="1080" w:type="dxa"/>
          </w:tcPr>
          <w:p w:rsidR="00194CB0" w:rsidRPr="007C0EF4" w:rsidRDefault="006B6C77" w:rsidP="008E0E79">
            <w:pPr>
              <w:spacing w:before="80" w:after="80"/>
              <w:rPr>
                <w:highlight w:val="green"/>
              </w:rPr>
            </w:pPr>
            <w:r w:rsidRPr="007C0EF4">
              <w:rPr>
                <w:highlight w:val="green"/>
              </w:rPr>
              <w:t>(14)(c)</w:t>
            </w:r>
          </w:p>
        </w:tc>
        <w:tc>
          <w:tcPr>
            <w:tcW w:w="5040" w:type="dxa"/>
          </w:tcPr>
          <w:p w:rsidR="00194CB0" w:rsidRPr="007039E7" w:rsidRDefault="00194CB0" w:rsidP="006B6C77">
            <w:pPr>
              <w:spacing w:before="80" w:after="80"/>
            </w:pPr>
            <w:r>
              <w:t xml:space="preserve">Add subsection for PM2.5 </w:t>
            </w:r>
          </w:p>
        </w:tc>
        <w:tc>
          <w:tcPr>
            <w:tcW w:w="6390" w:type="dxa"/>
          </w:tcPr>
          <w:p w:rsidR="00194CB0" w:rsidRDefault="00194CB0" w:rsidP="006B6C77">
            <w:pPr>
              <w:spacing w:before="80" w:after="80"/>
            </w:pPr>
            <w:r>
              <w:t>The baseline emission rate for PM2.5 will be established with the first permit action after the rules are adopted (February 16, 2011).</w:t>
            </w:r>
          </w:p>
        </w:tc>
      </w:tr>
      <w:tr w:rsidR="006B6C77" w:rsidTr="00F818DE">
        <w:tc>
          <w:tcPr>
            <w:tcW w:w="918" w:type="dxa"/>
          </w:tcPr>
          <w:p w:rsidR="006B6C77" w:rsidRDefault="006B6C77" w:rsidP="00F818DE">
            <w:pPr>
              <w:spacing w:before="80" w:after="80"/>
              <w:rPr>
                <w:b/>
              </w:rPr>
            </w:pPr>
            <w:r>
              <w:rPr>
                <w:b/>
              </w:rPr>
              <w:t>200-0020</w:t>
            </w:r>
          </w:p>
        </w:tc>
        <w:tc>
          <w:tcPr>
            <w:tcW w:w="1170" w:type="dxa"/>
          </w:tcPr>
          <w:p w:rsidR="006B6C77" w:rsidRPr="007C0EF4" w:rsidRDefault="006B6C77" w:rsidP="00F818DE">
            <w:pPr>
              <w:spacing w:before="80" w:after="80"/>
              <w:rPr>
                <w:highlight w:val="green"/>
              </w:rPr>
            </w:pPr>
            <w:r w:rsidRPr="007C0EF4">
              <w:rPr>
                <w:highlight w:val="green"/>
              </w:rPr>
              <w:t>(13)</w:t>
            </w:r>
          </w:p>
        </w:tc>
        <w:tc>
          <w:tcPr>
            <w:tcW w:w="1080" w:type="dxa"/>
          </w:tcPr>
          <w:p w:rsidR="006B6C77" w:rsidRPr="007C0EF4" w:rsidRDefault="006B6C77" w:rsidP="00F818DE">
            <w:pPr>
              <w:spacing w:before="80" w:after="80"/>
              <w:rPr>
                <w:highlight w:val="green"/>
              </w:rPr>
            </w:pPr>
            <w:r w:rsidRPr="007C0EF4">
              <w:rPr>
                <w:highlight w:val="green"/>
              </w:rPr>
              <w:t>(14)(d)</w:t>
            </w:r>
          </w:p>
        </w:tc>
        <w:tc>
          <w:tcPr>
            <w:tcW w:w="5040" w:type="dxa"/>
          </w:tcPr>
          <w:p w:rsidR="006B6C77" w:rsidRPr="007039E7" w:rsidRDefault="006B6C77" w:rsidP="006B6C77">
            <w:pPr>
              <w:spacing w:before="80" w:after="80"/>
            </w:pPr>
            <w:r>
              <w:t xml:space="preserve">Add subsection for GHG </w:t>
            </w:r>
          </w:p>
        </w:tc>
        <w:tc>
          <w:tcPr>
            <w:tcW w:w="6390" w:type="dxa"/>
          </w:tcPr>
          <w:p w:rsidR="006B6C77" w:rsidRDefault="006B6C77" w:rsidP="006B6C77">
            <w:pPr>
              <w:spacing w:before="80" w:after="80"/>
            </w:pPr>
            <w:r>
              <w:t>The baseline emission rate for  GHG will be established with the first permit action after the rules are adopted (February 16, 2011).</w:t>
            </w:r>
          </w:p>
        </w:tc>
      </w:tr>
      <w:tr w:rsidR="006B6C77" w:rsidTr="00F818DE">
        <w:tc>
          <w:tcPr>
            <w:tcW w:w="918" w:type="dxa"/>
          </w:tcPr>
          <w:p w:rsidR="006B6C77" w:rsidRDefault="006B6C77" w:rsidP="00F818DE">
            <w:pPr>
              <w:spacing w:before="80" w:after="80"/>
              <w:rPr>
                <w:b/>
              </w:rPr>
            </w:pPr>
            <w:r>
              <w:rPr>
                <w:b/>
              </w:rPr>
              <w:t>200-</w:t>
            </w:r>
            <w:r>
              <w:rPr>
                <w:b/>
              </w:rPr>
              <w:lastRenderedPageBreak/>
              <w:t>0020</w:t>
            </w:r>
          </w:p>
        </w:tc>
        <w:tc>
          <w:tcPr>
            <w:tcW w:w="1170" w:type="dxa"/>
          </w:tcPr>
          <w:p w:rsidR="006B6C77" w:rsidRPr="007C0EF4" w:rsidRDefault="006B6C77" w:rsidP="00F818DE">
            <w:pPr>
              <w:spacing w:before="80" w:after="80"/>
              <w:rPr>
                <w:highlight w:val="green"/>
              </w:rPr>
            </w:pPr>
            <w:r w:rsidRPr="007C0EF4">
              <w:rPr>
                <w:highlight w:val="green"/>
              </w:rPr>
              <w:lastRenderedPageBreak/>
              <w:t>(13)</w:t>
            </w:r>
          </w:p>
        </w:tc>
        <w:tc>
          <w:tcPr>
            <w:tcW w:w="1080" w:type="dxa"/>
          </w:tcPr>
          <w:p w:rsidR="006B6C77" w:rsidRPr="007C0EF4" w:rsidRDefault="006B6C77" w:rsidP="00F818DE">
            <w:pPr>
              <w:spacing w:before="80" w:after="80"/>
              <w:rPr>
                <w:highlight w:val="green"/>
              </w:rPr>
            </w:pPr>
            <w:r w:rsidRPr="007C0EF4">
              <w:rPr>
                <w:highlight w:val="green"/>
              </w:rPr>
              <w:t>(14)(e)</w:t>
            </w:r>
          </w:p>
        </w:tc>
        <w:tc>
          <w:tcPr>
            <w:tcW w:w="5040" w:type="dxa"/>
          </w:tcPr>
          <w:p w:rsidR="006B6C77" w:rsidRDefault="006B6C77" w:rsidP="006B6C77">
            <w:pPr>
              <w:spacing w:before="80" w:after="80"/>
            </w:pPr>
            <w:r>
              <w:t xml:space="preserve">Add provision for owner/operator to submit corrected </w:t>
            </w:r>
            <w:r>
              <w:lastRenderedPageBreak/>
              <w:t>information</w:t>
            </w:r>
          </w:p>
        </w:tc>
        <w:tc>
          <w:tcPr>
            <w:tcW w:w="6390" w:type="dxa"/>
          </w:tcPr>
          <w:p w:rsidR="006B6C77" w:rsidRDefault="006B6C77" w:rsidP="006B6C77">
            <w:pPr>
              <w:spacing w:before="80" w:after="80"/>
            </w:pPr>
            <w:r>
              <w:lastRenderedPageBreak/>
              <w:t xml:space="preserve">DEQ has become aware of instances where material mistakes should have </w:t>
            </w:r>
            <w:r>
              <w:lastRenderedPageBreak/>
              <w:t xml:space="preserve">been pointed out by sources.  This provision will make it a requirement to notify DEQ.  </w:t>
            </w:r>
          </w:p>
        </w:tc>
      </w:tr>
      <w:tr w:rsidR="00194CB0" w:rsidTr="00057B8D">
        <w:tc>
          <w:tcPr>
            <w:tcW w:w="918" w:type="dxa"/>
          </w:tcPr>
          <w:p w:rsidR="00194CB0" w:rsidRDefault="00194CB0" w:rsidP="00F61DCA">
            <w:pPr>
              <w:spacing w:before="80" w:after="80"/>
              <w:rPr>
                <w:b/>
              </w:rPr>
            </w:pPr>
            <w:r>
              <w:rPr>
                <w:b/>
              </w:rPr>
              <w:lastRenderedPageBreak/>
              <w:t>200-0020</w:t>
            </w:r>
          </w:p>
        </w:tc>
        <w:tc>
          <w:tcPr>
            <w:tcW w:w="1170" w:type="dxa"/>
          </w:tcPr>
          <w:p w:rsidR="00194CB0" w:rsidRPr="007C0EF4" w:rsidRDefault="00194CB0" w:rsidP="008E0E79">
            <w:pPr>
              <w:spacing w:before="80" w:after="80"/>
              <w:rPr>
                <w:highlight w:val="green"/>
              </w:rPr>
            </w:pPr>
            <w:r w:rsidRPr="007C0EF4">
              <w:rPr>
                <w:highlight w:val="green"/>
              </w:rPr>
              <w:t>(14)</w:t>
            </w:r>
          </w:p>
        </w:tc>
        <w:tc>
          <w:tcPr>
            <w:tcW w:w="1080" w:type="dxa"/>
          </w:tcPr>
          <w:p w:rsidR="00194CB0" w:rsidRPr="007C0EF4" w:rsidRDefault="006B6C77" w:rsidP="008E0E79">
            <w:pPr>
              <w:spacing w:before="80" w:after="80"/>
              <w:rPr>
                <w:highlight w:val="green"/>
              </w:rPr>
            </w:pPr>
            <w:r w:rsidRPr="007C0EF4">
              <w:rPr>
                <w:highlight w:val="green"/>
              </w:rPr>
              <w:t>(15)</w:t>
            </w:r>
          </w:p>
        </w:tc>
        <w:tc>
          <w:tcPr>
            <w:tcW w:w="5040" w:type="dxa"/>
          </w:tcPr>
          <w:p w:rsidR="00194CB0" w:rsidRPr="007039E7" w:rsidRDefault="00194CB0" w:rsidP="008E0E79">
            <w:pPr>
              <w:spacing w:before="80" w:after="80"/>
            </w:pPr>
            <w:r w:rsidRPr="007039E7">
              <w:t xml:space="preserve">Add baseline period for </w:t>
            </w:r>
            <w:r w:rsidR="00F818DE">
              <w:t xml:space="preserve">PM2.5 and </w:t>
            </w:r>
            <w:r w:rsidRPr="007039E7">
              <w:t>GHG</w:t>
            </w:r>
            <w:r>
              <w:t xml:space="preserve">: 2006 and </w:t>
            </w:r>
            <w:r w:rsidRPr="007D40BD">
              <w:t>2007</w:t>
            </w:r>
            <w:r>
              <w:t xml:space="preserve"> w/2 year look back  </w:t>
            </w:r>
          </w:p>
        </w:tc>
        <w:tc>
          <w:tcPr>
            <w:tcW w:w="6390" w:type="dxa"/>
          </w:tcPr>
          <w:p w:rsidR="00194CB0" w:rsidRPr="007039E7" w:rsidRDefault="00F818DE" w:rsidP="00F818DE">
            <w:pPr>
              <w:spacing w:before="80" w:after="80"/>
            </w:pPr>
            <w:r>
              <w:t>Add provision for newly regulated pollutants, PM2.5 and GHG</w:t>
            </w:r>
          </w:p>
        </w:tc>
      </w:tr>
      <w:tr w:rsidR="00F818DE" w:rsidTr="00057B8D">
        <w:tc>
          <w:tcPr>
            <w:tcW w:w="918" w:type="dxa"/>
          </w:tcPr>
          <w:p w:rsidR="00F818DE" w:rsidRDefault="00F818DE" w:rsidP="00F61DCA">
            <w:pPr>
              <w:spacing w:before="80" w:after="80"/>
              <w:rPr>
                <w:b/>
              </w:rPr>
            </w:pPr>
            <w:r>
              <w:rPr>
                <w:b/>
              </w:rPr>
              <w:t>200-0020</w:t>
            </w:r>
          </w:p>
        </w:tc>
        <w:tc>
          <w:tcPr>
            <w:tcW w:w="1170" w:type="dxa"/>
          </w:tcPr>
          <w:p w:rsidR="00F818DE" w:rsidRPr="007C0EF4" w:rsidRDefault="00F818DE" w:rsidP="008E0E79">
            <w:pPr>
              <w:spacing w:before="80" w:after="80"/>
              <w:rPr>
                <w:highlight w:val="green"/>
              </w:rPr>
            </w:pPr>
            <w:r w:rsidRPr="007C0EF4">
              <w:rPr>
                <w:highlight w:val="green"/>
              </w:rPr>
              <w:t>NA</w:t>
            </w:r>
          </w:p>
        </w:tc>
        <w:tc>
          <w:tcPr>
            <w:tcW w:w="1080" w:type="dxa"/>
          </w:tcPr>
          <w:p w:rsidR="00F818DE" w:rsidRPr="007C0EF4" w:rsidRDefault="00F818DE" w:rsidP="008E0E79">
            <w:pPr>
              <w:spacing w:before="80" w:after="80"/>
              <w:rPr>
                <w:highlight w:val="green"/>
              </w:rPr>
            </w:pPr>
            <w:r w:rsidRPr="007C0EF4">
              <w:rPr>
                <w:highlight w:val="green"/>
              </w:rPr>
              <w:t>(19)</w:t>
            </w:r>
          </w:p>
        </w:tc>
        <w:tc>
          <w:tcPr>
            <w:tcW w:w="5040" w:type="dxa"/>
          </w:tcPr>
          <w:p w:rsidR="00F818DE" w:rsidRDefault="00F818DE" w:rsidP="008E0E79">
            <w:pPr>
              <w:spacing w:before="80" w:after="80"/>
            </w:pPr>
            <w:r>
              <w:t>Add definition of carbon dioxide equivalent</w:t>
            </w:r>
          </w:p>
        </w:tc>
        <w:tc>
          <w:tcPr>
            <w:tcW w:w="6390" w:type="dxa"/>
          </w:tcPr>
          <w:p w:rsidR="00F818DE" w:rsidRDefault="00414E03" w:rsidP="00414E03">
            <w:pPr>
              <w:spacing w:before="80" w:after="80"/>
            </w:pPr>
            <w:r w:rsidRPr="0072122B">
              <w:t>This definition is consistent with EPA’s Tailoring Rules for purposes of Title V and NSR</w:t>
            </w:r>
            <w:r>
              <w:t xml:space="preserve">.  </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194CB0" w:rsidP="008E0E79">
            <w:pPr>
              <w:spacing w:before="80" w:after="80"/>
              <w:rPr>
                <w:highlight w:val="green"/>
              </w:rPr>
            </w:pPr>
            <w:r w:rsidRPr="007C0EF4">
              <w:rPr>
                <w:highlight w:val="green"/>
              </w:rPr>
              <w:t>(18)</w:t>
            </w:r>
          </w:p>
        </w:tc>
        <w:tc>
          <w:tcPr>
            <w:tcW w:w="1080" w:type="dxa"/>
          </w:tcPr>
          <w:p w:rsidR="00194CB0" w:rsidRPr="007C0EF4" w:rsidRDefault="00414E03" w:rsidP="008E0E79">
            <w:pPr>
              <w:spacing w:before="80" w:after="80"/>
              <w:rPr>
                <w:highlight w:val="green"/>
              </w:rPr>
            </w:pPr>
            <w:r w:rsidRPr="007C0EF4">
              <w:rPr>
                <w:highlight w:val="green"/>
              </w:rPr>
              <w:t>(19)</w:t>
            </w:r>
          </w:p>
        </w:tc>
        <w:tc>
          <w:tcPr>
            <w:tcW w:w="5040" w:type="dxa"/>
          </w:tcPr>
          <w:p w:rsidR="00194CB0" w:rsidRDefault="00194CB0" w:rsidP="008E0E79">
            <w:pPr>
              <w:spacing w:before="80" w:after="80"/>
            </w:pPr>
            <w:r>
              <w:t>Replace fuel burning equipment with external combustion devices in the definition lf categorically insignificant activities</w:t>
            </w:r>
          </w:p>
        </w:tc>
        <w:tc>
          <w:tcPr>
            <w:tcW w:w="6390" w:type="dxa"/>
          </w:tcPr>
          <w:p w:rsidR="00194CB0" w:rsidRDefault="00194CB0" w:rsidP="008E0E79">
            <w:pPr>
              <w:spacing w:before="80" w:after="80"/>
            </w:pPr>
            <w:r>
              <w:t xml:space="preserve">The </w:t>
            </w:r>
            <w:r w:rsidRPr="007E40AE">
              <w:t xml:space="preserve">definition of fuel burning equipment </w:t>
            </w:r>
            <w:r>
              <w:t>is being changed to “external combustion device</w:t>
            </w:r>
            <w:r w:rsidRPr="007E40AE">
              <w:t>”</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274ED5" w:rsidP="008E0E79">
            <w:pPr>
              <w:spacing w:before="80" w:after="80"/>
              <w:rPr>
                <w:highlight w:val="green"/>
              </w:rPr>
            </w:pPr>
            <w:r w:rsidRPr="007C0EF4">
              <w:rPr>
                <w:highlight w:val="green"/>
              </w:rPr>
              <w:t>NA</w:t>
            </w:r>
          </w:p>
        </w:tc>
        <w:tc>
          <w:tcPr>
            <w:tcW w:w="1080" w:type="dxa"/>
          </w:tcPr>
          <w:p w:rsidR="00194CB0" w:rsidRPr="007C0EF4" w:rsidRDefault="00274ED5" w:rsidP="008E0E79">
            <w:pPr>
              <w:spacing w:before="80" w:after="80"/>
              <w:rPr>
                <w:highlight w:val="green"/>
              </w:rPr>
            </w:pPr>
            <w:r w:rsidRPr="007C0EF4">
              <w:rPr>
                <w:highlight w:val="green"/>
              </w:rPr>
              <w:t>(24)</w:t>
            </w:r>
          </w:p>
        </w:tc>
        <w:tc>
          <w:tcPr>
            <w:tcW w:w="5040" w:type="dxa"/>
          </w:tcPr>
          <w:p w:rsidR="00194CB0" w:rsidRDefault="00194CB0" w:rsidP="008E0E79">
            <w:pPr>
              <w:spacing w:before="80" w:after="80"/>
            </w:pPr>
            <w:r>
              <w:t xml:space="preserve">Add definition of collection efficiency </w:t>
            </w:r>
          </w:p>
        </w:tc>
        <w:tc>
          <w:tcPr>
            <w:tcW w:w="6390" w:type="dxa"/>
          </w:tcPr>
          <w:p w:rsidR="00194CB0" w:rsidRDefault="00194CB0" w:rsidP="008E0E79">
            <w:pPr>
              <w:spacing w:before="80" w:after="80"/>
            </w:pPr>
            <w:r>
              <w:t>Move from Divisions 236 and 240</w:t>
            </w:r>
          </w:p>
        </w:tc>
      </w:tr>
      <w:tr w:rsidR="00194CB0" w:rsidTr="00057B8D">
        <w:tc>
          <w:tcPr>
            <w:tcW w:w="918" w:type="dxa"/>
          </w:tcPr>
          <w:p w:rsidR="00194CB0" w:rsidRDefault="00194CB0" w:rsidP="003F3264">
            <w:pPr>
              <w:spacing w:before="80" w:after="80"/>
              <w:rPr>
                <w:b/>
              </w:rPr>
            </w:pPr>
            <w:r>
              <w:rPr>
                <w:b/>
              </w:rPr>
              <w:t>200-0020</w:t>
            </w:r>
          </w:p>
        </w:tc>
        <w:tc>
          <w:tcPr>
            <w:tcW w:w="1170" w:type="dxa"/>
          </w:tcPr>
          <w:p w:rsidR="00194CB0" w:rsidRPr="007C0EF4" w:rsidRDefault="00194CB0" w:rsidP="003F3264">
            <w:pPr>
              <w:spacing w:before="80" w:after="80"/>
              <w:rPr>
                <w:highlight w:val="green"/>
              </w:rPr>
            </w:pPr>
            <w:r w:rsidRPr="007C0EF4">
              <w:rPr>
                <w:highlight w:val="green"/>
              </w:rPr>
              <w:t>(31)</w:t>
            </w:r>
          </w:p>
        </w:tc>
        <w:tc>
          <w:tcPr>
            <w:tcW w:w="1080" w:type="dxa"/>
          </w:tcPr>
          <w:p w:rsidR="00194CB0" w:rsidRPr="007C0EF4" w:rsidRDefault="00274ED5" w:rsidP="003F3264">
            <w:pPr>
              <w:spacing w:before="80" w:after="80"/>
              <w:rPr>
                <w:highlight w:val="green"/>
              </w:rPr>
            </w:pPr>
            <w:r w:rsidRPr="007C0EF4">
              <w:rPr>
                <w:highlight w:val="green"/>
              </w:rPr>
              <w:t>(34)</w:t>
            </w:r>
          </w:p>
        </w:tc>
        <w:tc>
          <w:tcPr>
            <w:tcW w:w="5040" w:type="dxa"/>
          </w:tcPr>
          <w:p w:rsidR="00194CB0" w:rsidRPr="00032A03" w:rsidRDefault="00194CB0" w:rsidP="003F3264">
            <w:pPr>
              <w:spacing w:before="80" w:after="80"/>
            </w:pPr>
            <w:r w:rsidRPr="00032A03">
              <w:t xml:space="preserve">Delete the editorial note about the table not being included </w:t>
            </w:r>
            <w:r>
              <w:t>with the rules for de minimis emission levels</w:t>
            </w:r>
          </w:p>
        </w:tc>
        <w:tc>
          <w:tcPr>
            <w:tcW w:w="6390" w:type="dxa"/>
          </w:tcPr>
          <w:p w:rsidR="00194CB0" w:rsidRDefault="00194CB0" w:rsidP="00032A03">
            <w:pPr>
              <w:spacing w:before="80" w:after="80"/>
            </w:pPr>
            <w:r>
              <w:t xml:space="preserve">The Secretary of State will now include links to tables in PDF files </w:t>
            </w:r>
          </w:p>
        </w:tc>
      </w:tr>
      <w:tr w:rsidR="008C3EFD" w:rsidTr="00057B8D">
        <w:tc>
          <w:tcPr>
            <w:tcW w:w="918" w:type="dxa"/>
          </w:tcPr>
          <w:p w:rsidR="008C3EFD" w:rsidRDefault="008C3EFD" w:rsidP="00F61DCA">
            <w:pPr>
              <w:spacing w:before="80" w:after="80"/>
              <w:rPr>
                <w:b/>
              </w:rPr>
            </w:pPr>
            <w:r>
              <w:rPr>
                <w:b/>
              </w:rPr>
              <w:t>200-0020</w:t>
            </w:r>
          </w:p>
        </w:tc>
        <w:tc>
          <w:tcPr>
            <w:tcW w:w="1170" w:type="dxa"/>
          </w:tcPr>
          <w:p w:rsidR="008C3EFD" w:rsidRPr="007C0EF4" w:rsidRDefault="008C3EFD" w:rsidP="008E0E79">
            <w:pPr>
              <w:spacing w:before="80" w:after="80"/>
              <w:rPr>
                <w:highlight w:val="green"/>
              </w:rPr>
            </w:pPr>
            <w:r w:rsidRPr="007C0EF4">
              <w:rPr>
                <w:highlight w:val="green"/>
              </w:rPr>
              <w:t>NA</w:t>
            </w:r>
          </w:p>
        </w:tc>
        <w:tc>
          <w:tcPr>
            <w:tcW w:w="1080" w:type="dxa"/>
          </w:tcPr>
          <w:p w:rsidR="008C3EFD" w:rsidRPr="007C0EF4" w:rsidRDefault="008C3EFD" w:rsidP="008E0E79">
            <w:pPr>
              <w:spacing w:before="80" w:after="80"/>
              <w:rPr>
                <w:highlight w:val="green"/>
              </w:rPr>
            </w:pPr>
            <w:r w:rsidRPr="007C0EF4">
              <w:rPr>
                <w:highlight w:val="green"/>
              </w:rPr>
              <w:t>(37)</w:t>
            </w:r>
          </w:p>
        </w:tc>
        <w:tc>
          <w:tcPr>
            <w:tcW w:w="5040" w:type="dxa"/>
          </w:tcPr>
          <w:p w:rsidR="008C3EFD" w:rsidRDefault="008C3EFD" w:rsidP="008E0E79">
            <w:pPr>
              <w:spacing w:before="80" w:after="80"/>
            </w:pPr>
            <w:r>
              <w:t>Add definition of direct PM2.5</w:t>
            </w:r>
          </w:p>
        </w:tc>
        <w:tc>
          <w:tcPr>
            <w:tcW w:w="6390" w:type="dxa"/>
          </w:tcPr>
          <w:p w:rsidR="008C3EFD" w:rsidRDefault="008C3EFD" w:rsidP="008E0E79">
            <w:pPr>
              <w:spacing w:before="80" w:after="80"/>
            </w:pPr>
            <w:r>
              <w:t xml:space="preserve">This definition is needed because is it used in the definition of PM2.5.  </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194CB0" w:rsidP="008E0E79">
            <w:pPr>
              <w:spacing w:before="80" w:after="80"/>
              <w:rPr>
                <w:highlight w:val="green"/>
              </w:rPr>
            </w:pPr>
            <w:r w:rsidRPr="007C0EF4">
              <w:rPr>
                <w:highlight w:val="green"/>
              </w:rPr>
              <w:t>(41)</w:t>
            </w:r>
          </w:p>
        </w:tc>
        <w:tc>
          <w:tcPr>
            <w:tcW w:w="1080" w:type="dxa"/>
          </w:tcPr>
          <w:p w:rsidR="00194CB0" w:rsidRPr="007C0EF4" w:rsidRDefault="008C3EFD" w:rsidP="008E0E79">
            <w:pPr>
              <w:spacing w:before="80" w:after="80"/>
              <w:rPr>
                <w:highlight w:val="green"/>
              </w:rPr>
            </w:pPr>
            <w:r w:rsidRPr="007C0EF4">
              <w:rPr>
                <w:highlight w:val="green"/>
              </w:rPr>
              <w:t>(44)</w:t>
            </w:r>
          </w:p>
        </w:tc>
        <w:tc>
          <w:tcPr>
            <w:tcW w:w="5040" w:type="dxa"/>
          </w:tcPr>
          <w:p w:rsidR="00194CB0" w:rsidRDefault="00194CB0" w:rsidP="008E0E79">
            <w:pPr>
              <w:spacing w:before="80" w:after="80"/>
            </w:pPr>
            <w:r>
              <w:t>Delete approval of emission factor by EPA or the Department</w:t>
            </w:r>
          </w:p>
        </w:tc>
        <w:tc>
          <w:tcPr>
            <w:tcW w:w="6390" w:type="dxa"/>
          </w:tcPr>
          <w:p w:rsidR="00194CB0" w:rsidRDefault="00194CB0" w:rsidP="008E0E79">
            <w:pPr>
              <w:spacing w:before="80" w:after="80"/>
            </w:pPr>
            <w:r>
              <w:t xml:space="preserve">Discretionary approval should not be allowed.  It should be clear what emission factors are being used to calculate emissions.  They will be included in the plant site emissions detail sheets </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8C3EFD" w:rsidP="008E0E79">
            <w:pPr>
              <w:spacing w:before="80" w:after="80"/>
              <w:rPr>
                <w:highlight w:val="green"/>
              </w:rPr>
            </w:pPr>
            <w:r w:rsidRPr="007C0EF4">
              <w:rPr>
                <w:highlight w:val="green"/>
              </w:rPr>
              <w:t>NA</w:t>
            </w:r>
          </w:p>
        </w:tc>
        <w:tc>
          <w:tcPr>
            <w:tcW w:w="1080" w:type="dxa"/>
          </w:tcPr>
          <w:p w:rsidR="00194CB0" w:rsidRPr="007C0EF4" w:rsidRDefault="008C3EFD" w:rsidP="008E0E79">
            <w:pPr>
              <w:spacing w:before="80" w:after="80"/>
              <w:rPr>
                <w:highlight w:val="green"/>
              </w:rPr>
            </w:pPr>
            <w:r w:rsidRPr="007C0EF4">
              <w:rPr>
                <w:highlight w:val="green"/>
              </w:rPr>
              <w:t>(55)</w:t>
            </w:r>
          </w:p>
        </w:tc>
        <w:tc>
          <w:tcPr>
            <w:tcW w:w="5040" w:type="dxa"/>
          </w:tcPr>
          <w:p w:rsidR="00194CB0" w:rsidRPr="007E40AE" w:rsidRDefault="00194CB0" w:rsidP="008E0E79">
            <w:pPr>
              <w:spacing w:before="80" w:after="80"/>
            </w:pPr>
            <w:r w:rsidRPr="007E40AE">
              <w:t xml:space="preserve">Add definition of external combustion device </w:t>
            </w:r>
          </w:p>
        </w:tc>
        <w:tc>
          <w:tcPr>
            <w:tcW w:w="6390" w:type="dxa"/>
          </w:tcPr>
          <w:p w:rsidR="00194CB0" w:rsidRPr="007E40AE" w:rsidRDefault="00194CB0" w:rsidP="008E0E79">
            <w:pPr>
              <w:spacing w:before="80" w:after="80"/>
            </w:pPr>
            <w:r w:rsidRPr="007E40AE">
              <w:t xml:space="preserve">Change definition of fuel burning equipment to “external combustion device,” delete from Divisions 208, 228, and 240, move to Division 200.  Avoids confusion about indirect heat transfer (e.g., boilers), direct heat transfer (e.g., dryers), and internal combustion devices (e.g., gas turbines).   </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194CB0" w:rsidP="008E0E79">
            <w:pPr>
              <w:spacing w:before="80" w:after="80"/>
              <w:rPr>
                <w:highlight w:val="green"/>
              </w:rPr>
            </w:pPr>
            <w:r w:rsidRPr="007C0EF4">
              <w:rPr>
                <w:highlight w:val="green"/>
              </w:rPr>
              <w:t xml:space="preserve">(53) </w:t>
            </w:r>
          </w:p>
        </w:tc>
        <w:tc>
          <w:tcPr>
            <w:tcW w:w="1080" w:type="dxa"/>
          </w:tcPr>
          <w:p w:rsidR="00194CB0" w:rsidRPr="007C0EF4" w:rsidRDefault="008C3EFD" w:rsidP="008E0E79">
            <w:pPr>
              <w:spacing w:before="80" w:after="80"/>
              <w:rPr>
                <w:highlight w:val="green"/>
              </w:rPr>
            </w:pPr>
            <w:r w:rsidRPr="007C0EF4">
              <w:rPr>
                <w:highlight w:val="green"/>
              </w:rPr>
              <w:t>(57)</w:t>
            </w:r>
          </w:p>
        </w:tc>
        <w:tc>
          <w:tcPr>
            <w:tcW w:w="5040" w:type="dxa"/>
          </w:tcPr>
          <w:p w:rsidR="00194CB0" w:rsidRPr="007039E7" w:rsidRDefault="00194CB0" w:rsidP="008E0E79">
            <w:pPr>
              <w:spacing w:before="80" w:after="80"/>
            </w:pPr>
            <w:r>
              <w:t>Add GHG threshold of 100,000 tons per year to definition of Federal Major Source</w:t>
            </w:r>
          </w:p>
        </w:tc>
        <w:tc>
          <w:tcPr>
            <w:tcW w:w="6390" w:type="dxa"/>
          </w:tcPr>
          <w:p w:rsidR="00194CB0" w:rsidRPr="007039E7" w:rsidRDefault="00194CB0" w:rsidP="008E0E79">
            <w:pPr>
              <w:spacing w:before="80" w:after="80"/>
            </w:pPr>
            <w:r>
              <w:t xml:space="preserve">The GHG threshold is based on EPA’s rule.  </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194CB0" w:rsidP="008E0E79">
            <w:pPr>
              <w:spacing w:before="80" w:after="80"/>
              <w:rPr>
                <w:highlight w:val="green"/>
              </w:rPr>
            </w:pPr>
            <w:r w:rsidRPr="007C0EF4">
              <w:rPr>
                <w:highlight w:val="green"/>
              </w:rPr>
              <w:t xml:space="preserve">(53) </w:t>
            </w:r>
          </w:p>
        </w:tc>
        <w:tc>
          <w:tcPr>
            <w:tcW w:w="1080" w:type="dxa"/>
          </w:tcPr>
          <w:p w:rsidR="00194CB0" w:rsidRPr="007C0EF4" w:rsidRDefault="008C3EFD" w:rsidP="008E0E79">
            <w:pPr>
              <w:spacing w:before="80" w:after="80"/>
              <w:rPr>
                <w:highlight w:val="green"/>
              </w:rPr>
            </w:pPr>
            <w:r w:rsidRPr="007C0EF4">
              <w:rPr>
                <w:highlight w:val="green"/>
              </w:rPr>
              <w:t>(57)</w:t>
            </w:r>
          </w:p>
        </w:tc>
        <w:tc>
          <w:tcPr>
            <w:tcW w:w="5040" w:type="dxa"/>
          </w:tcPr>
          <w:p w:rsidR="00194CB0" w:rsidRPr="00567FDF" w:rsidRDefault="00194CB0" w:rsidP="008E0E79">
            <w:pPr>
              <w:spacing w:before="80" w:after="80"/>
            </w:pPr>
            <w:r w:rsidRPr="00567FDF">
              <w:t>Include fugitive emissions in the definition of major modification</w:t>
            </w:r>
          </w:p>
        </w:tc>
        <w:tc>
          <w:tcPr>
            <w:tcW w:w="6390" w:type="dxa"/>
          </w:tcPr>
          <w:p w:rsidR="00194CB0" w:rsidRPr="00567FDF" w:rsidRDefault="00194CB0" w:rsidP="008E0E79">
            <w:pPr>
              <w:spacing w:before="80" w:after="80"/>
            </w:pPr>
            <w:r w:rsidRPr="00567FDF">
              <w:t>Clarify that fugitive emissions should be included in the major new source review applicability</w:t>
            </w:r>
          </w:p>
        </w:tc>
      </w:tr>
      <w:tr w:rsidR="00194CB0" w:rsidTr="00057B8D">
        <w:tc>
          <w:tcPr>
            <w:tcW w:w="918" w:type="dxa"/>
          </w:tcPr>
          <w:p w:rsidR="00194CB0" w:rsidRDefault="00194CB0" w:rsidP="003F3264">
            <w:pPr>
              <w:spacing w:before="80" w:after="80"/>
              <w:rPr>
                <w:b/>
              </w:rPr>
            </w:pPr>
            <w:r>
              <w:rPr>
                <w:b/>
              </w:rPr>
              <w:t>200-0020</w:t>
            </w:r>
          </w:p>
        </w:tc>
        <w:tc>
          <w:tcPr>
            <w:tcW w:w="1170" w:type="dxa"/>
          </w:tcPr>
          <w:p w:rsidR="00194CB0" w:rsidRPr="007C0EF4" w:rsidRDefault="00194CB0" w:rsidP="003F3264">
            <w:pPr>
              <w:spacing w:before="80" w:after="80"/>
              <w:rPr>
                <w:highlight w:val="green"/>
              </w:rPr>
            </w:pPr>
            <w:r w:rsidRPr="007C0EF4">
              <w:rPr>
                <w:highlight w:val="green"/>
              </w:rPr>
              <w:t>(57)</w:t>
            </w:r>
          </w:p>
        </w:tc>
        <w:tc>
          <w:tcPr>
            <w:tcW w:w="1080" w:type="dxa"/>
          </w:tcPr>
          <w:p w:rsidR="00194CB0" w:rsidRPr="007C0EF4" w:rsidRDefault="008C3EFD" w:rsidP="003F3264">
            <w:pPr>
              <w:spacing w:before="80" w:after="80"/>
              <w:rPr>
                <w:highlight w:val="green"/>
              </w:rPr>
            </w:pPr>
            <w:r w:rsidRPr="007C0EF4">
              <w:rPr>
                <w:highlight w:val="green"/>
              </w:rPr>
              <w:t>(61)</w:t>
            </w:r>
          </w:p>
        </w:tc>
        <w:tc>
          <w:tcPr>
            <w:tcW w:w="5040" w:type="dxa"/>
          </w:tcPr>
          <w:p w:rsidR="00194CB0" w:rsidRPr="00032A03" w:rsidRDefault="00194CB0" w:rsidP="003F3264">
            <w:pPr>
              <w:spacing w:before="80" w:after="80"/>
            </w:pPr>
            <w:r w:rsidRPr="00032A03">
              <w:t xml:space="preserve">Delete the editorial note about the table not being included </w:t>
            </w:r>
            <w:r>
              <w:t>with the rules for generic PSELs</w:t>
            </w:r>
          </w:p>
        </w:tc>
        <w:tc>
          <w:tcPr>
            <w:tcW w:w="6390" w:type="dxa"/>
          </w:tcPr>
          <w:p w:rsidR="00194CB0" w:rsidRDefault="00194CB0" w:rsidP="003F3264">
            <w:pPr>
              <w:spacing w:before="80" w:after="80"/>
            </w:pPr>
            <w:r>
              <w:t xml:space="preserve">The Secretary of State will now include links to tables in PDF files </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8C3EFD" w:rsidP="00057B8D">
            <w:pPr>
              <w:spacing w:before="80" w:after="80"/>
              <w:rPr>
                <w:highlight w:val="green"/>
              </w:rPr>
            </w:pPr>
            <w:r w:rsidRPr="007C0EF4">
              <w:rPr>
                <w:highlight w:val="green"/>
              </w:rPr>
              <w:t>NA</w:t>
            </w:r>
            <w:r w:rsidR="00194CB0" w:rsidRPr="007C0EF4">
              <w:rPr>
                <w:highlight w:val="green"/>
              </w:rPr>
              <w:t xml:space="preserve"> </w:t>
            </w:r>
          </w:p>
        </w:tc>
        <w:tc>
          <w:tcPr>
            <w:tcW w:w="1080" w:type="dxa"/>
          </w:tcPr>
          <w:p w:rsidR="00194CB0" w:rsidRPr="007C0EF4" w:rsidRDefault="008C3EFD" w:rsidP="008E0E79">
            <w:pPr>
              <w:spacing w:before="80" w:after="80"/>
              <w:rPr>
                <w:highlight w:val="green"/>
              </w:rPr>
            </w:pPr>
            <w:r w:rsidRPr="007C0EF4">
              <w:rPr>
                <w:highlight w:val="green"/>
              </w:rPr>
              <w:t>(62)</w:t>
            </w:r>
          </w:p>
        </w:tc>
        <w:tc>
          <w:tcPr>
            <w:tcW w:w="5040" w:type="dxa"/>
          </w:tcPr>
          <w:p w:rsidR="00194CB0" w:rsidRPr="00FE0C87" w:rsidRDefault="00194CB0" w:rsidP="008E0E79">
            <w:pPr>
              <w:autoSpaceDE w:val="0"/>
              <w:autoSpaceDN w:val="0"/>
              <w:adjustRightInd w:val="0"/>
              <w:spacing w:before="80" w:after="80"/>
              <w:rPr>
                <w:sz w:val="22"/>
                <w:szCs w:val="22"/>
              </w:rPr>
            </w:pPr>
            <w:r>
              <w:t>Add definition g</w:t>
            </w:r>
            <w:r w:rsidRPr="00E11A62">
              <w:rPr>
                <w:sz w:val="22"/>
                <w:szCs w:val="22"/>
              </w:rPr>
              <w:t xml:space="preserve">reenhouse </w:t>
            </w:r>
            <w:r>
              <w:rPr>
                <w:sz w:val="22"/>
                <w:szCs w:val="22"/>
              </w:rPr>
              <w:t>g</w:t>
            </w:r>
            <w:r w:rsidRPr="00E11A62">
              <w:rPr>
                <w:sz w:val="22"/>
                <w:szCs w:val="22"/>
              </w:rPr>
              <w:t>ases (GHGs</w:t>
            </w:r>
            <w:r>
              <w:rPr>
                <w:sz w:val="22"/>
                <w:szCs w:val="22"/>
              </w:rPr>
              <w:t>)</w:t>
            </w:r>
          </w:p>
        </w:tc>
        <w:tc>
          <w:tcPr>
            <w:tcW w:w="6390" w:type="dxa"/>
          </w:tcPr>
          <w:p w:rsidR="00194CB0" w:rsidRPr="005D7E9D" w:rsidRDefault="00194CB0" w:rsidP="008E0E79">
            <w:pPr>
              <w:spacing w:before="80" w:after="80"/>
            </w:pPr>
            <w:r>
              <w:t xml:space="preserve">This definition is consistent with EPA’s Tailoring Rules for purposes of Title V and NSR.  </w:t>
            </w:r>
          </w:p>
        </w:tc>
      </w:tr>
      <w:tr w:rsidR="00194CB0" w:rsidTr="00057B8D">
        <w:tc>
          <w:tcPr>
            <w:tcW w:w="918" w:type="dxa"/>
          </w:tcPr>
          <w:p w:rsidR="00194CB0" w:rsidRDefault="00194CB0" w:rsidP="00F61DCA">
            <w:pPr>
              <w:spacing w:before="80" w:after="80"/>
              <w:rPr>
                <w:b/>
              </w:rPr>
            </w:pPr>
            <w:r>
              <w:rPr>
                <w:b/>
              </w:rPr>
              <w:lastRenderedPageBreak/>
              <w:t>200-0020</w:t>
            </w:r>
          </w:p>
        </w:tc>
        <w:tc>
          <w:tcPr>
            <w:tcW w:w="1170" w:type="dxa"/>
          </w:tcPr>
          <w:p w:rsidR="00194CB0" w:rsidRPr="007C0EF4" w:rsidRDefault="0048350B" w:rsidP="008E0E79">
            <w:pPr>
              <w:spacing w:before="80" w:after="80"/>
              <w:rPr>
                <w:highlight w:val="green"/>
              </w:rPr>
            </w:pPr>
            <w:r w:rsidRPr="007C0EF4">
              <w:rPr>
                <w:highlight w:val="green"/>
              </w:rPr>
              <w:t>NA</w:t>
            </w:r>
          </w:p>
        </w:tc>
        <w:tc>
          <w:tcPr>
            <w:tcW w:w="1080" w:type="dxa"/>
          </w:tcPr>
          <w:p w:rsidR="00194CB0" w:rsidRPr="007C0EF4" w:rsidRDefault="0048350B" w:rsidP="008E0E79">
            <w:pPr>
              <w:spacing w:before="80" w:after="80"/>
              <w:rPr>
                <w:highlight w:val="green"/>
              </w:rPr>
            </w:pPr>
            <w:r w:rsidRPr="007C0EF4">
              <w:rPr>
                <w:highlight w:val="green"/>
              </w:rPr>
              <w:t>(64)</w:t>
            </w:r>
          </w:p>
        </w:tc>
        <w:tc>
          <w:tcPr>
            <w:tcW w:w="5040" w:type="dxa"/>
          </w:tcPr>
          <w:p w:rsidR="00194CB0" w:rsidRDefault="00194CB0" w:rsidP="008E0E79">
            <w:pPr>
              <w:spacing w:before="80" w:after="80"/>
            </w:pPr>
            <w:r>
              <w:t xml:space="preserve">Add definition of hardboard </w:t>
            </w:r>
          </w:p>
        </w:tc>
        <w:tc>
          <w:tcPr>
            <w:tcW w:w="6390" w:type="dxa"/>
          </w:tcPr>
          <w:p w:rsidR="00194CB0" w:rsidRPr="008923DE" w:rsidRDefault="00194CB0" w:rsidP="008E0E79">
            <w:pPr>
              <w:spacing w:before="80" w:after="80"/>
            </w:pPr>
            <w:r>
              <w:t>Move from Divisions 232, 234, and 240</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48350B" w:rsidP="008E0E79">
            <w:pPr>
              <w:spacing w:before="80" w:after="80"/>
              <w:rPr>
                <w:highlight w:val="green"/>
              </w:rPr>
            </w:pPr>
            <w:r w:rsidRPr="007C0EF4">
              <w:rPr>
                <w:highlight w:val="green"/>
              </w:rPr>
              <w:t>(65</w:t>
            </w:r>
            <w:r w:rsidR="00194CB0" w:rsidRPr="007C0EF4">
              <w:rPr>
                <w:highlight w:val="green"/>
              </w:rPr>
              <w:t>)</w:t>
            </w:r>
          </w:p>
        </w:tc>
        <w:tc>
          <w:tcPr>
            <w:tcW w:w="1080" w:type="dxa"/>
          </w:tcPr>
          <w:p w:rsidR="00194CB0" w:rsidRPr="007C0EF4" w:rsidRDefault="0048350B" w:rsidP="008E0E79">
            <w:pPr>
              <w:spacing w:before="80" w:after="80"/>
              <w:rPr>
                <w:highlight w:val="green"/>
              </w:rPr>
            </w:pPr>
            <w:r w:rsidRPr="007C0EF4">
              <w:rPr>
                <w:highlight w:val="green"/>
              </w:rPr>
              <w:t>(71)</w:t>
            </w:r>
          </w:p>
        </w:tc>
        <w:tc>
          <w:tcPr>
            <w:tcW w:w="5040" w:type="dxa"/>
          </w:tcPr>
          <w:p w:rsidR="00194CB0" w:rsidRDefault="00194CB0" w:rsidP="008E0E79">
            <w:pPr>
              <w:spacing w:before="80" w:after="80"/>
            </w:pPr>
            <w:r>
              <w:t>Definition of maintenance area different from Division 204</w:t>
            </w:r>
          </w:p>
        </w:tc>
        <w:tc>
          <w:tcPr>
            <w:tcW w:w="6390" w:type="dxa"/>
          </w:tcPr>
          <w:p w:rsidR="00194CB0" w:rsidRPr="008923DE" w:rsidRDefault="00194CB0" w:rsidP="008E0E79">
            <w:pPr>
              <w:spacing w:before="80" w:after="80"/>
            </w:pPr>
            <w:r>
              <w:t>Use Division 204 definition</w:t>
            </w:r>
          </w:p>
        </w:tc>
      </w:tr>
      <w:tr w:rsidR="00194CB0" w:rsidTr="00057B8D">
        <w:tc>
          <w:tcPr>
            <w:tcW w:w="918" w:type="dxa"/>
          </w:tcPr>
          <w:p w:rsidR="00194CB0" w:rsidRDefault="00194CB0" w:rsidP="00F61DCA">
            <w:pPr>
              <w:spacing w:before="80" w:after="80"/>
              <w:rPr>
                <w:b/>
              </w:rPr>
            </w:pPr>
            <w:r>
              <w:rPr>
                <w:b/>
              </w:rPr>
              <w:t>200-0020</w:t>
            </w:r>
          </w:p>
        </w:tc>
        <w:tc>
          <w:tcPr>
            <w:tcW w:w="1170" w:type="dxa"/>
          </w:tcPr>
          <w:p w:rsidR="00194CB0" w:rsidRPr="007C0EF4" w:rsidRDefault="00194CB0" w:rsidP="0048350B">
            <w:pPr>
              <w:spacing w:before="80" w:after="80"/>
              <w:rPr>
                <w:highlight w:val="green"/>
              </w:rPr>
            </w:pPr>
            <w:r w:rsidRPr="007C0EF4">
              <w:rPr>
                <w:highlight w:val="green"/>
              </w:rPr>
              <w:t>(67)</w:t>
            </w:r>
          </w:p>
        </w:tc>
        <w:tc>
          <w:tcPr>
            <w:tcW w:w="1080" w:type="dxa"/>
          </w:tcPr>
          <w:p w:rsidR="00194CB0" w:rsidRPr="007C0EF4" w:rsidRDefault="0048350B" w:rsidP="008E0E79">
            <w:pPr>
              <w:spacing w:before="80" w:after="80"/>
              <w:rPr>
                <w:highlight w:val="green"/>
              </w:rPr>
            </w:pPr>
            <w:r w:rsidRPr="007C0EF4">
              <w:rPr>
                <w:highlight w:val="green"/>
              </w:rPr>
              <w:t>(73)</w:t>
            </w:r>
          </w:p>
        </w:tc>
        <w:tc>
          <w:tcPr>
            <w:tcW w:w="5040" w:type="dxa"/>
          </w:tcPr>
          <w:p w:rsidR="00194CB0" w:rsidRDefault="00194CB0" w:rsidP="008E0E79">
            <w:pPr>
              <w:spacing w:before="80" w:after="80"/>
            </w:pPr>
            <w:r w:rsidRPr="001419B7">
              <w:t>Reword definition</w:t>
            </w:r>
            <w:r w:rsidR="0048350B">
              <w:t xml:space="preserve"> of major modification</w:t>
            </w:r>
          </w:p>
        </w:tc>
        <w:tc>
          <w:tcPr>
            <w:tcW w:w="6390" w:type="dxa"/>
          </w:tcPr>
          <w:p w:rsidR="00194CB0" w:rsidRPr="001419B7" w:rsidRDefault="00194CB0" w:rsidP="001419B7">
            <w:pPr>
              <w:spacing w:before="80" w:after="80"/>
            </w:pPr>
            <w:r w:rsidRPr="001419B7">
              <w:t>This clarifies the definition and is consistent with EPA rules.</w:t>
            </w:r>
          </w:p>
        </w:tc>
      </w:tr>
      <w:tr w:rsidR="0048350B" w:rsidTr="002B3CF0">
        <w:tc>
          <w:tcPr>
            <w:tcW w:w="918" w:type="dxa"/>
          </w:tcPr>
          <w:p w:rsidR="0048350B" w:rsidRDefault="0048350B" w:rsidP="002B3CF0">
            <w:pPr>
              <w:spacing w:before="80" w:after="80"/>
              <w:rPr>
                <w:b/>
              </w:rPr>
            </w:pPr>
            <w:r>
              <w:rPr>
                <w:b/>
              </w:rPr>
              <w:t>200-0020</w:t>
            </w:r>
          </w:p>
        </w:tc>
        <w:tc>
          <w:tcPr>
            <w:tcW w:w="1170" w:type="dxa"/>
          </w:tcPr>
          <w:p w:rsidR="0048350B" w:rsidRPr="007C0EF4" w:rsidRDefault="0048350B" w:rsidP="002B3CF0">
            <w:pPr>
              <w:spacing w:before="80" w:after="80"/>
              <w:rPr>
                <w:highlight w:val="green"/>
              </w:rPr>
            </w:pPr>
            <w:r w:rsidRPr="007C0EF4">
              <w:rPr>
                <w:highlight w:val="green"/>
              </w:rPr>
              <w:t>(67)(a)</w:t>
            </w:r>
          </w:p>
        </w:tc>
        <w:tc>
          <w:tcPr>
            <w:tcW w:w="1080" w:type="dxa"/>
          </w:tcPr>
          <w:p w:rsidR="0048350B" w:rsidRPr="007C0EF4" w:rsidRDefault="0048350B" w:rsidP="002B3CF0">
            <w:pPr>
              <w:spacing w:before="80" w:after="80"/>
              <w:rPr>
                <w:highlight w:val="green"/>
              </w:rPr>
            </w:pPr>
            <w:r w:rsidRPr="007C0EF4">
              <w:rPr>
                <w:highlight w:val="green"/>
              </w:rPr>
              <w:t>(73)</w:t>
            </w:r>
            <w:r w:rsidR="00F34D70" w:rsidRPr="007C0EF4">
              <w:rPr>
                <w:highlight w:val="green"/>
              </w:rPr>
              <w:t>(a)</w:t>
            </w:r>
          </w:p>
        </w:tc>
        <w:tc>
          <w:tcPr>
            <w:tcW w:w="5040" w:type="dxa"/>
          </w:tcPr>
          <w:p w:rsidR="0048350B" w:rsidRDefault="0048350B" w:rsidP="002B3CF0">
            <w:pPr>
              <w:spacing w:before="80" w:after="80"/>
            </w:pPr>
            <w:r>
              <w:t>Clarify that major modification is triggered if the PSEL exceeds the netting basis</w:t>
            </w:r>
          </w:p>
        </w:tc>
        <w:tc>
          <w:tcPr>
            <w:tcW w:w="6390" w:type="dxa"/>
          </w:tcPr>
          <w:p w:rsidR="0048350B" w:rsidRPr="001419B7" w:rsidRDefault="0048350B" w:rsidP="0048350B">
            <w:pPr>
              <w:spacing w:before="80" w:after="80"/>
            </w:pPr>
            <w:r w:rsidRPr="001419B7">
              <w:t xml:space="preserve">This clarifies the definition and is consistent with </w:t>
            </w:r>
            <w:r>
              <w:t xml:space="preserve">past implementation of the rules. </w:t>
            </w:r>
          </w:p>
        </w:tc>
      </w:tr>
      <w:tr w:rsidR="002B3CF0" w:rsidTr="002B3CF0">
        <w:tc>
          <w:tcPr>
            <w:tcW w:w="918" w:type="dxa"/>
          </w:tcPr>
          <w:p w:rsidR="002B3CF0" w:rsidRDefault="002B3CF0" w:rsidP="002B3CF0">
            <w:pPr>
              <w:spacing w:before="80" w:after="80"/>
              <w:rPr>
                <w:b/>
              </w:rPr>
            </w:pPr>
            <w:r>
              <w:rPr>
                <w:b/>
              </w:rPr>
              <w:t>200-0020</w:t>
            </w:r>
          </w:p>
        </w:tc>
        <w:tc>
          <w:tcPr>
            <w:tcW w:w="1170" w:type="dxa"/>
          </w:tcPr>
          <w:p w:rsidR="002B3CF0" w:rsidRPr="007C0EF4" w:rsidRDefault="00F34D70" w:rsidP="002B3CF0">
            <w:pPr>
              <w:spacing w:before="80" w:after="80"/>
              <w:rPr>
                <w:highlight w:val="green"/>
              </w:rPr>
            </w:pPr>
            <w:r w:rsidRPr="007C0EF4">
              <w:rPr>
                <w:highlight w:val="green"/>
              </w:rPr>
              <w:t>NA</w:t>
            </w:r>
            <w:r w:rsidR="002B3CF0" w:rsidRPr="007C0EF4">
              <w:rPr>
                <w:highlight w:val="green"/>
              </w:rPr>
              <w:t xml:space="preserve"> </w:t>
            </w:r>
          </w:p>
        </w:tc>
        <w:tc>
          <w:tcPr>
            <w:tcW w:w="1080" w:type="dxa"/>
          </w:tcPr>
          <w:p w:rsidR="002B3CF0" w:rsidRPr="007C0EF4" w:rsidRDefault="00F34D70" w:rsidP="002B3CF0">
            <w:pPr>
              <w:spacing w:before="80" w:after="80"/>
              <w:rPr>
                <w:highlight w:val="green"/>
              </w:rPr>
            </w:pPr>
            <w:r w:rsidRPr="007C0EF4">
              <w:rPr>
                <w:highlight w:val="green"/>
              </w:rPr>
              <w:t>(73)(a</w:t>
            </w:r>
            <w:r w:rsidR="002B3CF0" w:rsidRPr="007C0EF4">
              <w:rPr>
                <w:highlight w:val="green"/>
              </w:rPr>
              <w:t>)</w:t>
            </w:r>
            <w:r w:rsidRPr="007C0EF4">
              <w:rPr>
                <w:highlight w:val="green"/>
              </w:rPr>
              <w:t>(A)</w:t>
            </w:r>
          </w:p>
        </w:tc>
        <w:tc>
          <w:tcPr>
            <w:tcW w:w="5040" w:type="dxa"/>
          </w:tcPr>
          <w:p w:rsidR="002B3CF0" w:rsidRPr="00C37F73" w:rsidRDefault="002B3CF0" w:rsidP="002B3CF0">
            <w:pPr>
              <w:spacing w:before="80" w:after="80"/>
            </w:pPr>
            <w:r>
              <w:t>A</w:t>
            </w:r>
            <w:r w:rsidRPr="00C37F73">
              <w:t>dd ozone precursor provisions</w:t>
            </w:r>
            <w:r>
              <w:t xml:space="preserve"> to definition of major modification</w:t>
            </w:r>
          </w:p>
        </w:tc>
        <w:tc>
          <w:tcPr>
            <w:tcW w:w="6390" w:type="dxa"/>
          </w:tcPr>
          <w:p w:rsidR="002B3CF0" w:rsidRPr="00C37F73" w:rsidRDefault="002B3CF0" w:rsidP="002B3CF0">
            <w:pPr>
              <w:spacing w:before="80" w:after="80"/>
            </w:pPr>
            <w:r>
              <w:t>This provision was unintentionally omitted in previous rulemakings.</w:t>
            </w:r>
          </w:p>
        </w:tc>
      </w:tr>
      <w:tr w:rsidR="00F34D70" w:rsidTr="002B3CF0">
        <w:tc>
          <w:tcPr>
            <w:tcW w:w="918" w:type="dxa"/>
          </w:tcPr>
          <w:p w:rsidR="00F34D70" w:rsidRPr="00F34D70" w:rsidRDefault="00F34D70" w:rsidP="002B3CF0">
            <w:pPr>
              <w:spacing w:before="80" w:after="80"/>
              <w:rPr>
                <w:b/>
              </w:rPr>
            </w:pPr>
            <w:r w:rsidRPr="00F34D70">
              <w:rPr>
                <w:b/>
              </w:rPr>
              <w:t>200-0020</w:t>
            </w:r>
          </w:p>
        </w:tc>
        <w:tc>
          <w:tcPr>
            <w:tcW w:w="1170" w:type="dxa"/>
          </w:tcPr>
          <w:p w:rsidR="00F34D70" w:rsidRPr="007C0EF4" w:rsidRDefault="00F34D70" w:rsidP="002B3CF0">
            <w:pPr>
              <w:spacing w:before="80" w:after="80"/>
              <w:rPr>
                <w:highlight w:val="green"/>
              </w:rPr>
            </w:pPr>
            <w:r w:rsidRPr="007C0EF4">
              <w:rPr>
                <w:highlight w:val="green"/>
              </w:rPr>
              <w:t>NA</w:t>
            </w:r>
          </w:p>
        </w:tc>
        <w:tc>
          <w:tcPr>
            <w:tcW w:w="1080" w:type="dxa"/>
          </w:tcPr>
          <w:p w:rsidR="00F34D70" w:rsidRPr="007C0EF4" w:rsidRDefault="00F34D70" w:rsidP="003713F2">
            <w:pPr>
              <w:spacing w:before="80" w:after="80"/>
              <w:rPr>
                <w:highlight w:val="green"/>
              </w:rPr>
            </w:pPr>
            <w:r w:rsidRPr="007C0EF4">
              <w:rPr>
                <w:highlight w:val="green"/>
              </w:rPr>
              <w:t>(73)(a)(B)</w:t>
            </w:r>
          </w:p>
        </w:tc>
        <w:tc>
          <w:tcPr>
            <w:tcW w:w="5040" w:type="dxa"/>
          </w:tcPr>
          <w:p w:rsidR="00F34D70" w:rsidRPr="00C37F73" w:rsidRDefault="00F34D70" w:rsidP="002B3CF0">
            <w:pPr>
              <w:spacing w:before="80" w:after="80"/>
            </w:pPr>
            <w:r>
              <w:t>A</w:t>
            </w:r>
            <w:r w:rsidRPr="00C37F73">
              <w:t xml:space="preserve">dd </w:t>
            </w:r>
            <w:r>
              <w:t xml:space="preserve">PM2.5 </w:t>
            </w:r>
            <w:r w:rsidRPr="00C37F73">
              <w:t>precursor provisions</w:t>
            </w:r>
            <w:r>
              <w:t xml:space="preserve"> to definition of major modification</w:t>
            </w:r>
          </w:p>
        </w:tc>
        <w:tc>
          <w:tcPr>
            <w:tcW w:w="6390" w:type="dxa"/>
          </w:tcPr>
          <w:p w:rsidR="00F34D70" w:rsidRPr="00C37F73" w:rsidRDefault="00F34D70" w:rsidP="002B3CF0">
            <w:pPr>
              <w:spacing w:before="80" w:after="80"/>
            </w:pPr>
            <w:r>
              <w:t>PM2.5 precursors can also define a major source</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F34D70" w:rsidP="008E0E79">
            <w:pPr>
              <w:spacing w:before="80" w:after="80"/>
              <w:rPr>
                <w:highlight w:val="green"/>
              </w:rPr>
            </w:pPr>
            <w:r w:rsidRPr="007C0EF4">
              <w:rPr>
                <w:highlight w:val="green"/>
              </w:rPr>
              <w:t xml:space="preserve">(67)(b)(A) </w:t>
            </w:r>
          </w:p>
        </w:tc>
        <w:tc>
          <w:tcPr>
            <w:tcW w:w="1080" w:type="dxa"/>
          </w:tcPr>
          <w:p w:rsidR="00F34D70" w:rsidRPr="007C0EF4" w:rsidRDefault="00F34D70" w:rsidP="008E0E79">
            <w:pPr>
              <w:spacing w:before="80" w:after="80"/>
              <w:rPr>
                <w:highlight w:val="green"/>
              </w:rPr>
            </w:pPr>
            <w:r w:rsidRPr="007C0EF4">
              <w:rPr>
                <w:highlight w:val="green"/>
              </w:rPr>
              <w:t>(73)(b)(A)</w:t>
            </w:r>
          </w:p>
        </w:tc>
        <w:tc>
          <w:tcPr>
            <w:tcW w:w="5040" w:type="dxa"/>
          </w:tcPr>
          <w:p w:rsidR="00F34D70" w:rsidRPr="00567FDF" w:rsidRDefault="00F34D70" w:rsidP="008E0E79">
            <w:pPr>
              <w:spacing w:before="80" w:after="80"/>
            </w:pPr>
            <w:r w:rsidRPr="00567FDF">
              <w:t>Include fugitive emissions in the definition of major modification</w:t>
            </w:r>
          </w:p>
        </w:tc>
        <w:tc>
          <w:tcPr>
            <w:tcW w:w="6390" w:type="dxa"/>
          </w:tcPr>
          <w:p w:rsidR="00F34D70" w:rsidRPr="00567FDF" w:rsidRDefault="00F34D70" w:rsidP="008E0E79">
            <w:pPr>
              <w:spacing w:before="80" w:after="80"/>
            </w:pPr>
            <w:r w:rsidRPr="00567FDF">
              <w:t>Clarify that fugitive emissions should be included in the major new source review applicability</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F34D70" w:rsidP="008E0E79">
            <w:pPr>
              <w:spacing w:before="80" w:after="80"/>
              <w:rPr>
                <w:highlight w:val="green"/>
              </w:rPr>
            </w:pPr>
            <w:r w:rsidRPr="007C0EF4">
              <w:rPr>
                <w:highlight w:val="green"/>
              </w:rPr>
              <w:t xml:space="preserve">(67)(c) </w:t>
            </w:r>
          </w:p>
        </w:tc>
        <w:tc>
          <w:tcPr>
            <w:tcW w:w="1080" w:type="dxa"/>
          </w:tcPr>
          <w:p w:rsidR="00F34D70" w:rsidRPr="007C0EF4" w:rsidRDefault="00F34D70" w:rsidP="008E0E79">
            <w:pPr>
              <w:spacing w:before="80" w:after="80"/>
              <w:rPr>
                <w:highlight w:val="green"/>
              </w:rPr>
            </w:pPr>
            <w:r w:rsidRPr="007C0EF4">
              <w:rPr>
                <w:highlight w:val="green"/>
              </w:rPr>
              <w:t>(73)(c)</w:t>
            </w:r>
          </w:p>
        </w:tc>
        <w:tc>
          <w:tcPr>
            <w:tcW w:w="5040" w:type="dxa"/>
          </w:tcPr>
          <w:p w:rsidR="00F34D70" w:rsidRDefault="00F34D70" w:rsidP="008E0E79">
            <w:pPr>
              <w:spacing w:before="80" w:after="80"/>
            </w:pPr>
            <w:r>
              <w:t xml:space="preserve">Delete subsection (c) and replace with new language </w:t>
            </w:r>
          </w:p>
        </w:tc>
        <w:tc>
          <w:tcPr>
            <w:tcW w:w="6390" w:type="dxa"/>
          </w:tcPr>
          <w:p w:rsidR="00F34D70" w:rsidRDefault="00F34D70" w:rsidP="008E0E79">
            <w:pPr>
              <w:spacing w:before="80" w:after="80"/>
            </w:pPr>
            <w:r>
              <w:t xml:space="preserve">Subsection (c) was not clear about when sources would trigger NSR with only a 1 ton/year increase.  The new subsection (c) specifies the triggers and matches the intent and past interpretation of the rule.  </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F34D70" w:rsidP="008E0E79">
            <w:pPr>
              <w:spacing w:before="80" w:after="80"/>
              <w:rPr>
                <w:highlight w:val="green"/>
              </w:rPr>
            </w:pPr>
            <w:r w:rsidRPr="007C0EF4">
              <w:rPr>
                <w:highlight w:val="green"/>
              </w:rPr>
              <w:t>(67)(d)(B)</w:t>
            </w:r>
          </w:p>
        </w:tc>
        <w:tc>
          <w:tcPr>
            <w:tcW w:w="1080" w:type="dxa"/>
          </w:tcPr>
          <w:p w:rsidR="00F34D70" w:rsidRPr="007C0EF4" w:rsidRDefault="00F34D70" w:rsidP="008E0E79">
            <w:pPr>
              <w:spacing w:before="80" w:after="80"/>
              <w:rPr>
                <w:highlight w:val="green"/>
              </w:rPr>
            </w:pPr>
            <w:r w:rsidRPr="007C0EF4">
              <w:rPr>
                <w:highlight w:val="green"/>
              </w:rPr>
              <w:t>(73)(d)(B)</w:t>
            </w:r>
          </w:p>
        </w:tc>
        <w:tc>
          <w:tcPr>
            <w:tcW w:w="5040" w:type="dxa"/>
          </w:tcPr>
          <w:p w:rsidR="00F34D70" w:rsidRDefault="00F34D70" w:rsidP="008E0E79">
            <w:pPr>
              <w:spacing w:before="80" w:after="80"/>
            </w:pPr>
            <w:r>
              <w:t>Delete the exception for pollution control projects</w:t>
            </w:r>
          </w:p>
        </w:tc>
        <w:tc>
          <w:tcPr>
            <w:tcW w:w="6390" w:type="dxa"/>
          </w:tcPr>
          <w:p w:rsidR="00F34D70" w:rsidRDefault="00F34D70" w:rsidP="008E0E79">
            <w:pPr>
              <w:spacing w:before="80" w:after="80"/>
            </w:pPr>
            <w:r>
              <w:t xml:space="preserve">The DC Circuit invalidated the federal exemption from NSR upon which this paragraph is based.   It is more lenient than federal requirements.  </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F34D70" w:rsidP="008E0E79">
            <w:pPr>
              <w:spacing w:before="80" w:after="80"/>
              <w:rPr>
                <w:highlight w:val="green"/>
              </w:rPr>
            </w:pPr>
            <w:r w:rsidRPr="007C0EF4">
              <w:rPr>
                <w:highlight w:val="green"/>
              </w:rPr>
              <w:t>(68)(a)</w:t>
            </w:r>
          </w:p>
        </w:tc>
        <w:tc>
          <w:tcPr>
            <w:tcW w:w="1080" w:type="dxa"/>
          </w:tcPr>
          <w:p w:rsidR="00F34D70" w:rsidRPr="007C0EF4" w:rsidRDefault="00F34D70" w:rsidP="008E0E79">
            <w:pPr>
              <w:spacing w:before="80" w:after="80"/>
              <w:rPr>
                <w:highlight w:val="green"/>
              </w:rPr>
            </w:pPr>
            <w:r w:rsidRPr="007C0EF4">
              <w:rPr>
                <w:highlight w:val="green"/>
              </w:rPr>
              <w:t>(74)(a)</w:t>
            </w:r>
          </w:p>
        </w:tc>
        <w:tc>
          <w:tcPr>
            <w:tcW w:w="5040" w:type="dxa"/>
          </w:tcPr>
          <w:p w:rsidR="00F34D70" w:rsidRDefault="00F34D70" w:rsidP="008E0E79">
            <w:pPr>
              <w:spacing w:before="80" w:after="80"/>
            </w:pPr>
            <w:r>
              <w:t>Add fugitive emissions to the definition of major source</w:t>
            </w:r>
          </w:p>
        </w:tc>
        <w:tc>
          <w:tcPr>
            <w:tcW w:w="6390" w:type="dxa"/>
          </w:tcPr>
          <w:p w:rsidR="00F34D70" w:rsidRDefault="00F34D70" w:rsidP="008E0E79">
            <w:pPr>
              <w:spacing w:before="80" w:after="80"/>
            </w:pPr>
            <w:r>
              <w:t>Fugitive emissions should be included to determine whether a source is major or not.</w:t>
            </w:r>
          </w:p>
        </w:tc>
      </w:tr>
      <w:tr w:rsidR="00F34D70" w:rsidTr="003713F2">
        <w:tc>
          <w:tcPr>
            <w:tcW w:w="918" w:type="dxa"/>
          </w:tcPr>
          <w:p w:rsidR="00F34D70" w:rsidRDefault="00F34D70" w:rsidP="003713F2">
            <w:pPr>
              <w:spacing w:before="80" w:after="80"/>
              <w:rPr>
                <w:b/>
              </w:rPr>
            </w:pPr>
            <w:r>
              <w:rPr>
                <w:b/>
              </w:rPr>
              <w:t>200-0020</w:t>
            </w:r>
          </w:p>
        </w:tc>
        <w:tc>
          <w:tcPr>
            <w:tcW w:w="1170" w:type="dxa"/>
          </w:tcPr>
          <w:p w:rsidR="00F34D70" w:rsidRPr="007C0EF4" w:rsidRDefault="00F34D70" w:rsidP="003713F2">
            <w:pPr>
              <w:spacing w:before="80" w:after="80"/>
              <w:rPr>
                <w:highlight w:val="green"/>
              </w:rPr>
            </w:pPr>
            <w:r w:rsidRPr="007C0EF4">
              <w:rPr>
                <w:highlight w:val="green"/>
              </w:rPr>
              <w:t>(68)(a)</w:t>
            </w:r>
          </w:p>
        </w:tc>
        <w:tc>
          <w:tcPr>
            <w:tcW w:w="1080" w:type="dxa"/>
          </w:tcPr>
          <w:p w:rsidR="00F34D70" w:rsidRPr="007C0EF4" w:rsidRDefault="00F34D70" w:rsidP="003713F2">
            <w:pPr>
              <w:spacing w:before="80" w:after="80"/>
              <w:rPr>
                <w:highlight w:val="green"/>
              </w:rPr>
            </w:pPr>
            <w:r w:rsidRPr="007C0EF4">
              <w:rPr>
                <w:highlight w:val="green"/>
              </w:rPr>
              <w:t>(74)(a)</w:t>
            </w:r>
          </w:p>
        </w:tc>
        <w:tc>
          <w:tcPr>
            <w:tcW w:w="5040" w:type="dxa"/>
          </w:tcPr>
          <w:p w:rsidR="00F34D70" w:rsidRDefault="00F34D70" w:rsidP="00F34D70">
            <w:pPr>
              <w:spacing w:before="80" w:after="80"/>
            </w:pPr>
            <w:r>
              <w:t xml:space="preserve">Add that potential to emit calculations </w:t>
            </w:r>
            <w:r w:rsidR="00D95DE7">
              <w:t>must include emissions increases due to the new or modified source</w:t>
            </w:r>
          </w:p>
        </w:tc>
        <w:tc>
          <w:tcPr>
            <w:tcW w:w="6390" w:type="dxa"/>
          </w:tcPr>
          <w:p w:rsidR="00F34D70" w:rsidRDefault="00D95DE7" w:rsidP="00D95DE7">
            <w:pPr>
              <w:spacing w:before="80" w:after="80"/>
            </w:pPr>
            <w:r>
              <w:t xml:space="preserve">Potential to emit calculations of the new or modified source </w:t>
            </w:r>
            <w:r w:rsidR="00F34D70">
              <w:t>should be included to determine whether a source is major or not.</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F34D70" w:rsidP="008E0E79">
            <w:pPr>
              <w:spacing w:before="80" w:after="80"/>
              <w:rPr>
                <w:highlight w:val="green"/>
              </w:rPr>
            </w:pPr>
            <w:r w:rsidRPr="007C0EF4">
              <w:rPr>
                <w:highlight w:val="green"/>
              </w:rPr>
              <w:t>(68)</w:t>
            </w:r>
            <w:r w:rsidR="00D95DE7" w:rsidRPr="007C0EF4">
              <w:rPr>
                <w:highlight w:val="green"/>
              </w:rPr>
              <w:t>(b)(B)</w:t>
            </w:r>
          </w:p>
        </w:tc>
        <w:tc>
          <w:tcPr>
            <w:tcW w:w="1080" w:type="dxa"/>
          </w:tcPr>
          <w:p w:rsidR="00F34D70" w:rsidRPr="007C0EF4" w:rsidRDefault="00D95DE7" w:rsidP="008E0E79">
            <w:pPr>
              <w:spacing w:before="80" w:after="80"/>
              <w:rPr>
                <w:highlight w:val="green"/>
              </w:rPr>
            </w:pPr>
            <w:r w:rsidRPr="007C0EF4">
              <w:rPr>
                <w:highlight w:val="green"/>
              </w:rPr>
              <w:t>(74(b)(B)</w:t>
            </w:r>
          </w:p>
        </w:tc>
        <w:tc>
          <w:tcPr>
            <w:tcW w:w="5040" w:type="dxa"/>
          </w:tcPr>
          <w:p w:rsidR="00F34D70" w:rsidRPr="007039E7" w:rsidRDefault="00F34D70" w:rsidP="008E0E79">
            <w:pPr>
              <w:spacing w:before="80" w:after="80"/>
            </w:pPr>
            <w:r>
              <w:t>Add threshold for GHG for Title V for definition of major source</w:t>
            </w:r>
          </w:p>
        </w:tc>
        <w:tc>
          <w:tcPr>
            <w:tcW w:w="6390" w:type="dxa"/>
          </w:tcPr>
          <w:p w:rsidR="00F34D70" w:rsidRPr="007039E7" w:rsidRDefault="00F34D70" w:rsidP="008E0E79">
            <w:pPr>
              <w:spacing w:before="80" w:after="80"/>
            </w:pPr>
            <w:r>
              <w:t>The GHG threshold is based on EPA’s rules.</w:t>
            </w:r>
          </w:p>
        </w:tc>
      </w:tr>
      <w:tr w:rsidR="00D95DE7" w:rsidTr="003713F2">
        <w:tc>
          <w:tcPr>
            <w:tcW w:w="918" w:type="dxa"/>
          </w:tcPr>
          <w:p w:rsidR="00D95DE7" w:rsidRDefault="00D95DE7" w:rsidP="003713F2">
            <w:pPr>
              <w:spacing w:before="80" w:after="80"/>
              <w:rPr>
                <w:b/>
              </w:rPr>
            </w:pPr>
            <w:r>
              <w:rPr>
                <w:b/>
              </w:rPr>
              <w:t>200-0020</w:t>
            </w:r>
          </w:p>
        </w:tc>
        <w:tc>
          <w:tcPr>
            <w:tcW w:w="1170" w:type="dxa"/>
          </w:tcPr>
          <w:p w:rsidR="00D95DE7" w:rsidRPr="007C0EF4" w:rsidRDefault="00D95DE7" w:rsidP="003713F2">
            <w:pPr>
              <w:spacing w:before="80" w:after="80"/>
              <w:rPr>
                <w:highlight w:val="green"/>
              </w:rPr>
            </w:pPr>
            <w:r w:rsidRPr="007C0EF4">
              <w:rPr>
                <w:highlight w:val="green"/>
              </w:rPr>
              <w:t>(68)(b)(C)</w:t>
            </w:r>
          </w:p>
        </w:tc>
        <w:tc>
          <w:tcPr>
            <w:tcW w:w="1080" w:type="dxa"/>
          </w:tcPr>
          <w:p w:rsidR="00D95DE7" w:rsidRPr="007C0EF4" w:rsidRDefault="00D95DE7" w:rsidP="003713F2">
            <w:pPr>
              <w:spacing w:before="80" w:after="80"/>
              <w:rPr>
                <w:highlight w:val="green"/>
              </w:rPr>
            </w:pPr>
            <w:r w:rsidRPr="007C0EF4">
              <w:rPr>
                <w:highlight w:val="green"/>
              </w:rPr>
              <w:t>(74(b)(C)</w:t>
            </w:r>
          </w:p>
        </w:tc>
        <w:tc>
          <w:tcPr>
            <w:tcW w:w="5040" w:type="dxa"/>
          </w:tcPr>
          <w:p w:rsidR="00D95DE7" w:rsidRPr="007039E7" w:rsidRDefault="00D95DE7" w:rsidP="00D95DE7">
            <w:pPr>
              <w:spacing w:before="80" w:after="80"/>
            </w:pPr>
            <w:r>
              <w:t xml:space="preserve">Exempt GHG from the list of sources that have PTE of 100 tpy of regulated pollutants </w:t>
            </w:r>
          </w:p>
        </w:tc>
        <w:tc>
          <w:tcPr>
            <w:tcW w:w="6390" w:type="dxa"/>
          </w:tcPr>
          <w:p w:rsidR="00D95DE7" w:rsidRPr="007039E7" w:rsidRDefault="00D95DE7" w:rsidP="00D95DE7">
            <w:pPr>
              <w:spacing w:before="80" w:after="80"/>
            </w:pPr>
            <w:r>
              <w:t>The 100 tpy threshold does not apply to GHGs.</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3713F2" w:rsidP="008E0E79">
            <w:pPr>
              <w:spacing w:before="80" w:after="80"/>
              <w:rPr>
                <w:highlight w:val="green"/>
              </w:rPr>
            </w:pPr>
            <w:r w:rsidRPr="007C0EF4">
              <w:rPr>
                <w:highlight w:val="green"/>
              </w:rPr>
              <w:t>NA</w:t>
            </w:r>
            <w:r w:rsidR="00F34D70" w:rsidRPr="007C0EF4">
              <w:rPr>
                <w:highlight w:val="green"/>
              </w:rPr>
              <w:t xml:space="preserve"> </w:t>
            </w:r>
          </w:p>
        </w:tc>
        <w:tc>
          <w:tcPr>
            <w:tcW w:w="1080" w:type="dxa"/>
          </w:tcPr>
          <w:p w:rsidR="00F34D70" w:rsidRPr="007C0EF4" w:rsidRDefault="003713F2" w:rsidP="008E0E79">
            <w:pPr>
              <w:spacing w:before="80" w:after="80"/>
              <w:rPr>
                <w:highlight w:val="green"/>
              </w:rPr>
            </w:pPr>
            <w:r w:rsidRPr="007C0EF4">
              <w:rPr>
                <w:highlight w:val="green"/>
              </w:rPr>
              <w:t>(78)(a)</w:t>
            </w:r>
          </w:p>
        </w:tc>
        <w:tc>
          <w:tcPr>
            <w:tcW w:w="5040" w:type="dxa"/>
          </w:tcPr>
          <w:p w:rsidR="00F34D70" w:rsidRPr="00DA5F64" w:rsidRDefault="00F34D70" w:rsidP="008E0E79">
            <w:pPr>
              <w:spacing w:before="80" w:after="80"/>
            </w:pPr>
            <w:r w:rsidRPr="00DA5F64">
              <w:t>Add subsection for regulated pollutants only</w:t>
            </w:r>
          </w:p>
        </w:tc>
        <w:tc>
          <w:tcPr>
            <w:tcW w:w="6390" w:type="dxa"/>
          </w:tcPr>
          <w:p w:rsidR="00F34D70" w:rsidRPr="00DA5F64" w:rsidRDefault="00F34D70" w:rsidP="008E0E79">
            <w:pPr>
              <w:spacing w:before="80" w:after="80"/>
            </w:pPr>
            <w:r w:rsidRPr="00DA5F64">
              <w:t>Provided clarification that the netting basis only appl</w:t>
            </w:r>
            <w:r>
              <w:t>ies</w:t>
            </w:r>
            <w:r w:rsidRPr="00DA5F64">
              <w:t xml:space="preserve"> to pollutants subject to the New Source Review program.  Specifically, HAPs are not subject to NSR, but other there may be other pollutants also not subject to NSR. </w:t>
            </w:r>
          </w:p>
        </w:tc>
      </w:tr>
      <w:tr w:rsidR="003713F2" w:rsidTr="003713F2">
        <w:tc>
          <w:tcPr>
            <w:tcW w:w="918" w:type="dxa"/>
          </w:tcPr>
          <w:p w:rsidR="003713F2" w:rsidRDefault="003713F2" w:rsidP="003713F2">
            <w:pPr>
              <w:spacing w:before="80" w:after="80"/>
              <w:rPr>
                <w:b/>
              </w:rPr>
            </w:pPr>
            <w:r>
              <w:rPr>
                <w:b/>
              </w:rPr>
              <w:lastRenderedPageBreak/>
              <w:t>200-0020</w:t>
            </w:r>
          </w:p>
        </w:tc>
        <w:tc>
          <w:tcPr>
            <w:tcW w:w="1170" w:type="dxa"/>
          </w:tcPr>
          <w:p w:rsidR="003713F2" w:rsidRPr="007C0EF4" w:rsidRDefault="003713F2" w:rsidP="003713F2">
            <w:pPr>
              <w:spacing w:before="80" w:after="80"/>
              <w:rPr>
                <w:highlight w:val="green"/>
              </w:rPr>
            </w:pPr>
            <w:r w:rsidRPr="007C0EF4">
              <w:rPr>
                <w:highlight w:val="green"/>
              </w:rPr>
              <w:t>(72)(a)</w:t>
            </w:r>
          </w:p>
        </w:tc>
        <w:tc>
          <w:tcPr>
            <w:tcW w:w="1080" w:type="dxa"/>
          </w:tcPr>
          <w:p w:rsidR="003713F2" w:rsidRPr="007C0EF4" w:rsidRDefault="003713F2" w:rsidP="003713F2">
            <w:pPr>
              <w:spacing w:before="80" w:after="80"/>
              <w:rPr>
                <w:highlight w:val="green"/>
              </w:rPr>
            </w:pPr>
            <w:r w:rsidRPr="007C0EF4">
              <w:rPr>
                <w:highlight w:val="green"/>
              </w:rPr>
              <w:t>NA</w:t>
            </w:r>
          </w:p>
        </w:tc>
        <w:tc>
          <w:tcPr>
            <w:tcW w:w="5040" w:type="dxa"/>
          </w:tcPr>
          <w:p w:rsidR="003713F2" w:rsidRPr="007039E7" w:rsidRDefault="003713F2" w:rsidP="003713F2">
            <w:pPr>
              <w:spacing w:before="80" w:after="80"/>
            </w:pPr>
            <w:r>
              <w:t xml:space="preserve">Move the rules in netting basis that apply to the baseline emission rate </w:t>
            </w:r>
          </w:p>
        </w:tc>
        <w:tc>
          <w:tcPr>
            <w:tcW w:w="6390" w:type="dxa"/>
          </w:tcPr>
          <w:p w:rsidR="003713F2" w:rsidRDefault="003713F2" w:rsidP="003713F2">
            <w:pPr>
              <w:spacing w:before="80" w:after="80"/>
            </w:pPr>
            <w:r>
              <w:t>The requirements for establishing the baseline emission rate should be in the definition of baseline emission rate, not the netting basis</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F34D70" w:rsidP="008E0E79">
            <w:pPr>
              <w:spacing w:before="80" w:after="80"/>
              <w:rPr>
                <w:highlight w:val="green"/>
              </w:rPr>
            </w:pPr>
            <w:r w:rsidRPr="007C0EF4">
              <w:rPr>
                <w:highlight w:val="green"/>
              </w:rPr>
              <w:t xml:space="preserve">(72) </w:t>
            </w:r>
          </w:p>
        </w:tc>
        <w:tc>
          <w:tcPr>
            <w:tcW w:w="1080" w:type="dxa"/>
          </w:tcPr>
          <w:p w:rsidR="00F34D70" w:rsidRPr="007C0EF4" w:rsidRDefault="003713F2" w:rsidP="008E0E79">
            <w:pPr>
              <w:spacing w:before="80" w:after="80"/>
              <w:rPr>
                <w:highlight w:val="green"/>
              </w:rPr>
            </w:pPr>
            <w:r w:rsidRPr="007C0EF4">
              <w:rPr>
                <w:highlight w:val="green"/>
              </w:rPr>
              <w:t>(78)(b)</w:t>
            </w:r>
          </w:p>
        </w:tc>
        <w:tc>
          <w:tcPr>
            <w:tcW w:w="5040" w:type="dxa"/>
          </w:tcPr>
          <w:p w:rsidR="00F34D70" w:rsidRPr="00DC1758" w:rsidRDefault="00F34D70" w:rsidP="003713F2">
            <w:pPr>
              <w:spacing w:before="80" w:after="80"/>
            </w:pPr>
            <w:r w:rsidRPr="00DC1758">
              <w:t xml:space="preserve">Add provision for establishing the netting basis for </w:t>
            </w:r>
            <w:r w:rsidR="003713F2">
              <w:t>newly regulated pollutants</w:t>
            </w:r>
          </w:p>
        </w:tc>
        <w:tc>
          <w:tcPr>
            <w:tcW w:w="6390" w:type="dxa"/>
          </w:tcPr>
          <w:p w:rsidR="00F34D70" w:rsidRPr="00DC1758" w:rsidRDefault="003713F2" w:rsidP="00BC2A07">
            <w:pPr>
              <w:spacing w:before="80" w:after="80"/>
            </w:pPr>
            <w:r>
              <w:t xml:space="preserve">The netting basis </w:t>
            </w:r>
            <w:r w:rsidR="00F34D70" w:rsidRPr="00DC1758">
              <w:t xml:space="preserve">is defined differently for </w:t>
            </w:r>
            <w:r>
              <w:t>newly regulated pollutants</w:t>
            </w:r>
            <w:r w:rsidR="00BC2A07">
              <w:t xml:space="preserve"> since the baseline period is different.</w:t>
            </w:r>
            <w:r w:rsidR="00F34D70" w:rsidRPr="00DC1758">
              <w:t xml:space="preserve">  </w:t>
            </w:r>
          </w:p>
        </w:tc>
      </w:tr>
      <w:tr w:rsidR="00BC2A07" w:rsidTr="00184031">
        <w:tc>
          <w:tcPr>
            <w:tcW w:w="918" w:type="dxa"/>
          </w:tcPr>
          <w:p w:rsidR="00BC2A07" w:rsidRDefault="00BC2A07" w:rsidP="00184031">
            <w:pPr>
              <w:spacing w:before="80" w:after="80"/>
              <w:rPr>
                <w:b/>
              </w:rPr>
            </w:pPr>
            <w:r>
              <w:rPr>
                <w:b/>
              </w:rPr>
              <w:t>200-0020</w:t>
            </w:r>
          </w:p>
        </w:tc>
        <w:tc>
          <w:tcPr>
            <w:tcW w:w="1170" w:type="dxa"/>
          </w:tcPr>
          <w:p w:rsidR="00BC2A07" w:rsidRPr="007C0EF4" w:rsidRDefault="00BC2A07" w:rsidP="00BC2A07">
            <w:pPr>
              <w:spacing w:before="80" w:after="80"/>
              <w:rPr>
                <w:highlight w:val="green"/>
              </w:rPr>
            </w:pPr>
            <w:r w:rsidRPr="007C0EF4">
              <w:rPr>
                <w:highlight w:val="green"/>
              </w:rPr>
              <w:t>NA</w:t>
            </w:r>
          </w:p>
        </w:tc>
        <w:tc>
          <w:tcPr>
            <w:tcW w:w="1080" w:type="dxa"/>
          </w:tcPr>
          <w:p w:rsidR="00BC2A07" w:rsidRPr="007C0EF4" w:rsidRDefault="00BC2A07" w:rsidP="00184031">
            <w:pPr>
              <w:spacing w:before="80" w:after="80"/>
              <w:rPr>
                <w:highlight w:val="green"/>
              </w:rPr>
            </w:pPr>
            <w:r w:rsidRPr="007C0EF4">
              <w:rPr>
                <w:highlight w:val="green"/>
              </w:rPr>
              <w:t>(78)(c)</w:t>
            </w:r>
          </w:p>
        </w:tc>
        <w:tc>
          <w:tcPr>
            <w:tcW w:w="5040" w:type="dxa"/>
          </w:tcPr>
          <w:p w:rsidR="00BC2A07" w:rsidRPr="00DC1758" w:rsidRDefault="00BC2A07" w:rsidP="00BC2A07">
            <w:pPr>
              <w:spacing w:before="80" w:after="80"/>
            </w:pPr>
            <w:r w:rsidRPr="00DC1758">
              <w:t xml:space="preserve">Add provision for establishing the netting basis for </w:t>
            </w:r>
            <w:r>
              <w:t>PM2.5</w:t>
            </w:r>
          </w:p>
        </w:tc>
        <w:tc>
          <w:tcPr>
            <w:tcW w:w="6390" w:type="dxa"/>
          </w:tcPr>
          <w:p w:rsidR="00BC2A07" w:rsidRPr="00DC1758" w:rsidRDefault="00BC2A07" w:rsidP="00184031">
            <w:pPr>
              <w:spacing w:before="80" w:after="80"/>
            </w:pPr>
            <w:r>
              <w:t xml:space="preserve">The netting basis for PM2.5 will be established after the rules are adopted.  </w:t>
            </w:r>
          </w:p>
        </w:tc>
      </w:tr>
      <w:tr w:rsidR="00BC2A07" w:rsidTr="00184031">
        <w:tc>
          <w:tcPr>
            <w:tcW w:w="918" w:type="dxa"/>
          </w:tcPr>
          <w:p w:rsidR="00BC2A07" w:rsidRDefault="00BC2A07" w:rsidP="00184031">
            <w:pPr>
              <w:spacing w:before="80" w:after="80"/>
              <w:rPr>
                <w:b/>
              </w:rPr>
            </w:pPr>
            <w:r>
              <w:rPr>
                <w:b/>
              </w:rPr>
              <w:t>200-0020</w:t>
            </w:r>
          </w:p>
        </w:tc>
        <w:tc>
          <w:tcPr>
            <w:tcW w:w="1170" w:type="dxa"/>
          </w:tcPr>
          <w:p w:rsidR="00BC2A07" w:rsidRPr="007C0EF4" w:rsidRDefault="00BC2A07" w:rsidP="00184031">
            <w:pPr>
              <w:spacing w:before="80" w:after="80"/>
              <w:rPr>
                <w:highlight w:val="green"/>
              </w:rPr>
            </w:pPr>
            <w:r w:rsidRPr="007C0EF4">
              <w:rPr>
                <w:highlight w:val="green"/>
              </w:rPr>
              <w:t>NA</w:t>
            </w:r>
          </w:p>
        </w:tc>
        <w:tc>
          <w:tcPr>
            <w:tcW w:w="1080" w:type="dxa"/>
          </w:tcPr>
          <w:p w:rsidR="00BC2A07" w:rsidRPr="007C0EF4" w:rsidRDefault="00BC2A07" w:rsidP="00184031">
            <w:pPr>
              <w:spacing w:before="80" w:after="80"/>
              <w:rPr>
                <w:highlight w:val="green"/>
              </w:rPr>
            </w:pPr>
            <w:r w:rsidRPr="007C0EF4">
              <w:rPr>
                <w:highlight w:val="green"/>
              </w:rPr>
              <w:t>(78)(d)</w:t>
            </w:r>
          </w:p>
        </w:tc>
        <w:tc>
          <w:tcPr>
            <w:tcW w:w="5040" w:type="dxa"/>
          </w:tcPr>
          <w:p w:rsidR="00BC2A07" w:rsidRPr="00DC1758" w:rsidRDefault="00BC2A07" w:rsidP="00184031">
            <w:pPr>
              <w:spacing w:before="80" w:after="80"/>
            </w:pPr>
            <w:r w:rsidRPr="00DC1758">
              <w:t xml:space="preserve">Add provision for establishing the netting basis for </w:t>
            </w:r>
            <w:r>
              <w:t>PM2.5</w:t>
            </w:r>
          </w:p>
        </w:tc>
        <w:tc>
          <w:tcPr>
            <w:tcW w:w="6390" w:type="dxa"/>
          </w:tcPr>
          <w:p w:rsidR="00BC2A07" w:rsidRPr="00DC1758" w:rsidRDefault="00BC2A07" w:rsidP="00BC2A07">
            <w:pPr>
              <w:spacing w:before="80" w:after="80"/>
            </w:pPr>
            <w:r>
              <w:t xml:space="preserve">The netting basis for GHG will be established after the rules are adopted.  </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F34D70" w:rsidP="008E0E79">
            <w:pPr>
              <w:spacing w:before="80" w:after="80"/>
              <w:rPr>
                <w:highlight w:val="green"/>
              </w:rPr>
            </w:pPr>
            <w:r w:rsidRPr="007C0EF4">
              <w:rPr>
                <w:highlight w:val="green"/>
              </w:rPr>
              <w:t>(72)(c)</w:t>
            </w:r>
          </w:p>
        </w:tc>
        <w:tc>
          <w:tcPr>
            <w:tcW w:w="1080" w:type="dxa"/>
          </w:tcPr>
          <w:p w:rsidR="00F34D70" w:rsidRPr="007C0EF4" w:rsidRDefault="00BC2A07" w:rsidP="008E0E79">
            <w:pPr>
              <w:spacing w:before="80" w:after="80"/>
              <w:rPr>
                <w:highlight w:val="green"/>
              </w:rPr>
            </w:pPr>
            <w:r w:rsidRPr="007C0EF4">
              <w:rPr>
                <w:highlight w:val="green"/>
              </w:rPr>
              <w:t>(78)(e)</w:t>
            </w:r>
          </w:p>
        </w:tc>
        <w:tc>
          <w:tcPr>
            <w:tcW w:w="5040" w:type="dxa"/>
          </w:tcPr>
          <w:p w:rsidR="00F34D70" w:rsidRDefault="00F34D70" w:rsidP="008E0E79">
            <w:pPr>
              <w:spacing w:before="80" w:after="80"/>
            </w:pPr>
            <w:r>
              <w:t>Clarify when the netting basis is zero</w:t>
            </w:r>
          </w:p>
        </w:tc>
        <w:tc>
          <w:tcPr>
            <w:tcW w:w="6390" w:type="dxa"/>
          </w:tcPr>
          <w:p w:rsidR="00F34D70" w:rsidRDefault="00F34D70" w:rsidP="008E0E79">
            <w:pPr>
              <w:spacing w:before="80" w:after="80"/>
            </w:pPr>
            <w:r>
              <w:t xml:space="preserve">The changes clarify the instances when the netting basis is zero and matches the intent and past interpretation of the rule.  </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F34D70" w:rsidP="008E0E79">
            <w:pPr>
              <w:spacing w:before="80" w:after="80"/>
              <w:rPr>
                <w:highlight w:val="green"/>
              </w:rPr>
            </w:pPr>
            <w:r w:rsidRPr="007C0EF4">
              <w:rPr>
                <w:highlight w:val="green"/>
              </w:rPr>
              <w:t>(72)(e)</w:t>
            </w:r>
          </w:p>
        </w:tc>
        <w:tc>
          <w:tcPr>
            <w:tcW w:w="1080" w:type="dxa"/>
          </w:tcPr>
          <w:p w:rsidR="00F34D70" w:rsidRPr="007C0EF4" w:rsidRDefault="00BC2A07" w:rsidP="008E0E79">
            <w:pPr>
              <w:spacing w:before="80" w:after="80"/>
              <w:rPr>
                <w:highlight w:val="green"/>
              </w:rPr>
            </w:pPr>
            <w:r w:rsidRPr="007C0EF4">
              <w:rPr>
                <w:highlight w:val="green"/>
              </w:rPr>
              <w:t>(78)(g)</w:t>
            </w:r>
          </w:p>
        </w:tc>
        <w:tc>
          <w:tcPr>
            <w:tcW w:w="5040" w:type="dxa"/>
          </w:tcPr>
          <w:p w:rsidR="00F34D70" w:rsidRDefault="00F34D70" w:rsidP="008E0E79">
            <w:pPr>
              <w:spacing w:before="80" w:after="80"/>
            </w:pPr>
            <w:r>
              <w:t xml:space="preserve">Add when changes to the netting basis are effective </w:t>
            </w:r>
          </w:p>
        </w:tc>
        <w:tc>
          <w:tcPr>
            <w:tcW w:w="6390" w:type="dxa"/>
          </w:tcPr>
          <w:p w:rsidR="00F34D70" w:rsidRDefault="00F34D70" w:rsidP="008E0E79">
            <w:pPr>
              <w:spacing w:before="80" w:after="80"/>
            </w:pPr>
            <w:r>
              <w:t xml:space="preserve">The changes clarify the instances when the netting basis and PSEL are reduced and matches the intent and past interpretation of the rule.  </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F34D70" w:rsidP="00BC2A07">
            <w:pPr>
              <w:spacing w:before="80" w:after="80"/>
              <w:rPr>
                <w:highlight w:val="green"/>
              </w:rPr>
            </w:pPr>
            <w:r w:rsidRPr="007C0EF4">
              <w:rPr>
                <w:highlight w:val="green"/>
              </w:rPr>
              <w:t>(7</w:t>
            </w:r>
            <w:r w:rsidR="00BC2A07" w:rsidRPr="007C0EF4">
              <w:rPr>
                <w:highlight w:val="green"/>
              </w:rPr>
              <w:t>4</w:t>
            </w:r>
            <w:r w:rsidRPr="007C0EF4">
              <w:rPr>
                <w:highlight w:val="green"/>
              </w:rPr>
              <w:t>)</w:t>
            </w:r>
          </w:p>
        </w:tc>
        <w:tc>
          <w:tcPr>
            <w:tcW w:w="1080" w:type="dxa"/>
          </w:tcPr>
          <w:p w:rsidR="00F34D70" w:rsidRPr="007C0EF4" w:rsidRDefault="00BC2A07" w:rsidP="008E0E79">
            <w:pPr>
              <w:spacing w:before="80" w:after="80"/>
              <w:rPr>
                <w:highlight w:val="green"/>
              </w:rPr>
            </w:pPr>
            <w:r w:rsidRPr="007C0EF4">
              <w:rPr>
                <w:highlight w:val="green"/>
              </w:rPr>
              <w:t>(80)</w:t>
            </w:r>
          </w:p>
        </w:tc>
        <w:tc>
          <w:tcPr>
            <w:tcW w:w="5040" w:type="dxa"/>
          </w:tcPr>
          <w:p w:rsidR="00F34D70" w:rsidRDefault="00F34D70" w:rsidP="008E0E79">
            <w:pPr>
              <w:spacing w:before="80" w:after="80"/>
            </w:pPr>
            <w:r>
              <w:t>Definition of nonattainment area different from Division 204</w:t>
            </w:r>
          </w:p>
        </w:tc>
        <w:tc>
          <w:tcPr>
            <w:tcW w:w="6390" w:type="dxa"/>
          </w:tcPr>
          <w:p w:rsidR="00F34D70" w:rsidRPr="008923DE" w:rsidRDefault="00F34D70" w:rsidP="008E0E79">
            <w:pPr>
              <w:spacing w:before="80" w:after="80"/>
            </w:pPr>
            <w:r>
              <w:t>Use Division 204 definition</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AD3F42" w:rsidP="008E0E79">
            <w:pPr>
              <w:spacing w:before="80" w:after="80"/>
              <w:rPr>
                <w:highlight w:val="green"/>
              </w:rPr>
            </w:pPr>
            <w:r w:rsidRPr="007C0EF4">
              <w:rPr>
                <w:highlight w:val="green"/>
              </w:rPr>
              <w:t>NA</w:t>
            </w:r>
            <w:r w:rsidR="00F34D70" w:rsidRPr="007C0EF4">
              <w:rPr>
                <w:highlight w:val="green"/>
              </w:rPr>
              <w:t xml:space="preserve"> </w:t>
            </w:r>
          </w:p>
        </w:tc>
        <w:tc>
          <w:tcPr>
            <w:tcW w:w="1080" w:type="dxa"/>
          </w:tcPr>
          <w:p w:rsidR="00F34D70" w:rsidRPr="007C0EF4" w:rsidRDefault="00AD3F42" w:rsidP="008E0E79">
            <w:pPr>
              <w:spacing w:before="80" w:after="80"/>
              <w:rPr>
                <w:highlight w:val="green"/>
              </w:rPr>
            </w:pPr>
            <w:r w:rsidRPr="007C0EF4">
              <w:rPr>
                <w:highlight w:val="green"/>
              </w:rPr>
              <w:t>(88)</w:t>
            </w:r>
          </w:p>
        </w:tc>
        <w:tc>
          <w:tcPr>
            <w:tcW w:w="5040" w:type="dxa"/>
          </w:tcPr>
          <w:p w:rsidR="00F34D70" w:rsidRPr="007039E7" w:rsidRDefault="00F34D70" w:rsidP="008E0E79">
            <w:pPr>
              <w:spacing w:before="80" w:after="80"/>
            </w:pPr>
            <w:r>
              <w:t>Add definition of ozone precursors</w:t>
            </w:r>
          </w:p>
        </w:tc>
        <w:tc>
          <w:tcPr>
            <w:tcW w:w="6390" w:type="dxa"/>
          </w:tcPr>
          <w:p w:rsidR="00F34D70" w:rsidRPr="007039E7" w:rsidRDefault="00F34D70" w:rsidP="008E0E79">
            <w:pPr>
              <w:spacing w:before="80" w:after="80"/>
            </w:pPr>
            <w:r>
              <w:t>PM2.5 precursors are defined but not ozone precursors</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AD3F42" w:rsidP="008E0E79">
            <w:pPr>
              <w:spacing w:before="80" w:after="80"/>
              <w:rPr>
                <w:highlight w:val="green"/>
              </w:rPr>
            </w:pPr>
            <w:r w:rsidRPr="007C0EF4">
              <w:rPr>
                <w:highlight w:val="green"/>
              </w:rPr>
              <w:t>NA</w:t>
            </w:r>
          </w:p>
        </w:tc>
        <w:tc>
          <w:tcPr>
            <w:tcW w:w="1080" w:type="dxa"/>
          </w:tcPr>
          <w:p w:rsidR="00F34D70" w:rsidRPr="007C0EF4" w:rsidRDefault="00AD3F42" w:rsidP="008E0E79">
            <w:pPr>
              <w:spacing w:before="80" w:after="80"/>
              <w:rPr>
                <w:highlight w:val="green"/>
              </w:rPr>
            </w:pPr>
            <w:r w:rsidRPr="007C0EF4">
              <w:rPr>
                <w:highlight w:val="green"/>
              </w:rPr>
              <w:t>(90)</w:t>
            </w:r>
          </w:p>
        </w:tc>
        <w:tc>
          <w:tcPr>
            <w:tcW w:w="5040" w:type="dxa"/>
          </w:tcPr>
          <w:p w:rsidR="00F34D70" w:rsidRDefault="00F34D70" w:rsidP="008E0E79">
            <w:pPr>
              <w:spacing w:before="80" w:after="80"/>
            </w:pPr>
            <w:r>
              <w:t xml:space="preserve">Add definition of particleboard </w:t>
            </w:r>
          </w:p>
        </w:tc>
        <w:tc>
          <w:tcPr>
            <w:tcW w:w="6390" w:type="dxa"/>
          </w:tcPr>
          <w:p w:rsidR="00F34D70" w:rsidRPr="008923DE" w:rsidRDefault="00F34D70" w:rsidP="008E0E79">
            <w:pPr>
              <w:spacing w:before="80" w:after="80"/>
            </w:pPr>
            <w:r>
              <w:t>Move from Divisions 234 and 240</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AD3F42" w:rsidP="008E0E79">
            <w:pPr>
              <w:spacing w:before="80" w:after="80"/>
              <w:rPr>
                <w:highlight w:val="green"/>
              </w:rPr>
            </w:pPr>
            <w:r w:rsidRPr="007C0EF4">
              <w:rPr>
                <w:highlight w:val="green"/>
              </w:rPr>
              <w:t>(83</w:t>
            </w:r>
            <w:r w:rsidR="00F34D70" w:rsidRPr="007C0EF4">
              <w:rPr>
                <w:highlight w:val="green"/>
              </w:rPr>
              <w:t>)</w:t>
            </w:r>
          </w:p>
        </w:tc>
        <w:tc>
          <w:tcPr>
            <w:tcW w:w="1080" w:type="dxa"/>
          </w:tcPr>
          <w:p w:rsidR="00F34D70" w:rsidRPr="007C0EF4" w:rsidRDefault="00AD3F42" w:rsidP="008E0E79">
            <w:pPr>
              <w:spacing w:before="80" w:after="80"/>
              <w:rPr>
                <w:highlight w:val="green"/>
              </w:rPr>
            </w:pPr>
            <w:r w:rsidRPr="007C0EF4">
              <w:rPr>
                <w:highlight w:val="green"/>
              </w:rPr>
              <w:t>(91)</w:t>
            </w:r>
          </w:p>
        </w:tc>
        <w:tc>
          <w:tcPr>
            <w:tcW w:w="5040" w:type="dxa"/>
          </w:tcPr>
          <w:p w:rsidR="00F34D70" w:rsidRPr="0068222F" w:rsidRDefault="00F34D70" w:rsidP="008E0E79">
            <w:pPr>
              <w:autoSpaceDE w:val="0"/>
              <w:autoSpaceDN w:val="0"/>
              <w:adjustRightInd w:val="0"/>
              <w:spacing w:before="80" w:after="80"/>
            </w:pPr>
            <w:r>
              <w:t>Change d</w:t>
            </w:r>
            <w:r w:rsidRPr="0068222F">
              <w:t>efinition of particulate matter</w:t>
            </w:r>
          </w:p>
        </w:tc>
        <w:tc>
          <w:tcPr>
            <w:tcW w:w="6390" w:type="dxa"/>
          </w:tcPr>
          <w:p w:rsidR="00F34D70" w:rsidRPr="0068222F" w:rsidRDefault="00F34D70" w:rsidP="008E0E79">
            <w:pPr>
              <w:spacing w:before="80" w:after="80"/>
            </w:pPr>
            <w:r w:rsidRPr="0068222F">
              <w:t>Make consistent with other divisions</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AD3F42" w:rsidP="00057B8D">
            <w:pPr>
              <w:spacing w:before="80" w:after="80"/>
              <w:rPr>
                <w:highlight w:val="green"/>
              </w:rPr>
            </w:pPr>
            <w:r w:rsidRPr="007C0EF4">
              <w:rPr>
                <w:highlight w:val="green"/>
              </w:rPr>
              <w:t>NA</w:t>
            </w:r>
          </w:p>
        </w:tc>
        <w:tc>
          <w:tcPr>
            <w:tcW w:w="1080" w:type="dxa"/>
          </w:tcPr>
          <w:p w:rsidR="00F34D70" w:rsidRPr="007C0EF4" w:rsidRDefault="00AD3F42" w:rsidP="008E0E79">
            <w:pPr>
              <w:spacing w:before="80" w:after="80"/>
              <w:rPr>
                <w:highlight w:val="green"/>
              </w:rPr>
            </w:pPr>
            <w:r w:rsidRPr="007C0EF4">
              <w:rPr>
                <w:highlight w:val="green"/>
              </w:rPr>
              <w:t>(92)</w:t>
            </w:r>
          </w:p>
        </w:tc>
        <w:tc>
          <w:tcPr>
            <w:tcW w:w="5040" w:type="dxa"/>
          </w:tcPr>
          <w:p w:rsidR="00F34D70" w:rsidRDefault="00F34D70" w:rsidP="008E0E79">
            <w:pPr>
              <w:spacing w:before="80" w:after="80"/>
            </w:pPr>
            <w:r>
              <w:t xml:space="preserve">Add definition of parts per million </w:t>
            </w:r>
          </w:p>
        </w:tc>
        <w:tc>
          <w:tcPr>
            <w:tcW w:w="6390" w:type="dxa"/>
          </w:tcPr>
          <w:p w:rsidR="00F34D70" w:rsidRPr="008923DE" w:rsidRDefault="00F34D70" w:rsidP="008E0E79">
            <w:pPr>
              <w:spacing w:before="80" w:after="80"/>
            </w:pPr>
            <w:r>
              <w:t>Move from Divisions 230 and 234</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AD3F42" w:rsidP="008E0E79">
            <w:pPr>
              <w:spacing w:before="80" w:after="80"/>
              <w:rPr>
                <w:highlight w:val="green"/>
              </w:rPr>
            </w:pPr>
            <w:r w:rsidRPr="007C0EF4">
              <w:rPr>
                <w:highlight w:val="green"/>
              </w:rPr>
              <w:t>(89</w:t>
            </w:r>
            <w:r w:rsidR="00F34D70" w:rsidRPr="007C0EF4">
              <w:rPr>
                <w:highlight w:val="green"/>
              </w:rPr>
              <w:t>)</w:t>
            </w:r>
          </w:p>
        </w:tc>
        <w:tc>
          <w:tcPr>
            <w:tcW w:w="1080" w:type="dxa"/>
          </w:tcPr>
          <w:p w:rsidR="00F34D70" w:rsidRPr="007C0EF4" w:rsidRDefault="00AD3F42" w:rsidP="008E0E79">
            <w:pPr>
              <w:spacing w:before="80" w:after="80"/>
              <w:rPr>
                <w:highlight w:val="green"/>
              </w:rPr>
            </w:pPr>
            <w:r w:rsidRPr="007C0EF4">
              <w:rPr>
                <w:highlight w:val="green"/>
              </w:rPr>
              <w:t>(97)</w:t>
            </w:r>
          </w:p>
        </w:tc>
        <w:tc>
          <w:tcPr>
            <w:tcW w:w="5040" w:type="dxa"/>
          </w:tcPr>
          <w:p w:rsidR="00F34D70" w:rsidRPr="00AE5643" w:rsidRDefault="00F34D70" w:rsidP="008E0E79">
            <w:pPr>
              <w:autoSpaceDE w:val="0"/>
              <w:autoSpaceDN w:val="0"/>
              <w:adjustRightInd w:val="0"/>
              <w:spacing w:before="80" w:after="80"/>
            </w:pPr>
            <w:r w:rsidRPr="00AE5643">
              <w:t>Definition of person different from Division 232</w:t>
            </w:r>
          </w:p>
        </w:tc>
        <w:tc>
          <w:tcPr>
            <w:tcW w:w="6390" w:type="dxa"/>
          </w:tcPr>
          <w:p w:rsidR="00F34D70" w:rsidRPr="00AE5643" w:rsidRDefault="00F34D70" w:rsidP="008E0E79">
            <w:pPr>
              <w:spacing w:before="80" w:after="80"/>
            </w:pPr>
            <w:r w:rsidRPr="00AE5643">
              <w:t>Use definition from Division 232 and move to Division 200</w:t>
            </w:r>
          </w:p>
        </w:tc>
      </w:tr>
      <w:tr w:rsidR="00AD3F42" w:rsidTr="00057B8D">
        <w:tc>
          <w:tcPr>
            <w:tcW w:w="918" w:type="dxa"/>
          </w:tcPr>
          <w:p w:rsidR="00AD3F42" w:rsidRDefault="00AD3F42" w:rsidP="00F61DCA">
            <w:pPr>
              <w:spacing w:before="80" w:after="80"/>
              <w:rPr>
                <w:b/>
              </w:rPr>
            </w:pPr>
            <w:r>
              <w:rPr>
                <w:b/>
              </w:rPr>
              <w:t>200-0020</w:t>
            </w:r>
          </w:p>
        </w:tc>
        <w:tc>
          <w:tcPr>
            <w:tcW w:w="1170" w:type="dxa"/>
          </w:tcPr>
          <w:p w:rsidR="00AD3F42" w:rsidRPr="007C0EF4" w:rsidRDefault="00AD3F42" w:rsidP="008E0E79">
            <w:pPr>
              <w:spacing w:before="80" w:after="80"/>
              <w:rPr>
                <w:highlight w:val="green"/>
              </w:rPr>
            </w:pPr>
            <w:r w:rsidRPr="007C0EF4">
              <w:rPr>
                <w:highlight w:val="green"/>
              </w:rPr>
              <w:t>(92)</w:t>
            </w:r>
          </w:p>
        </w:tc>
        <w:tc>
          <w:tcPr>
            <w:tcW w:w="1080" w:type="dxa"/>
          </w:tcPr>
          <w:p w:rsidR="00AD3F42" w:rsidRPr="007C0EF4" w:rsidRDefault="00AD3F42" w:rsidP="008E0E79">
            <w:pPr>
              <w:spacing w:before="80" w:after="80"/>
              <w:rPr>
                <w:highlight w:val="green"/>
              </w:rPr>
            </w:pPr>
            <w:r w:rsidRPr="007C0EF4">
              <w:rPr>
                <w:highlight w:val="green"/>
              </w:rPr>
              <w:t>(100)</w:t>
            </w:r>
          </w:p>
        </w:tc>
        <w:tc>
          <w:tcPr>
            <w:tcW w:w="5040" w:type="dxa"/>
          </w:tcPr>
          <w:p w:rsidR="00AD3F42" w:rsidRDefault="00AD3F42" w:rsidP="008E0E79">
            <w:pPr>
              <w:autoSpaceDE w:val="0"/>
              <w:autoSpaceDN w:val="0"/>
              <w:adjustRightInd w:val="0"/>
              <w:spacing w:before="80" w:after="80"/>
            </w:pPr>
            <w:r>
              <w:t>Change definition of PM2.5</w:t>
            </w:r>
          </w:p>
        </w:tc>
        <w:tc>
          <w:tcPr>
            <w:tcW w:w="6390" w:type="dxa"/>
          </w:tcPr>
          <w:p w:rsidR="00AD3F42" w:rsidRDefault="00AD3F42" w:rsidP="00AD3F42">
            <w:pPr>
              <w:spacing w:before="80" w:after="80"/>
            </w:pPr>
            <w:r>
              <w:t xml:space="preserve">This definition is consistent with EPA’s rules for purposes of Title V and NSR.  </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AD3F42" w:rsidP="008E0E79">
            <w:pPr>
              <w:spacing w:before="80" w:after="80"/>
              <w:rPr>
                <w:highlight w:val="green"/>
              </w:rPr>
            </w:pPr>
            <w:r w:rsidRPr="007C0EF4">
              <w:rPr>
                <w:highlight w:val="green"/>
              </w:rPr>
              <w:t>NA</w:t>
            </w:r>
          </w:p>
        </w:tc>
        <w:tc>
          <w:tcPr>
            <w:tcW w:w="1080" w:type="dxa"/>
          </w:tcPr>
          <w:p w:rsidR="00F34D70" w:rsidRPr="007C0EF4" w:rsidRDefault="00AD3F42" w:rsidP="008E0E79">
            <w:pPr>
              <w:spacing w:before="80" w:after="80"/>
              <w:rPr>
                <w:highlight w:val="green"/>
              </w:rPr>
            </w:pPr>
            <w:r w:rsidRPr="007C0EF4">
              <w:rPr>
                <w:highlight w:val="green"/>
              </w:rPr>
              <w:t>(104)</w:t>
            </w:r>
          </w:p>
        </w:tc>
        <w:tc>
          <w:tcPr>
            <w:tcW w:w="5040" w:type="dxa"/>
          </w:tcPr>
          <w:p w:rsidR="00F34D70" w:rsidRPr="00AE5643" w:rsidRDefault="00F34D70" w:rsidP="008E0E79">
            <w:pPr>
              <w:autoSpaceDE w:val="0"/>
              <w:autoSpaceDN w:val="0"/>
              <w:adjustRightInd w:val="0"/>
              <w:spacing w:before="80" w:after="80"/>
            </w:pPr>
            <w:r>
              <w:t>Add d</w:t>
            </w:r>
            <w:r w:rsidRPr="00AE5643">
              <w:t>efinition of p</w:t>
            </w:r>
            <w:r>
              <w:t xml:space="preserve">ress/cooling vent </w:t>
            </w:r>
          </w:p>
        </w:tc>
        <w:tc>
          <w:tcPr>
            <w:tcW w:w="6390" w:type="dxa"/>
          </w:tcPr>
          <w:p w:rsidR="00F34D70" w:rsidRPr="008923DE" w:rsidRDefault="00F34D70" w:rsidP="008E0E79">
            <w:pPr>
              <w:spacing w:before="80" w:after="80"/>
            </w:pPr>
            <w:r>
              <w:t>Move from Divisions 234 and 240</w:t>
            </w:r>
          </w:p>
        </w:tc>
      </w:tr>
      <w:tr w:rsidR="00F34D70" w:rsidTr="00057B8D">
        <w:tc>
          <w:tcPr>
            <w:tcW w:w="918" w:type="dxa"/>
          </w:tcPr>
          <w:p w:rsidR="00F34D70" w:rsidRDefault="00F34D70" w:rsidP="00F61DCA">
            <w:pPr>
              <w:spacing w:before="80" w:after="80"/>
              <w:rPr>
                <w:b/>
              </w:rPr>
            </w:pPr>
            <w:r>
              <w:rPr>
                <w:b/>
              </w:rPr>
              <w:t>200-</w:t>
            </w:r>
            <w:r>
              <w:rPr>
                <w:b/>
              </w:rPr>
              <w:lastRenderedPageBreak/>
              <w:t>0020</w:t>
            </w:r>
          </w:p>
        </w:tc>
        <w:tc>
          <w:tcPr>
            <w:tcW w:w="1170" w:type="dxa"/>
          </w:tcPr>
          <w:p w:rsidR="00F34D70" w:rsidRPr="007C0EF4" w:rsidRDefault="00AD3F42" w:rsidP="008E0E79">
            <w:pPr>
              <w:spacing w:before="80" w:after="80"/>
              <w:rPr>
                <w:highlight w:val="green"/>
              </w:rPr>
            </w:pPr>
            <w:r w:rsidRPr="007C0EF4">
              <w:rPr>
                <w:highlight w:val="green"/>
              </w:rPr>
              <w:lastRenderedPageBreak/>
              <w:t>(98</w:t>
            </w:r>
            <w:r w:rsidR="00F34D70" w:rsidRPr="007C0EF4">
              <w:rPr>
                <w:highlight w:val="green"/>
              </w:rPr>
              <w:t xml:space="preserve">) </w:t>
            </w:r>
          </w:p>
        </w:tc>
        <w:tc>
          <w:tcPr>
            <w:tcW w:w="1080" w:type="dxa"/>
          </w:tcPr>
          <w:p w:rsidR="00F34D70" w:rsidRPr="007C0EF4" w:rsidRDefault="00AD3F42" w:rsidP="008E0E79">
            <w:pPr>
              <w:spacing w:before="80" w:after="80"/>
              <w:rPr>
                <w:highlight w:val="green"/>
              </w:rPr>
            </w:pPr>
            <w:r w:rsidRPr="007C0EF4">
              <w:rPr>
                <w:highlight w:val="green"/>
              </w:rPr>
              <w:t>(107)</w:t>
            </w:r>
          </w:p>
        </w:tc>
        <w:tc>
          <w:tcPr>
            <w:tcW w:w="5040" w:type="dxa"/>
          </w:tcPr>
          <w:p w:rsidR="00F34D70" w:rsidRPr="007039E7" w:rsidRDefault="00F34D70" w:rsidP="008E0E79">
            <w:pPr>
              <w:spacing w:before="80" w:after="80"/>
            </w:pPr>
            <w:r>
              <w:t>Add part 52 to the CFR citations for reference methods</w:t>
            </w:r>
          </w:p>
        </w:tc>
        <w:tc>
          <w:tcPr>
            <w:tcW w:w="6390" w:type="dxa"/>
          </w:tcPr>
          <w:p w:rsidR="00F34D70" w:rsidRPr="007039E7" w:rsidRDefault="00F34D70" w:rsidP="008E0E79">
            <w:pPr>
              <w:spacing w:before="80" w:after="80"/>
            </w:pPr>
            <w:r>
              <w:t>Appendix M of Part 52 includes reference methods for condensable PM.</w:t>
            </w:r>
          </w:p>
        </w:tc>
      </w:tr>
      <w:tr w:rsidR="00F34D70" w:rsidTr="00057B8D">
        <w:tc>
          <w:tcPr>
            <w:tcW w:w="918" w:type="dxa"/>
          </w:tcPr>
          <w:p w:rsidR="00F34D70" w:rsidRDefault="00F34D70" w:rsidP="00F61DCA">
            <w:pPr>
              <w:spacing w:before="80" w:after="80"/>
              <w:rPr>
                <w:b/>
              </w:rPr>
            </w:pPr>
            <w:r>
              <w:rPr>
                <w:b/>
              </w:rPr>
              <w:lastRenderedPageBreak/>
              <w:t>200-0020</w:t>
            </w:r>
          </w:p>
        </w:tc>
        <w:tc>
          <w:tcPr>
            <w:tcW w:w="1170" w:type="dxa"/>
          </w:tcPr>
          <w:p w:rsidR="00F34D70" w:rsidRPr="007C0EF4" w:rsidRDefault="00F34D70" w:rsidP="008E0E79">
            <w:pPr>
              <w:spacing w:before="80" w:after="80"/>
              <w:rPr>
                <w:highlight w:val="green"/>
              </w:rPr>
            </w:pPr>
            <w:r w:rsidRPr="007C0EF4">
              <w:rPr>
                <w:highlight w:val="green"/>
              </w:rPr>
              <w:t xml:space="preserve">(100) </w:t>
            </w:r>
          </w:p>
        </w:tc>
        <w:tc>
          <w:tcPr>
            <w:tcW w:w="1080" w:type="dxa"/>
          </w:tcPr>
          <w:p w:rsidR="00F34D70" w:rsidRPr="007C0EF4" w:rsidRDefault="00AD3F42" w:rsidP="008E0E79">
            <w:pPr>
              <w:spacing w:before="80" w:after="80"/>
              <w:rPr>
                <w:highlight w:val="green"/>
              </w:rPr>
            </w:pPr>
            <w:r w:rsidRPr="007C0EF4">
              <w:rPr>
                <w:highlight w:val="green"/>
              </w:rPr>
              <w:t>(109)</w:t>
            </w:r>
          </w:p>
        </w:tc>
        <w:tc>
          <w:tcPr>
            <w:tcW w:w="5040" w:type="dxa"/>
          </w:tcPr>
          <w:p w:rsidR="00F34D70" w:rsidRDefault="00F34D70" w:rsidP="008E0E79">
            <w:pPr>
              <w:spacing w:before="80" w:after="80"/>
            </w:pPr>
            <w:r>
              <w:t>Add GHG and any other pollutant regulated under the Clean Air Act to definition of regulated pollutant</w:t>
            </w:r>
          </w:p>
        </w:tc>
        <w:tc>
          <w:tcPr>
            <w:tcW w:w="6390" w:type="dxa"/>
          </w:tcPr>
          <w:p w:rsidR="00F34D70" w:rsidRDefault="00F34D70" w:rsidP="008E0E79">
            <w:pPr>
              <w:spacing w:before="80" w:after="80"/>
            </w:pPr>
            <w:r>
              <w:t>This is a requirement for SIPs.  See CFR 51.166(b)(1)(i)(a)</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F34D70" w:rsidP="008E0E79">
            <w:pPr>
              <w:spacing w:before="80" w:after="80"/>
              <w:rPr>
                <w:highlight w:val="green"/>
              </w:rPr>
            </w:pPr>
            <w:r w:rsidRPr="007C0EF4">
              <w:rPr>
                <w:highlight w:val="green"/>
              </w:rPr>
              <w:t>(100)</w:t>
            </w:r>
            <w:r w:rsidR="00AD3F42" w:rsidRPr="007C0EF4">
              <w:rPr>
                <w:highlight w:val="green"/>
              </w:rPr>
              <w:t>(c)</w:t>
            </w:r>
          </w:p>
        </w:tc>
        <w:tc>
          <w:tcPr>
            <w:tcW w:w="1080" w:type="dxa"/>
          </w:tcPr>
          <w:p w:rsidR="00F34D70" w:rsidRPr="007C0EF4" w:rsidRDefault="00AD3F42" w:rsidP="008E0E79">
            <w:pPr>
              <w:spacing w:before="80" w:after="80"/>
              <w:rPr>
                <w:highlight w:val="green"/>
              </w:rPr>
            </w:pPr>
            <w:r w:rsidRPr="007C0EF4">
              <w:rPr>
                <w:highlight w:val="green"/>
              </w:rPr>
              <w:t>(109)(c)</w:t>
            </w:r>
          </w:p>
        </w:tc>
        <w:tc>
          <w:tcPr>
            <w:tcW w:w="5040" w:type="dxa"/>
          </w:tcPr>
          <w:p w:rsidR="00F34D70" w:rsidRPr="008A0DAE" w:rsidRDefault="00F34D70" w:rsidP="008E0E79">
            <w:pPr>
              <w:spacing w:before="80" w:after="80"/>
            </w:pPr>
            <w:r>
              <w:t xml:space="preserve">Clarify </w:t>
            </w:r>
            <w:r w:rsidR="006318B5">
              <w:t xml:space="preserve">the </w:t>
            </w:r>
            <w:r>
              <w:t>definition of regulated pollutant for pollutants subject to NSR</w:t>
            </w:r>
          </w:p>
        </w:tc>
        <w:tc>
          <w:tcPr>
            <w:tcW w:w="6390" w:type="dxa"/>
          </w:tcPr>
          <w:p w:rsidR="00F34D70" w:rsidRPr="008A0DAE" w:rsidRDefault="00F34D70" w:rsidP="008E0E79">
            <w:pPr>
              <w:spacing w:before="80" w:after="80"/>
            </w:pPr>
            <w:r>
              <w:t>Ensures that only regulated pollutants with Significant Emission Rates are subject to NSR</w:t>
            </w:r>
          </w:p>
        </w:tc>
      </w:tr>
      <w:tr w:rsidR="00F34D70" w:rsidRPr="00231F88" w:rsidTr="00057B8D">
        <w:tc>
          <w:tcPr>
            <w:tcW w:w="918" w:type="dxa"/>
          </w:tcPr>
          <w:p w:rsidR="00F34D70" w:rsidRPr="00D32A95" w:rsidRDefault="00F34D70" w:rsidP="00F61DCA">
            <w:pPr>
              <w:spacing w:before="80" w:after="80"/>
              <w:rPr>
                <w:b/>
              </w:rPr>
            </w:pPr>
            <w:r w:rsidRPr="00D32A95">
              <w:rPr>
                <w:b/>
              </w:rPr>
              <w:t>200-0020</w:t>
            </w:r>
          </w:p>
        </w:tc>
        <w:tc>
          <w:tcPr>
            <w:tcW w:w="1170" w:type="dxa"/>
          </w:tcPr>
          <w:p w:rsidR="00F34D70" w:rsidRPr="007C0EF4" w:rsidRDefault="00F34D70" w:rsidP="008E0E79">
            <w:pPr>
              <w:spacing w:before="80" w:after="80"/>
              <w:rPr>
                <w:highlight w:val="green"/>
              </w:rPr>
            </w:pPr>
            <w:r w:rsidRPr="007C0EF4">
              <w:rPr>
                <w:highlight w:val="green"/>
              </w:rPr>
              <w:t>(126)</w:t>
            </w:r>
          </w:p>
        </w:tc>
        <w:tc>
          <w:tcPr>
            <w:tcW w:w="1080" w:type="dxa"/>
          </w:tcPr>
          <w:p w:rsidR="00F34D70" w:rsidRPr="007C0EF4" w:rsidRDefault="00184031" w:rsidP="008E0E79">
            <w:pPr>
              <w:spacing w:before="80" w:after="80"/>
              <w:rPr>
                <w:highlight w:val="green"/>
              </w:rPr>
            </w:pPr>
            <w:r w:rsidRPr="007C0EF4">
              <w:rPr>
                <w:highlight w:val="green"/>
              </w:rPr>
              <w:t>(135)</w:t>
            </w:r>
          </w:p>
        </w:tc>
        <w:tc>
          <w:tcPr>
            <w:tcW w:w="5040" w:type="dxa"/>
          </w:tcPr>
          <w:p w:rsidR="00F34D70" w:rsidRPr="00D32A95" w:rsidRDefault="006318B5" w:rsidP="00307C61">
            <w:pPr>
              <w:spacing w:before="80" w:after="80"/>
            </w:pPr>
            <w:r w:rsidRPr="00D32A95">
              <w:t>Clarify the definition of significant air quality impact</w:t>
            </w:r>
          </w:p>
        </w:tc>
        <w:tc>
          <w:tcPr>
            <w:tcW w:w="6390" w:type="dxa"/>
          </w:tcPr>
          <w:p w:rsidR="00F34D70" w:rsidRPr="00307C61" w:rsidRDefault="001F339F" w:rsidP="001F339F">
            <w:pPr>
              <w:pStyle w:val="CommentText"/>
              <w:spacing w:before="80" w:after="80"/>
            </w:pPr>
            <w:r w:rsidRPr="00D32A95">
              <w:t>Significant air quality impact levels are used to protect the ambient air quality impacts and the PSD increments in all Class areas so the definition has been changed to reflect current implementation.</w:t>
            </w:r>
            <w:r>
              <w:t xml:space="preserve">  </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F34D70" w:rsidP="008E0E79">
            <w:pPr>
              <w:spacing w:before="80" w:after="80"/>
              <w:rPr>
                <w:highlight w:val="green"/>
              </w:rPr>
            </w:pPr>
            <w:r w:rsidRPr="007C0EF4">
              <w:rPr>
                <w:highlight w:val="green"/>
              </w:rPr>
              <w:t>(127)</w:t>
            </w:r>
          </w:p>
        </w:tc>
        <w:tc>
          <w:tcPr>
            <w:tcW w:w="1080" w:type="dxa"/>
          </w:tcPr>
          <w:p w:rsidR="00F34D70" w:rsidRPr="007C0EF4" w:rsidRDefault="00D32A95" w:rsidP="008E0E79">
            <w:pPr>
              <w:spacing w:before="80" w:after="80"/>
              <w:rPr>
                <w:highlight w:val="green"/>
              </w:rPr>
            </w:pPr>
            <w:r w:rsidRPr="007C0EF4">
              <w:rPr>
                <w:highlight w:val="green"/>
              </w:rPr>
              <w:t>(136)</w:t>
            </w:r>
          </w:p>
        </w:tc>
        <w:tc>
          <w:tcPr>
            <w:tcW w:w="5040" w:type="dxa"/>
          </w:tcPr>
          <w:p w:rsidR="00F34D70" w:rsidRDefault="00F34D70" w:rsidP="008E0E79">
            <w:pPr>
              <w:spacing w:before="80" w:after="80"/>
            </w:pPr>
            <w:r>
              <w:t>Add exception for GHG emissions impacting Class I areas.</w:t>
            </w:r>
          </w:p>
        </w:tc>
        <w:tc>
          <w:tcPr>
            <w:tcW w:w="6390" w:type="dxa"/>
          </w:tcPr>
          <w:p w:rsidR="00F34D70" w:rsidRDefault="00F34D70" w:rsidP="008E0E79">
            <w:pPr>
              <w:spacing w:before="80" w:after="80"/>
            </w:pPr>
            <w:r>
              <w:t>There is no ambient standard for GHG, so this provision should not apply to GHG emissions.</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D32A95" w:rsidP="008E0E79">
            <w:pPr>
              <w:spacing w:before="80" w:after="80"/>
              <w:rPr>
                <w:highlight w:val="green"/>
              </w:rPr>
            </w:pPr>
            <w:r w:rsidRPr="007C0EF4">
              <w:rPr>
                <w:highlight w:val="green"/>
              </w:rPr>
              <w:t>NA</w:t>
            </w:r>
          </w:p>
        </w:tc>
        <w:tc>
          <w:tcPr>
            <w:tcW w:w="1080" w:type="dxa"/>
          </w:tcPr>
          <w:p w:rsidR="00F34D70" w:rsidRPr="007C0EF4" w:rsidRDefault="00D32A95" w:rsidP="008E0E79">
            <w:pPr>
              <w:spacing w:before="80" w:after="80"/>
              <w:rPr>
                <w:highlight w:val="green"/>
              </w:rPr>
            </w:pPr>
            <w:r w:rsidRPr="007C0EF4">
              <w:rPr>
                <w:highlight w:val="green"/>
              </w:rPr>
              <w:t>(138)</w:t>
            </w:r>
          </w:p>
        </w:tc>
        <w:tc>
          <w:tcPr>
            <w:tcW w:w="5040" w:type="dxa"/>
          </w:tcPr>
          <w:p w:rsidR="00F34D70" w:rsidRPr="0065092C" w:rsidRDefault="00F34D70" w:rsidP="008E0E79">
            <w:pPr>
              <w:spacing w:before="80" w:after="80"/>
            </w:pPr>
            <w:r w:rsidRPr="0065092C">
              <w:t>Add definition of small scale local energy project</w:t>
            </w:r>
          </w:p>
        </w:tc>
        <w:tc>
          <w:tcPr>
            <w:tcW w:w="6390" w:type="dxa"/>
          </w:tcPr>
          <w:p w:rsidR="00F34D70" w:rsidRPr="0065092C" w:rsidRDefault="00F34D70" w:rsidP="008E0E79">
            <w:pPr>
              <w:spacing w:before="80" w:after="80"/>
            </w:pPr>
            <w:r w:rsidRPr="0065092C">
              <w:t>House Bill 2952 amended ORS 468A.040 to add an exception for small scale local energy projects regarding net air quality benefit</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4D45CF" w:rsidP="008E0E79">
            <w:pPr>
              <w:spacing w:before="80" w:after="80"/>
              <w:rPr>
                <w:highlight w:val="green"/>
              </w:rPr>
            </w:pPr>
            <w:r w:rsidRPr="007C0EF4">
              <w:rPr>
                <w:highlight w:val="green"/>
              </w:rPr>
              <w:t>NA</w:t>
            </w:r>
          </w:p>
        </w:tc>
        <w:tc>
          <w:tcPr>
            <w:tcW w:w="1080" w:type="dxa"/>
          </w:tcPr>
          <w:p w:rsidR="00F34D70" w:rsidRPr="007C0EF4" w:rsidRDefault="004D45CF" w:rsidP="008E0E79">
            <w:pPr>
              <w:spacing w:before="80" w:after="80"/>
              <w:rPr>
                <w:highlight w:val="green"/>
              </w:rPr>
            </w:pPr>
            <w:r w:rsidRPr="007C0EF4">
              <w:rPr>
                <w:highlight w:val="green"/>
              </w:rPr>
              <w:t>(142)</w:t>
            </w:r>
          </w:p>
        </w:tc>
        <w:tc>
          <w:tcPr>
            <w:tcW w:w="5040" w:type="dxa"/>
          </w:tcPr>
          <w:p w:rsidR="00F34D70" w:rsidRPr="008A0DAE" w:rsidRDefault="00F34D70" w:rsidP="008E0E79">
            <w:pPr>
              <w:spacing w:before="80" w:after="80"/>
            </w:pPr>
            <w:r w:rsidRPr="008A0DAE">
              <w:t>Add definition of standard cubic foot</w:t>
            </w:r>
          </w:p>
        </w:tc>
        <w:tc>
          <w:tcPr>
            <w:tcW w:w="6390" w:type="dxa"/>
          </w:tcPr>
          <w:p w:rsidR="00F34D70" w:rsidRPr="008A0DAE" w:rsidRDefault="00F34D70" w:rsidP="008E0E79">
            <w:pPr>
              <w:spacing w:before="80" w:after="80"/>
            </w:pPr>
            <w:r w:rsidRPr="008A0DAE">
              <w:t>Move definition of standard cubic foot from Divisions 208, 226, 228 and incorporate definition of standard conditions</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4D45CF" w:rsidP="008E0E79">
            <w:pPr>
              <w:spacing w:before="80" w:after="80"/>
              <w:rPr>
                <w:highlight w:val="green"/>
              </w:rPr>
            </w:pPr>
            <w:r w:rsidRPr="007C0EF4">
              <w:rPr>
                <w:highlight w:val="green"/>
              </w:rPr>
              <w:t>NA</w:t>
            </w:r>
          </w:p>
        </w:tc>
        <w:tc>
          <w:tcPr>
            <w:tcW w:w="1080" w:type="dxa"/>
          </w:tcPr>
          <w:p w:rsidR="00F34D70" w:rsidRPr="007C0EF4" w:rsidRDefault="004D45CF" w:rsidP="008E0E79">
            <w:pPr>
              <w:spacing w:before="80" w:after="80"/>
              <w:rPr>
                <w:highlight w:val="green"/>
              </w:rPr>
            </w:pPr>
            <w:r w:rsidRPr="007C0EF4">
              <w:rPr>
                <w:highlight w:val="green"/>
              </w:rPr>
              <w:t>(154)</w:t>
            </w:r>
          </w:p>
        </w:tc>
        <w:tc>
          <w:tcPr>
            <w:tcW w:w="5040" w:type="dxa"/>
          </w:tcPr>
          <w:p w:rsidR="00F34D70" w:rsidRDefault="00F34D70" w:rsidP="008E0E79">
            <w:pPr>
              <w:spacing w:before="80" w:after="80"/>
            </w:pPr>
            <w:r>
              <w:t>Add definition of veneer</w:t>
            </w:r>
          </w:p>
        </w:tc>
        <w:tc>
          <w:tcPr>
            <w:tcW w:w="6390" w:type="dxa"/>
          </w:tcPr>
          <w:p w:rsidR="00F34D70" w:rsidRPr="008923DE" w:rsidRDefault="00F34D70" w:rsidP="008E0E79">
            <w:pPr>
              <w:spacing w:before="80" w:after="80"/>
            </w:pPr>
            <w:r>
              <w:t>Move from Divisions 234 and 240</w:t>
            </w:r>
          </w:p>
        </w:tc>
      </w:tr>
      <w:tr w:rsidR="00F34D70" w:rsidTr="00057B8D">
        <w:tc>
          <w:tcPr>
            <w:tcW w:w="918" w:type="dxa"/>
          </w:tcPr>
          <w:p w:rsidR="00F34D70" w:rsidRPr="00A1509A" w:rsidRDefault="00F34D70" w:rsidP="00F61DCA">
            <w:pPr>
              <w:spacing w:before="80" w:after="80"/>
              <w:rPr>
                <w:b/>
              </w:rPr>
            </w:pPr>
            <w:r w:rsidRPr="00A1509A">
              <w:rPr>
                <w:b/>
              </w:rPr>
              <w:t>200-0020</w:t>
            </w:r>
          </w:p>
        </w:tc>
        <w:tc>
          <w:tcPr>
            <w:tcW w:w="1170" w:type="dxa"/>
          </w:tcPr>
          <w:p w:rsidR="00F34D70" w:rsidRPr="007C0EF4" w:rsidRDefault="004D45CF" w:rsidP="008E0E79">
            <w:pPr>
              <w:spacing w:before="80" w:after="80"/>
              <w:rPr>
                <w:highlight w:val="green"/>
              </w:rPr>
            </w:pPr>
            <w:r w:rsidRPr="007C0EF4">
              <w:rPr>
                <w:highlight w:val="green"/>
              </w:rPr>
              <w:t>(144)</w:t>
            </w:r>
          </w:p>
        </w:tc>
        <w:tc>
          <w:tcPr>
            <w:tcW w:w="1080" w:type="dxa"/>
          </w:tcPr>
          <w:p w:rsidR="00F34D70" w:rsidRPr="007C0EF4" w:rsidRDefault="004D45CF" w:rsidP="008E0E79">
            <w:pPr>
              <w:spacing w:before="80" w:after="80"/>
              <w:rPr>
                <w:highlight w:val="green"/>
              </w:rPr>
            </w:pPr>
            <w:r w:rsidRPr="007C0EF4">
              <w:rPr>
                <w:highlight w:val="green"/>
              </w:rPr>
              <w:t>(156)</w:t>
            </w:r>
          </w:p>
        </w:tc>
        <w:tc>
          <w:tcPr>
            <w:tcW w:w="5040" w:type="dxa"/>
          </w:tcPr>
          <w:p w:rsidR="00F34D70" w:rsidRPr="00A1509A" w:rsidRDefault="00F34D70" w:rsidP="00A1509A">
            <w:pPr>
              <w:spacing w:before="80" w:after="80"/>
            </w:pPr>
            <w:r w:rsidRPr="00A1509A">
              <w:t xml:space="preserve">Add </w:t>
            </w:r>
            <w:r w:rsidRPr="00A1509A">
              <w:rPr>
                <w:sz w:val="24"/>
                <w:szCs w:val="24"/>
              </w:rPr>
              <w:t>propylene carbonate</w:t>
            </w:r>
            <w:r w:rsidRPr="00A1509A">
              <w:t xml:space="preserve"> to definition of VOC</w:t>
            </w:r>
          </w:p>
        </w:tc>
        <w:tc>
          <w:tcPr>
            <w:tcW w:w="6390" w:type="dxa"/>
          </w:tcPr>
          <w:p w:rsidR="00F34D70" w:rsidRPr="00A1509A" w:rsidRDefault="00F34D70" w:rsidP="008E0E79">
            <w:pPr>
              <w:spacing w:before="80" w:after="80"/>
            </w:pPr>
            <w:r w:rsidRPr="00A1509A">
              <w:t xml:space="preserve">This pollutant has been added to the list of volatile organic compounds by the EPA.  </w:t>
            </w:r>
          </w:p>
        </w:tc>
      </w:tr>
      <w:tr w:rsidR="00F34D70" w:rsidTr="00057B8D">
        <w:tc>
          <w:tcPr>
            <w:tcW w:w="918" w:type="dxa"/>
          </w:tcPr>
          <w:p w:rsidR="00F34D70" w:rsidRDefault="00F34D70" w:rsidP="00F61DCA">
            <w:pPr>
              <w:spacing w:before="80" w:after="80"/>
              <w:rPr>
                <w:b/>
              </w:rPr>
            </w:pPr>
            <w:r>
              <w:rPr>
                <w:b/>
              </w:rPr>
              <w:t>200-0020</w:t>
            </w:r>
          </w:p>
        </w:tc>
        <w:tc>
          <w:tcPr>
            <w:tcW w:w="1170" w:type="dxa"/>
          </w:tcPr>
          <w:p w:rsidR="00F34D70" w:rsidRPr="007C0EF4" w:rsidRDefault="004D45CF" w:rsidP="00057B8D">
            <w:pPr>
              <w:spacing w:before="80" w:after="80"/>
              <w:rPr>
                <w:highlight w:val="green"/>
              </w:rPr>
            </w:pPr>
            <w:r w:rsidRPr="007C0EF4">
              <w:rPr>
                <w:highlight w:val="green"/>
              </w:rPr>
              <w:t>NA</w:t>
            </w:r>
          </w:p>
        </w:tc>
        <w:tc>
          <w:tcPr>
            <w:tcW w:w="1080" w:type="dxa"/>
          </w:tcPr>
          <w:p w:rsidR="00F34D70" w:rsidRPr="007C0EF4" w:rsidRDefault="004D45CF" w:rsidP="008E0E79">
            <w:pPr>
              <w:spacing w:before="80" w:after="80"/>
              <w:rPr>
                <w:highlight w:val="green"/>
              </w:rPr>
            </w:pPr>
            <w:r w:rsidRPr="007C0EF4">
              <w:rPr>
                <w:highlight w:val="green"/>
              </w:rPr>
              <w:t>(157)</w:t>
            </w:r>
          </w:p>
        </w:tc>
        <w:tc>
          <w:tcPr>
            <w:tcW w:w="5040" w:type="dxa"/>
          </w:tcPr>
          <w:p w:rsidR="00F34D70" w:rsidRDefault="00F34D70" w:rsidP="008E0E79">
            <w:pPr>
              <w:spacing w:before="80" w:after="80"/>
            </w:pPr>
            <w:r>
              <w:t>Add definition of wigwam waste burner</w:t>
            </w:r>
          </w:p>
        </w:tc>
        <w:tc>
          <w:tcPr>
            <w:tcW w:w="6390" w:type="dxa"/>
          </w:tcPr>
          <w:p w:rsidR="00F34D70" w:rsidRPr="008923DE" w:rsidRDefault="00F34D70" w:rsidP="008E0E79">
            <w:pPr>
              <w:spacing w:before="80" w:after="80"/>
            </w:pPr>
            <w:r>
              <w:t>Move from Divisions 234 and 240</w:t>
            </w:r>
          </w:p>
        </w:tc>
      </w:tr>
      <w:tr w:rsidR="004D45CF" w:rsidTr="00A25E55">
        <w:tc>
          <w:tcPr>
            <w:tcW w:w="918" w:type="dxa"/>
          </w:tcPr>
          <w:p w:rsidR="004D45CF" w:rsidRDefault="004D45CF" w:rsidP="00A25E55">
            <w:pPr>
              <w:spacing w:before="80" w:after="80"/>
              <w:rPr>
                <w:b/>
              </w:rPr>
            </w:pPr>
            <w:r>
              <w:rPr>
                <w:b/>
              </w:rPr>
              <w:t>200-0025</w:t>
            </w:r>
          </w:p>
        </w:tc>
        <w:tc>
          <w:tcPr>
            <w:tcW w:w="1170" w:type="dxa"/>
          </w:tcPr>
          <w:p w:rsidR="004D45CF" w:rsidRPr="007C0EF4" w:rsidRDefault="004D45CF" w:rsidP="00A25E55">
            <w:pPr>
              <w:spacing w:before="80" w:after="80"/>
              <w:rPr>
                <w:highlight w:val="green"/>
              </w:rPr>
            </w:pPr>
            <w:r w:rsidRPr="007C0EF4">
              <w:rPr>
                <w:highlight w:val="green"/>
              </w:rPr>
              <w:t>NA</w:t>
            </w:r>
          </w:p>
        </w:tc>
        <w:tc>
          <w:tcPr>
            <w:tcW w:w="1080" w:type="dxa"/>
          </w:tcPr>
          <w:p w:rsidR="004D45CF" w:rsidRPr="007C0EF4" w:rsidRDefault="004D45CF" w:rsidP="00A25E55">
            <w:pPr>
              <w:spacing w:before="80" w:after="80"/>
              <w:rPr>
                <w:highlight w:val="green"/>
              </w:rPr>
            </w:pPr>
            <w:r w:rsidRPr="007C0EF4">
              <w:rPr>
                <w:highlight w:val="green"/>
              </w:rPr>
              <w:t>(24)</w:t>
            </w:r>
          </w:p>
        </w:tc>
        <w:tc>
          <w:tcPr>
            <w:tcW w:w="5040" w:type="dxa"/>
          </w:tcPr>
          <w:p w:rsidR="004D45CF" w:rsidRDefault="004D45CF" w:rsidP="00A25E55">
            <w:pPr>
              <w:spacing w:before="80" w:after="80"/>
            </w:pPr>
            <w:r>
              <w:t>Add CO2e to Abbreviations and Acronyms</w:t>
            </w:r>
          </w:p>
        </w:tc>
        <w:tc>
          <w:tcPr>
            <w:tcW w:w="6390" w:type="dxa"/>
          </w:tcPr>
          <w:p w:rsidR="004D45CF" w:rsidRDefault="004D45CF" w:rsidP="00A25E55">
            <w:pPr>
              <w:spacing w:before="80" w:after="80"/>
            </w:pPr>
            <w:r>
              <w:t>CO2e is needed for the definition of greenhouse gases</w:t>
            </w:r>
          </w:p>
        </w:tc>
      </w:tr>
      <w:tr w:rsidR="004D45CF" w:rsidTr="00A25E55">
        <w:tc>
          <w:tcPr>
            <w:tcW w:w="918" w:type="dxa"/>
          </w:tcPr>
          <w:p w:rsidR="004D45CF" w:rsidRDefault="004D45CF" w:rsidP="00A25E55">
            <w:pPr>
              <w:spacing w:before="80" w:after="80"/>
              <w:rPr>
                <w:b/>
              </w:rPr>
            </w:pPr>
            <w:r>
              <w:rPr>
                <w:b/>
              </w:rPr>
              <w:t>200-0025</w:t>
            </w:r>
          </w:p>
        </w:tc>
        <w:tc>
          <w:tcPr>
            <w:tcW w:w="1170" w:type="dxa"/>
          </w:tcPr>
          <w:p w:rsidR="004D45CF" w:rsidRPr="007C0EF4" w:rsidRDefault="004D45CF" w:rsidP="00A25E55">
            <w:pPr>
              <w:spacing w:before="80" w:after="80"/>
              <w:rPr>
                <w:highlight w:val="green"/>
              </w:rPr>
            </w:pPr>
            <w:r w:rsidRPr="007C0EF4">
              <w:rPr>
                <w:highlight w:val="green"/>
              </w:rPr>
              <w:t>NA</w:t>
            </w:r>
          </w:p>
        </w:tc>
        <w:tc>
          <w:tcPr>
            <w:tcW w:w="1080" w:type="dxa"/>
          </w:tcPr>
          <w:p w:rsidR="004D45CF" w:rsidRPr="007C0EF4" w:rsidRDefault="004D45CF" w:rsidP="00A25E55">
            <w:pPr>
              <w:spacing w:before="80" w:after="80"/>
              <w:rPr>
                <w:highlight w:val="green"/>
              </w:rPr>
            </w:pPr>
            <w:r w:rsidRPr="007C0EF4">
              <w:rPr>
                <w:highlight w:val="green"/>
              </w:rPr>
              <w:t>(43)</w:t>
            </w:r>
          </w:p>
        </w:tc>
        <w:tc>
          <w:tcPr>
            <w:tcW w:w="5040" w:type="dxa"/>
          </w:tcPr>
          <w:p w:rsidR="004D45CF" w:rsidRDefault="004D45CF" w:rsidP="00A25E55">
            <w:pPr>
              <w:spacing w:before="80" w:after="80"/>
            </w:pPr>
            <w:r>
              <w:t>Add GHG to Abbreviations and Acronyms</w:t>
            </w:r>
          </w:p>
        </w:tc>
        <w:tc>
          <w:tcPr>
            <w:tcW w:w="6390" w:type="dxa"/>
          </w:tcPr>
          <w:p w:rsidR="004D45CF" w:rsidRDefault="004D45CF" w:rsidP="00A25E55">
            <w:pPr>
              <w:spacing w:before="80" w:after="80"/>
            </w:pPr>
            <w:r>
              <w:t>GHG is a newly regulated pollutant</w:t>
            </w:r>
          </w:p>
        </w:tc>
      </w:tr>
      <w:tr w:rsidR="004D45CF" w:rsidTr="00057B8D">
        <w:tc>
          <w:tcPr>
            <w:tcW w:w="918" w:type="dxa"/>
          </w:tcPr>
          <w:p w:rsidR="004D45CF" w:rsidRDefault="004D45CF" w:rsidP="00F61DCA">
            <w:pPr>
              <w:spacing w:before="80" w:after="80"/>
              <w:rPr>
                <w:b/>
              </w:rPr>
            </w:pPr>
            <w:r>
              <w:rPr>
                <w:b/>
              </w:rPr>
              <w:t>200-0025</w:t>
            </w:r>
          </w:p>
        </w:tc>
        <w:tc>
          <w:tcPr>
            <w:tcW w:w="1170" w:type="dxa"/>
          </w:tcPr>
          <w:p w:rsidR="004D45CF" w:rsidRPr="007C0EF4" w:rsidRDefault="004D45CF" w:rsidP="00057B8D">
            <w:pPr>
              <w:spacing w:before="80" w:after="80"/>
              <w:rPr>
                <w:highlight w:val="green"/>
              </w:rPr>
            </w:pPr>
            <w:r w:rsidRPr="007C0EF4">
              <w:rPr>
                <w:highlight w:val="green"/>
              </w:rPr>
              <w:t>NA</w:t>
            </w:r>
          </w:p>
        </w:tc>
        <w:tc>
          <w:tcPr>
            <w:tcW w:w="1080" w:type="dxa"/>
          </w:tcPr>
          <w:p w:rsidR="004D45CF" w:rsidRPr="007C0EF4" w:rsidRDefault="004D45CF" w:rsidP="008E0E79">
            <w:pPr>
              <w:spacing w:before="80" w:after="80"/>
              <w:rPr>
                <w:highlight w:val="green"/>
              </w:rPr>
            </w:pPr>
            <w:r w:rsidRPr="007C0EF4">
              <w:rPr>
                <w:highlight w:val="green"/>
              </w:rPr>
              <w:t>(85)</w:t>
            </w:r>
          </w:p>
        </w:tc>
        <w:tc>
          <w:tcPr>
            <w:tcW w:w="5040" w:type="dxa"/>
          </w:tcPr>
          <w:p w:rsidR="004D45CF" w:rsidRDefault="004D45CF" w:rsidP="004D45CF">
            <w:pPr>
              <w:spacing w:before="80" w:after="80"/>
            </w:pPr>
            <w:r>
              <w:t>Add PM2.5 to Abbreviations and Acronyms</w:t>
            </w:r>
          </w:p>
        </w:tc>
        <w:tc>
          <w:tcPr>
            <w:tcW w:w="6390" w:type="dxa"/>
          </w:tcPr>
          <w:p w:rsidR="004D45CF" w:rsidRDefault="004D45CF" w:rsidP="008E0E79">
            <w:pPr>
              <w:spacing w:before="80" w:after="80"/>
            </w:pPr>
            <w:r>
              <w:t>PM2.5 is a newly regulated pollutant</w:t>
            </w:r>
          </w:p>
        </w:tc>
      </w:tr>
    </w:tbl>
    <w:p w:rsidR="00D10088" w:rsidRDefault="00D10088">
      <w:r>
        <w:br w:type="page"/>
      </w:r>
    </w:p>
    <w:tbl>
      <w:tblPr>
        <w:tblW w:w="1459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440"/>
        <w:gridCol w:w="5850"/>
        <w:gridCol w:w="6390"/>
      </w:tblGrid>
      <w:tr w:rsidR="00B807C1" w:rsidRPr="008923DE" w:rsidTr="0028683C">
        <w:trPr>
          <w:tblHeader/>
        </w:trPr>
        <w:tc>
          <w:tcPr>
            <w:tcW w:w="918" w:type="dxa"/>
          </w:tcPr>
          <w:p w:rsidR="00B807C1" w:rsidRPr="008923DE" w:rsidRDefault="00B807C1" w:rsidP="008F79CD">
            <w:pPr>
              <w:spacing w:before="80" w:after="80"/>
              <w:jc w:val="center"/>
              <w:rPr>
                <w:b/>
              </w:rPr>
            </w:pPr>
            <w:r w:rsidRPr="008923DE">
              <w:rPr>
                <w:b/>
              </w:rPr>
              <w:lastRenderedPageBreak/>
              <w:t>Division</w:t>
            </w:r>
          </w:p>
        </w:tc>
        <w:tc>
          <w:tcPr>
            <w:tcW w:w="1440" w:type="dxa"/>
          </w:tcPr>
          <w:p w:rsidR="00B807C1" w:rsidRPr="003F3264" w:rsidRDefault="00B807C1" w:rsidP="000E0B5F">
            <w:pPr>
              <w:spacing w:before="80" w:after="80"/>
              <w:jc w:val="center"/>
              <w:rPr>
                <w:b/>
                <w:highlight w:val="yellow"/>
              </w:rPr>
            </w:pPr>
            <w:r w:rsidRPr="000E0B5F">
              <w:rPr>
                <w:b/>
              </w:rPr>
              <w:t>Rule</w:t>
            </w:r>
          </w:p>
        </w:tc>
        <w:tc>
          <w:tcPr>
            <w:tcW w:w="5850" w:type="dxa"/>
          </w:tcPr>
          <w:p w:rsidR="00B807C1" w:rsidRPr="008923DE" w:rsidRDefault="00B807C1" w:rsidP="008F79CD">
            <w:pPr>
              <w:spacing w:before="80" w:after="80"/>
              <w:jc w:val="center"/>
              <w:rPr>
                <w:b/>
              </w:rPr>
            </w:pPr>
            <w:r w:rsidRPr="008923DE">
              <w:rPr>
                <w:b/>
              </w:rPr>
              <w:t>Suggested change</w:t>
            </w:r>
          </w:p>
        </w:tc>
        <w:tc>
          <w:tcPr>
            <w:tcW w:w="6390" w:type="dxa"/>
          </w:tcPr>
          <w:p w:rsidR="00B807C1" w:rsidRPr="008923DE" w:rsidRDefault="00B807C1" w:rsidP="008F79CD">
            <w:pPr>
              <w:spacing w:before="80" w:after="80"/>
              <w:jc w:val="center"/>
              <w:rPr>
                <w:b/>
              </w:rPr>
            </w:pPr>
            <w:r>
              <w:rPr>
                <w:b/>
              </w:rPr>
              <w:t>Reason/Issues</w:t>
            </w:r>
          </w:p>
        </w:tc>
      </w:tr>
      <w:tr w:rsidR="00476C90" w:rsidRPr="008923DE" w:rsidTr="0028683C">
        <w:tc>
          <w:tcPr>
            <w:tcW w:w="918" w:type="dxa"/>
          </w:tcPr>
          <w:p w:rsidR="00476C90" w:rsidRPr="00B807C1" w:rsidRDefault="00476C90" w:rsidP="00A25E55">
            <w:pPr>
              <w:spacing w:before="80" w:after="80"/>
              <w:rPr>
                <w:b/>
              </w:rPr>
            </w:pPr>
            <w:r w:rsidRPr="00B807C1">
              <w:rPr>
                <w:b/>
              </w:rPr>
              <w:t>200</w:t>
            </w:r>
          </w:p>
        </w:tc>
        <w:tc>
          <w:tcPr>
            <w:tcW w:w="1440" w:type="dxa"/>
          </w:tcPr>
          <w:p w:rsidR="00476C90" w:rsidRPr="00B807C1" w:rsidRDefault="00476C90" w:rsidP="00A25E55">
            <w:pPr>
              <w:spacing w:before="80" w:after="80"/>
            </w:pPr>
            <w:r w:rsidRPr="00B807C1">
              <w:t>0025</w:t>
            </w:r>
          </w:p>
        </w:tc>
        <w:tc>
          <w:tcPr>
            <w:tcW w:w="5850" w:type="dxa"/>
          </w:tcPr>
          <w:p w:rsidR="00476C90" w:rsidRPr="00B807C1" w:rsidRDefault="00476C90" w:rsidP="00A25E55">
            <w:pPr>
              <w:spacing w:before="80" w:after="80"/>
            </w:pPr>
            <w:r w:rsidRPr="00B807C1">
              <w:t xml:space="preserve">Add the editorial note about the table not being included with the rules </w:t>
            </w:r>
          </w:p>
        </w:tc>
        <w:tc>
          <w:tcPr>
            <w:tcW w:w="6390" w:type="dxa"/>
          </w:tcPr>
          <w:p w:rsidR="00476C90" w:rsidRDefault="00476C90" w:rsidP="00A25E55">
            <w:pPr>
              <w:spacing w:before="80" w:after="80"/>
            </w:pPr>
            <w:r w:rsidRPr="00B807C1">
              <w:t>The Secretary of State will now include links to tables in PDF files</w:t>
            </w:r>
            <w:r>
              <w:t xml:space="preserve"> </w:t>
            </w:r>
          </w:p>
        </w:tc>
      </w:tr>
      <w:tr w:rsidR="00476C90" w:rsidRPr="008923DE" w:rsidTr="0028683C">
        <w:tc>
          <w:tcPr>
            <w:tcW w:w="918" w:type="dxa"/>
          </w:tcPr>
          <w:p w:rsidR="00476C90" w:rsidRPr="00B807C1" w:rsidRDefault="00476C90" w:rsidP="00A25E55">
            <w:pPr>
              <w:spacing w:before="80" w:after="80"/>
              <w:rPr>
                <w:b/>
              </w:rPr>
            </w:pPr>
            <w:r w:rsidRPr="00B807C1">
              <w:rPr>
                <w:b/>
              </w:rPr>
              <w:t>200</w:t>
            </w:r>
          </w:p>
        </w:tc>
        <w:tc>
          <w:tcPr>
            <w:tcW w:w="1440" w:type="dxa"/>
          </w:tcPr>
          <w:p w:rsidR="00476C90" w:rsidRPr="00B807C1" w:rsidRDefault="00476C90" w:rsidP="00A25E55">
            <w:pPr>
              <w:spacing w:before="80" w:after="80"/>
            </w:pPr>
            <w:r w:rsidRPr="00B807C1">
              <w:t>0040</w:t>
            </w:r>
          </w:p>
        </w:tc>
        <w:tc>
          <w:tcPr>
            <w:tcW w:w="5850" w:type="dxa"/>
          </w:tcPr>
          <w:p w:rsidR="00476C90" w:rsidRPr="00B807C1" w:rsidRDefault="00476C90" w:rsidP="00A25E55">
            <w:pPr>
              <w:spacing w:before="80" w:after="80"/>
            </w:pPr>
            <w:r w:rsidRPr="00B807C1">
              <w:t>Change the date for the State Implementation Plan modification</w:t>
            </w:r>
          </w:p>
        </w:tc>
        <w:tc>
          <w:tcPr>
            <w:tcW w:w="6390" w:type="dxa"/>
          </w:tcPr>
          <w:p w:rsidR="00476C90" w:rsidRDefault="00476C90" w:rsidP="00476C90">
            <w:pPr>
              <w:spacing w:before="80" w:after="80"/>
            </w:pPr>
            <w:r w:rsidRPr="00B807C1">
              <w:t>The proposed changes are part of the SIP which will be revised as a result of the proposed changes.</w:t>
            </w:r>
            <w:r>
              <w:t xml:space="preserve">  </w:t>
            </w:r>
            <w:r w:rsidRPr="00476C90">
              <w:rPr>
                <w:highlight w:val="yellow"/>
              </w:rPr>
              <w:t>CHECK ON OTHER SIP REVISIONS FOR DATE</w:t>
            </w:r>
          </w:p>
        </w:tc>
      </w:tr>
      <w:tr w:rsidR="00B807C1" w:rsidTr="0028683C">
        <w:tc>
          <w:tcPr>
            <w:tcW w:w="918" w:type="dxa"/>
          </w:tcPr>
          <w:p w:rsidR="00B807C1" w:rsidRDefault="00B807C1" w:rsidP="008E0E79">
            <w:pPr>
              <w:spacing w:before="80" w:after="80"/>
              <w:rPr>
                <w:b/>
              </w:rPr>
            </w:pPr>
            <w:r>
              <w:rPr>
                <w:b/>
              </w:rPr>
              <w:t>200</w:t>
            </w:r>
          </w:p>
        </w:tc>
        <w:tc>
          <w:tcPr>
            <w:tcW w:w="1440" w:type="dxa"/>
          </w:tcPr>
          <w:p w:rsidR="00B807C1" w:rsidRDefault="00B807C1" w:rsidP="008E0E79">
            <w:pPr>
              <w:spacing w:before="80" w:after="80"/>
            </w:pPr>
            <w:r>
              <w:t>Table 1</w:t>
            </w:r>
          </w:p>
        </w:tc>
        <w:tc>
          <w:tcPr>
            <w:tcW w:w="5850" w:type="dxa"/>
          </w:tcPr>
          <w:p w:rsidR="00B807C1" w:rsidRDefault="00B807C1" w:rsidP="008E0E79">
            <w:pPr>
              <w:spacing w:before="80" w:after="80"/>
            </w:pPr>
            <w:r>
              <w:t>Delete annual significant impact levels for PM10</w:t>
            </w:r>
          </w:p>
        </w:tc>
        <w:tc>
          <w:tcPr>
            <w:tcW w:w="6390" w:type="dxa"/>
          </w:tcPr>
          <w:p w:rsidR="00B807C1" w:rsidRDefault="00B807C1" w:rsidP="008E0E79">
            <w:pPr>
              <w:spacing w:before="80" w:after="80"/>
            </w:pPr>
            <w:r>
              <w:t>EPA rescinded the annual PM10 ambient air quality standard and all associated standards</w:t>
            </w:r>
          </w:p>
        </w:tc>
      </w:tr>
      <w:tr w:rsidR="00B807C1" w:rsidTr="0028683C">
        <w:tc>
          <w:tcPr>
            <w:tcW w:w="918" w:type="dxa"/>
          </w:tcPr>
          <w:p w:rsidR="00B807C1" w:rsidRDefault="00B807C1" w:rsidP="00194CB0">
            <w:pPr>
              <w:spacing w:before="80" w:after="80"/>
              <w:rPr>
                <w:b/>
              </w:rPr>
            </w:pPr>
            <w:r>
              <w:rPr>
                <w:b/>
              </w:rPr>
              <w:t>200</w:t>
            </w:r>
          </w:p>
        </w:tc>
        <w:tc>
          <w:tcPr>
            <w:tcW w:w="1440" w:type="dxa"/>
          </w:tcPr>
          <w:p w:rsidR="00B807C1" w:rsidRDefault="00B807C1" w:rsidP="00194CB0">
            <w:pPr>
              <w:spacing w:before="80" w:after="80"/>
            </w:pPr>
            <w:r>
              <w:t>Table 1</w:t>
            </w:r>
          </w:p>
        </w:tc>
        <w:tc>
          <w:tcPr>
            <w:tcW w:w="5850" w:type="dxa"/>
          </w:tcPr>
          <w:p w:rsidR="00B807C1" w:rsidRDefault="00B807C1" w:rsidP="00194CB0">
            <w:pPr>
              <w:spacing w:before="80" w:after="80"/>
            </w:pPr>
            <w:r>
              <w:t>Add PM2.5 SILs</w:t>
            </w:r>
          </w:p>
        </w:tc>
        <w:tc>
          <w:tcPr>
            <w:tcW w:w="6390" w:type="dxa"/>
          </w:tcPr>
          <w:p w:rsidR="00B807C1" w:rsidRDefault="00B807C1" w:rsidP="00FF6748">
            <w:pPr>
              <w:spacing w:before="80" w:after="80"/>
            </w:pPr>
            <w:r>
              <w:t>EPA adopted SILs for PM2.5</w:t>
            </w:r>
          </w:p>
        </w:tc>
      </w:tr>
      <w:tr w:rsidR="00B807C1" w:rsidTr="0028683C">
        <w:tc>
          <w:tcPr>
            <w:tcW w:w="918" w:type="dxa"/>
          </w:tcPr>
          <w:p w:rsidR="00B807C1" w:rsidRDefault="00B807C1" w:rsidP="00194CB0">
            <w:pPr>
              <w:spacing w:before="80" w:after="80"/>
              <w:rPr>
                <w:b/>
              </w:rPr>
            </w:pPr>
            <w:r>
              <w:rPr>
                <w:b/>
              </w:rPr>
              <w:t>200</w:t>
            </w:r>
          </w:p>
        </w:tc>
        <w:tc>
          <w:tcPr>
            <w:tcW w:w="1440" w:type="dxa"/>
          </w:tcPr>
          <w:p w:rsidR="00B807C1" w:rsidRDefault="00B807C1" w:rsidP="00194CB0">
            <w:pPr>
              <w:spacing w:before="80" w:after="80"/>
            </w:pPr>
            <w:r>
              <w:t>Table 1</w:t>
            </w:r>
          </w:p>
        </w:tc>
        <w:tc>
          <w:tcPr>
            <w:tcW w:w="5850" w:type="dxa"/>
          </w:tcPr>
          <w:p w:rsidR="00B807C1" w:rsidRDefault="00B807C1" w:rsidP="00194CB0">
            <w:pPr>
              <w:spacing w:before="80" w:after="80"/>
            </w:pPr>
            <w:r>
              <w:t>Combine SILs for all air quality areas into one table for all pollutants</w:t>
            </w:r>
          </w:p>
        </w:tc>
        <w:tc>
          <w:tcPr>
            <w:tcW w:w="6390" w:type="dxa"/>
          </w:tcPr>
          <w:p w:rsidR="00B807C1" w:rsidRDefault="00B807C1" w:rsidP="00FF6748">
            <w:pPr>
              <w:spacing w:before="80" w:after="80"/>
            </w:pPr>
            <w:r>
              <w:t xml:space="preserve">Having all SILs in one table will make it easier.   </w:t>
            </w:r>
          </w:p>
        </w:tc>
      </w:tr>
      <w:tr w:rsidR="00B807C1" w:rsidTr="0028683C">
        <w:tc>
          <w:tcPr>
            <w:tcW w:w="918" w:type="dxa"/>
          </w:tcPr>
          <w:p w:rsidR="00B807C1" w:rsidRDefault="00B807C1" w:rsidP="00194CB0">
            <w:pPr>
              <w:spacing w:before="80" w:after="80"/>
              <w:rPr>
                <w:b/>
              </w:rPr>
            </w:pPr>
            <w:r>
              <w:rPr>
                <w:b/>
              </w:rPr>
              <w:t>200</w:t>
            </w:r>
          </w:p>
        </w:tc>
        <w:tc>
          <w:tcPr>
            <w:tcW w:w="1440" w:type="dxa"/>
          </w:tcPr>
          <w:p w:rsidR="00B807C1" w:rsidRDefault="00B807C1" w:rsidP="00194CB0">
            <w:pPr>
              <w:spacing w:before="80" w:after="80"/>
            </w:pPr>
            <w:r>
              <w:t>Table 2</w:t>
            </w:r>
          </w:p>
        </w:tc>
        <w:tc>
          <w:tcPr>
            <w:tcW w:w="5850" w:type="dxa"/>
          </w:tcPr>
          <w:p w:rsidR="00B807C1" w:rsidRDefault="00B807C1" w:rsidP="007E37E8">
            <w:pPr>
              <w:spacing w:before="80" w:after="80"/>
            </w:pPr>
            <w:r>
              <w:t>Add significant emission rate for direct PM2.5</w:t>
            </w:r>
          </w:p>
        </w:tc>
        <w:tc>
          <w:tcPr>
            <w:tcW w:w="6390" w:type="dxa"/>
          </w:tcPr>
          <w:p w:rsidR="00B807C1" w:rsidRDefault="00B807C1" w:rsidP="007E37E8">
            <w:pPr>
              <w:spacing w:before="80" w:after="80"/>
            </w:pPr>
            <w:r>
              <w:t>EPA adopted a major source threshold and significant emission rate for PM2.5</w:t>
            </w:r>
          </w:p>
        </w:tc>
      </w:tr>
      <w:tr w:rsidR="00B807C1" w:rsidTr="0028683C">
        <w:tc>
          <w:tcPr>
            <w:tcW w:w="918" w:type="dxa"/>
          </w:tcPr>
          <w:p w:rsidR="00B807C1" w:rsidRDefault="00B807C1" w:rsidP="00194CB0">
            <w:pPr>
              <w:spacing w:before="80" w:after="80"/>
              <w:rPr>
                <w:b/>
              </w:rPr>
            </w:pPr>
            <w:r>
              <w:rPr>
                <w:b/>
              </w:rPr>
              <w:t>200</w:t>
            </w:r>
          </w:p>
        </w:tc>
        <w:tc>
          <w:tcPr>
            <w:tcW w:w="1440" w:type="dxa"/>
          </w:tcPr>
          <w:p w:rsidR="00B807C1" w:rsidRDefault="00B807C1" w:rsidP="00194CB0">
            <w:pPr>
              <w:spacing w:before="80" w:after="80"/>
            </w:pPr>
            <w:r>
              <w:t>Table 2</w:t>
            </w:r>
          </w:p>
        </w:tc>
        <w:tc>
          <w:tcPr>
            <w:tcW w:w="5850" w:type="dxa"/>
          </w:tcPr>
          <w:p w:rsidR="00B807C1" w:rsidRDefault="00B807C1" w:rsidP="007E37E8">
            <w:pPr>
              <w:spacing w:before="80" w:after="80"/>
            </w:pPr>
            <w:r>
              <w:t>Add significant emission rate for PM2.5 precursors</w:t>
            </w:r>
          </w:p>
        </w:tc>
        <w:tc>
          <w:tcPr>
            <w:tcW w:w="6390" w:type="dxa"/>
          </w:tcPr>
          <w:p w:rsidR="00B807C1" w:rsidRDefault="00B807C1" w:rsidP="007E37E8">
            <w:pPr>
              <w:spacing w:before="80" w:after="80"/>
            </w:pPr>
            <w:r>
              <w:t>EPA adopted significant emission rates for PM2.5 precursors</w:t>
            </w:r>
          </w:p>
        </w:tc>
      </w:tr>
      <w:tr w:rsidR="00B807C1" w:rsidTr="0028683C">
        <w:tc>
          <w:tcPr>
            <w:tcW w:w="918" w:type="dxa"/>
          </w:tcPr>
          <w:p w:rsidR="00B807C1" w:rsidRDefault="00B807C1" w:rsidP="00194CB0">
            <w:pPr>
              <w:spacing w:before="80" w:after="80"/>
              <w:rPr>
                <w:b/>
              </w:rPr>
            </w:pPr>
            <w:r>
              <w:rPr>
                <w:b/>
              </w:rPr>
              <w:t>200</w:t>
            </w:r>
          </w:p>
        </w:tc>
        <w:tc>
          <w:tcPr>
            <w:tcW w:w="1440" w:type="dxa"/>
          </w:tcPr>
          <w:p w:rsidR="00B807C1" w:rsidRDefault="00B807C1" w:rsidP="00194CB0">
            <w:pPr>
              <w:spacing w:before="80" w:after="80"/>
            </w:pPr>
            <w:r>
              <w:t>Table 2</w:t>
            </w:r>
          </w:p>
        </w:tc>
        <w:tc>
          <w:tcPr>
            <w:tcW w:w="5850" w:type="dxa"/>
          </w:tcPr>
          <w:p w:rsidR="00B807C1" w:rsidRDefault="00B807C1" w:rsidP="007E37E8">
            <w:pPr>
              <w:spacing w:before="80" w:after="80"/>
            </w:pPr>
            <w:r>
              <w:t>Add significant emission rate for VOC precursors</w:t>
            </w:r>
          </w:p>
        </w:tc>
        <w:tc>
          <w:tcPr>
            <w:tcW w:w="6390" w:type="dxa"/>
          </w:tcPr>
          <w:p w:rsidR="00B807C1" w:rsidRDefault="00B807C1" w:rsidP="007E37E8">
            <w:pPr>
              <w:spacing w:before="80" w:after="80"/>
            </w:pPr>
            <w:r>
              <w:t>EPA already adopted significant emission rates for VOC precursors but these were never added to this table</w:t>
            </w:r>
          </w:p>
        </w:tc>
      </w:tr>
      <w:tr w:rsidR="00B807C1" w:rsidTr="0028683C">
        <w:tc>
          <w:tcPr>
            <w:tcW w:w="918" w:type="dxa"/>
          </w:tcPr>
          <w:p w:rsidR="00B807C1" w:rsidRDefault="00B807C1" w:rsidP="008E0E79">
            <w:pPr>
              <w:spacing w:before="80" w:after="80"/>
              <w:rPr>
                <w:b/>
              </w:rPr>
            </w:pPr>
            <w:r>
              <w:rPr>
                <w:b/>
              </w:rPr>
              <w:t>200</w:t>
            </w:r>
          </w:p>
        </w:tc>
        <w:tc>
          <w:tcPr>
            <w:tcW w:w="1440" w:type="dxa"/>
          </w:tcPr>
          <w:p w:rsidR="00B807C1" w:rsidRDefault="00B807C1" w:rsidP="008E0E79">
            <w:pPr>
              <w:spacing w:before="80" w:after="80"/>
            </w:pPr>
            <w:r>
              <w:t>Table 2</w:t>
            </w:r>
          </w:p>
        </w:tc>
        <w:tc>
          <w:tcPr>
            <w:tcW w:w="5850" w:type="dxa"/>
          </w:tcPr>
          <w:p w:rsidR="00B807C1" w:rsidRDefault="00B807C1" w:rsidP="008E0E79">
            <w:pPr>
              <w:spacing w:before="80" w:after="80"/>
            </w:pPr>
            <w:r>
              <w:t>Add significant emission rate for GHG</w:t>
            </w:r>
          </w:p>
        </w:tc>
        <w:tc>
          <w:tcPr>
            <w:tcW w:w="6390" w:type="dxa"/>
          </w:tcPr>
          <w:p w:rsidR="00B807C1" w:rsidRDefault="00B807C1" w:rsidP="008E0E79">
            <w:pPr>
              <w:spacing w:before="80" w:after="80"/>
            </w:pPr>
            <w:r>
              <w:t>EPA adopted a major source threshold and significant emission rate when it defined GHG as a regulated pollutant</w:t>
            </w:r>
          </w:p>
        </w:tc>
      </w:tr>
      <w:tr w:rsidR="00B807C1" w:rsidTr="0028683C">
        <w:tc>
          <w:tcPr>
            <w:tcW w:w="918" w:type="dxa"/>
          </w:tcPr>
          <w:p w:rsidR="00B807C1" w:rsidRPr="008923DE" w:rsidRDefault="00B807C1" w:rsidP="003F3264">
            <w:pPr>
              <w:spacing w:before="80" w:after="80"/>
              <w:rPr>
                <w:b/>
              </w:rPr>
            </w:pPr>
            <w:r>
              <w:rPr>
                <w:b/>
              </w:rPr>
              <w:t>200</w:t>
            </w:r>
          </w:p>
        </w:tc>
        <w:tc>
          <w:tcPr>
            <w:tcW w:w="1440" w:type="dxa"/>
          </w:tcPr>
          <w:p w:rsidR="00B807C1" w:rsidRDefault="00B807C1" w:rsidP="00C0688D">
            <w:pPr>
              <w:spacing w:before="80" w:after="80"/>
            </w:pPr>
            <w:r>
              <w:t xml:space="preserve">Table 3 </w:t>
            </w:r>
          </w:p>
        </w:tc>
        <w:tc>
          <w:tcPr>
            <w:tcW w:w="5850" w:type="dxa"/>
          </w:tcPr>
          <w:p w:rsidR="00B807C1" w:rsidRDefault="00B807C1" w:rsidP="00C0688D">
            <w:pPr>
              <w:spacing w:before="80" w:after="80"/>
            </w:pPr>
            <w:r>
              <w:t xml:space="preserve">Add PM2.5 to the Significant Emission Rate table for the Medford-Ashland Air Quality Maintenance Area.  </w:t>
            </w:r>
          </w:p>
        </w:tc>
        <w:tc>
          <w:tcPr>
            <w:tcW w:w="6390" w:type="dxa"/>
          </w:tcPr>
          <w:p w:rsidR="00B807C1" w:rsidRDefault="00B807C1" w:rsidP="003F3264">
            <w:pPr>
              <w:spacing w:before="80" w:after="80"/>
            </w:pPr>
            <w:r>
              <w:t xml:space="preserve">The Medford-Ashland Air Quality Maintenance Area has a lower PM10 significant emission rate because it is a maintenance area.  Since PM2.5 is a subset of PM10, it’s significant emission rate should be the same or lower than the PM10 significant emission rate in order to protect air quality in the area.  </w:t>
            </w:r>
          </w:p>
        </w:tc>
      </w:tr>
      <w:tr w:rsidR="00B807C1" w:rsidTr="0028683C">
        <w:tc>
          <w:tcPr>
            <w:tcW w:w="918" w:type="dxa"/>
          </w:tcPr>
          <w:p w:rsidR="00B807C1" w:rsidRPr="008923DE" w:rsidRDefault="00B807C1" w:rsidP="003F3264">
            <w:pPr>
              <w:spacing w:before="80" w:after="80"/>
              <w:rPr>
                <w:b/>
              </w:rPr>
            </w:pPr>
            <w:r>
              <w:rPr>
                <w:b/>
              </w:rPr>
              <w:t>200</w:t>
            </w:r>
          </w:p>
        </w:tc>
        <w:tc>
          <w:tcPr>
            <w:tcW w:w="1440" w:type="dxa"/>
          </w:tcPr>
          <w:p w:rsidR="00B807C1" w:rsidRDefault="00B807C1" w:rsidP="003F3264">
            <w:pPr>
              <w:spacing w:before="80" w:after="80"/>
            </w:pPr>
            <w:r>
              <w:t>Table 3</w:t>
            </w:r>
          </w:p>
        </w:tc>
        <w:tc>
          <w:tcPr>
            <w:tcW w:w="5850" w:type="dxa"/>
          </w:tcPr>
          <w:p w:rsidR="00B807C1" w:rsidRDefault="00B807C1" w:rsidP="003F3264">
            <w:pPr>
              <w:spacing w:before="80" w:after="80"/>
            </w:pPr>
            <w:r>
              <w:t>Remove the metric significant emission rates in metric units</w:t>
            </w:r>
          </w:p>
        </w:tc>
        <w:tc>
          <w:tcPr>
            <w:tcW w:w="6390" w:type="dxa"/>
          </w:tcPr>
          <w:p w:rsidR="00B807C1" w:rsidRDefault="00B807C1" w:rsidP="00C0688D">
            <w:pPr>
              <w:spacing w:before="80" w:after="80"/>
            </w:pPr>
            <w:r>
              <w:t xml:space="preserve">The conversion from English units to metric units is not exact.  This has caused problems in compliance with these limits.  </w:t>
            </w:r>
          </w:p>
        </w:tc>
      </w:tr>
      <w:tr w:rsidR="00B807C1" w:rsidTr="0028683C">
        <w:tc>
          <w:tcPr>
            <w:tcW w:w="918" w:type="dxa"/>
          </w:tcPr>
          <w:p w:rsidR="00B807C1" w:rsidRPr="008923DE" w:rsidRDefault="00B807C1" w:rsidP="003F3264">
            <w:pPr>
              <w:spacing w:before="80" w:after="80"/>
              <w:rPr>
                <w:b/>
              </w:rPr>
            </w:pPr>
            <w:r>
              <w:rPr>
                <w:b/>
              </w:rPr>
              <w:t>200</w:t>
            </w:r>
          </w:p>
        </w:tc>
        <w:tc>
          <w:tcPr>
            <w:tcW w:w="1440" w:type="dxa"/>
          </w:tcPr>
          <w:p w:rsidR="00B807C1" w:rsidRDefault="00B807C1" w:rsidP="003F3264">
            <w:pPr>
              <w:spacing w:before="80" w:after="80"/>
            </w:pPr>
            <w:r>
              <w:t>Table 3</w:t>
            </w:r>
          </w:p>
        </w:tc>
        <w:tc>
          <w:tcPr>
            <w:tcW w:w="5850" w:type="dxa"/>
          </w:tcPr>
          <w:p w:rsidR="00B807C1" w:rsidRDefault="00B807C1" w:rsidP="00EA13E3">
            <w:pPr>
              <w:spacing w:before="80" w:after="80"/>
            </w:pPr>
            <w:r>
              <w:t>Remove a significant figure  in the significant emission rates (English units)</w:t>
            </w:r>
          </w:p>
        </w:tc>
        <w:tc>
          <w:tcPr>
            <w:tcW w:w="6390" w:type="dxa"/>
          </w:tcPr>
          <w:p w:rsidR="00B807C1" w:rsidRDefault="00B807C1" w:rsidP="003F3264">
            <w:pPr>
              <w:spacing w:before="80" w:after="80"/>
            </w:pPr>
            <w:r>
              <w:t xml:space="preserve">None of the significant emission rates for the other New Source Review/Prevention of Significant Deterioration pollutants have this many significant figures.  The change will make these values consistent with other significant emission rates for the state.  </w:t>
            </w:r>
          </w:p>
        </w:tc>
      </w:tr>
      <w:tr w:rsidR="00B807C1" w:rsidTr="0028683C">
        <w:tc>
          <w:tcPr>
            <w:tcW w:w="918" w:type="dxa"/>
          </w:tcPr>
          <w:p w:rsidR="00B807C1" w:rsidRPr="008923DE" w:rsidRDefault="00B807C1" w:rsidP="003F3264">
            <w:pPr>
              <w:spacing w:before="80" w:after="80"/>
              <w:rPr>
                <w:b/>
              </w:rPr>
            </w:pPr>
            <w:r>
              <w:rPr>
                <w:b/>
              </w:rPr>
              <w:t>200</w:t>
            </w:r>
          </w:p>
        </w:tc>
        <w:tc>
          <w:tcPr>
            <w:tcW w:w="1440" w:type="dxa"/>
          </w:tcPr>
          <w:p w:rsidR="00B807C1" w:rsidRDefault="00B807C1" w:rsidP="003F3264">
            <w:pPr>
              <w:spacing w:before="80" w:after="80"/>
            </w:pPr>
            <w:r>
              <w:t xml:space="preserve">Table 4 </w:t>
            </w:r>
          </w:p>
        </w:tc>
        <w:tc>
          <w:tcPr>
            <w:tcW w:w="5850" w:type="dxa"/>
          </w:tcPr>
          <w:p w:rsidR="00B807C1" w:rsidRDefault="00B807C1" w:rsidP="003F3264">
            <w:pPr>
              <w:spacing w:before="80" w:after="80"/>
            </w:pPr>
            <w:r>
              <w:t>Add de minimis level for GHG</w:t>
            </w:r>
          </w:p>
        </w:tc>
        <w:tc>
          <w:tcPr>
            <w:tcW w:w="6390" w:type="dxa"/>
          </w:tcPr>
          <w:p w:rsidR="00B807C1" w:rsidRDefault="00B807C1" w:rsidP="0026588D">
            <w:pPr>
              <w:spacing w:before="80" w:after="80"/>
            </w:pPr>
            <w:r>
              <w:t xml:space="preserve">The de minimis level for GHG is set at a level DEQ thinks is reasonable for GHG.  DEQ will evaluate this level upon implementation and make adjustments if necessary.    </w:t>
            </w:r>
          </w:p>
        </w:tc>
      </w:tr>
      <w:tr w:rsidR="00B807C1" w:rsidTr="0028683C">
        <w:tc>
          <w:tcPr>
            <w:tcW w:w="918" w:type="dxa"/>
          </w:tcPr>
          <w:p w:rsidR="00B807C1" w:rsidRPr="008923DE" w:rsidRDefault="00B807C1" w:rsidP="00194CB0">
            <w:pPr>
              <w:spacing w:before="80" w:after="80"/>
              <w:rPr>
                <w:b/>
              </w:rPr>
            </w:pPr>
            <w:r>
              <w:rPr>
                <w:b/>
              </w:rPr>
              <w:t>200</w:t>
            </w:r>
          </w:p>
        </w:tc>
        <w:tc>
          <w:tcPr>
            <w:tcW w:w="1440" w:type="dxa"/>
          </w:tcPr>
          <w:p w:rsidR="00B807C1" w:rsidRDefault="00B807C1" w:rsidP="00194CB0">
            <w:pPr>
              <w:spacing w:before="80" w:after="80"/>
            </w:pPr>
            <w:r>
              <w:t xml:space="preserve">Table 4 </w:t>
            </w:r>
          </w:p>
        </w:tc>
        <w:tc>
          <w:tcPr>
            <w:tcW w:w="5850" w:type="dxa"/>
          </w:tcPr>
          <w:p w:rsidR="00B807C1" w:rsidRDefault="00B807C1" w:rsidP="00194CB0">
            <w:pPr>
              <w:spacing w:before="80" w:after="80"/>
            </w:pPr>
            <w:r>
              <w:t>Add de minimis levels for PM2.5 in the Medford AQMA</w:t>
            </w:r>
          </w:p>
        </w:tc>
        <w:tc>
          <w:tcPr>
            <w:tcW w:w="6390" w:type="dxa"/>
          </w:tcPr>
          <w:p w:rsidR="00B807C1" w:rsidRDefault="00B807C1" w:rsidP="00194CB0">
            <w:pPr>
              <w:spacing w:before="80" w:after="80"/>
            </w:pPr>
            <w:r>
              <w:t xml:space="preserve">The de minimis levels for PM2.5 are consistent with PM10.  </w:t>
            </w:r>
          </w:p>
        </w:tc>
      </w:tr>
      <w:tr w:rsidR="00B807C1" w:rsidTr="0028683C">
        <w:tc>
          <w:tcPr>
            <w:tcW w:w="918" w:type="dxa"/>
          </w:tcPr>
          <w:p w:rsidR="00B807C1" w:rsidRPr="008923DE" w:rsidRDefault="00B807C1" w:rsidP="008E0E79">
            <w:pPr>
              <w:spacing w:before="80" w:after="80"/>
              <w:rPr>
                <w:b/>
              </w:rPr>
            </w:pPr>
            <w:r>
              <w:rPr>
                <w:b/>
              </w:rPr>
              <w:lastRenderedPageBreak/>
              <w:t>200</w:t>
            </w:r>
          </w:p>
        </w:tc>
        <w:tc>
          <w:tcPr>
            <w:tcW w:w="1440" w:type="dxa"/>
          </w:tcPr>
          <w:p w:rsidR="00B807C1" w:rsidRDefault="00B807C1" w:rsidP="008E0E79">
            <w:pPr>
              <w:spacing w:before="80" w:after="80"/>
            </w:pPr>
            <w:r>
              <w:t xml:space="preserve">Table 4 </w:t>
            </w:r>
          </w:p>
        </w:tc>
        <w:tc>
          <w:tcPr>
            <w:tcW w:w="5850" w:type="dxa"/>
          </w:tcPr>
          <w:p w:rsidR="00B807C1" w:rsidRDefault="00B807C1" w:rsidP="001034CB">
            <w:pPr>
              <w:spacing w:before="80" w:after="80"/>
            </w:pPr>
            <w:r>
              <w:t>Add de minimis levels for PM2.5</w:t>
            </w:r>
          </w:p>
        </w:tc>
        <w:tc>
          <w:tcPr>
            <w:tcW w:w="6390" w:type="dxa"/>
          </w:tcPr>
          <w:p w:rsidR="00B807C1" w:rsidRDefault="00B807C1" w:rsidP="00775111">
            <w:pPr>
              <w:spacing w:before="80" w:after="80"/>
            </w:pPr>
            <w:r>
              <w:t xml:space="preserve">The de minimis levels for PM2.5 are consistent with PM10.  </w:t>
            </w:r>
          </w:p>
        </w:tc>
      </w:tr>
      <w:tr w:rsidR="00B807C1" w:rsidTr="0028683C">
        <w:tc>
          <w:tcPr>
            <w:tcW w:w="918" w:type="dxa"/>
          </w:tcPr>
          <w:p w:rsidR="00B807C1" w:rsidRPr="008923DE" w:rsidRDefault="00B807C1" w:rsidP="008E0E79">
            <w:pPr>
              <w:spacing w:before="80" w:after="80"/>
              <w:rPr>
                <w:b/>
              </w:rPr>
            </w:pPr>
            <w:r>
              <w:rPr>
                <w:b/>
              </w:rPr>
              <w:t>200</w:t>
            </w:r>
          </w:p>
        </w:tc>
        <w:tc>
          <w:tcPr>
            <w:tcW w:w="1440" w:type="dxa"/>
          </w:tcPr>
          <w:p w:rsidR="00B807C1" w:rsidRDefault="00B807C1" w:rsidP="008E0E79">
            <w:pPr>
              <w:spacing w:before="80" w:after="80"/>
            </w:pPr>
            <w:r>
              <w:t xml:space="preserve">Table 5 </w:t>
            </w:r>
          </w:p>
        </w:tc>
        <w:tc>
          <w:tcPr>
            <w:tcW w:w="5850" w:type="dxa"/>
          </w:tcPr>
          <w:p w:rsidR="00B807C1" w:rsidRDefault="00B807C1" w:rsidP="008E0E79">
            <w:pPr>
              <w:spacing w:before="80" w:after="80"/>
            </w:pPr>
            <w:r>
              <w:t>Add generic PSEL for PM2.5 and GHG</w:t>
            </w:r>
          </w:p>
        </w:tc>
        <w:tc>
          <w:tcPr>
            <w:tcW w:w="6390" w:type="dxa"/>
          </w:tcPr>
          <w:p w:rsidR="00B807C1" w:rsidRDefault="00B807C1" w:rsidP="008E0E79">
            <w:pPr>
              <w:spacing w:before="80" w:after="80"/>
            </w:pPr>
            <w:r>
              <w:t xml:space="preserve">The Generic PSEL for GHG is based on proposed SER minus de minimis level.  </w:t>
            </w:r>
          </w:p>
        </w:tc>
      </w:tr>
      <w:tr w:rsidR="00B807C1" w:rsidTr="0028683C">
        <w:tc>
          <w:tcPr>
            <w:tcW w:w="918" w:type="dxa"/>
          </w:tcPr>
          <w:p w:rsidR="00B807C1" w:rsidRPr="008923DE" w:rsidRDefault="00B807C1" w:rsidP="008E0E79">
            <w:pPr>
              <w:spacing w:before="80" w:after="80"/>
              <w:rPr>
                <w:b/>
              </w:rPr>
            </w:pPr>
            <w:r>
              <w:rPr>
                <w:b/>
              </w:rPr>
              <w:t>202</w:t>
            </w:r>
          </w:p>
        </w:tc>
        <w:tc>
          <w:tcPr>
            <w:tcW w:w="1440" w:type="dxa"/>
          </w:tcPr>
          <w:p w:rsidR="00B807C1" w:rsidRPr="008923DE" w:rsidRDefault="00B807C1" w:rsidP="008E0E79">
            <w:pPr>
              <w:spacing w:before="80" w:after="80"/>
            </w:pPr>
            <w:r>
              <w:t>0010(1)</w:t>
            </w:r>
          </w:p>
        </w:tc>
        <w:tc>
          <w:tcPr>
            <w:tcW w:w="5850" w:type="dxa"/>
          </w:tcPr>
          <w:p w:rsidR="00B807C1" w:rsidRPr="008923DE" w:rsidRDefault="00B807C1" w:rsidP="008E0E79">
            <w:pPr>
              <w:spacing w:before="80" w:after="80"/>
            </w:pPr>
            <w:r>
              <w:t>Definition of ambient air already in Division 200</w:t>
            </w:r>
          </w:p>
        </w:tc>
        <w:tc>
          <w:tcPr>
            <w:tcW w:w="6390" w:type="dxa"/>
          </w:tcPr>
          <w:p w:rsidR="00B807C1" w:rsidRPr="008923DE" w:rsidRDefault="00B807C1" w:rsidP="008E0E79">
            <w:pPr>
              <w:spacing w:before="80" w:after="80"/>
            </w:pPr>
            <w:r>
              <w:t>Delete and use definition in Division 200</w:t>
            </w:r>
          </w:p>
        </w:tc>
      </w:tr>
      <w:tr w:rsidR="00B807C1" w:rsidRPr="003478DB" w:rsidTr="0028683C">
        <w:tc>
          <w:tcPr>
            <w:tcW w:w="918" w:type="dxa"/>
          </w:tcPr>
          <w:p w:rsidR="00B807C1" w:rsidRPr="003478DB" w:rsidRDefault="00B807C1" w:rsidP="008E0E79">
            <w:pPr>
              <w:spacing w:before="80" w:after="80"/>
              <w:rPr>
                <w:b/>
              </w:rPr>
            </w:pPr>
            <w:r w:rsidRPr="003478DB">
              <w:rPr>
                <w:b/>
              </w:rPr>
              <w:t>202</w:t>
            </w:r>
          </w:p>
        </w:tc>
        <w:tc>
          <w:tcPr>
            <w:tcW w:w="1440" w:type="dxa"/>
          </w:tcPr>
          <w:p w:rsidR="00B807C1" w:rsidRPr="003478DB" w:rsidRDefault="00B807C1" w:rsidP="008E0E79">
            <w:pPr>
              <w:spacing w:before="80" w:after="80"/>
            </w:pPr>
            <w:r w:rsidRPr="003478DB">
              <w:t>0010(4)</w:t>
            </w:r>
          </w:p>
        </w:tc>
        <w:tc>
          <w:tcPr>
            <w:tcW w:w="5850" w:type="dxa"/>
          </w:tcPr>
          <w:p w:rsidR="00B807C1" w:rsidRPr="003478DB" w:rsidRDefault="00B807C1" w:rsidP="008E0E79">
            <w:pPr>
              <w:spacing w:before="80" w:after="80"/>
            </w:pPr>
            <w:r w:rsidRPr="003478DB">
              <w:t>Definition of baseline concentration already in Division 225</w:t>
            </w:r>
          </w:p>
        </w:tc>
        <w:tc>
          <w:tcPr>
            <w:tcW w:w="6390" w:type="dxa"/>
          </w:tcPr>
          <w:p w:rsidR="00B807C1" w:rsidRPr="003478DB" w:rsidRDefault="00B807C1" w:rsidP="008E0E79">
            <w:pPr>
              <w:spacing w:before="80" w:after="80"/>
            </w:pPr>
            <w:r w:rsidRPr="003478DB">
              <w:t>Deleted and reference in Division 225</w:t>
            </w:r>
          </w:p>
        </w:tc>
      </w:tr>
      <w:tr w:rsidR="00B807C1" w:rsidTr="0028683C">
        <w:tc>
          <w:tcPr>
            <w:tcW w:w="918" w:type="dxa"/>
          </w:tcPr>
          <w:p w:rsidR="00B807C1" w:rsidRPr="003478DB" w:rsidRDefault="00B807C1" w:rsidP="008E0E79">
            <w:pPr>
              <w:spacing w:before="80" w:after="80"/>
              <w:rPr>
                <w:b/>
              </w:rPr>
            </w:pPr>
            <w:r w:rsidRPr="003478DB">
              <w:rPr>
                <w:b/>
              </w:rPr>
              <w:t>202</w:t>
            </w:r>
          </w:p>
        </w:tc>
        <w:tc>
          <w:tcPr>
            <w:tcW w:w="1440" w:type="dxa"/>
          </w:tcPr>
          <w:p w:rsidR="00B807C1" w:rsidRPr="003478DB" w:rsidRDefault="00B807C1" w:rsidP="008E0E79">
            <w:pPr>
              <w:spacing w:before="80" w:after="80"/>
            </w:pPr>
            <w:r w:rsidRPr="003478DB">
              <w:t>0010(8)</w:t>
            </w:r>
          </w:p>
        </w:tc>
        <w:tc>
          <w:tcPr>
            <w:tcW w:w="5850" w:type="dxa"/>
          </w:tcPr>
          <w:p w:rsidR="00B807C1" w:rsidRPr="003478DB" w:rsidRDefault="00B807C1" w:rsidP="008E0E79">
            <w:pPr>
              <w:spacing w:before="80" w:after="80"/>
            </w:pPr>
            <w:r w:rsidRPr="003478DB">
              <w:t>Definition of PPM already in Divisions 230 and 240</w:t>
            </w:r>
          </w:p>
        </w:tc>
        <w:tc>
          <w:tcPr>
            <w:tcW w:w="6390" w:type="dxa"/>
          </w:tcPr>
          <w:p w:rsidR="00B807C1" w:rsidRPr="003478DB" w:rsidRDefault="00B807C1" w:rsidP="008E0E79">
            <w:pPr>
              <w:pStyle w:val="PlainText"/>
              <w:spacing w:before="80" w:after="80"/>
              <w:rPr>
                <w:rFonts w:ascii="Times New Roman" w:hAnsi="Times New Roman" w:cs="Times New Roman"/>
              </w:rPr>
            </w:pPr>
            <w:r w:rsidRPr="003478DB">
              <w:rPr>
                <w:rFonts w:ascii="Times New Roman" w:hAnsi="Times New Roman" w:cs="Times New Roman"/>
              </w:rPr>
              <w:t>Move to Division 200</w:t>
            </w:r>
          </w:p>
        </w:tc>
      </w:tr>
      <w:tr w:rsidR="00B807C1" w:rsidTr="0028683C">
        <w:tc>
          <w:tcPr>
            <w:tcW w:w="918" w:type="dxa"/>
          </w:tcPr>
          <w:p w:rsidR="00B807C1" w:rsidRPr="0008670C" w:rsidRDefault="00B807C1" w:rsidP="008E0E79">
            <w:pPr>
              <w:spacing w:before="80" w:after="80"/>
              <w:rPr>
                <w:b/>
              </w:rPr>
            </w:pPr>
            <w:r w:rsidRPr="0008670C">
              <w:rPr>
                <w:b/>
              </w:rPr>
              <w:t>202</w:t>
            </w:r>
          </w:p>
        </w:tc>
        <w:tc>
          <w:tcPr>
            <w:tcW w:w="1440" w:type="dxa"/>
          </w:tcPr>
          <w:p w:rsidR="00B807C1" w:rsidRPr="0008670C" w:rsidRDefault="00B807C1" w:rsidP="008E0E79">
            <w:pPr>
              <w:spacing w:before="80" w:after="80"/>
            </w:pPr>
            <w:r w:rsidRPr="0008670C">
              <w:t>0060(1)</w:t>
            </w:r>
          </w:p>
        </w:tc>
        <w:tc>
          <w:tcPr>
            <w:tcW w:w="5850" w:type="dxa"/>
          </w:tcPr>
          <w:p w:rsidR="00B807C1" w:rsidRPr="0008670C" w:rsidRDefault="00B807C1" w:rsidP="008E0E79">
            <w:pPr>
              <w:spacing w:before="80" w:after="80"/>
            </w:pPr>
            <w:r w:rsidRPr="0008670C">
              <w:t xml:space="preserve">Delete annual PM10 air quality standard </w:t>
            </w:r>
          </w:p>
        </w:tc>
        <w:tc>
          <w:tcPr>
            <w:tcW w:w="6390" w:type="dxa"/>
          </w:tcPr>
          <w:p w:rsidR="00B807C1" w:rsidRPr="0008670C" w:rsidRDefault="00B807C1" w:rsidP="008E0E79">
            <w:pPr>
              <w:pStyle w:val="PlainText"/>
              <w:spacing w:before="80" w:after="80"/>
              <w:rPr>
                <w:rFonts w:ascii="Times New Roman" w:hAnsi="Times New Roman" w:cs="Times New Roman"/>
              </w:rPr>
            </w:pPr>
            <w:r w:rsidRPr="0008670C">
              <w:rPr>
                <w:rFonts w:ascii="Times New Roman" w:hAnsi="Times New Roman" w:cs="Times New Roman"/>
              </w:rPr>
              <w:t xml:space="preserve">Rescinded by EPA.  Since DEQ is limiting PM2.5 to the filterable portion until 1/1/11, the PM10 annual standard has been retained until this rulemaking.  Sources would have to model for PM10 and PM2.5 in the interim.  </w:t>
            </w:r>
          </w:p>
        </w:tc>
      </w:tr>
      <w:tr w:rsidR="00B807C1" w:rsidTr="0028683C">
        <w:tc>
          <w:tcPr>
            <w:tcW w:w="918" w:type="dxa"/>
          </w:tcPr>
          <w:p w:rsidR="00B807C1" w:rsidRDefault="00B807C1" w:rsidP="008E0E79">
            <w:pPr>
              <w:spacing w:before="80" w:after="80"/>
              <w:rPr>
                <w:b/>
              </w:rPr>
            </w:pPr>
            <w:r>
              <w:rPr>
                <w:b/>
              </w:rPr>
              <w:t>202</w:t>
            </w:r>
          </w:p>
        </w:tc>
        <w:tc>
          <w:tcPr>
            <w:tcW w:w="1440" w:type="dxa"/>
          </w:tcPr>
          <w:p w:rsidR="00B807C1" w:rsidRDefault="00B807C1" w:rsidP="008E0E79">
            <w:pPr>
              <w:spacing w:before="80" w:after="80"/>
            </w:pPr>
            <w:r>
              <w:t>0210</w:t>
            </w:r>
          </w:p>
        </w:tc>
        <w:tc>
          <w:tcPr>
            <w:tcW w:w="5850" w:type="dxa"/>
          </w:tcPr>
          <w:p w:rsidR="00B807C1" w:rsidRDefault="00B807C1" w:rsidP="008E0E79">
            <w:pPr>
              <w:spacing w:before="80" w:after="80"/>
            </w:pPr>
            <w:r>
              <w:t>Add reference to Division 225 for baseline concentration</w:t>
            </w:r>
          </w:p>
        </w:tc>
        <w:tc>
          <w:tcPr>
            <w:tcW w:w="6390" w:type="dxa"/>
          </w:tcPr>
          <w:p w:rsidR="00B807C1" w:rsidRDefault="00B807C1" w:rsidP="008E0E79">
            <w:pPr>
              <w:spacing w:before="80" w:after="80"/>
            </w:pPr>
            <w:r>
              <w:t>Since the definition of baseline concentration is being deleted from this division, a reference to Division 225 is needed</w:t>
            </w:r>
          </w:p>
        </w:tc>
      </w:tr>
      <w:tr w:rsidR="00B807C1" w:rsidTr="0028683C">
        <w:tc>
          <w:tcPr>
            <w:tcW w:w="918" w:type="dxa"/>
          </w:tcPr>
          <w:p w:rsidR="00B807C1" w:rsidRPr="004803DD" w:rsidRDefault="00B807C1" w:rsidP="000E72D9">
            <w:pPr>
              <w:spacing w:before="80" w:after="80"/>
              <w:rPr>
                <w:b/>
              </w:rPr>
            </w:pPr>
            <w:r>
              <w:rPr>
                <w:b/>
              </w:rPr>
              <w:t>202</w:t>
            </w:r>
          </w:p>
        </w:tc>
        <w:tc>
          <w:tcPr>
            <w:tcW w:w="1440" w:type="dxa"/>
          </w:tcPr>
          <w:p w:rsidR="00B807C1" w:rsidRPr="004803DD" w:rsidRDefault="00B807C1" w:rsidP="000E72D9">
            <w:pPr>
              <w:spacing w:before="80" w:after="80"/>
            </w:pPr>
            <w:r>
              <w:t>0210 Table 1</w:t>
            </w:r>
          </w:p>
        </w:tc>
        <w:tc>
          <w:tcPr>
            <w:tcW w:w="5850" w:type="dxa"/>
          </w:tcPr>
          <w:p w:rsidR="00B807C1" w:rsidRPr="004803DD" w:rsidRDefault="00B807C1" w:rsidP="000E72D9">
            <w:pPr>
              <w:spacing w:before="80" w:after="80"/>
            </w:pPr>
            <w:r>
              <w:t>Add PM2.5 increments</w:t>
            </w:r>
          </w:p>
        </w:tc>
        <w:tc>
          <w:tcPr>
            <w:tcW w:w="6390" w:type="dxa"/>
          </w:tcPr>
          <w:p w:rsidR="00B807C1" w:rsidRPr="004803DD" w:rsidRDefault="00B807C1" w:rsidP="000E72D9">
            <w:pPr>
              <w:spacing w:before="80" w:after="80"/>
            </w:pPr>
            <w:r>
              <w:t>Adopted by EPA</w:t>
            </w:r>
          </w:p>
        </w:tc>
      </w:tr>
      <w:tr w:rsidR="00B807C1" w:rsidTr="0028683C">
        <w:tc>
          <w:tcPr>
            <w:tcW w:w="918" w:type="dxa"/>
          </w:tcPr>
          <w:p w:rsidR="00B807C1" w:rsidRPr="004803DD" w:rsidRDefault="00B807C1" w:rsidP="008E0E79">
            <w:pPr>
              <w:spacing w:before="80" w:after="80"/>
              <w:rPr>
                <w:b/>
              </w:rPr>
            </w:pPr>
            <w:r>
              <w:rPr>
                <w:b/>
              </w:rPr>
              <w:t>202</w:t>
            </w:r>
          </w:p>
        </w:tc>
        <w:tc>
          <w:tcPr>
            <w:tcW w:w="1440" w:type="dxa"/>
          </w:tcPr>
          <w:p w:rsidR="00B807C1" w:rsidRPr="004803DD" w:rsidRDefault="00B807C1" w:rsidP="008E0E79">
            <w:pPr>
              <w:spacing w:before="80" w:after="80"/>
            </w:pPr>
            <w:r>
              <w:t>0210 Table 1</w:t>
            </w:r>
          </w:p>
        </w:tc>
        <w:tc>
          <w:tcPr>
            <w:tcW w:w="5850" w:type="dxa"/>
          </w:tcPr>
          <w:p w:rsidR="00B807C1" w:rsidRPr="004803DD" w:rsidRDefault="00B807C1" w:rsidP="008E0E79">
            <w:pPr>
              <w:spacing w:before="80" w:after="80"/>
            </w:pPr>
            <w:r>
              <w:t>Delete annual PM10 increments (maximum allowable increases)</w:t>
            </w:r>
          </w:p>
        </w:tc>
        <w:tc>
          <w:tcPr>
            <w:tcW w:w="6390" w:type="dxa"/>
          </w:tcPr>
          <w:p w:rsidR="00B807C1" w:rsidRPr="004803DD" w:rsidRDefault="00B807C1" w:rsidP="008E0E79">
            <w:pPr>
              <w:spacing w:before="80" w:after="80"/>
            </w:pPr>
            <w:r>
              <w:t>Rescinded by EPA</w:t>
            </w:r>
          </w:p>
        </w:tc>
      </w:tr>
      <w:tr w:rsidR="00B807C1" w:rsidTr="0028683C">
        <w:tc>
          <w:tcPr>
            <w:tcW w:w="918" w:type="dxa"/>
          </w:tcPr>
          <w:p w:rsidR="00B807C1" w:rsidRDefault="00B807C1" w:rsidP="003F3264">
            <w:pPr>
              <w:spacing w:before="80" w:after="80"/>
              <w:rPr>
                <w:b/>
              </w:rPr>
            </w:pPr>
            <w:r>
              <w:rPr>
                <w:b/>
              </w:rPr>
              <w:t>202</w:t>
            </w:r>
          </w:p>
        </w:tc>
        <w:tc>
          <w:tcPr>
            <w:tcW w:w="1440" w:type="dxa"/>
          </w:tcPr>
          <w:p w:rsidR="00B807C1" w:rsidRDefault="00B807C1" w:rsidP="003F3264">
            <w:pPr>
              <w:spacing w:before="80" w:after="80"/>
            </w:pPr>
            <w:r>
              <w:t>0210</w:t>
            </w:r>
          </w:p>
        </w:tc>
        <w:tc>
          <w:tcPr>
            <w:tcW w:w="5850" w:type="dxa"/>
          </w:tcPr>
          <w:p w:rsidR="00B807C1" w:rsidRPr="00032A03" w:rsidRDefault="00B807C1" w:rsidP="003F3264">
            <w:pPr>
              <w:spacing w:before="80" w:after="80"/>
            </w:pPr>
            <w:r w:rsidRPr="00032A03">
              <w:t xml:space="preserve">Delete the editorial note about the table not being included </w:t>
            </w:r>
            <w:r>
              <w:t>with the rules</w:t>
            </w:r>
          </w:p>
        </w:tc>
        <w:tc>
          <w:tcPr>
            <w:tcW w:w="6390" w:type="dxa"/>
          </w:tcPr>
          <w:p w:rsidR="00B807C1" w:rsidRDefault="00B807C1" w:rsidP="003F3264">
            <w:pPr>
              <w:spacing w:before="80" w:after="80"/>
            </w:pPr>
            <w:r>
              <w:t xml:space="preserve">The Secretary of State will now include links to tables in PDF files </w:t>
            </w:r>
          </w:p>
        </w:tc>
      </w:tr>
      <w:tr w:rsidR="00B807C1" w:rsidTr="0028683C">
        <w:tc>
          <w:tcPr>
            <w:tcW w:w="918" w:type="dxa"/>
          </w:tcPr>
          <w:p w:rsidR="00B807C1" w:rsidRPr="004803DD" w:rsidRDefault="00B807C1" w:rsidP="008E0E79">
            <w:pPr>
              <w:spacing w:before="80" w:after="80"/>
              <w:rPr>
                <w:b/>
              </w:rPr>
            </w:pPr>
            <w:r w:rsidRPr="004803DD">
              <w:rPr>
                <w:b/>
              </w:rPr>
              <w:t>208</w:t>
            </w:r>
          </w:p>
        </w:tc>
        <w:tc>
          <w:tcPr>
            <w:tcW w:w="1440" w:type="dxa"/>
          </w:tcPr>
          <w:p w:rsidR="00B807C1" w:rsidRPr="004803DD" w:rsidRDefault="00B807C1" w:rsidP="008E0E79">
            <w:pPr>
              <w:spacing w:before="80" w:after="80"/>
            </w:pPr>
            <w:r w:rsidRPr="004803DD">
              <w:t xml:space="preserve">0010(2) </w:t>
            </w:r>
          </w:p>
        </w:tc>
        <w:tc>
          <w:tcPr>
            <w:tcW w:w="5850" w:type="dxa"/>
          </w:tcPr>
          <w:p w:rsidR="00B807C1" w:rsidRPr="004803DD" w:rsidRDefault="00B807C1" w:rsidP="008E0E79">
            <w:pPr>
              <w:spacing w:before="80" w:after="80"/>
            </w:pPr>
            <w:r w:rsidRPr="004803DD">
              <w:t xml:space="preserve">Definition of air contaminant already in Division 200  </w:t>
            </w:r>
          </w:p>
        </w:tc>
        <w:tc>
          <w:tcPr>
            <w:tcW w:w="6390" w:type="dxa"/>
          </w:tcPr>
          <w:p w:rsidR="00B807C1" w:rsidRPr="004803DD" w:rsidRDefault="00B807C1" w:rsidP="008E0E79">
            <w:pPr>
              <w:spacing w:before="80" w:after="80"/>
            </w:pPr>
            <w:r w:rsidRPr="004803DD">
              <w:t>Delete and use definition in Division 200</w:t>
            </w:r>
          </w:p>
        </w:tc>
      </w:tr>
      <w:tr w:rsidR="00B807C1" w:rsidTr="0028683C">
        <w:tc>
          <w:tcPr>
            <w:tcW w:w="918" w:type="dxa"/>
          </w:tcPr>
          <w:p w:rsidR="00B807C1" w:rsidRPr="004803DD" w:rsidRDefault="00B807C1" w:rsidP="008E0E79">
            <w:pPr>
              <w:spacing w:before="80" w:after="80"/>
              <w:rPr>
                <w:b/>
              </w:rPr>
            </w:pPr>
            <w:r w:rsidRPr="004803DD">
              <w:rPr>
                <w:b/>
              </w:rPr>
              <w:t>208</w:t>
            </w:r>
          </w:p>
        </w:tc>
        <w:tc>
          <w:tcPr>
            <w:tcW w:w="1440" w:type="dxa"/>
          </w:tcPr>
          <w:p w:rsidR="00B807C1" w:rsidRPr="004803DD" w:rsidRDefault="00B807C1" w:rsidP="008E0E79">
            <w:pPr>
              <w:spacing w:before="80" w:after="80"/>
            </w:pPr>
            <w:r w:rsidRPr="004803DD">
              <w:t>0010(3)</w:t>
            </w:r>
          </w:p>
        </w:tc>
        <w:tc>
          <w:tcPr>
            <w:tcW w:w="5850" w:type="dxa"/>
          </w:tcPr>
          <w:p w:rsidR="00B807C1" w:rsidRPr="008923DE" w:rsidRDefault="00B807C1" w:rsidP="008E0E79">
            <w:pPr>
              <w:spacing w:before="80" w:after="80"/>
            </w:pPr>
            <w:r w:rsidRPr="004803DD">
              <w:t xml:space="preserve">Definition of emission already in Division 200  </w:t>
            </w:r>
          </w:p>
        </w:tc>
        <w:tc>
          <w:tcPr>
            <w:tcW w:w="6390" w:type="dxa"/>
          </w:tcPr>
          <w:p w:rsidR="00B807C1" w:rsidRPr="004803DD" w:rsidRDefault="00B807C1" w:rsidP="008E0E79">
            <w:pPr>
              <w:spacing w:before="80" w:after="80"/>
            </w:pPr>
            <w:r w:rsidRPr="004803DD">
              <w:t>Delete and use definition in Division 200</w:t>
            </w:r>
          </w:p>
        </w:tc>
      </w:tr>
      <w:tr w:rsidR="00B807C1" w:rsidTr="0028683C">
        <w:tc>
          <w:tcPr>
            <w:tcW w:w="918" w:type="dxa"/>
          </w:tcPr>
          <w:p w:rsidR="00B807C1" w:rsidRPr="007E40AE" w:rsidRDefault="00B807C1" w:rsidP="008E0E79">
            <w:pPr>
              <w:spacing w:before="80" w:after="80"/>
              <w:rPr>
                <w:b/>
              </w:rPr>
            </w:pPr>
            <w:r w:rsidRPr="007E40AE">
              <w:rPr>
                <w:b/>
              </w:rPr>
              <w:t>208</w:t>
            </w:r>
          </w:p>
        </w:tc>
        <w:tc>
          <w:tcPr>
            <w:tcW w:w="1440" w:type="dxa"/>
          </w:tcPr>
          <w:p w:rsidR="00B807C1" w:rsidRPr="007E40AE" w:rsidRDefault="00B807C1" w:rsidP="008E0E79">
            <w:pPr>
              <w:spacing w:before="80" w:after="80"/>
            </w:pPr>
            <w:r w:rsidRPr="007E40AE">
              <w:t>0010(4)</w:t>
            </w:r>
          </w:p>
        </w:tc>
        <w:tc>
          <w:tcPr>
            <w:tcW w:w="5850" w:type="dxa"/>
          </w:tcPr>
          <w:p w:rsidR="00B807C1" w:rsidRPr="007E40AE" w:rsidRDefault="00B807C1" w:rsidP="008E0E79">
            <w:pPr>
              <w:spacing w:before="80" w:after="80"/>
            </w:pPr>
            <w:r w:rsidRPr="007E40AE">
              <w:t xml:space="preserve">Definition of fuel burning equipment different from Division 228 and 240 </w:t>
            </w:r>
          </w:p>
        </w:tc>
        <w:tc>
          <w:tcPr>
            <w:tcW w:w="6390" w:type="dxa"/>
          </w:tcPr>
          <w:p w:rsidR="00B807C1" w:rsidRPr="007E40AE" w:rsidRDefault="00B807C1" w:rsidP="008E0E79">
            <w:pPr>
              <w:spacing w:before="80" w:after="80"/>
            </w:pPr>
            <w:r w:rsidRPr="007E40AE">
              <w:t xml:space="preserve">Change definition of fuel burning equipment to “external combustion device,” delete from Divisions 208, 228, and 240, move to Division 200.  Avoids confusion about indirect heat transfer (e.g., boilers), direct heat transfer (e.g., dryers), and internal combustion devices (e.g., gas turbines).   </w:t>
            </w:r>
          </w:p>
        </w:tc>
      </w:tr>
      <w:tr w:rsidR="00B807C1" w:rsidTr="0028683C">
        <w:tc>
          <w:tcPr>
            <w:tcW w:w="918" w:type="dxa"/>
          </w:tcPr>
          <w:p w:rsidR="00B807C1" w:rsidRPr="004803DD" w:rsidRDefault="00B807C1" w:rsidP="008E0E79">
            <w:pPr>
              <w:spacing w:before="80" w:after="80"/>
              <w:rPr>
                <w:b/>
              </w:rPr>
            </w:pPr>
            <w:r w:rsidRPr="004803DD">
              <w:rPr>
                <w:b/>
              </w:rPr>
              <w:t>208</w:t>
            </w:r>
          </w:p>
        </w:tc>
        <w:tc>
          <w:tcPr>
            <w:tcW w:w="1440" w:type="dxa"/>
          </w:tcPr>
          <w:p w:rsidR="00B807C1" w:rsidRPr="004803DD" w:rsidRDefault="00B807C1" w:rsidP="008E0E79">
            <w:pPr>
              <w:spacing w:before="80" w:after="80"/>
            </w:pPr>
            <w:r w:rsidRPr="004803DD">
              <w:t>0010(5)</w:t>
            </w:r>
          </w:p>
        </w:tc>
        <w:tc>
          <w:tcPr>
            <w:tcW w:w="5850" w:type="dxa"/>
          </w:tcPr>
          <w:p w:rsidR="00B807C1" w:rsidRPr="008923DE" w:rsidRDefault="00B807C1" w:rsidP="008E0E79">
            <w:pPr>
              <w:spacing w:before="80" w:after="80"/>
            </w:pPr>
            <w:r>
              <w:t xml:space="preserve">Definition of </w:t>
            </w:r>
            <w:r w:rsidRPr="004803DD">
              <w:t xml:space="preserve">fugitive emissions already in Division 200  </w:t>
            </w:r>
          </w:p>
        </w:tc>
        <w:tc>
          <w:tcPr>
            <w:tcW w:w="6390" w:type="dxa"/>
          </w:tcPr>
          <w:p w:rsidR="00B807C1" w:rsidRPr="004803DD" w:rsidRDefault="00B807C1" w:rsidP="008E0E79">
            <w:pPr>
              <w:spacing w:before="80" w:after="80"/>
            </w:pPr>
            <w:r w:rsidRPr="004803DD">
              <w:t>Delete and use definition in Division 200</w:t>
            </w:r>
          </w:p>
        </w:tc>
      </w:tr>
      <w:tr w:rsidR="00B807C1" w:rsidRPr="00DC7BAD" w:rsidTr="0028683C">
        <w:tc>
          <w:tcPr>
            <w:tcW w:w="918" w:type="dxa"/>
          </w:tcPr>
          <w:p w:rsidR="00B807C1" w:rsidRPr="00DC7BAD" w:rsidRDefault="00B807C1" w:rsidP="008E0E79">
            <w:pPr>
              <w:spacing w:before="80" w:after="80"/>
              <w:rPr>
                <w:b/>
              </w:rPr>
            </w:pPr>
            <w:r w:rsidRPr="00DC7BAD">
              <w:rPr>
                <w:b/>
              </w:rPr>
              <w:t>208</w:t>
            </w:r>
          </w:p>
        </w:tc>
        <w:tc>
          <w:tcPr>
            <w:tcW w:w="1440" w:type="dxa"/>
          </w:tcPr>
          <w:p w:rsidR="00B807C1" w:rsidRPr="00DC7BAD" w:rsidRDefault="00B807C1" w:rsidP="008E0E79">
            <w:pPr>
              <w:spacing w:before="80" w:after="80"/>
            </w:pPr>
            <w:r w:rsidRPr="00DC7BAD">
              <w:t>0010(12)</w:t>
            </w:r>
          </w:p>
        </w:tc>
        <w:tc>
          <w:tcPr>
            <w:tcW w:w="5850" w:type="dxa"/>
          </w:tcPr>
          <w:p w:rsidR="00B807C1" w:rsidRPr="00DC7BAD" w:rsidRDefault="00B807C1" w:rsidP="008E0E79">
            <w:pPr>
              <w:spacing w:before="80" w:after="80"/>
            </w:pPr>
            <w:r w:rsidRPr="00DC7BAD">
              <w:t>Definition of standard conditions different from Division 230 and 240 but same as Division 226 and 228</w:t>
            </w:r>
          </w:p>
        </w:tc>
        <w:tc>
          <w:tcPr>
            <w:tcW w:w="6390" w:type="dxa"/>
          </w:tcPr>
          <w:p w:rsidR="00B807C1" w:rsidRPr="00DC7BAD" w:rsidRDefault="00B807C1" w:rsidP="008E0E79">
            <w:pPr>
              <w:spacing w:before="80" w:after="80"/>
            </w:pPr>
            <w:r w:rsidRPr="00DC7BAD">
              <w:t>Delete and incorporate into definition of standard cubic foot and move to Division 200</w:t>
            </w:r>
          </w:p>
        </w:tc>
      </w:tr>
      <w:tr w:rsidR="00B807C1" w:rsidTr="0028683C">
        <w:tc>
          <w:tcPr>
            <w:tcW w:w="918" w:type="dxa"/>
          </w:tcPr>
          <w:p w:rsidR="00B807C1" w:rsidRPr="00DC7BAD" w:rsidRDefault="00B807C1" w:rsidP="008E0E79">
            <w:pPr>
              <w:spacing w:before="80" w:after="80"/>
              <w:rPr>
                <w:b/>
              </w:rPr>
            </w:pPr>
            <w:r w:rsidRPr="00DC7BAD">
              <w:rPr>
                <w:b/>
              </w:rPr>
              <w:t>208</w:t>
            </w:r>
          </w:p>
        </w:tc>
        <w:tc>
          <w:tcPr>
            <w:tcW w:w="1440" w:type="dxa"/>
          </w:tcPr>
          <w:p w:rsidR="00B807C1" w:rsidRPr="00DC7BAD" w:rsidRDefault="00B807C1" w:rsidP="008E0E79">
            <w:pPr>
              <w:spacing w:before="80" w:after="80"/>
            </w:pPr>
            <w:r w:rsidRPr="00DC7BAD">
              <w:t>0010(13)</w:t>
            </w:r>
          </w:p>
        </w:tc>
        <w:tc>
          <w:tcPr>
            <w:tcW w:w="5850" w:type="dxa"/>
          </w:tcPr>
          <w:p w:rsidR="00B807C1" w:rsidRPr="00DC7BAD" w:rsidRDefault="00B807C1" w:rsidP="008E0E79">
            <w:pPr>
              <w:spacing w:before="80" w:after="80"/>
            </w:pPr>
            <w:r w:rsidRPr="00DC7BAD">
              <w:t xml:space="preserve">Definition of standard cubic foot different from Division 236 and 240 </w:t>
            </w:r>
            <w:r>
              <w:t>but same as 228</w:t>
            </w:r>
          </w:p>
        </w:tc>
        <w:tc>
          <w:tcPr>
            <w:tcW w:w="6390" w:type="dxa"/>
          </w:tcPr>
          <w:p w:rsidR="00B807C1" w:rsidRPr="00DC7BAD" w:rsidRDefault="00B807C1" w:rsidP="008E0E79">
            <w:pPr>
              <w:spacing w:before="80" w:after="80"/>
            </w:pPr>
            <w:r w:rsidRPr="00DC7BAD">
              <w:t xml:space="preserve">Use definition in 240 and move to Division 200 </w:t>
            </w:r>
          </w:p>
        </w:tc>
      </w:tr>
      <w:tr w:rsidR="00B807C1" w:rsidTr="0028683C">
        <w:tc>
          <w:tcPr>
            <w:tcW w:w="918" w:type="dxa"/>
          </w:tcPr>
          <w:p w:rsidR="00B807C1" w:rsidRPr="008923DE" w:rsidRDefault="00B807C1" w:rsidP="008E0E79">
            <w:pPr>
              <w:spacing w:before="80" w:after="80"/>
              <w:rPr>
                <w:b/>
              </w:rPr>
            </w:pPr>
            <w:r>
              <w:rPr>
                <w:b/>
              </w:rPr>
              <w:t>208</w:t>
            </w:r>
          </w:p>
        </w:tc>
        <w:tc>
          <w:tcPr>
            <w:tcW w:w="1440" w:type="dxa"/>
          </w:tcPr>
          <w:p w:rsidR="00B807C1" w:rsidRPr="008923DE" w:rsidRDefault="00B807C1" w:rsidP="008E0E79">
            <w:pPr>
              <w:spacing w:before="80" w:after="80"/>
            </w:pPr>
            <w:r>
              <w:t>0100</w:t>
            </w:r>
          </w:p>
        </w:tc>
        <w:tc>
          <w:tcPr>
            <w:tcW w:w="5850" w:type="dxa"/>
          </w:tcPr>
          <w:p w:rsidR="00B807C1" w:rsidRDefault="00B807C1" w:rsidP="008E0E79">
            <w:pPr>
              <w:spacing w:before="80" w:after="80"/>
            </w:pPr>
            <w:r>
              <w:t>Exempt fugitive sources from opacity limits</w:t>
            </w:r>
          </w:p>
          <w:p w:rsidR="00B807C1" w:rsidRPr="008923DE" w:rsidRDefault="00B807C1" w:rsidP="008E0E79">
            <w:pPr>
              <w:spacing w:before="80" w:after="80"/>
            </w:pPr>
          </w:p>
        </w:tc>
        <w:tc>
          <w:tcPr>
            <w:tcW w:w="6390" w:type="dxa"/>
          </w:tcPr>
          <w:p w:rsidR="00B807C1" w:rsidRPr="008923DE" w:rsidRDefault="00B807C1" w:rsidP="00B62FF1">
            <w:pPr>
              <w:spacing w:before="80" w:after="80"/>
            </w:pPr>
            <w:r>
              <w:lastRenderedPageBreak/>
              <w:t xml:space="preserve">Fugitive emission sources are regulated in 0200-0120 </w:t>
            </w:r>
            <w:r w:rsidRPr="00B62FF1">
              <w:t xml:space="preserve">(Proposed SIP </w:t>
            </w:r>
            <w:r w:rsidRPr="00B62FF1">
              <w:lastRenderedPageBreak/>
              <w:t>Implementation Change)</w:t>
            </w:r>
          </w:p>
        </w:tc>
      </w:tr>
      <w:tr w:rsidR="00B807C1" w:rsidTr="0028683C">
        <w:tc>
          <w:tcPr>
            <w:tcW w:w="918" w:type="dxa"/>
          </w:tcPr>
          <w:p w:rsidR="00B807C1" w:rsidRPr="008923DE" w:rsidRDefault="00B807C1" w:rsidP="008E0E79">
            <w:pPr>
              <w:spacing w:before="80" w:after="80"/>
              <w:rPr>
                <w:b/>
              </w:rPr>
            </w:pPr>
            <w:r>
              <w:rPr>
                <w:b/>
              </w:rPr>
              <w:lastRenderedPageBreak/>
              <w:t>208</w:t>
            </w:r>
          </w:p>
        </w:tc>
        <w:tc>
          <w:tcPr>
            <w:tcW w:w="1440" w:type="dxa"/>
          </w:tcPr>
          <w:p w:rsidR="00B807C1" w:rsidRPr="008923DE" w:rsidRDefault="00B807C1" w:rsidP="008E0E79">
            <w:pPr>
              <w:spacing w:before="80" w:after="80"/>
            </w:pPr>
            <w:r>
              <w:t>0100</w:t>
            </w:r>
          </w:p>
        </w:tc>
        <w:tc>
          <w:tcPr>
            <w:tcW w:w="5850" w:type="dxa"/>
          </w:tcPr>
          <w:p w:rsidR="00B807C1" w:rsidRPr="008923DE" w:rsidRDefault="00B807C1" w:rsidP="008E0E79">
            <w:pPr>
              <w:spacing w:before="80" w:after="80"/>
            </w:pPr>
            <w:r w:rsidRPr="008923DE">
              <w:t>Make it so source specific rules in other Divisions, as well as the NSPS and NESHAP, supersede the general requirements.</w:t>
            </w:r>
          </w:p>
        </w:tc>
        <w:tc>
          <w:tcPr>
            <w:tcW w:w="6390" w:type="dxa"/>
          </w:tcPr>
          <w:p w:rsidR="00B807C1" w:rsidRPr="00F37F48" w:rsidRDefault="00B807C1" w:rsidP="008E0E79">
            <w:pPr>
              <w:spacing w:before="80" w:after="80"/>
            </w:pPr>
            <w:r w:rsidRPr="00F37F48">
              <w:t>New Source Performance Standards (NSPS) and National Emission Standard for Hazardous Air Pollutants are specifically written for certain industries.  These rules are more stringent than the general permitting requirements.  By applying only the industry specific standards, the Department will eliminate confusion and steamline permitting requirements.  To address the stringency issue, a requirement that any source exempt from 208-0110 must have a startup/shutdown plan in accordance with 340-314-0340 has been added.  This would be equivalent to existing practices in which we exercise enforcement discretion for excess emissions during startup/shutdown</w:t>
            </w:r>
            <w:r>
              <w:t xml:space="preserve"> </w:t>
            </w:r>
            <w:r w:rsidRPr="00B62FF1">
              <w:t>(Proposed SIP Implementation Change)</w:t>
            </w:r>
          </w:p>
        </w:tc>
      </w:tr>
      <w:tr w:rsidR="00B807C1" w:rsidTr="0028683C">
        <w:tc>
          <w:tcPr>
            <w:tcW w:w="918" w:type="dxa"/>
          </w:tcPr>
          <w:p w:rsidR="00B807C1" w:rsidRPr="008923DE" w:rsidRDefault="00B807C1" w:rsidP="008E0E79">
            <w:pPr>
              <w:spacing w:before="80" w:after="80"/>
              <w:rPr>
                <w:b/>
              </w:rPr>
            </w:pPr>
            <w:r w:rsidRPr="008923DE">
              <w:rPr>
                <w:b/>
              </w:rPr>
              <w:t>208</w:t>
            </w:r>
          </w:p>
        </w:tc>
        <w:tc>
          <w:tcPr>
            <w:tcW w:w="1440" w:type="dxa"/>
          </w:tcPr>
          <w:p w:rsidR="00B807C1" w:rsidRPr="008923DE" w:rsidRDefault="00B807C1" w:rsidP="008E0E79">
            <w:pPr>
              <w:spacing w:before="80" w:after="80"/>
            </w:pPr>
            <w:r w:rsidRPr="008923DE">
              <w:t>0110</w:t>
            </w:r>
            <w:r>
              <w:t>(1) and (2)</w:t>
            </w:r>
          </w:p>
        </w:tc>
        <w:tc>
          <w:tcPr>
            <w:tcW w:w="5850" w:type="dxa"/>
          </w:tcPr>
          <w:p w:rsidR="00B807C1" w:rsidRDefault="00B807C1" w:rsidP="00F03241">
            <w:pPr>
              <w:spacing w:before="80" w:after="80"/>
            </w:pPr>
            <w:r w:rsidRPr="008923DE">
              <w:t>Delete 40% opacity limit</w:t>
            </w:r>
            <w:r>
              <w:t xml:space="preserve"> and </w:t>
            </w:r>
            <w:r w:rsidRPr="008923DE">
              <w:t xml:space="preserve">add </w:t>
            </w:r>
            <w:r>
              <w:t xml:space="preserve">a compliance </w:t>
            </w:r>
            <w:r w:rsidRPr="008923DE">
              <w:t>date for existing sources.</w:t>
            </w:r>
          </w:p>
          <w:p w:rsidR="00B807C1" w:rsidRPr="008923DE" w:rsidRDefault="00B807C1" w:rsidP="00F03241">
            <w:pPr>
              <w:spacing w:before="80" w:after="80"/>
            </w:pPr>
          </w:p>
        </w:tc>
        <w:tc>
          <w:tcPr>
            <w:tcW w:w="6390" w:type="dxa"/>
          </w:tcPr>
          <w:p w:rsidR="00B807C1" w:rsidRDefault="00B807C1" w:rsidP="00F03241">
            <w:r>
              <w:t>DEQ is proposing the change because of the following reasons:</w:t>
            </w:r>
          </w:p>
          <w:p w:rsidR="00B807C1" w:rsidRDefault="00B807C1" w:rsidP="00F03241">
            <w:pPr>
              <w:numPr>
                <w:ilvl w:val="0"/>
                <w:numId w:val="12"/>
              </w:numPr>
            </w:pPr>
            <w:r w:rsidRPr="00E37158">
              <w:t xml:space="preserve">Some of the affected sources will probably have to reduce emissions anyway due to future regulations, such as the Boiler and Industrial furnace MACT.  </w:t>
            </w:r>
          </w:p>
          <w:p w:rsidR="00B807C1" w:rsidRDefault="00B807C1" w:rsidP="00F03241">
            <w:pPr>
              <w:numPr>
                <w:ilvl w:val="0"/>
                <w:numId w:val="12"/>
              </w:numPr>
            </w:pPr>
            <w:r w:rsidRPr="00E37158">
              <w:t xml:space="preserve">Having two standards creates an unequal playing field for industry; especially since new sources can be as much as </w:t>
            </w:r>
            <w:r w:rsidRPr="00335118">
              <w:t>40</w:t>
            </w:r>
            <w:r w:rsidRPr="00E37158">
              <w:t xml:space="preserve"> years old.  </w:t>
            </w:r>
          </w:p>
          <w:p w:rsidR="00B807C1" w:rsidRPr="00F03241" w:rsidRDefault="00B807C1" w:rsidP="00F03241">
            <w:pPr>
              <w:numPr>
                <w:ilvl w:val="0"/>
                <w:numId w:val="12"/>
              </w:numPr>
            </w:pPr>
            <w:r w:rsidRPr="00F03241">
              <w:t xml:space="preserve">More and more areas of the state are special control areas due to population increases.  </w:t>
            </w:r>
          </w:p>
          <w:p w:rsidR="00B807C1" w:rsidRPr="00F03241" w:rsidRDefault="00B807C1" w:rsidP="00F03241">
            <w:pPr>
              <w:pStyle w:val="ListParagraph"/>
              <w:numPr>
                <w:ilvl w:val="0"/>
                <w:numId w:val="12"/>
              </w:numPr>
              <w:autoSpaceDE w:val="0"/>
              <w:autoSpaceDN w:val="0"/>
              <w:adjustRightInd w:val="0"/>
            </w:pPr>
            <w:r w:rsidRPr="00F03241">
              <w:t>EPA’s adoption of a new PM</w:t>
            </w:r>
            <w:r w:rsidRPr="00F03241">
              <w:rPr>
                <w:vertAlign w:val="subscript"/>
              </w:rPr>
              <w:t>2.5</w:t>
            </w:r>
            <w:r w:rsidRPr="00F03241">
              <w:t xml:space="preserve"> 24-hour NAAQS has resulted in 2 nonattainment areas, with a third meeting the definition but not legally designated as such.  This proposed rule change will reduce opacity in all areas and will help prevent future problems, especially in light of EPA’s plan to reduce the PM2.5 NAAQS even further. </w:t>
            </w:r>
          </w:p>
          <w:p w:rsidR="00B807C1" w:rsidRPr="008923DE" w:rsidRDefault="00B807C1" w:rsidP="00F03241">
            <w:pPr>
              <w:numPr>
                <w:ilvl w:val="0"/>
                <w:numId w:val="12"/>
              </w:numPr>
            </w:pPr>
            <w:r w:rsidRPr="00E37158">
              <w:t xml:space="preserve">Phased compliance </w:t>
            </w:r>
            <w:r>
              <w:t xml:space="preserve">will give sources that cannot meet the new standards time to comply.  </w:t>
            </w:r>
          </w:p>
        </w:tc>
      </w:tr>
      <w:tr w:rsidR="00B807C1" w:rsidTr="0028683C">
        <w:tc>
          <w:tcPr>
            <w:tcW w:w="918" w:type="dxa"/>
          </w:tcPr>
          <w:p w:rsidR="00B807C1" w:rsidRPr="008923DE" w:rsidRDefault="00B807C1" w:rsidP="008F79CD">
            <w:pPr>
              <w:spacing w:before="80" w:after="80"/>
              <w:rPr>
                <w:b/>
              </w:rPr>
            </w:pPr>
            <w:r w:rsidRPr="008923DE">
              <w:rPr>
                <w:b/>
              </w:rPr>
              <w:t>208</w:t>
            </w:r>
          </w:p>
        </w:tc>
        <w:tc>
          <w:tcPr>
            <w:tcW w:w="1440" w:type="dxa"/>
          </w:tcPr>
          <w:p w:rsidR="00B807C1" w:rsidRPr="008923DE" w:rsidRDefault="00B807C1" w:rsidP="008F79CD">
            <w:pPr>
              <w:spacing w:before="80" w:after="80"/>
            </w:pPr>
            <w:r w:rsidRPr="008923DE">
              <w:t>0110</w:t>
            </w:r>
            <w:r>
              <w:t>(1) and (2)</w:t>
            </w:r>
          </w:p>
        </w:tc>
        <w:tc>
          <w:tcPr>
            <w:tcW w:w="5850" w:type="dxa"/>
          </w:tcPr>
          <w:p w:rsidR="00B807C1" w:rsidRPr="008923DE" w:rsidRDefault="00B807C1" w:rsidP="00F03241">
            <w:pPr>
              <w:spacing w:before="80" w:after="80"/>
            </w:pPr>
            <w:r w:rsidRPr="008923DE">
              <w:t xml:space="preserve">Make the 20% limit applicable to all non-fugitive sources in the state.  </w:t>
            </w:r>
            <w:r>
              <w:t>C</w:t>
            </w:r>
            <w:r w:rsidRPr="008923DE">
              <w:t xml:space="preserve">hange limit to a 6-minute average instead of a 3-minute aggregate.  </w:t>
            </w:r>
          </w:p>
        </w:tc>
        <w:tc>
          <w:tcPr>
            <w:tcW w:w="6390" w:type="dxa"/>
          </w:tcPr>
          <w:p w:rsidR="00B807C1" w:rsidRDefault="00B807C1" w:rsidP="008F79CD">
            <w:r>
              <w:t>DEQ is proposing the change because of the following reasons:</w:t>
            </w:r>
          </w:p>
          <w:p w:rsidR="00B807C1" w:rsidRDefault="00B807C1" w:rsidP="00F03241">
            <w:pPr>
              <w:pStyle w:val="ListParagraph"/>
              <w:numPr>
                <w:ilvl w:val="0"/>
                <w:numId w:val="13"/>
              </w:numPr>
            </w:pPr>
            <w:r>
              <w:t xml:space="preserve"> An opacity standard based on a 6-</w:t>
            </w:r>
            <w:r w:rsidRPr="00E37158">
              <w:t xml:space="preserve">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  </w:t>
            </w:r>
          </w:p>
          <w:p w:rsidR="00B807C1" w:rsidRDefault="00B807C1" w:rsidP="00F03241">
            <w:pPr>
              <w:pStyle w:val="ListParagraph"/>
              <w:numPr>
                <w:ilvl w:val="0"/>
                <w:numId w:val="13"/>
              </w:numPr>
            </w:pPr>
            <w:r w:rsidRPr="00E37158">
              <w:t>Other reasons for changing to a 6 minute average include:</w:t>
            </w:r>
          </w:p>
          <w:p w:rsidR="00B807C1" w:rsidRDefault="00B807C1" w:rsidP="00F03241">
            <w:pPr>
              <w:pStyle w:val="ListParagraph"/>
              <w:numPr>
                <w:ilvl w:val="1"/>
                <w:numId w:val="13"/>
              </w:numPr>
            </w:pPr>
            <w:r w:rsidRPr="00E37158">
              <w:t>A reference compliance method has not been developed for the 3 minute standard.</w:t>
            </w:r>
          </w:p>
          <w:p w:rsidR="00B807C1" w:rsidRDefault="00B807C1" w:rsidP="00F03241">
            <w:pPr>
              <w:pStyle w:val="ListParagraph"/>
              <w:numPr>
                <w:ilvl w:val="1"/>
                <w:numId w:val="13"/>
              </w:numPr>
            </w:pPr>
            <w:r w:rsidRPr="00E37158">
              <w:t>EPA met</w:t>
            </w:r>
            <w:r>
              <w:t>hod 9 results are reported as 6-min</w:t>
            </w:r>
            <w:r w:rsidRPr="00E37158">
              <w:t>ute averages.</w:t>
            </w:r>
          </w:p>
          <w:p w:rsidR="00B807C1" w:rsidRDefault="00B807C1" w:rsidP="00F03241">
            <w:pPr>
              <w:pStyle w:val="ListParagraph"/>
              <w:numPr>
                <w:ilvl w:val="1"/>
                <w:numId w:val="13"/>
              </w:numPr>
            </w:pPr>
            <w:r w:rsidRPr="00E37158">
              <w:t>The</w:t>
            </w:r>
            <w:r>
              <w:t xml:space="preserve"> 3-</w:t>
            </w:r>
            <w:r w:rsidRPr="00E37158">
              <w:t>minute standard adds more cost to data acquisition systems for continuous opacity monitoring systems.  Many</w:t>
            </w:r>
            <w:r>
              <w:t xml:space="preserve"> of the COMS are designed for 6-</w:t>
            </w:r>
            <w:r w:rsidRPr="00E37158">
              <w:t>minute averages, so they have to be modified to r</w:t>
            </w:r>
            <w:r>
              <w:t>ecord and report data for the 3-</w:t>
            </w:r>
            <w:r w:rsidRPr="00E37158">
              <w:t xml:space="preserve">minute </w:t>
            </w:r>
            <w:r w:rsidRPr="00E37158">
              <w:lastRenderedPageBreak/>
              <w:t xml:space="preserve">standard.  </w:t>
            </w:r>
          </w:p>
          <w:p w:rsidR="00B807C1" w:rsidRPr="008923DE" w:rsidRDefault="00B807C1" w:rsidP="00F03241">
            <w:pPr>
              <w:pStyle w:val="ListParagraph"/>
              <w:numPr>
                <w:ilvl w:val="1"/>
                <w:numId w:val="13"/>
              </w:numPr>
            </w:pPr>
            <w:r w:rsidRPr="00E37158">
              <w:t>Compliance with a 6 minute average can be</w:t>
            </w:r>
            <w:r>
              <w:t xml:space="preserve"> determined with 24 readings (6-</w:t>
            </w:r>
            <w:r w:rsidRPr="00E37158">
              <w:t>minute observation period);</w:t>
            </w:r>
            <w:r>
              <w:t xml:space="preserve"> whereas, compliance with the 3-</w:t>
            </w:r>
            <w:r w:rsidRPr="00E37158">
              <w:t>minute standard may require as many as 240 readings (60 minute observation period).  In addition, it is the Department’s policy that the inspector observes the source for at least 6 minutes before making a compliance determination.</w:t>
            </w:r>
          </w:p>
        </w:tc>
      </w:tr>
      <w:tr w:rsidR="00B807C1" w:rsidTr="0028683C">
        <w:tc>
          <w:tcPr>
            <w:tcW w:w="918" w:type="dxa"/>
          </w:tcPr>
          <w:p w:rsidR="00B807C1" w:rsidRPr="008923DE" w:rsidRDefault="00B807C1" w:rsidP="008E0E79">
            <w:pPr>
              <w:spacing w:before="80" w:after="80"/>
              <w:rPr>
                <w:b/>
              </w:rPr>
            </w:pPr>
            <w:r>
              <w:rPr>
                <w:b/>
              </w:rPr>
              <w:lastRenderedPageBreak/>
              <w:t>208</w:t>
            </w:r>
          </w:p>
        </w:tc>
        <w:tc>
          <w:tcPr>
            <w:tcW w:w="1440" w:type="dxa"/>
          </w:tcPr>
          <w:p w:rsidR="00B807C1" w:rsidRDefault="00B807C1" w:rsidP="008E0E79">
            <w:pPr>
              <w:spacing w:before="80" w:after="80"/>
            </w:pPr>
            <w:r>
              <w:t>0110</w:t>
            </w:r>
          </w:p>
        </w:tc>
        <w:tc>
          <w:tcPr>
            <w:tcW w:w="5850" w:type="dxa"/>
          </w:tcPr>
          <w:p w:rsidR="00B807C1" w:rsidRPr="008923DE" w:rsidRDefault="00B807C1" w:rsidP="00C91BC1">
            <w:pPr>
              <w:spacing w:before="80" w:after="80"/>
            </w:pPr>
            <w:r>
              <w:t xml:space="preserve">Add a provision for </w:t>
            </w:r>
            <w:r w:rsidR="00C91BC1">
              <w:t xml:space="preserve">maintenance </w:t>
            </w:r>
            <w:r>
              <w:t>for wood-fired boilers and process heaters installed before 1970</w:t>
            </w:r>
          </w:p>
        </w:tc>
        <w:tc>
          <w:tcPr>
            <w:tcW w:w="6390" w:type="dxa"/>
          </w:tcPr>
          <w:p w:rsidR="00B807C1" w:rsidRDefault="00B807C1" w:rsidP="008E0E79">
            <w:pPr>
              <w:spacing w:before="80" w:after="80"/>
            </w:pPr>
            <w:r>
              <w:t xml:space="preserve">Visible emissions during grate cleaning are greater than 20% opacity.  Since the 40% opacity limit is being eliminated, a provision for grate cleaning </w:t>
            </w:r>
            <w:r w:rsidR="00C91BC1">
              <w:t xml:space="preserve">and other maintenance </w:t>
            </w:r>
            <w:r>
              <w:t xml:space="preserve">is needed.  </w:t>
            </w:r>
          </w:p>
        </w:tc>
      </w:tr>
      <w:tr w:rsidR="00B807C1" w:rsidTr="0028683C">
        <w:tc>
          <w:tcPr>
            <w:tcW w:w="918" w:type="dxa"/>
          </w:tcPr>
          <w:p w:rsidR="00B807C1" w:rsidRPr="008923DE" w:rsidRDefault="00B807C1" w:rsidP="008E0E79">
            <w:pPr>
              <w:spacing w:before="80" w:after="80"/>
              <w:rPr>
                <w:b/>
              </w:rPr>
            </w:pPr>
            <w:r>
              <w:rPr>
                <w:b/>
              </w:rPr>
              <w:t>208</w:t>
            </w:r>
          </w:p>
        </w:tc>
        <w:tc>
          <w:tcPr>
            <w:tcW w:w="1440" w:type="dxa"/>
          </w:tcPr>
          <w:p w:rsidR="00B807C1" w:rsidRDefault="00B807C1" w:rsidP="008E0E79">
            <w:pPr>
              <w:spacing w:before="80" w:after="80"/>
            </w:pPr>
            <w:r>
              <w:t>0110</w:t>
            </w:r>
          </w:p>
        </w:tc>
        <w:tc>
          <w:tcPr>
            <w:tcW w:w="5850" w:type="dxa"/>
          </w:tcPr>
          <w:p w:rsidR="00B807C1" w:rsidRPr="008923DE" w:rsidRDefault="00B807C1" w:rsidP="008E0E79">
            <w:pPr>
              <w:spacing w:before="80" w:after="80"/>
            </w:pPr>
            <w:r>
              <w:t>Add a provision that non-fugitive emissions units exempt from this rule must have a startup/shutdown procedures</w:t>
            </w:r>
          </w:p>
        </w:tc>
        <w:tc>
          <w:tcPr>
            <w:tcW w:w="6390" w:type="dxa"/>
          </w:tcPr>
          <w:p w:rsidR="00B807C1" w:rsidRDefault="00B807C1" w:rsidP="008E0E79">
            <w:pPr>
              <w:spacing w:before="80" w:after="80"/>
            </w:pPr>
            <w:r>
              <w:t xml:space="preserve">Non-fugitive emission units that are subject to source specific rules in other Divisions, as well as the NSPS and NESHAP, must have startup/shutdown procedures approved because these rules do not apply during startup/shutdown </w:t>
            </w:r>
            <w:r w:rsidRPr="00B62FF1">
              <w:t>(Proposed SIP Implementation Change)</w:t>
            </w:r>
          </w:p>
        </w:tc>
      </w:tr>
      <w:tr w:rsidR="00B807C1" w:rsidTr="0028683C">
        <w:tc>
          <w:tcPr>
            <w:tcW w:w="918" w:type="dxa"/>
          </w:tcPr>
          <w:p w:rsidR="00B807C1" w:rsidRPr="008923DE" w:rsidRDefault="00B807C1" w:rsidP="008E0E79">
            <w:pPr>
              <w:spacing w:before="80" w:after="80"/>
              <w:rPr>
                <w:b/>
              </w:rPr>
            </w:pPr>
            <w:r>
              <w:rPr>
                <w:b/>
              </w:rPr>
              <w:t>208</w:t>
            </w:r>
          </w:p>
        </w:tc>
        <w:tc>
          <w:tcPr>
            <w:tcW w:w="1440" w:type="dxa"/>
          </w:tcPr>
          <w:p w:rsidR="00B807C1" w:rsidRDefault="00B807C1" w:rsidP="008E0E79">
            <w:pPr>
              <w:spacing w:before="80" w:after="80"/>
            </w:pPr>
            <w:r>
              <w:t>0110</w:t>
            </w:r>
          </w:p>
        </w:tc>
        <w:tc>
          <w:tcPr>
            <w:tcW w:w="5850" w:type="dxa"/>
          </w:tcPr>
          <w:p w:rsidR="00B807C1" w:rsidRPr="008923DE" w:rsidRDefault="00B807C1" w:rsidP="008E0E79">
            <w:pPr>
              <w:spacing w:before="80" w:after="80"/>
            </w:pPr>
            <w:r>
              <w:t>Add a test method</w:t>
            </w:r>
          </w:p>
        </w:tc>
        <w:tc>
          <w:tcPr>
            <w:tcW w:w="6390" w:type="dxa"/>
          </w:tcPr>
          <w:p w:rsidR="00B807C1" w:rsidRDefault="00B807C1" w:rsidP="008E0E79">
            <w:pPr>
              <w:spacing w:before="80" w:after="80"/>
            </w:pPr>
            <w:r>
              <w:t>A test method should always be specified with each standard  in order to be able to show compliance</w:t>
            </w:r>
          </w:p>
        </w:tc>
      </w:tr>
      <w:tr w:rsidR="00B807C1" w:rsidTr="0028683C">
        <w:tc>
          <w:tcPr>
            <w:tcW w:w="918" w:type="dxa"/>
          </w:tcPr>
          <w:p w:rsidR="00B807C1" w:rsidRPr="008923DE" w:rsidRDefault="00B807C1" w:rsidP="008E0E79">
            <w:pPr>
              <w:spacing w:before="80" w:after="80"/>
              <w:rPr>
                <w:b/>
              </w:rPr>
            </w:pPr>
            <w:r w:rsidRPr="008923DE">
              <w:rPr>
                <w:b/>
              </w:rPr>
              <w:t>208</w:t>
            </w:r>
          </w:p>
        </w:tc>
        <w:tc>
          <w:tcPr>
            <w:tcW w:w="1440" w:type="dxa"/>
          </w:tcPr>
          <w:p w:rsidR="00B807C1" w:rsidRPr="008923DE" w:rsidRDefault="00B807C1" w:rsidP="008E0E79">
            <w:pPr>
              <w:spacing w:before="80" w:after="80"/>
            </w:pPr>
            <w:r>
              <w:t>020</w:t>
            </w:r>
            <w:r w:rsidRPr="008923DE">
              <w:t>0</w:t>
            </w:r>
          </w:p>
        </w:tc>
        <w:tc>
          <w:tcPr>
            <w:tcW w:w="5850" w:type="dxa"/>
          </w:tcPr>
          <w:p w:rsidR="00B807C1" w:rsidRPr="008923DE" w:rsidRDefault="00B807C1" w:rsidP="008E0E79">
            <w:pPr>
              <w:spacing w:before="80" w:after="80"/>
            </w:pPr>
            <w:r w:rsidRPr="008923DE">
              <w:t>Make the fugitive emission requirements applicable statewide to replace the opacity standards.</w:t>
            </w:r>
          </w:p>
        </w:tc>
        <w:tc>
          <w:tcPr>
            <w:tcW w:w="6390" w:type="dxa"/>
          </w:tcPr>
          <w:p w:rsidR="00B807C1" w:rsidRPr="008923DE" w:rsidRDefault="00B807C1" w:rsidP="008E0E79">
            <w:pPr>
              <w:spacing w:before="80" w:after="80"/>
            </w:pPr>
            <w:r>
              <w:t>Fugitive emissions should be controlled statewide</w:t>
            </w:r>
          </w:p>
        </w:tc>
      </w:tr>
      <w:tr w:rsidR="00B807C1" w:rsidTr="0028683C">
        <w:tc>
          <w:tcPr>
            <w:tcW w:w="918" w:type="dxa"/>
          </w:tcPr>
          <w:p w:rsidR="00B807C1" w:rsidRPr="008923DE" w:rsidRDefault="00B807C1" w:rsidP="008E0E79">
            <w:pPr>
              <w:spacing w:before="80" w:after="80"/>
              <w:rPr>
                <w:b/>
              </w:rPr>
            </w:pPr>
            <w:r w:rsidRPr="008923DE">
              <w:rPr>
                <w:b/>
              </w:rPr>
              <w:t>208</w:t>
            </w:r>
          </w:p>
        </w:tc>
        <w:tc>
          <w:tcPr>
            <w:tcW w:w="1440" w:type="dxa"/>
          </w:tcPr>
          <w:p w:rsidR="00B807C1" w:rsidRPr="008923DE" w:rsidRDefault="00B807C1" w:rsidP="008E0E79">
            <w:pPr>
              <w:spacing w:before="80" w:after="80"/>
            </w:pPr>
            <w:r>
              <w:t>0210(1)</w:t>
            </w:r>
          </w:p>
        </w:tc>
        <w:tc>
          <w:tcPr>
            <w:tcW w:w="5850" w:type="dxa"/>
          </w:tcPr>
          <w:p w:rsidR="00B807C1" w:rsidRPr="008923DE" w:rsidRDefault="00B807C1" w:rsidP="008E0E79">
            <w:pPr>
              <w:spacing w:before="80" w:after="80"/>
            </w:pPr>
            <w:r>
              <w:t xml:space="preserve">Since the </w:t>
            </w:r>
            <w:r w:rsidRPr="008923DE">
              <w:t xml:space="preserve">opacity standards </w:t>
            </w:r>
            <w:r>
              <w:t xml:space="preserve">will not apply to fugitive emission sources, </w:t>
            </w:r>
            <w:r w:rsidRPr="008923DE">
              <w:t xml:space="preserve">work practice standards </w:t>
            </w:r>
            <w:r>
              <w:t xml:space="preserve">will be used instead to abate </w:t>
            </w:r>
            <w:r w:rsidRPr="008923DE">
              <w:t>fugitive emissions.</w:t>
            </w:r>
          </w:p>
        </w:tc>
        <w:tc>
          <w:tcPr>
            <w:tcW w:w="6390" w:type="dxa"/>
          </w:tcPr>
          <w:p w:rsidR="00B807C1" w:rsidRPr="00FF10DA" w:rsidRDefault="00B807C1" w:rsidP="008E0E79">
            <w:pPr>
              <w:spacing w:before="80" w:after="80"/>
            </w:pPr>
            <w:r>
              <w:t xml:space="preserve">The Department has clarified that fugitive emissions must be abated upon order, rather than the subjective determination of a nuisance or trying to read opacity to comply with an opacity limit. </w:t>
            </w:r>
            <w:r w:rsidRPr="00B62FF1">
              <w:t>(Proposed SIP Implementation Change)</w:t>
            </w:r>
          </w:p>
        </w:tc>
      </w:tr>
      <w:tr w:rsidR="00B807C1" w:rsidTr="0028683C">
        <w:tc>
          <w:tcPr>
            <w:tcW w:w="918" w:type="dxa"/>
          </w:tcPr>
          <w:p w:rsidR="00B807C1" w:rsidRPr="008923DE" w:rsidRDefault="00B807C1" w:rsidP="008E0E79">
            <w:pPr>
              <w:spacing w:before="80" w:after="80"/>
              <w:rPr>
                <w:b/>
              </w:rPr>
            </w:pPr>
            <w:r>
              <w:rPr>
                <w:b/>
              </w:rPr>
              <w:t>208</w:t>
            </w:r>
          </w:p>
        </w:tc>
        <w:tc>
          <w:tcPr>
            <w:tcW w:w="1440" w:type="dxa"/>
          </w:tcPr>
          <w:p w:rsidR="00B807C1" w:rsidRPr="008923DE" w:rsidRDefault="00B807C1" w:rsidP="008E0E79">
            <w:pPr>
              <w:spacing w:before="80" w:after="80"/>
            </w:pPr>
            <w:r>
              <w:t>0210(2)</w:t>
            </w:r>
          </w:p>
        </w:tc>
        <w:tc>
          <w:tcPr>
            <w:tcW w:w="5850" w:type="dxa"/>
          </w:tcPr>
          <w:p w:rsidR="00B807C1" w:rsidRPr="008923DE" w:rsidRDefault="00B807C1" w:rsidP="008E0E79">
            <w:pPr>
              <w:spacing w:before="80" w:after="80"/>
            </w:pPr>
            <w:r>
              <w:t>Add a definition for particulate fugitive emissions</w:t>
            </w:r>
          </w:p>
        </w:tc>
        <w:tc>
          <w:tcPr>
            <w:tcW w:w="6390" w:type="dxa"/>
          </w:tcPr>
          <w:p w:rsidR="00B807C1" w:rsidRDefault="00B807C1" w:rsidP="008E0E79">
            <w:pPr>
              <w:spacing w:before="80" w:after="80"/>
            </w:pPr>
            <w:r>
              <w:t xml:space="preserve">This clarifies what fugitive emissions entail </w:t>
            </w:r>
          </w:p>
        </w:tc>
      </w:tr>
      <w:tr w:rsidR="00B807C1" w:rsidTr="0028683C">
        <w:tc>
          <w:tcPr>
            <w:tcW w:w="918" w:type="dxa"/>
          </w:tcPr>
          <w:p w:rsidR="00B807C1" w:rsidRPr="008923DE" w:rsidRDefault="00B807C1" w:rsidP="008E0E79">
            <w:pPr>
              <w:spacing w:before="80" w:after="80"/>
              <w:rPr>
                <w:b/>
              </w:rPr>
            </w:pPr>
            <w:r>
              <w:rPr>
                <w:b/>
              </w:rPr>
              <w:t>208</w:t>
            </w:r>
          </w:p>
        </w:tc>
        <w:tc>
          <w:tcPr>
            <w:tcW w:w="1440" w:type="dxa"/>
          </w:tcPr>
          <w:p w:rsidR="00B807C1" w:rsidRPr="008923DE" w:rsidRDefault="00B807C1" w:rsidP="008E0E79">
            <w:pPr>
              <w:spacing w:before="80" w:after="80"/>
            </w:pPr>
            <w:r>
              <w:t>0210(3)</w:t>
            </w:r>
          </w:p>
        </w:tc>
        <w:tc>
          <w:tcPr>
            <w:tcW w:w="5850" w:type="dxa"/>
          </w:tcPr>
          <w:p w:rsidR="00B807C1" w:rsidRPr="008923DE" w:rsidRDefault="00B807C1" w:rsidP="008E0E79">
            <w:pPr>
              <w:spacing w:before="80" w:after="80"/>
            </w:pPr>
            <w:r>
              <w:t>Add EPA Method 22 as the reference method</w:t>
            </w:r>
          </w:p>
        </w:tc>
        <w:tc>
          <w:tcPr>
            <w:tcW w:w="6390" w:type="dxa"/>
          </w:tcPr>
          <w:p w:rsidR="00B807C1" w:rsidRDefault="00B807C1" w:rsidP="008E0E79">
            <w:pPr>
              <w:spacing w:before="80" w:after="80"/>
            </w:pPr>
            <w:r>
              <w:t>A test method should always be specified with each standard  in order to be able to show compliance</w:t>
            </w:r>
          </w:p>
        </w:tc>
      </w:tr>
      <w:tr w:rsidR="00B807C1" w:rsidTr="0028683C">
        <w:tc>
          <w:tcPr>
            <w:tcW w:w="918" w:type="dxa"/>
          </w:tcPr>
          <w:p w:rsidR="00B807C1" w:rsidRPr="008923DE" w:rsidRDefault="00B807C1" w:rsidP="008E0E79">
            <w:pPr>
              <w:spacing w:before="80" w:after="80"/>
              <w:rPr>
                <w:b/>
              </w:rPr>
            </w:pPr>
            <w:r>
              <w:rPr>
                <w:b/>
              </w:rPr>
              <w:t>208</w:t>
            </w:r>
          </w:p>
        </w:tc>
        <w:tc>
          <w:tcPr>
            <w:tcW w:w="1440" w:type="dxa"/>
          </w:tcPr>
          <w:p w:rsidR="00B807C1" w:rsidRPr="008923DE" w:rsidRDefault="00B807C1" w:rsidP="008E0E79">
            <w:pPr>
              <w:spacing w:before="80" w:after="80"/>
            </w:pPr>
            <w:r>
              <w:t>0210(5)</w:t>
            </w:r>
          </w:p>
        </w:tc>
        <w:tc>
          <w:tcPr>
            <w:tcW w:w="5850" w:type="dxa"/>
          </w:tcPr>
          <w:p w:rsidR="00B807C1" w:rsidRPr="008923DE" w:rsidRDefault="00B807C1" w:rsidP="008E0E79">
            <w:pPr>
              <w:spacing w:before="80" w:after="80"/>
            </w:pPr>
            <w:r>
              <w:t>Add requirement for fugitive emission control plan</w:t>
            </w:r>
          </w:p>
        </w:tc>
        <w:tc>
          <w:tcPr>
            <w:tcW w:w="6390" w:type="dxa"/>
          </w:tcPr>
          <w:p w:rsidR="00B807C1" w:rsidRDefault="00B807C1" w:rsidP="008E0E79">
            <w:pPr>
              <w:spacing w:before="80" w:after="80"/>
            </w:pPr>
            <w:r>
              <w:t>This requirement will help address issues if fugitive emissions escape the property boundary</w:t>
            </w:r>
          </w:p>
        </w:tc>
      </w:tr>
      <w:tr w:rsidR="00B807C1" w:rsidTr="0028683C">
        <w:tc>
          <w:tcPr>
            <w:tcW w:w="918" w:type="dxa"/>
          </w:tcPr>
          <w:p w:rsidR="00B807C1" w:rsidRPr="008923DE" w:rsidRDefault="00B807C1" w:rsidP="008E0E79">
            <w:pPr>
              <w:spacing w:before="80" w:after="80"/>
              <w:rPr>
                <w:b/>
              </w:rPr>
            </w:pPr>
            <w:r w:rsidRPr="008923DE">
              <w:rPr>
                <w:b/>
              </w:rPr>
              <w:t>208</w:t>
            </w:r>
          </w:p>
        </w:tc>
        <w:tc>
          <w:tcPr>
            <w:tcW w:w="1440" w:type="dxa"/>
          </w:tcPr>
          <w:p w:rsidR="00B807C1" w:rsidRPr="008923DE" w:rsidRDefault="00B807C1" w:rsidP="008E0E79">
            <w:pPr>
              <w:spacing w:before="80" w:after="80"/>
            </w:pPr>
            <w:r w:rsidRPr="008923DE">
              <w:t>0550-0630</w:t>
            </w:r>
          </w:p>
        </w:tc>
        <w:tc>
          <w:tcPr>
            <w:tcW w:w="5850" w:type="dxa"/>
          </w:tcPr>
          <w:p w:rsidR="00B807C1" w:rsidRPr="008923DE" w:rsidRDefault="00B807C1" w:rsidP="008E0E79">
            <w:pPr>
              <w:spacing w:before="80" w:after="80"/>
            </w:pPr>
            <w:r w:rsidRPr="008923DE">
              <w:t xml:space="preserve">Eliminate all of these special requirements for the Portland area </w:t>
            </w:r>
          </w:p>
        </w:tc>
        <w:tc>
          <w:tcPr>
            <w:tcW w:w="6390" w:type="dxa"/>
          </w:tcPr>
          <w:p w:rsidR="00B807C1" w:rsidRPr="00057B8D" w:rsidRDefault="00B807C1" w:rsidP="00057B8D">
            <w:pPr>
              <w:spacing w:before="80" w:after="80"/>
            </w:pPr>
            <w:r w:rsidRPr="00057B8D">
              <w:t>Apply only in Clackamas, Columbia, Multnomah and Washington counties.  DEQ proposes to repeal OAR 340-208-0550 through 630 because these rules have limited applicability and because other rules make this rule largely redundant.  (Proposed SIP Implementation Change)</w:t>
            </w:r>
          </w:p>
        </w:tc>
      </w:tr>
      <w:tr w:rsidR="00B807C1" w:rsidTr="0028683C">
        <w:tc>
          <w:tcPr>
            <w:tcW w:w="918" w:type="dxa"/>
          </w:tcPr>
          <w:p w:rsidR="00B807C1" w:rsidRPr="008923DE" w:rsidRDefault="00B807C1" w:rsidP="002C483C">
            <w:pPr>
              <w:spacing w:before="80" w:after="80"/>
              <w:rPr>
                <w:b/>
              </w:rPr>
            </w:pPr>
            <w:r w:rsidRPr="008923DE">
              <w:rPr>
                <w:b/>
              </w:rPr>
              <w:t>210</w:t>
            </w:r>
          </w:p>
        </w:tc>
        <w:tc>
          <w:tcPr>
            <w:tcW w:w="1440" w:type="dxa"/>
          </w:tcPr>
          <w:p w:rsidR="00B807C1" w:rsidRPr="008923DE" w:rsidRDefault="00B807C1" w:rsidP="002C483C">
            <w:pPr>
              <w:spacing w:before="80" w:after="80"/>
            </w:pPr>
            <w:r>
              <w:t>0225(1)(a) &amp; (c)</w:t>
            </w:r>
          </w:p>
        </w:tc>
        <w:tc>
          <w:tcPr>
            <w:tcW w:w="5850" w:type="dxa"/>
          </w:tcPr>
          <w:p w:rsidR="00B807C1" w:rsidRPr="008923DE" w:rsidRDefault="00C91BC1" w:rsidP="002C483C">
            <w:pPr>
              <w:spacing w:before="80" w:after="80"/>
            </w:pPr>
            <w:r>
              <w:t>Correct</w:t>
            </w:r>
            <w:r w:rsidR="00B807C1">
              <w:t xml:space="preserve"> spelling of de minimis</w:t>
            </w:r>
          </w:p>
        </w:tc>
        <w:tc>
          <w:tcPr>
            <w:tcW w:w="6390" w:type="dxa"/>
          </w:tcPr>
          <w:p w:rsidR="00B807C1" w:rsidRPr="008923DE" w:rsidRDefault="00B807C1" w:rsidP="002C483C">
            <w:pPr>
              <w:spacing w:before="80" w:after="80"/>
            </w:pPr>
            <w:r>
              <w:t>Correction</w:t>
            </w:r>
          </w:p>
        </w:tc>
      </w:tr>
      <w:tr w:rsidR="00B807C1" w:rsidTr="0028683C">
        <w:tc>
          <w:tcPr>
            <w:tcW w:w="918" w:type="dxa"/>
          </w:tcPr>
          <w:p w:rsidR="00B807C1" w:rsidRPr="008923DE" w:rsidRDefault="00B807C1" w:rsidP="002C483C">
            <w:pPr>
              <w:spacing w:before="80" w:after="80"/>
              <w:rPr>
                <w:b/>
              </w:rPr>
            </w:pPr>
            <w:r w:rsidRPr="008923DE">
              <w:rPr>
                <w:b/>
              </w:rPr>
              <w:lastRenderedPageBreak/>
              <w:t>210</w:t>
            </w:r>
          </w:p>
        </w:tc>
        <w:tc>
          <w:tcPr>
            <w:tcW w:w="1440" w:type="dxa"/>
          </w:tcPr>
          <w:p w:rsidR="00B807C1" w:rsidRPr="008923DE" w:rsidRDefault="00B807C1" w:rsidP="002C483C">
            <w:pPr>
              <w:spacing w:before="80" w:after="80"/>
            </w:pPr>
            <w:r>
              <w:t>0225(1)</w:t>
            </w:r>
          </w:p>
        </w:tc>
        <w:tc>
          <w:tcPr>
            <w:tcW w:w="5850" w:type="dxa"/>
          </w:tcPr>
          <w:p w:rsidR="00B807C1" w:rsidRPr="008923DE" w:rsidRDefault="00B807C1" w:rsidP="002C483C">
            <w:pPr>
              <w:spacing w:before="80" w:after="80"/>
            </w:pPr>
            <w:r>
              <w:t>Add requirement that changes that are subject to NESHAP or NSPS should not be included as Type 1 changes</w:t>
            </w:r>
          </w:p>
        </w:tc>
        <w:tc>
          <w:tcPr>
            <w:tcW w:w="6390" w:type="dxa"/>
          </w:tcPr>
          <w:p w:rsidR="00B807C1" w:rsidRPr="00835534" w:rsidRDefault="00B807C1" w:rsidP="00835534">
            <w:pPr>
              <w:pStyle w:val="NormalWeb"/>
              <w:rPr>
                <w:sz w:val="20"/>
                <w:szCs w:val="20"/>
              </w:rPr>
            </w:pPr>
            <w:r w:rsidRPr="00835534">
              <w:rPr>
                <w:sz w:val="20"/>
                <w:szCs w:val="20"/>
              </w:rPr>
              <w:t>Corrects a problem regarding the distinctions between the Type 1 and Type 2 changes. A project that qualifies as a Type 1 change gets default approval to proceed 10 days after receipt of the application.  There have been instances when companies have replaced a NESHAP subject chrome plating line (or lines) with entirely new equipment or have replaced the respective control devices.  In each instance the associated emissions are well below the de minimis rate and the change m</w:t>
            </w:r>
            <w:r>
              <w:rPr>
                <w:sz w:val="20"/>
                <w:szCs w:val="20"/>
              </w:rPr>
              <w:t>eets the Type 1 criteria.  The</w:t>
            </w:r>
            <w:r w:rsidRPr="00835534">
              <w:rPr>
                <w:sz w:val="20"/>
                <w:szCs w:val="20"/>
              </w:rPr>
              <w:t xml:space="preserve"> review process in these instances is more complicated than for what Type 1 category was intended and there is </w:t>
            </w:r>
            <w:r>
              <w:rPr>
                <w:sz w:val="20"/>
                <w:szCs w:val="20"/>
              </w:rPr>
              <w:t>ins</w:t>
            </w:r>
            <w:r w:rsidRPr="00835534">
              <w:rPr>
                <w:sz w:val="20"/>
                <w:szCs w:val="20"/>
              </w:rPr>
              <w:t>ufficient time to respon</w:t>
            </w:r>
            <w:r>
              <w:rPr>
                <w:sz w:val="20"/>
                <w:szCs w:val="20"/>
              </w:rPr>
              <w:t xml:space="preserve">d </w:t>
            </w:r>
            <w:r w:rsidRPr="00835534">
              <w:rPr>
                <w:sz w:val="20"/>
                <w:szCs w:val="20"/>
              </w:rPr>
              <w:t xml:space="preserve">to the applicant.  Sixty days should be allowed under the Type 2 criteria for such reviews.  With all of the new area source NESHAP permits, there may be many more similar scenarios.  Change the rule language to bump such changes into the Type 2 category to allow for adequate review time.  </w:t>
            </w:r>
          </w:p>
        </w:tc>
      </w:tr>
      <w:tr w:rsidR="00B807C1" w:rsidTr="0028683C">
        <w:tc>
          <w:tcPr>
            <w:tcW w:w="918" w:type="dxa"/>
          </w:tcPr>
          <w:p w:rsidR="00B807C1" w:rsidRPr="008923DE" w:rsidRDefault="00B807C1" w:rsidP="002C483C">
            <w:pPr>
              <w:spacing w:before="80" w:after="80"/>
              <w:rPr>
                <w:b/>
              </w:rPr>
            </w:pPr>
            <w:r w:rsidRPr="008923DE">
              <w:rPr>
                <w:b/>
              </w:rPr>
              <w:t>210</w:t>
            </w:r>
          </w:p>
        </w:tc>
        <w:tc>
          <w:tcPr>
            <w:tcW w:w="1440" w:type="dxa"/>
          </w:tcPr>
          <w:p w:rsidR="00B807C1" w:rsidRPr="008923DE" w:rsidRDefault="00B807C1" w:rsidP="002C483C">
            <w:pPr>
              <w:spacing w:before="80" w:after="80"/>
            </w:pPr>
            <w:r>
              <w:t>0225(2)</w:t>
            </w:r>
          </w:p>
        </w:tc>
        <w:tc>
          <w:tcPr>
            <w:tcW w:w="5850" w:type="dxa"/>
          </w:tcPr>
          <w:p w:rsidR="00B807C1" w:rsidRPr="008923DE" w:rsidRDefault="00B807C1" w:rsidP="002C483C">
            <w:pPr>
              <w:spacing w:before="80" w:after="80"/>
            </w:pPr>
            <w:r>
              <w:t>List requirements for Type 2 changes rather than reference changes in 0225(1)</w:t>
            </w:r>
          </w:p>
        </w:tc>
        <w:tc>
          <w:tcPr>
            <w:tcW w:w="6390" w:type="dxa"/>
          </w:tcPr>
          <w:p w:rsidR="00B807C1" w:rsidRPr="008923DE" w:rsidRDefault="00B807C1" w:rsidP="002C483C">
            <w:pPr>
              <w:spacing w:before="80" w:after="80"/>
            </w:pPr>
            <w:r>
              <w:t>Clarification</w:t>
            </w:r>
          </w:p>
        </w:tc>
      </w:tr>
      <w:tr w:rsidR="00B807C1" w:rsidTr="0028683C">
        <w:tc>
          <w:tcPr>
            <w:tcW w:w="918" w:type="dxa"/>
          </w:tcPr>
          <w:p w:rsidR="00B807C1" w:rsidRPr="008923DE" w:rsidRDefault="00B807C1" w:rsidP="008E0E79">
            <w:pPr>
              <w:spacing w:before="80" w:after="80"/>
              <w:rPr>
                <w:b/>
              </w:rPr>
            </w:pPr>
            <w:r w:rsidRPr="008923DE">
              <w:rPr>
                <w:b/>
              </w:rPr>
              <w:t>210</w:t>
            </w:r>
          </w:p>
        </w:tc>
        <w:tc>
          <w:tcPr>
            <w:tcW w:w="1440" w:type="dxa"/>
          </w:tcPr>
          <w:p w:rsidR="00B807C1" w:rsidRPr="008923DE" w:rsidRDefault="00B807C1" w:rsidP="008E0E79">
            <w:pPr>
              <w:spacing w:before="80" w:after="80"/>
            </w:pPr>
            <w:r w:rsidRPr="008923DE">
              <w:t>0230(1)</w:t>
            </w:r>
            <w:r>
              <w:t>(o)</w:t>
            </w:r>
          </w:p>
        </w:tc>
        <w:tc>
          <w:tcPr>
            <w:tcW w:w="5850" w:type="dxa"/>
          </w:tcPr>
          <w:p w:rsidR="00B807C1" w:rsidRPr="008923DE" w:rsidRDefault="00B807C1" w:rsidP="008E0E79">
            <w:pPr>
              <w:spacing w:before="80" w:after="80"/>
            </w:pPr>
            <w:r w:rsidRPr="008923DE">
              <w:t>Remove LUCS</w:t>
            </w:r>
          </w:p>
        </w:tc>
        <w:tc>
          <w:tcPr>
            <w:tcW w:w="6390" w:type="dxa"/>
          </w:tcPr>
          <w:p w:rsidR="00B807C1" w:rsidRPr="008923DE" w:rsidRDefault="00B807C1" w:rsidP="008E0E79">
            <w:pPr>
              <w:spacing w:before="80" w:after="80"/>
            </w:pPr>
            <w:r>
              <w:t xml:space="preserve">LUCS should only be required for boundary changes or increased emissions.  A Notice of Construction does not allow for either. </w:t>
            </w:r>
          </w:p>
        </w:tc>
      </w:tr>
      <w:tr w:rsidR="00B807C1" w:rsidRPr="00E11ED5" w:rsidTr="0028683C">
        <w:tc>
          <w:tcPr>
            <w:tcW w:w="918" w:type="dxa"/>
          </w:tcPr>
          <w:p w:rsidR="00B807C1" w:rsidRPr="00A91A96" w:rsidRDefault="00B807C1" w:rsidP="000E72D9">
            <w:pPr>
              <w:spacing w:before="80" w:after="80"/>
              <w:rPr>
                <w:b/>
              </w:rPr>
            </w:pPr>
            <w:r w:rsidRPr="00A91A96">
              <w:rPr>
                <w:b/>
              </w:rPr>
              <w:t>216</w:t>
            </w:r>
          </w:p>
        </w:tc>
        <w:tc>
          <w:tcPr>
            <w:tcW w:w="1440" w:type="dxa"/>
          </w:tcPr>
          <w:p w:rsidR="00B807C1" w:rsidRPr="00A91A96" w:rsidRDefault="00B807C1" w:rsidP="000E72D9">
            <w:pPr>
              <w:spacing w:before="80" w:after="80"/>
            </w:pPr>
            <w:r>
              <w:t>0040(4)</w:t>
            </w:r>
          </w:p>
        </w:tc>
        <w:tc>
          <w:tcPr>
            <w:tcW w:w="5850" w:type="dxa"/>
          </w:tcPr>
          <w:p w:rsidR="00B807C1" w:rsidRPr="00E924BB" w:rsidRDefault="00B807C1" w:rsidP="000E72D9">
            <w:pPr>
              <w:pStyle w:val="Default"/>
              <w:rPr>
                <w:sz w:val="20"/>
                <w:szCs w:val="20"/>
              </w:rPr>
            </w:pPr>
            <w:r>
              <w:rPr>
                <w:sz w:val="20"/>
                <w:szCs w:val="20"/>
              </w:rPr>
              <w:t>Add requirement for owner/operator to correct permit application upon becoming aware of error</w:t>
            </w:r>
          </w:p>
        </w:tc>
        <w:tc>
          <w:tcPr>
            <w:tcW w:w="6390" w:type="dxa"/>
          </w:tcPr>
          <w:p w:rsidR="00B807C1" w:rsidRPr="00A91A96" w:rsidRDefault="00B807C1" w:rsidP="000E72D9">
            <w:pPr>
              <w:spacing w:before="80" w:after="80"/>
            </w:pPr>
            <w:r>
              <w:t xml:space="preserve">This is a requirement for Title V sources and should be the same for ACDP sources.  </w:t>
            </w:r>
          </w:p>
        </w:tc>
      </w:tr>
      <w:tr w:rsidR="00B807C1" w:rsidRPr="00E11ED5" w:rsidTr="0028683C">
        <w:tc>
          <w:tcPr>
            <w:tcW w:w="918" w:type="dxa"/>
          </w:tcPr>
          <w:p w:rsidR="00B807C1" w:rsidRPr="00A91A96" w:rsidRDefault="00B807C1" w:rsidP="00F61DCA">
            <w:pPr>
              <w:spacing w:before="80" w:after="80"/>
              <w:rPr>
                <w:b/>
              </w:rPr>
            </w:pPr>
            <w:r w:rsidRPr="00A91A96">
              <w:rPr>
                <w:b/>
              </w:rPr>
              <w:t>216</w:t>
            </w:r>
          </w:p>
        </w:tc>
        <w:tc>
          <w:tcPr>
            <w:tcW w:w="1440" w:type="dxa"/>
          </w:tcPr>
          <w:p w:rsidR="00B807C1" w:rsidRPr="00A91A96" w:rsidRDefault="00B807C1" w:rsidP="000E72D9">
            <w:pPr>
              <w:spacing w:before="80" w:after="80"/>
            </w:pPr>
            <w:r>
              <w:t>0064</w:t>
            </w:r>
          </w:p>
        </w:tc>
        <w:tc>
          <w:tcPr>
            <w:tcW w:w="5850" w:type="dxa"/>
          </w:tcPr>
          <w:p w:rsidR="00B807C1" w:rsidRPr="00E924BB" w:rsidRDefault="00B807C1" w:rsidP="00F61DCA">
            <w:pPr>
              <w:pStyle w:val="Default"/>
              <w:rPr>
                <w:sz w:val="20"/>
                <w:szCs w:val="20"/>
              </w:rPr>
            </w:pPr>
            <w:r>
              <w:rPr>
                <w:sz w:val="20"/>
                <w:szCs w:val="20"/>
              </w:rPr>
              <w:t>Correct source category numbers to match Table 1</w:t>
            </w:r>
          </w:p>
        </w:tc>
        <w:tc>
          <w:tcPr>
            <w:tcW w:w="6390" w:type="dxa"/>
          </w:tcPr>
          <w:p w:rsidR="00B807C1" w:rsidRPr="00A91A96" w:rsidRDefault="00B807C1" w:rsidP="00F61DCA">
            <w:pPr>
              <w:spacing w:before="80" w:after="80"/>
            </w:pPr>
            <w:r>
              <w:t>Correction</w:t>
            </w:r>
          </w:p>
        </w:tc>
      </w:tr>
      <w:tr w:rsidR="00B807C1" w:rsidRPr="00E11ED5" w:rsidTr="0028683C">
        <w:tc>
          <w:tcPr>
            <w:tcW w:w="918" w:type="dxa"/>
          </w:tcPr>
          <w:p w:rsidR="00B807C1" w:rsidRPr="00A91A96" w:rsidRDefault="00B807C1" w:rsidP="00EC4D1A">
            <w:pPr>
              <w:spacing w:before="80" w:after="80"/>
              <w:rPr>
                <w:b/>
              </w:rPr>
            </w:pPr>
            <w:r w:rsidRPr="00A91A96">
              <w:rPr>
                <w:b/>
              </w:rPr>
              <w:t>216</w:t>
            </w:r>
          </w:p>
        </w:tc>
        <w:tc>
          <w:tcPr>
            <w:tcW w:w="1440" w:type="dxa"/>
          </w:tcPr>
          <w:p w:rsidR="00B807C1" w:rsidRPr="00A91A96" w:rsidRDefault="00B807C1" w:rsidP="00EC4D1A">
            <w:pPr>
              <w:spacing w:before="80" w:after="80"/>
            </w:pPr>
            <w:r>
              <w:t>0064(3)(a)(x)</w:t>
            </w:r>
          </w:p>
        </w:tc>
        <w:tc>
          <w:tcPr>
            <w:tcW w:w="5850" w:type="dxa"/>
          </w:tcPr>
          <w:p w:rsidR="00B807C1" w:rsidRPr="00A91A96" w:rsidRDefault="00B807C1" w:rsidP="00EC4D1A">
            <w:pPr>
              <w:spacing w:before="80" w:after="80"/>
            </w:pPr>
            <w:r w:rsidRPr="00A91A96">
              <w:t>Add PM2.5 to category 78</w:t>
            </w:r>
          </w:p>
        </w:tc>
        <w:tc>
          <w:tcPr>
            <w:tcW w:w="6390" w:type="dxa"/>
          </w:tcPr>
          <w:p w:rsidR="00B807C1" w:rsidRPr="00A91A96" w:rsidRDefault="00B807C1" w:rsidP="00EC4D1A">
            <w:pPr>
              <w:spacing w:before="80" w:after="80"/>
            </w:pPr>
            <w:r w:rsidRPr="00A91A96">
              <w:t>Using 5 tons as the threshold for requiring a permit in nonattainment areas provides more protection for the area through source surveillance.</w:t>
            </w:r>
          </w:p>
        </w:tc>
      </w:tr>
      <w:tr w:rsidR="00B807C1" w:rsidRPr="00E11ED5" w:rsidTr="0028683C">
        <w:tc>
          <w:tcPr>
            <w:tcW w:w="918" w:type="dxa"/>
          </w:tcPr>
          <w:p w:rsidR="00B807C1" w:rsidRPr="00A91A96" w:rsidRDefault="00B807C1" w:rsidP="00EC4D1A">
            <w:pPr>
              <w:spacing w:before="80" w:after="80"/>
              <w:rPr>
                <w:b/>
              </w:rPr>
            </w:pPr>
            <w:r w:rsidRPr="00A91A96">
              <w:rPr>
                <w:b/>
              </w:rPr>
              <w:t>216</w:t>
            </w:r>
          </w:p>
        </w:tc>
        <w:tc>
          <w:tcPr>
            <w:tcW w:w="1440" w:type="dxa"/>
          </w:tcPr>
          <w:p w:rsidR="00B807C1" w:rsidRPr="00A91A96" w:rsidRDefault="00B807C1" w:rsidP="00380F04">
            <w:pPr>
              <w:spacing w:before="80" w:after="80"/>
            </w:pPr>
            <w:r>
              <w:t>0064</w:t>
            </w:r>
          </w:p>
        </w:tc>
        <w:tc>
          <w:tcPr>
            <w:tcW w:w="5850" w:type="dxa"/>
          </w:tcPr>
          <w:p w:rsidR="00B807C1" w:rsidRPr="00032A03" w:rsidRDefault="00B807C1" w:rsidP="00EC4D1A">
            <w:pPr>
              <w:spacing w:before="80" w:after="80"/>
            </w:pPr>
            <w:r w:rsidRPr="00032A03">
              <w:t xml:space="preserve">Delete the editorial note about the table not being included </w:t>
            </w:r>
            <w:r>
              <w:t>with the rules</w:t>
            </w:r>
          </w:p>
        </w:tc>
        <w:tc>
          <w:tcPr>
            <w:tcW w:w="6390" w:type="dxa"/>
          </w:tcPr>
          <w:p w:rsidR="00B807C1" w:rsidRDefault="00B807C1" w:rsidP="00EC4D1A">
            <w:pPr>
              <w:spacing w:before="80" w:after="80"/>
            </w:pPr>
            <w:r>
              <w:t xml:space="preserve">The Secretary of State will now include links to tables in PDF files </w:t>
            </w:r>
          </w:p>
        </w:tc>
      </w:tr>
      <w:tr w:rsidR="00B807C1" w:rsidRPr="00E11ED5" w:rsidTr="0028683C">
        <w:tc>
          <w:tcPr>
            <w:tcW w:w="918" w:type="dxa"/>
          </w:tcPr>
          <w:p w:rsidR="00B807C1" w:rsidRPr="00A91A96" w:rsidRDefault="00B807C1" w:rsidP="008E0E79">
            <w:pPr>
              <w:spacing w:before="80" w:after="80"/>
              <w:rPr>
                <w:b/>
              </w:rPr>
            </w:pPr>
            <w:r w:rsidRPr="00A91A96">
              <w:rPr>
                <w:b/>
              </w:rPr>
              <w:t>216</w:t>
            </w:r>
          </w:p>
        </w:tc>
        <w:tc>
          <w:tcPr>
            <w:tcW w:w="1440" w:type="dxa"/>
          </w:tcPr>
          <w:p w:rsidR="00B807C1" w:rsidRPr="00A91A96" w:rsidRDefault="00B807C1" w:rsidP="008E0E79">
            <w:pPr>
              <w:spacing w:before="80" w:after="80"/>
            </w:pPr>
            <w:r w:rsidRPr="00A91A96">
              <w:t>0020 Table 1, Part B</w:t>
            </w:r>
          </w:p>
        </w:tc>
        <w:tc>
          <w:tcPr>
            <w:tcW w:w="5850" w:type="dxa"/>
          </w:tcPr>
          <w:p w:rsidR="00B807C1" w:rsidRPr="00A91A96" w:rsidRDefault="00B807C1" w:rsidP="008E0E79">
            <w:pPr>
              <w:spacing w:before="80" w:after="80"/>
            </w:pPr>
            <w:r w:rsidRPr="00A91A96">
              <w:t>Add PM2.5 to category 78</w:t>
            </w:r>
          </w:p>
        </w:tc>
        <w:tc>
          <w:tcPr>
            <w:tcW w:w="6390" w:type="dxa"/>
          </w:tcPr>
          <w:p w:rsidR="00B807C1" w:rsidRPr="00A91A96" w:rsidRDefault="00B807C1" w:rsidP="008E0E79">
            <w:pPr>
              <w:spacing w:before="80" w:after="80"/>
            </w:pPr>
            <w:r w:rsidRPr="00A91A96">
              <w:t>Using 5 tons as the threshold for requiring a permit in nonattainment areas provides more protection for the area through source surveillance.</w:t>
            </w:r>
          </w:p>
        </w:tc>
      </w:tr>
      <w:tr w:rsidR="00B807C1" w:rsidRPr="00E11ED5" w:rsidTr="0028683C">
        <w:tc>
          <w:tcPr>
            <w:tcW w:w="918" w:type="dxa"/>
          </w:tcPr>
          <w:p w:rsidR="00B807C1" w:rsidRPr="00A91A96" w:rsidRDefault="00B807C1" w:rsidP="008E0E79">
            <w:pPr>
              <w:spacing w:before="80" w:after="80"/>
              <w:rPr>
                <w:b/>
              </w:rPr>
            </w:pPr>
            <w:r w:rsidRPr="00A91A96">
              <w:rPr>
                <w:b/>
              </w:rPr>
              <w:t>216</w:t>
            </w:r>
          </w:p>
        </w:tc>
        <w:tc>
          <w:tcPr>
            <w:tcW w:w="1440" w:type="dxa"/>
          </w:tcPr>
          <w:p w:rsidR="00B807C1" w:rsidRPr="00A91A96" w:rsidRDefault="00B807C1" w:rsidP="008E0E79">
            <w:pPr>
              <w:spacing w:before="80" w:after="80"/>
            </w:pPr>
            <w:r w:rsidRPr="00A91A96">
              <w:t xml:space="preserve">Table 1, Part C </w:t>
            </w:r>
          </w:p>
        </w:tc>
        <w:tc>
          <w:tcPr>
            <w:tcW w:w="5850" w:type="dxa"/>
          </w:tcPr>
          <w:p w:rsidR="00B807C1" w:rsidRPr="00A91A96" w:rsidRDefault="00B807C1" w:rsidP="00A91A96">
            <w:pPr>
              <w:spacing w:before="80" w:after="80"/>
            </w:pPr>
            <w:r w:rsidRPr="00A91A96">
              <w:t>Add 100,000 as the threshold for GHG.</w:t>
            </w:r>
          </w:p>
        </w:tc>
        <w:tc>
          <w:tcPr>
            <w:tcW w:w="6390" w:type="dxa"/>
          </w:tcPr>
          <w:p w:rsidR="00B807C1" w:rsidRPr="00A91A96" w:rsidRDefault="00B807C1" w:rsidP="008E0E79">
            <w:pPr>
              <w:spacing w:before="80" w:after="80"/>
            </w:pPr>
            <w:r w:rsidRPr="00A91A96">
              <w:t>The EPA threshold for GHG in the Tailoring Rule is 100,000 metric tons.</w:t>
            </w:r>
          </w:p>
        </w:tc>
      </w:tr>
      <w:tr w:rsidR="00B807C1" w:rsidRPr="00E11ED5" w:rsidTr="0028683C">
        <w:tc>
          <w:tcPr>
            <w:tcW w:w="918" w:type="dxa"/>
          </w:tcPr>
          <w:p w:rsidR="00B807C1" w:rsidRPr="00A91A96" w:rsidRDefault="00B807C1" w:rsidP="008E0E79">
            <w:pPr>
              <w:spacing w:before="80" w:after="80"/>
              <w:rPr>
                <w:b/>
              </w:rPr>
            </w:pPr>
            <w:r w:rsidRPr="00A91A96">
              <w:rPr>
                <w:b/>
              </w:rPr>
              <w:t>216</w:t>
            </w:r>
          </w:p>
        </w:tc>
        <w:tc>
          <w:tcPr>
            <w:tcW w:w="1440" w:type="dxa"/>
          </w:tcPr>
          <w:p w:rsidR="00B807C1" w:rsidRPr="00A91A96" w:rsidRDefault="00B807C1" w:rsidP="008E0E79">
            <w:pPr>
              <w:spacing w:before="80" w:after="80"/>
            </w:pPr>
            <w:r w:rsidRPr="00A91A96">
              <w:t>Table 1, Part C, 5</w:t>
            </w:r>
          </w:p>
        </w:tc>
        <w:tc>
          <w:tcPr>
            <w:tcW w:w="5850" w:type="dxa"/>
          </w:tcPr>
          <w:p w:rsidR="00B807C1" w:rsidRPr="00A91A96" w:rsidRDefault="00B807C1" w:rsidP="008E0E79">
            <w:pPr>
              <w:spacing w:before="80" w:after="80"/>
            </w:pPr>
            <w:r w:rsidRPr="00A91A96">
              <w:t>Exclude GHG</w:t>
            </w:r>
            <w:r>
              <w:t xml:space="preserve"> and HAPs</w:t>
            </w:r>
          </w:p>
        </w:tc>
        <w:tc>
          <w:tcPr>
            <w:tcW w:w="6390" w:type="dxa"/>
          </w:tcPr>
          <w:p w:rsidR="00B807C1" w:rsidRPr="00A91A96" w:rsidRDefault="00B807C1" w:rsidP="00F47EB9">
            <w:pPr>
              <w:spacing w:before="80" w:after="80"/>
            </w:pPr>
            <w:r w:rsidRPr="00A91A96">
              <w:t>100 tons threshold is too low</w:t>
            </w:r>
            <w:r>
              <w:t xml:space="preserve"> for GHGs and HAPs thresholds are listed in 7 and 8 below.  </w:t>
            </w:r>
          </w:p>
        </w:tc>
      </w:tr>
      <w:tr w:rsidR="00B807C1" w:rsidTr="0028683C">
        <w:tc>
          <w:tcPr>
            <w:tcW w:w="918" w:type="dxa"/>
          </w:tcPr>
          <w:p w:rsidR="00B807C1" w:rsidRPr="00814FCF" w:rsidRDefault="00B807C1" w:rsidP="00F61DCA">
            <w:pPr>
              <w:spacing w:before="80" w:after="80"/>
              <w:rPr>
                <w:b/>
              </w:rPr>
            </w:pPr>
            <w:r w:rsidRPr="00814FCF">
              <w:rPr>
                <w:b/>
              </w:rPr>
              <w:t>216</w:t>
            </w:r>
          </w:p>
        </w:tc>
        <w:tc>
          <w:tcPr>
            <w:tcW w:w="1440" w:type="dxa"/>
          </w:tcPr>
          <w:p w:rsidR="00B807C1" w:rsidRPr="00814FCF" w:rsidRDefault="00B807C1" w:rsidP="00F61DCA">
            <w:pPr>
              <w:spacing w:before="80" w:after="80"/>
            </w:pPr>
            <w:r>
              <w:t>0040</w:t>
            </w:r>
          </w:p>
        </w:tc>
        <w:tc>
          <w:tcPr>
            <w:tcW w:w="5850" w:type="dxa"/>
          </w:tcPr>
          <w:p w:rsidR="00B807C1" w:rsidRPr="00814FCF" w:rsidRDefault="00B807C1" w:rsidP="00F61DCA">
            <w:pPr>
              <w:spacing w:before="80" w:after="80"/>
            </w:pPr>
            <w:r>
              <w:t>Add requirement for owner/operator to provide relevant information that was omitted or correct application if errors are found</w:t>
            </w:r>
          </w:p>
        </w:tc>
        <w:tc>
          <w:tcPr>
            <w:tcW w:w="6390" w:type="dxa"/>
          </w:tcPr>
          <w:p w:rsidR="00B807C1" w:rsidRPr="00814FCF" w:rsidRDefault="00B807C1" w:rsidP="00F61DCA">
            <w:pPr>
              <w:spacing w:before="80" w:after="80"/>
            </w:pPr>
            <w:r>
              <w:t xml:space="preserve">Makes this rule consistent with Title V application requirements.  </w:t>
            </w:r>
          </w:p>
        </w:tc>
      </w:tr>
      <w:tr w:rsidR="00B807C1" w:rsidTr="0028683C">
        <w:tc>
          <w:tcPr>
            <w:tcW w:w="918" w:type="dxa"/>
          </w:tcPr>
          <w:p w:rsidR="00B807C1" w:rsidRPr="00814FCF" w:rsidRDefault="00B807C1" w:rsidP="008E0E79">
            <w:pPr>
              <w:spacing w:before="80" w:after="80"/>
              <w:rPr>
                <w:b/>
              </w:rPr>
            </w:pPr>
            <w:r w:rsidRPr="00814FCF">
              <w:rPr>
                <w:b/>
              </w:rPr>
              <w:t>216</w:t>
            </w:r>
          </w:p>
        </w:tc>
        <w:tc>
          <w:tcPr>
            <w:tcW w:w="1440" w:type="dxa"/>
          </w:tcPr>
          <w:p w:rsidR="00B807C1" w:rsidRPr="00814FCF" w:rsidRDefault="00B807C1" w:rsidP="008E0E79">
            <w:pPr>
              <w:spacing w:before="80" w:after="80"/>
            </w:pPr>
            <w:r w:rsidRPr="00814FCF">
              <w:t>0064(3)(a)(A)(x)</w:t>
            </w:r>
          </w:p>
        </w:tc>
        <w:tc>
          <w:tcPr>
            <w:tcW w:w="5850" w:type="dxa"/>
          </w:tcPr>
          <w:p w:rsidR="00B807C1" w:rsidRPr="00814FCF" w:rsidRDefault="00B807C1" w:rsidP="008E0E79">
            <w:pPr>
              <w:spacing w:before="80" w:after="80"/>
            </w:pPr>
            <w:r w:rsidRPr="00814FCF">
              <w:t>Add PM2.5 to category 78</w:t>
            </w:r>
          </w:p>
        </w:tc>
        <w:tc>
          <w:tcPr>
            <w:tcW w:w="6390" w:type="dxa"/>
          </w:tcPr>
          <w:p w:rsidR="00B807C1" w:rsidRPr="00814FCF" w:rsidRDefault="00B807C1" w:rsidP="008E0E79">
            <w:pPr>
              <w:spacing w:before="80" w:after="80"/>
            </w:pPr>
            <w:r w:rsidRPr="00814FCF">
              <w:t>Makes this rule consistent with Table 1.</w:t>
            </w:r>
          </w:p>
        </w:tc>
      </w:tr>
      <w:tr w:rsidR="00B807C1" w:rsidRPr="00D60C12" w:rsidTr="0028683C">
        <w:tc>
          <w:tcPr>
            <w:tcW w:w="918" w:type="dxa"/>
          </w:tcPr>
          <w:p w:rsidR="00B807C1" w:rsidRPr="00D60C12" w:rsidRDefault="00B807C1" w:rsidP="008E0E79">
            <w:pPr>
              <w:spacing w:before="80" w:after="80"/>
              <w:rPr>
                <w:b/>
              </w:rPr>
            </w:pPr>
            <w:r w:rsidRPr="00D60C12">
              <w:rPr>
                <w:b/>
              </w:rPr>
              <w:lastRenderedPageBreak/>
              <w:t>222</w:t>
            </w:r>
          </w:p>
        </w:tc>
        <w:tc>
          <w:tcPr>
            <w:tcW w:w="1440" w:type="dxa"/>
          </w:tcPr>
          <w:p w:rsidR="00B807C1" w:rsidRDefault="00B807C1" w:rsidP="008E0E79">
            <w:pPr>
              <w:spacing w:before="80" w:after="80"/>
            </w:pPr>
            <w:r>
              <w:t>0020</w:t>
            </w:r>
          </w:p>
        </w:tc>
        <w:tc>
          <w:tcPr>
            <w:tcW w:w="5850" w:type="dxa"/>
          </w:tcPr>
          <w:p w:rsidR="00B807C1" w:rsidRDefault="00B807C1" w:rsidP="008E0E79">
            <w:pPr>
              <w:spacing w:before="80" w:after="80"/>
            </w:pPr>
            <w:r>
              <w:t xml:space="preserve">Exclude toxic air pollutants in division </w:t>
            </w:r>
            <w:r w:rsidRPr="00BA3CF2">
              <w:t>246</w:t>
            </w:r>
            <w:r>
              <w:t xml:space="preserve"> other than those listed in the SER table</w:t>
            </w:r>
          </w:p>
        </w:tc>
        <w:tc>
          <w:tcPr>
            <w:tcW w:w="6390" w:type="dxa"/>
          </w:tcPr>
          <w:p w:rsidR="00B807C1" w:rsidRDefault="00B807C1" w:rsidP="008E0E79">
            <w:pPr>
              <w:spacing w:before="80" w:after="80"/>
            </w:pPr>
            <w:r>
              <w:t>This is consistent with the netting basis.</w:t>
            </w:r>
          </w:p>
        </w:tc>
      </w:tr>
      <w:tr w:rsidR="00B807C1" w:rsidRPr="00D60C12" w:rsidTr="0028683C">
        <w:tc>
          <w:tcPr>
            <w:tcW w:w="918" w:type="dxa"/>
          </w:tcPr>
          <w:p w:rsidR="00B807C1" w:rsidRPr="00D60C12" w:rsidRDefault="00B807C1" w:rsidP="008E0E79">
            <w:pPr>
              <w:spacing w:before="80" w:after="80"/>
              <w:rPr>
                <w:b/>
              </w:rPr>
            </w:pPr>
            <w:r>
              <w:rPr>
                <w:b/>
              </w:rPr>
              <w:t>222</w:t>
            </w:r>
          </w:p>
        </w:tc>
        <w:tc>
          <w:tcPr>
            <w:tcW w:w="1440" w:type="dxa"/>
          </w:tcPr>
          <w:p w:rsidR="00B807C1" w:rsidRDefault="00B807C1" w:rsidP="008E0E79">
            <w:pPr>
              <w:spacing w:before="80" w:after="80"/>
            </w:pPr>
            <w:r>
              <w:t>0041(3)(c)</w:t>
            </w:r>
          </w:p>
        </w:tc>
        <w:tc>
          <w:tcPr>
            <w:tcW w:w="5850" w:type="dxa"/>
          </w:tcPr>
          <w:p w:rsidR="00B807C1" w:rsidRDefault="00B807C1" w:rsidP="008E0E79">
            <w:pPr>
              <w:spacing w:before="80" w:after="80"/>
            </w:pPr>
            <w:r>
              <w:t>Add reference to division 224 for NSR</w:t>
            </w:r>
          </w:p>
        </w:tc>
        <w:tc>
          <w:tcPr>
            <w:tcW w:w="6390" w:type="dxa"/>
          </w:tcPr>
          <w:p w:rsidR="00B807C1" w:rsidRDefault="00B807C1" w:rsidP="008E0E79">
            <w:pPr>
              <w:spacing w:before="80" w:after="80"/>
            </w:pPr>
            <w:r>
              <w:t>This is a clarification and consistent with other rules.</w:t>
            </w:r>
          </w:p>
        </w:tc>
      </w:tr>
      <w:tr w:rsidR="00B807C1" w:rsidTr="0028683C">
        <w:tc>
          <w:tcPr>
            <w:tcW w:w="918" w:type="dxa"/>
          </w:tcPr>
          <w:p w:rsidR="00B807C1" w:rsidRPr="008923DE" w:rsidRDefault="00B807C1" w:rsidP="008E0E79">
            <w:pPr>
              <w:spacing w:before="80" w:after="80"/>
              <w:rPr>
                <w:b/>
              </w:rPr>
            </w:pPr>
            <w:r>
              <w:rPr>
                <w:b/>
              </w:rPr>
              <w:t>224</w:t>
            </w:r>
          </w:p>
        </w:tc>
        <w:tc>
          <w:tcPr>
            <w:tcW w:w="1440" w:type="dxa"/>
          </w:tcPr>
          <w:p w:rsidR="00B807C1" w:rsidRDefault="00B807C1" w:rsidP="008E0E79">
            <w:pPr>
              <w:spacing w:before="80" w:after="80"/>
            </w:pPr>
            <w:r>
              <w:t>0010(1)</w:t>
            </w:r>
          </w:p>
        </w:tc>
        <w:tc>
          <w:tcPr>
            <w:tcW w:w="5850" w:type="dxa"/>
          </w:tcPr>
          <w:p w:rsidR="00B807C1" w:rsidRDefault="00B807C1" w:rsidP="008E0E79">
            <w:pPr>
              <w:spacing w:before="80" w:after="80"/>
            </w:pPr>
            <w:r>
              <w:t>Add provision that division 224 does not apply to non-federal major sources in attainment or unclassified areas.</w:t>
            </w:r>
          </w:p>
        </w:tc>
        <w:tc>
          <w:tcPr>
            <w:tcW w:w="6390" w:type="dxa"/>
          </w:tcPr>
          <w:p w:rsidR="00B807C1" w:rsidRDefault="00B807C1" w:rsidP="008E0E79">
            <w:pPr>
              <w:spacing w:before="80" w:after="80"/>
            </w:pPr>
            <w:r>
              <w:t xml:space="preserve">This is a clarification. </w:t>
            </w:r>
          </w:p>
        </w:tc>
      </w:tr>
      <w:tr w:rsidR="00B807C1" w:rsidTr="0028683C">
        <w:tc>
          <w:tcPr>
            <w:tcW w:w="918" w:type="dxa"/>
          </w:tcPr>
          <w:p w:rsidR="00B807C1" w:rsidRPr="00553C1B" w:rsidRDefault="00B807C1" w:rsidP="00F61DCA">
            <w:pPr>
              <w:spacing w:before="80" w:after="80"/>
              <w:rPr>
                <w:b/>
              </w:rPr>
            </w:pPr>
            <w:r w:rsidRPr="00553C1B">
              <w:rPr>
                <w:b/>
              </w:rPr>
              <w:t>224</w:t>
            </w:r>
          </w:p>
        </w:tc>
        <w:tc>
          <w:tcPr>
            <w:tcW w:w="1440" w:type="dxa"/>
          </w:tcPr>
          <w:p w:rsidR="00B807C1" w:rsidRPr="00553C1B" w:rsidRDefault="00B807C1" w:rsidP="00F61DCA">
            <w:pPr>
              <w:spacing w:before="80" w:after="80"/>
            </w:pPr>
            <w:r w:rsidRPr="00553C1B">
              <w:t>0010</w:t>
            </w:r>
            <w:r>
              <w:t>(3)</w:t>
            </w:r>
          </w:p>
        </w:tc>
        <w:tc>
          <w:tcPr>
            <w:tcW w:w="5850" w:type="dxa"/>
          </w:tcPr>
          <w:p w:rsidR="00B807C1" w:rsidRPr="008006E0" w:rsidRDefault="00B807C1" w:rsidP="00F61DCA">
            <w:pPr>
              <w:spacing w:before="80" w:after="80"/>
            </w:pPr>
            <w:r>
              <w:t xml:space="preserve">Add a provision sources can continue to use the PM10 Surrogate Policy until EPQ withdraws the policy.  </w:t>
            </w:r>
          </w:p>
        </w:tc>
        <w:tc>
          <w:tcPr>
            <w:tcW w:w="6390" w:type="dxa"/>
          </w:tcPr>
          <w:p w:rsidR="00B807C1" w:rsidRPr="008923DE" w:rsidRDefault="00B807C1" w:rsidP="00F61DCA">
            <w:pPr>
              <w:spacing w:before="80" w:after="80"/>
            </w:pPr>
            <w:r>
              <w:t xml:space="preserve">EPA has not yet finalized standards for full implementation of PM2.5 NSR/PSD or withdrawn the PM10 Surrogate Policy.  </w:t>
            </w:r>
          </w:p>
        </w:tc>
      </w:tr>
      <w:tr w:rsidR="00B807C1" w:rsidTr="0028683C">
        <w:tc>
          <w:tcPr>
            <w:tcW w:w="918" w:type="dxa"/>
          </w:tcPr>
          <w:p w:rsidR="00B807C1" w:rsidRDefault="00B807C1" w:rsidP="008E0E79">
            <w:pPr>
              <w:spacing w:before="80" w:after="80"/>
              <w:rPr>
                <w:b/>
              </w:rPr>
            </w:pPr>
            <w:r>
              <w:rPr>
                <w:b/>
              </w:rPr>
              <w:t>224</w:t>
            </w:r>
          </w:p>
        </w:tc>
        <w:tc>
          <w:tcPr>
            <w:tcW w:w="1440" w:type="dxa"/>
          </w:tcPr>
          <w:p w:rsidR="00B807C1" w:rsidRDefault="00B807C1" w:rsidP="008E0E79">
            <w:pPr>
              <w:spacing w:before="80" w:after="80"/>
            </w:pPr>
            <w:r>
              <w:t>0050(1)(a)</w:t>
            </w:r>
          </w:p>
        </w:tc>
        <w:tc>
          <w:tcPr>
            <w:tcW w:w="5850" w:type="dxa"/>
          </w:tcPr>
          <w:p w:rsidR="00B807C1" w:rsidRDefault="00B807C1" w:rsidP="008E0E79">
            <w:pPr>
              <w:spacing w:before="80" w:after="80"/>
            </w:pPr>
            <w:r>
              <w:t>Reformat to be consistent with 224-0060(1)(a)</w:t>
            </w:r>
          </w:p>
        </w:tc>
        <w:tc>
          <w:tcPr>
            <w:tcW w:w="6390" w:type="dxa"/>
          </w:tcPr>
          <w:p w:rsidR="00B807C1" w:rsidRDefault="00B807C1" w:rsidP="001B4814">
            <w:pPr>
              <w:spacing w:before="80" w:after="80"/>
            </w:pPr>
            <w:r>
              <w:t xml:space="preserve">This is a clarification. </w:t>
            </w:r>
          </w:p>
        </w:tc>
      </w:tr>
      <w:tr w:rsidR="00B807C1" w:rsidTr="0028683C">
        <w:tc>
          <w:tcPr>
            <w:tcW w:w="918" w:type="dxa"/>
          </w:tcPr>
          <w:p w:rsidR="00B807C1" w:rsidRPr="008923DE" w:rsidRDefault="00B807C1" w:rsidP="008E0E79">
            <w:pPr>
              <w:spacing w:before="80" w:after="80"/>
              <w:rPr>
                <w:b/>
              </w:rPr>
            </w:pPr>
            <w:r>
              <w:rPr>
                <w:b/>
              </w:rPr>
              <w:t>224</w:t>
            </w:r>
          </w:p>
        </w:tc>
        <w:tc>
          <w:tcPr>
            <w:tcW w:w="1440" w:type="dxa"/>
          </w:tcPr>
          <w:p w:rsidR="00B807C1" w:rsidRDefault="00B807C1" w:rsidP="008E0E79">
            <w:pPr>
              <w:spacing w:before="80" w:after="80"/>
            </w:pPr>
            <w:r>
              <w:t>0050(3)</w:t>
            </w:r>
          </w:p>
        </w:tc>
        <w:tc>
          <w:tcPr>
            <w:tcW w:w="5850" w:type="dxa"/>
          </w:tcPr>
          <w:p w:rsidR="00B807C1" w:rsidRDefault="00B807C1" w:rsidP="008E0E79">
            <w:pPr>
              <w:spacing w:before="80" w:after="80"/>
            </w:pPr>
            <w:r>
              <w:t>Delete federal major source</w:t>
            </w:r>
          </w:p>
        </w:tc>
        <w:tc>
          <w:tcPr>
            <w:tcW w:w="6390" w:type="dxa"/>
          </w:tcPr>
          <w:p w:rsidR="00B807C1" w:rsidRDefault="00B807C1" w:rsidP="008E0E79">
            <w:pPr>
              <w:spacing w:before="80" w:after="80"/>
            </w:pPr>
            <w:r>
              <w:t>This section applies to more than just federal major sources.</w:t>
            </w:r>
          </w:p>
        </w:tc>
      </w:tr>
      <w:tr w:rsidR="00B807C1" w:rsidTr="0028683C">
        <w:tc>
          <w:tcPr>
            <w:tcW w:w="918" w:type="dxa"/>
          </w:tcPr>
          <w:p w:rsidR="00B807C1" w:rsidRPr="008923DE" w:rsidRDefault="00B807C1" w:rsidP="008E0E79">
            <w:pPr>
              <w:spacing w:before="80" w:after="80"/>
              <w:rPr>
                <w:b/>
              </w:rPr>
            </w:pPr>
            <w:r>
              <w:rPr>
                <w:b/>
              </w:rPr>
              <w:t>224</w:t>
            </w:r>
          </w:p>
        </w:tc>
        <w:tc>
          <w:tcPr>
            <w:tcW w:w="1440" w:type="dxa"/>
          </w:tcPr>
          <w:p w:rsidR="00B807C1" w:rsidRDefault="00B807C1" w:rsidP="008E0E79">
            <w:pPr>
              <w:spacing w:before="80" w:after="80"/>
            </w:pPr>
            <w:r>
              <w:t>0050(3)(a) and (b)</w:t>
            </w:r>
          </w:p>
        </w:tc>
        <w:tc>
          <w:tcPr>
            <w:tcW w:w="5850" w:type="dxa"/>
          </w:tcPr>
          <w:p w:rsidR="00B807C1" w:rsidRDefault="00B807C1" w:rsidP="008E0E79">
            <w:pPr>
              <w:spacing w:before="80" w:after="80"/>
            </w:pPr>
            <w:r>
              <w:t>Add GHG threshold</w:t>
            </w:r>
          </w:p>
        </w:tc>
        <w:tc>
          <w:tcPr>
            <w:tcW w:w="6390" w:type="dxa"/>
          </w:tcPr>
          <w:p w:rsidR="00B807C1" w:rsidRDefault="00B807C1" w:rsidP="008E0E79">
            <w:pPr>
              <w:spacing w:before="80" w:after="80"/>
            </w:pPr>
            <w:r>
              <w:t>Need to address NSR pollutants but the threshold for GHG is different than the other NSR pollutants.</w:t>
            </w:r>
          </w:p>
        </w:tc>
      </w:tr>
      <w:tr w:rsidR="00B807C1" w:rsidTr="0028683C">
        <w:tc>
          <w:tcPr>
            <w:tcW w:w="918" w:type="dxa"/>
          </w:tcPr>
          <w:p w:rsidR="00B807C1" w:rsidRPr="008923DE" w:rsidRDefault="00B807C1" w:rsidP="008E0E79">
            <w:pPr>
              <w:spacing w:before="80" w:after="80"/>
              <w:rPr>
                <w:b/>
              </w:rPr>
            </w:pPr>
            <w:r>
              <w:rPr>
                <w:b/>
              </w:rPr>
              <w:t>224</w:t>
            </w:r>
          </w:p>
        </w:tc>
        <w:tc>
          <w:tcPr>
            <w:tcW w:w="1440" w:type="dxa"/>
          </w:tcPr>
          <w:p w:rsidR="00B807C1" w:rsidRDefault="00B807C1" w:rsidP="008E0E79">
            <w:pPr>
              <w:spacing w:before="80" w:after="80"/>
            </w:pPr>
            <w:r>
              <w:t>0060(1)</w:t>
            </w:r>
          </w:p>
        </w:tc>
        <w:tc>
          <w:tcPr>
            <w:tcW w:w="5850" w:type="dxa"/>
          </w:tcPr>
          <w:p w:rsidR="00B807C1" w:rsidRDefault="00B807C1" w:rsidP="008E0E79">
            <w:pPr>
              <w:spacing w:before="80" w:after="80"/>
            </w:pPr>
            <w:r>
              <w:t>Add precursors to the list of pollutants subject to BACT</w:t>
            </w:r>
          </w:p>
        </w:tc>
        <w:tc>
          <w:tcPr>
            <w:tcW w:w="6390" w:type="dxa"/>
          </w:tcPr>
          <w:p w:rsidR="00B807C1" w:rsidRDefault="00B807C1" w:rsidP="008E0E79">
            <w:pPr>
              <w:spacing w:before="80" w:after="80"/>
            </w:pPr>
            <w:r>
              <w:t>BACT applies to non-attainment pollutants, as well as the precursors.</w:t>
            </w:r>
          </w:p>
        </w:tc>
      </w:tr>
      <w:tr w:rsidR="00B807C1" w:rsidTr="0028683C">
        <w:tc>
          <w:tcPr>
            <w:tcW w:w="918" w:type="dxa"/>
          </w:tcPr>
          <w:p w:rsidR="00B807C1" w:rsidRPr="008923DE" w:rsidRDefault="00B807C1" w:rsidP="008E0E79">
            <w:pPr>
              <w:spacing w:before="80" w:after="80"/>
              <w:rPr>
                <w:b/>
              </w:rPr>
            </w:pPr>
            <w:r>
              <w:rPr>
                <w:b/>
              </w:rPr>
              <w:t>224</w:t>
            </w:r>
          </w:p>
        </w:tc>
        <w:tc>
          <w:tcPr>
            <w:tcW w:w="1440" w:type="dxa"/>
          </w:tcPr>
          <w:p w:rsidR="00B807C1" w:rsidRDefault="00B807C1" w:rsidP="008E0E79">
            <w:pPr>
              <w:spacing w:before="80" w:after="80"/>
            </w:pPr>
            <w:r>
              <w:t>O070(1)(a)</w:t>
            </w:r>
          </w:p>
        </w:tc>
        <w:tc>
          <w:tcPr>
            <w:tcW w:w="5850" w:type="dxa"/>
          </w:tcPr>
          <w:p w:rsidR="00B807C1" w:rsidRDefault="00C91BC1" w:rsidP="008E0E79">
            <w:pPr>
              <w:spacing w:before="80" w:after="80"/>
            </w:pPr>
            <w:r>
              <w:t>Add</w:t>
            </w:r>
            <w:r w:rsidR="00B807C1">
              <w:t xml:space="preserve"> provisions limiting BACT to only new or modified units that have actual or potential emission increases equal to or greater than the SER as compared to the portion of the netting basis assigned to the emissions unit.</w:t>
            </w:r>
          </w:p>
        </w:tc>
        <w:tc>
          <w:tcPr>
            <w:tcW w:w="6390" w:type="dxa"/>
          </w:tcPr>
          <w:p w:rsidR="00B807C1" w:rsidRDefault="00B807C1" w:rsidP="008E0E79">
            <w:pPr>
              <w:spacing w:before="80" w:after="80"/>
            </w:pPr>
            <w:r>
              <w:t>This change is recommended as a clarification to the rules consistent with how the rules have been applied.</w:t>
            </w:r>
          </w:p>
        </w:tc>
      </w:tr>
      <w:tr w:rsidR="00B807C1" w:rsidTr="0028683C">
        <w:tc>
          <w:tcPr>
            <w:tcW w:w="918" w:type="dxa"/>
          </w:tcPr>
          <w:p w:rsidR="00B807C1" w:rsidRDefault="00B807C1" w:rsidP="008E0E79">
            <w:pPr>
              <w:spacing w:before="80" w:after="80"/>
              <w:rPr>
                <w:b/>
              </w:rPr>
            </w:pPr>
            <w:r>
              <w:rPr>
                <w:b/>
              </w:rPr>
              <w:t>224</w:t>
            </w:r>
          </w:p>
        </w:tc>
        <w:tc>
          <w:tcPr>
            <w:tcW w:w="1440" w:type="dxa"/>
          </w:tcPr>
          <w:p w:rsidR="00B807C1" w:rsidRDefault="00B807C1" w:rsidP="008E0E79">
            <w:pPr>
              <w:spacing w:before="80" w:after="80"/>
            </w:pPr>
            <w:r>
              <w:t>0070(2)</w:t>
            </w:r>
          </w:p>
        </w:tc>
        <w:tc>
          <w:tcPr>
            <w:tcW w:w="5850" w:type="dxa"/>
          </w:tcPr>
          <w:p w:rsidR="00B807C1" w:rsidRDefault="00B807C1" w:rsidP="008E0E79">
            <w:pPr>
              <w:spacing w:before="80" w:after="80"/>
            </w:pPr>
            <w:r>
              <w:t>Add provision that an air quality analysis is for the pollutant with increases above the SER over the netting basis</w:t>
            </w:r>
          </w:p>
        </w:tc>
        <w:tc>
          <w:tcPr>
            <w:tcW w:w="6390" w:type="dxa"/>
          </w:tcPr>
          <w:p w:rsidR="00B807C1" w:rsidRDefault="00B807C1" w:rsidP="005D1DBD">
            <w:pPr>
              <w:spacing w:before="80" w:after="80"/>
            </w:pPr>
            <w:r>
              <w:t>This change is recommended as a clarification to the rules consistent with how the rules have been applied.</w:t>
            </w:r>
          </w:p>
        </w:tc>
      </w:tr>
      <w:tr w:rsidR="00B807C1" w:rsidTr="0028683C">
        <w:tc>
          <w:tcPr>
            <w:tcW w:w="918" w:type="dxa"/>
          </w:tcPr>
          <w:p w:rsidR="00B807C1" w:rsidRDefault="00B807C1" w:rsidP="005D1DBD">
            <w:pPr>
              <w:spacing w:before="80" w:after="80"/>
              <w:rPr>
                <w:b/>
              </w:rPr>
            </w:pPr>
            <w:r>
              <w:rPr>
                <w:b/>
              </w:rPr>
              <w:t>224</w:t>
            </w:r>
          </w:p>
        </w:tc>
        <w:tc>
          <w:tcPr>
            <w:tcW w:w="1440" w:type="dxa"/>
          </w:tcPr>
          <w:p w:rsidR="00B807C1" w:rsidRDefault="00B807C1" w:rsidP="005D1DBD">
            <w:pPr>
              <w:spacing w:before="80" w:after="80"/>
            </w:pPr>
            <w:r>
              <w:t>0070(2)(a)</w:t>
            </w:r>
          </w:p>
        </w:tc>
        <w:tc>
          <w:tcPr>
            <w:tcW w:w="5850" w:type="dxa"/>
          </w:tcPr>
          <w:p w:rsidR="00B807C1" w:rsidRDefault="00B807C1" w:rsidP="005D1DBD">
            <w:pPr>
              <w:spacing w:before="80" w:after="80"/>
            </w:pPr>
            <w:r>
              <w:t xml:space="preserve">Add provision that increases above the SER for precursors also trigger an analysis of PM2.5.  </w:t>
            </w:r>
          </w:p>
        </w:tc>
        <w:tc>
          <w:tcPr>
            <w:tcW w:w="6390" w:type="dxa"/>
          </w:tcPr>
          <w:p w:rsidR="00B807C1" w:rsidRDefault="00B807C1" w:rsidP="0042252F">
            <w:pPr>
              <w:spacing w:before="80" w:after="80"/>
            </w:pPr>
            <w:r>
              <w:t>PM2.5 precursors have to be addressed in attainment and unclassified areas.</w:t>
            </w:r>
          </w:p>
        </w:tc>
      </w:tr>
      <w:tr w:rsidR="00B807C1" w:rsidTr="0028683C">
        <w:tc>
          <w:tcPr>
            <w:tcW w:w="918" w:type="dxa"/>
          </w:tcPr>
          <w:p w:rsidR="00B807C1" w:rsidRDefault="00B807C1" w:rsidP="008E0E79">
            <w:pPr>
              <w:spacing w:before="80" w:after="80"/>
              <w:rPr>
                <w:b/>
              </w:rPr>
            </w:pPr>
            <w:r>
              <w:rPr>
                <w:b/>
              </w:rPr>
              <w:t>224</w:t>
            </w:r>
          </w:p>
        </w:tc>
        <w:tc>
          <w:tcPr>
            <w:tcW w:w="1440" w:type="dxa"/>
          </w:tcPr>
          <w:p w:rsidR="00B807C1" w:rsidRDefault="00B807C1" w:rsidP="006579C1">
            <w:pPr>
              <w:spacing w:before="80" w:after="80"/>
            </w:pPr>
            <w:r>
              <w:t>0070(2)(b)</w:t>
            </w:r>
          </w:p>
        </w:tc>
        <w:tc>
          <w:tcPr>
            <w:tcW w:w="5850" w:type="dxa"/>
          </w:tcPr>
          <w:p w:rsidR="00B807C1" w:rsidRDefault="00B807C1" w:rsidP="008E0E79">
            <w:pPr>
              <w:spacing w:before="80" w:after="80"/>
            </w:pPr>
            <w:r>
              <w:t>Change affects to impacts</w:t>
            </w:r>
          </w:p>
        </w:tc>
        <w:tc>
          <w:tcPr>
            <w:tcW w:w="6390" w:type="dxa"/>
          </w:tcPr>
          <w:p w:rsidR="00B807C1" w:rsidRDefault="00B807C1" w:rsidP="008E0E79">
            <w:pPr>
              <w:spacing w:before="80" w:after="80"/>
            </w:pPr>
            <w:r>
              <w:t xml:space="preserve">This is a clarification. </w:t>
            </w:r>
          </w:p>
        </w:tc>
      </w:tr>
      <w:tr w:rsidR="00B807C1" w:rsidTr="0028683C">
        <w:tc>
          <w:tcPr>
            <w:tcW w:w="918" w:type="dxa"/>
          </w:tcPr>
          <w:p w:rsidR="00B807C1" w:rsidRDefault="00B807C1" w:rsidP="003F3264">
            <w:pPr>
              <w:spacing w:before="80" w:after="80"/>
              <w:rPr>
                <w:b/>
              </w:rPr>
            </w:pPr>
            <w:r>
              <w:rPr>
                <w:b/>
              </w:rPr>
              <w:t>225</w:t>
            </w:r>
          </w:p>
        </w:tc>
        <w:tc>
          <w:tcPr>
            <w:tcW w:w="1440" w:type="dxa"/>
          </w:tcPr>
          <w:p w:rsidR="00B807C1" w:rsidRDefault="00B807C1" w:rsidP="003F3264">
            <w:pPr>
              <w:spacing w:before="80" w:after="80"/>
            </w:pPr>
            <w:r>
              <w:t>0020(12)</w:t>
            </w:r>
          </w:p>
        </w:tc>
        <w:tc>
          <w:tcPr>
            <w:tcW w:w="5850" w:type="dxa"/>
          </w:tcPr>
          <w:p w:rsidR="00B807C1" w:rsidRPr="00032A03" w:rsidRDefault="00B807C1" w:rsidP="003F3264">
            <w:pPr>
              <w:spacing w:before="80" w:after="80"/>
            </w:pPr>
            <w:r w:rsidRPr="00032A03">
              <w:t xml:space="preserve">Delete the editorial note about the table not being included </w:t>
            </w:r>
            <w:r>
              <w:t>with the rules</w:t>
            </w:r>
          </w:p>
        </w:tc>
        <w:tc>
          <w:tcPr>
            <w:tcW w:w="6390" w:type="dxa"/>
          </w:tcPr>
          <w:p w:rsidR="00B807C1" w:rsidRDefault="00B807C1" w:rsidP="003F3264">
            <w:pPr>
              <w:spacing w:before="80" w:after="80"/>
            </w:pPr>
            <w:r>
              <w:t xml:space="preserve">The Secretary of State will now include links to tables in PDF files </w:t>
            </w:r>
          </w:p>
        </w:tc>
      </w:tr>
      <w:tr w:rsidR="00B807C1" w:rsidTr="0028683C">
        <w:tc>
          <w:tcPr>
            <w:tcW w:w="918" w:type="dxa"/>
          </w:tcPr>
          <w:p w:rsidR="00B807C1" w:rsidRDefault="00B807C1" w:rsidP="00743B1A">
            <w:pPr>
              <w:spacing w:before="80" w:after="80"/>
              <w:rPr>
                <w:b/>
              </w:rPr>
            </w:pPr>
            <w:r>
              <w:rPr>
                <w:b/>
              </w:rPr>
              <w:t>225</w:t>
            </w:r>
          </w:p>
        </w:tc>
        <w:tc>
          <w:tcPr>
            <w:tcW w:w="1440" w:type="dxa"/>
          </w:tcPr>
          <w:p w:rsidR="00B807C1" w:rsidRDefault="00B807C1" w:rsidP="00743B1A">
            <w:pPr>
              <w:spacing w:before="80" w:after="80"/>
            </w:pPr>
            <w:r>
              <w:t>0030</w:t>
            </w:r>
          </w:p>
        </w:tc>
        <w:tc>
          <w:tcPr>
            <w:tcW w:w="5850" w:type="dxa"/>
          </w:tcPr>
          <w:p w:rsidR="00B807C1" w:rsidRPr="00032A03" w:rsidRDefault="00B807C1" w:rsidP="00743B1A">
            <w:pPr>
              <w:spacing w:before="80" w:after="80"/>
            </w:pPr>
            <w:r w:rsidRPr="00032A03">
              <w:t xml:space="preserve">Delete the editorial note about the table not being included </w:t>
            </w:r>
            <w:r>
              <w:t>with the rules</w:t>
            </w:r>
          </w:p>
        </w:tc>
        <w:tc>
          <w:tcPr>
            <w:tcW w:w="6390" w:type="dxa"/>
          </w:tcPr>
          <w:p w:rsidR="00B807C1" w:rsidRDefault="00B807C1" w:rsidP="00743B1A">
            <w:pPr>
              <w:spacing w:before="80" w:after="80"/>
            </w:pPr>
            <w:r>
              <w:t xml:space="preserve">The Secretary of State will now include links to tables in PDF files </w:t>
            </w:r>
          </w:p>
        </w:tc>
      </w:tr>
      <w:tr w:rsidR="00B807C1" w:rsidTr="0028683C">
        <w:tc>
          <w:tcPr>
            <w:tcW w:w="918" w:type="dxa"/>
          </w:tcPr>
          <w:p w:rsidR="00B807C1" w:rsidRPr="003A3013" w:rsidRDefault="00B807C1" w:rsidP="008E0E79">
            <w:pPr>
              <w:spacing w:before="80" w:after="80"/>
              <w:rPr>
                <w:b/>
              </w:rPr>
            </w:pPr>
            <w:r w:rsidRPr="003A3013">
              <w:rPr>
                <w:b/>
              </w:rPr>
              <w:t>225</w:t>
            </w:r>
          </w:p>
        </w:tc>
        <w:tc>
          <w:tcPr>
            <w:tcW w:w="1440" w:type="dxa"/>
          </w:tcPr>
          <w:p w:rsidR="00B807C1" w:rsidRPr="003A3013" w:rsidRDefault="00B807C1" w:rsidP="008E0E79">
            <w:pPr>
              <w:spacing w:before="80" w:after="80"/>
            </w:pPr>
            <w:r w:rsidRPr="003A3013">
              <w:t>0030(1)</w:t>
            </w:r>
          </w:p>
        </w:tc>
        <w:tc>
          <w:tcPr>
            <w:tcW w:w="5850" w:type="dxa"/>
          </w:tcPr>
          <w:p w:rsidR="00B807C1" w:rsidRPr="003A3013" w:rsidRDefault="00B807C1" w:rsidP="008E0E79">
            <w:pPr>
              <w:spacing w:before="80" w:after="80"/>
            </w:pPr>
            <w:r w:rsidRPr="003A3013">
              <w:t xml:space="preserve">Refer to averaging times by pollutant in Division 202 and delete Table 2.  </w:t>
            </w:r>
          </w:p>
        </w:tc>
        <w:tc>
          <w:tcPr>
            <w:tcW w:w="6390" w:type="dxa"/>
          </w:tcPr>
          <w:p w:rsidR="00B807C1" w:rsidRPr="003A3013" w:rsidRDefault="00B807C1" w:rsidP="008E0E79">
            <w:pPr>
              <w:spacing w:before="80" w:after="80"/>
            </w:pPr>
            <w:r w:rsidRPr="003A3013">
              <w:t xml:space="preserve">This table is not necessary since the averaging times are the same as the ambient air quality standard averaging times.  </w:t>
            </w:r>
          </w:p>
        </w:tc>
      </w:tr>
      <w:tr w:rsidR="00B807C1" w:rsidTr="0028683C">
        <w:tc>
          <w:tcPr>
            <w:tcW w:w="918" w:type="dxa"/>
          </w:tcPr>
          <w:p w:rsidR="00B807C1" w:rsidRDefault="00B807C1" w:rsidP="00743B1A">
            <w:pPr>
              <w:spacing w:before="80" w:after="80"/>
              <w:rPr>
                <w:b/>
              </w:rPr>
            </w:pPr>
            <w:r>
              <w:rPr>
                <w:b/>
              </w:rPr>
              <w:t>225</w:t>
            </w:r>
          </w:p>
        </w:tc>
        <w:tc>
          <w:tcPr>
            <w:tcW w:w="1440" w:type="dxa"/>
          </w:tcPr>
          <w:p w:rsidR="00B807C1" w:rsidRDefault="00B807C1" w:rsidP="00743B1A">
            <w:pPr>
              <w:spacing w:before="80" w:after="80"/>
            </w:pPr>
            <w:r>
              <w:t>0045</w:t>
            </w:r>
          </w:p>
        </w:tc>
        <w:tc>
          <w:tcPr>
            <w:tcW w:w="5850" w:type="dxa"/>
          </w:tcPr>
          <w:p w:rsidR="00B807C1" w:rsidRPr="00032A03" w:rsidRDefault="00B807C1" w:rsidP="00743B1A">
            <w:pPr>
              <w:spacing w:before="80" w:after="80"/>
            </w:pPr>
            <w:r w:rsidRPr="00032A03">
              <w:t xml:space="preserve">Delete the editorial note about the table not being included </w:t>
            </w:r>
            <w:r>
              <w:t>with the rules</w:t>
            </w:r>
          </w:p>
        </w:tc>
        <w:tc>
          <w:tcPr>
            <w:tcW w:w="6390" w:type="dxa"/>
          </w:tcPr>
          <w:p w:rsidR="00B807C1" w:rsidRDefault="00B807C1" w:rsidP="00743B1A">
            <w:pPr>
              <w:spacing w:before="80" w:after="80"/>
            </w:pPr>
            <w:r>
              <w:t xml:space="preserve">The Secretary of State will now include links to tables in PDF files </w:t>
            </w:r>
          </w:p>
        </w:tc>
      </w:tr>
      <w:tr w:rsidR="00B807C1" w:rsidTr="0028683C">
        <w:tc>
          <w:tcPr>
            <w:tcW w:w="918" w:type="dxa"/>
          </w:tcPr>
          <w:p w:rsidR="00B807C1" w:rsidRPr="00AC4EDD" w:rsidRDefault="00B807C1" w:rsidP="008E0E79">
            <w:pPr>
              <w:spacing w:before="80" w:after="80"/>
              <w:rPr>
                <w:b/>
              </w:rPr>
            </w:pPr>
            <w:r w:rsidRPr="00AC4EDD">
              <w:rPr>
                <w:b/>
              </w:rPr>
              <w:lastRenderedPageBreak/>
              <w:t>225</w:t>
            </w:r>
          </w:p>
        </w:tc>
        <w:tc>
          <w:tcPr>
            <w:tcW w:w="1440" w:type="dxa"/>
          </w:tcPr>
          <w:p w:rsidR="00B807C1" w:rsidRPr="00AC4EDD" w:rsidRDefault="00B807C1" w:rsidP="008E0E79">
            <w:pPr>
              <w:spacing w:before="80" w:after="80"/>
            </w:pPr>
            <w:r w:rsidRPr="00AC4EDD">
              <w:t>0045(1)</w:t>
            </w:r>
          </w:p>
        </w:tc>
        <w:tc>
          <w:tcPr>
            <w:tcW w:w="5850" w:type="dxa"/>
          </w:tcPr>
          <w:p w:rsidR="00B807C1" w:rsidRPr="00AC4EDD" w:rsidRDefault="00B807C1" w:rsidP="008E0E79">
            <w:pPr>
              <w:spacing w:before="80" w:after="80"/>
            </w:pPr>
            <w:r w:rsidRPr="00AC4EDD">
              <w:t>Clarify that a single source impact analysis is sufficient to show compliance with standards and increments for only the pollutants that trigger PSD</w:t>
            </w:r>
          </w:p>
        </w:tc>
        <w:tc>
          <w:tcPr>
            <w:tcW w:w="6390" w:type="dxa"/>
          </w:tcPr>
          <w:p w:rsidR="00B807C1" w:rsidRDefault="00B807C1" w:rsidP="0042252F">
            <w:pPr>
              <w:spacing w:before="80" w:after="80"/>
            </w:pPr>
            <w:r>
              <w:t>This change is recommended as a clarification to the rules consistent with how the rules have been applied.</w:t>
            </w:r>
          </w:p>
        </w:tc>
      </w:tr>
      <w:tr w:rsidR="00B807C1" w:rsidTr="0028683C">
        <w:tc>
          <w:tcPr>
            <w:tcW w:w="918" w:type="dxa"/>
          </w:tcPr>
          <w:p w:rsidR="00B807C1" w:rsidRDefault="00B807C1" w:rsidP="00743B1A">
            <w:pPr>
              <w:spacing w:before="80" w:after="80"/>
              <w:rPr>
                <w:b/>
              </w:rPr>
            </w:pPr>
            <w:r>
              <w:rPr>
                <w:b/>
              </w:rPr>
              <w:t>225</w:t>
            </w:r>
          </w:p>
        </w:tc>
        <w:tc>
          <w:tcPr>
            <w:tcW w:w="1440" w:type="dxa"/>
          </w:tcPr>
          <w:p w:rsidR="00B807C1" w:rsidRDefault="00B807C1" w:rsidP="00743B1A">
            <w:pPr>
              <w:spacing w:before="80" w:after="80"/>
            </w:pPr>
            <w:r>
              <w:t>0050</w:t>
            </w:r>
          </w:p>
        </w:tc>
        <w:tc>
          <w:tcPr>
            <w:tcW w:w="5850" w:type="dxa"/>
          </w:tcPr>
          <w:p w:rsidR="00B807C1" w:rsidRPr="00032A03" w:rsidRDefault="00B807C1" w:rsidP="00743B1A">
            <w:pPr>
              <w:spacing w:before="80" w:after="80"/>
            </w:pPr>
            <w:r w:rsidRPr="00032A03">
              <w:t xml:space="preserve">Delete the editorial note about the table not being included </w:t>
            </w:r>
            <w:r>
              <w:t>with the rules</w:t>
            </w:r>
          </w:p>
        </w:tc>
        <w:tc>
          <w:tcPr>
            <w:tcW w:w="6390" w:type="dxa"/>
          </w:tcPr>
          <w:p w:rsidR="00B807C1" w:rsidRDefault="00B807C1" w:rsidP="00743B1A">
            <w:pPr>
              <w:spacing w:before="80" w:after="80"/>
            </w:pPr>
            <w:r>
              <w:t xml:space="preserve">The Secretary of State will now include links to tables in PDF files </w:t>
            </w:r>
          </w:p>
        </w:tc>
      </w:tr>
      <w:tr w:rsidR="00B807C1" w:rsidTr="0028683C">
        <w:tc>
          <w:tcPr>
            <w:tcW w:w="918" w:type="dxa"/>
          </w:tcPr>
          <w:p w:rsidR="00B807C1" w:rsidRPr="00AC4EDD" w:rsidRDefault="00B807C1" w:rsidP="008E0E79">
            <w:pPr>
              <w:spacing w:before="80" w:after="80"/>
              <w:rPr>
                <w:b/>
              </w:rPr>
            </w:pPr>
            <w:r w:rsidRPr="00AC4EDD">
              <w:rPr>
                <w:b/>
              </w:rPr>
              <w:t>225</w:t>
            </w:r>
          </w:p>
        </w:tc>
        <w:tc>
          <w:tcPr>
            <w:tcW w:w="1440" w:type="dxa"/>
          </w:tcPr>
          <w:p w:rsidR="00B807C1" w:rsidRPr="00AC4EDD" w:rsidRDefault="00B807C1" w:rsidP="008E0E79">
            <w:pPr>
              <w:spacing w:before="80" w:after="80"/>
            </w:pPr>
            <w:r w:rsidRPr="00AC4EDD">
              <w:t>0050(1)</w:t>
            </w:r>
          </w:p>
        </w:tc>
        <w:tc>
          <w:tcPr>
            <w:tcW w:w="5850" w:type="dxa"/>
          </w:tcPr>
          <w:p w:rsidR="00B807C1" w:rsidRPr="00AC4EDD" w:rsidRDefault="00B807C1" w:rsidP="008E0E79">
            <w:pPr>
              <w:spacing w:before="80" w:after="80"/>
            </w:pPr>
            <w:r w:rsidRPr="00AC4EDD">
              <w:t>Clarify that a single source impact analysis is sufficient to show compliance with standards and increments for only the pollutants that trigger PSD</w:t>
            </w:r>
          </w:p>
        </w:tc>
        <w:tc>
          <w:tcPr>
            <w:tcW w:w="6390" w:type="dxa"/>
          </w:tcPr>
          <w:p w:rsidR="00B807C1" w:rsidRDefault="00B807C1" w:rsidP="0042252F">
            <w:pPr>
              <w:spacing w:before="80" w:after="80"/>
            </w:pPr>
            <w:r>
              <w:t>This change is recommended as a clarification to the rules consistent with how the rules have been applied.</w:t>
            </w:r>
          </w:p>
        </w:tc>
      </w:tr>
      <w:tr w:rsidR="00B807C1" w:rsidTr="0028683C">
        <w:tc>
          <w:tcPr>
            <w:tcW w:w="918" w:type="dxa"/>
          </w:tcPr>
          <w:p w:rsidR="00B807C1" w:rsidRDefault="00B807C1" w:rsidP="00743B1A">
            <w:pPr>
              <w:spacing w:before="80" w:after="80"/>
              <w:rPr>
                <w:b/>
              </w:rPr>
            </w:pPr>
            <w:r>
              <w:rPr>
                <w:b/>
              </w:rPr>
              <w:t>225</w:t>
            </w:r>
          </w:p>
        </w:tc>
        <w:tc>
          <w:tcPr>
            <w:tcW w:w="1440" w:type="dxa"/>
          </w:tcPr>
          <w:p w:rsidR="00B807C1" w:rsidRDefault="00B807C1" w:rsidP="00743B1A">
            <w:pPr>
              <w:spacing w:before="80" w:after="80"/>
            </w:pPr>
            <w:r>
              <w:t>0060</w:t>
            </w:r>
          </w:p>
        </w:tc>
        <w:tc>
          <w:tcPr>
            <w:tcW w:w="5850" w:type="dxa"/>
          </w:tcPr>
          <w:p w:rsidR="00B807C1" w:rsidRPr="00032A03" w:rsidRDefault="00B807C1" w:rsidP="00743B1A">
            <w:pPr>
              <w:spacing w:before="80" w:after="80"/>
            </w:pPr>
            <w:r w:rsidRPr="00032A03">
              <w:t xml:space="preserve">Delete the editorial note about the table not being included </w:t>
            </w:r>
            <w:r>
              <w:t>with the rules</w:t>
            </w:r>
          </w:p>
        </w:tc>
        <w:tc>
          <w:tcPr>
            <w:tcW w:w="6390" w:type="dxa"/>
          </w:tcPr>
          <w:p w:rsidR="00B807C1" w:rsidRDefault="00B807C1" w:rsidP="00743B1A">
            <w:pPr>
              <w:spacing w:before="80" w:after="80"/>
            </w:pPr>
            <w:r>
              <w:t xml:space="preserve">The Secretary of State will now include links to tables in PDF files </w:t>
            </w:r>
          </w:p>
        </w:tc>
      </w:tr>
      <w:tr w:rsidR="00B807C1" w:rsidTr="0028683C">
        <w:tc>
          <w:tcPr>
            <w:tcW w:w="918" w:type="dxa"/>
          </w:tcPr>
          <w:p w:rsidR="00B807C1" w:rsidRPr="00AC4EDD" w:rsidRDefault="00B807C1" w:rsidP="008E0E79">
            <w:pPr>
              <w:spacing w:before="80" w:after="80"/>
              <w:rPr>
                <w:b/>
              </w:rPr>
            </w:pPr>
            <w:r w:rsidRPr="00AC4EDD">
              <w:rPr>
                <w:b/>
              </w:rPr>
              <w:t>225</w:t>
            </w:r>
          </w:p>
        </w:tc>
        <w:tc>
          <w:tcPr>
            <w:tcW w:w="1440" w:type="dxa"/>
          </w:tcPr>
          <w:p w:rsidR="00B807C1" w:rsidRPr="00AC4EDD" w:rsidRDefault="00B807C1" w:rsidP="008E0E79">
            <w:pPr>
              <w:spacing w:before="80" w:after="80"/>
            </w:pPr>
            <w:r w:rsidRPr="00AC4EDD">
              <w:t>0060(2)(a)</w:t>
            </w:r>
          </w:p>
        </w:tc>
        <w:tc>
          <w:tcPr>
            <w:tcW w:w="5850" w:type="dxa"/>
          </w:tcPr>
          <w:p w:rsidR="00B807C1" w:rsidRPr="00AC4EDD" w:rsidRDefault="00B807C1" w:rsidP="008E0E79">
            <w:pPr>
              <w:spacing w:before="80" w:after="80"/>
            </w:pPr>
            <w:r w:rsidRPr="00AC4EDD">
              <w:t>Clarify that a single source impact analysis is sufficient to show compliance with standards and increments for only the pollutants that trigger PSD</w:t>
            </w:r>
          </w:p>
        </w:tc>
        <w:tc>
          <w:tcPr>
            <w:tcW w:w="6390" w:type="dxa"/>
          </w:tcPr>
          <w:p w:rsidR="00B807C1" w:rsidRDefault="00B807C1" w:rsidP="0042252F">
            <w:pPr>
              <w:spacing w:before="80" w:after="80"/>
            </w:pPr>
            <w:r>
              <w:t>This change is recommended as a clarification to the rules consistent with how the rules have been applied.</w:t>
            </w:r>
          </w:p>
        </w:tc>
      </w:tr>
      <w:tr w:rsidR="00B807C1" w:rsidTr="0028683C">
        <w:tc>
          <w:tcPr>
            <w:tcW w:w="918" w:type="dxa"/>
          </w:tcPr>
          <w:p w:rsidR="00B807C1" w:rsidRDefault="00B807C1" w:rsidP="003F3264">
            <w:pPr>
              <w:spacing w:before="80" w:after="80"/>
              <w:rPr>
                <w:b/>
              </w:rPr>
            </w:pPr>
            <w:r>
              <w:rPr>
                <w:b/>
              </w:rPr>
              <w:t>225</w:t>
            </w:r>
          </w:p>
        </w:tc>
        <w:tc>
          <w:tcPr>
            <w:tcW w:w="1440" w:type="dxa"/>
          </w:tcPr>
          <w:p w:rsidR="00B807C1" w:rsidRDefault="00B807C1" w:rsidP="003F3264">
            <w:pPr>
              <w:spacing w:before="80" w:after="80"/>
            </w:pPr>
            <w:r>
              <w:t>0060(2)(a)</w:t>
            </w:r>
          </w:p>
        </w:tc>
        <w:tc>
          <w:tcPr>
            <w:tcW w:w="5850" w:type="dxa"/>
          </w:tcPr>
          <w:p w:rsidR="00B807C1" w:rsidRPr="00032A03" w:rsidRDefault="00B807C1" w:rsidP="003F3264">
            <w:pPr>
              <w:spacing w:before="80" w:after="80"/>
            </w:pPr>
            <w:r w:rsidRPr="00032A03">
              <w:t xml:space="preserve">Delete the editorial note about the table not being included </w:t>
            </w:r>
            <w:r>
              <w:t>with the rules</w:t>
            </w:r>
          </w:p>
        </w:tc>
        <w:tc>
          <w:tcPr>
            <w:tcW w:w="6390" w:type="dxa"/>
          </w:tcPr>
          <w:p w:rsidR="00B807C1" w:rsidRDefault="00B807C1" w:rsidP="003F3264">
            <w:pPr>
              <w:spacing w:before="80" w:after="80"/>
            </w:pPr>
            <w:r>
              <w:t xml:space="preserve">The Secretary of State will now include links to tables in PDF files </w:t>
            </w:r>
          </w:p>
        </w:tc>
      </w:tr>
      <w:tr w:rsidR="00B807C1" w:rsidTr="0028683C">
        <w:tc>
          <w:tcPr>
            <w:tcW w:w="918" w:type="dxa"/>
          </w:tcPr>
          <w:p w:rsidR="00B807C1" w:rsidRPr="00AC4EDD" w:rsidRDefault="00B807C1" w:rsidP="008E0E79">
            <w:pPr>
              <w:spacing w:before="80" w:after="80"/>
              <w:rPr>
                <w:b/>
              </w:rPr>
            </w:pPr>
            <w:r w:rsidRPr="00AC4EDD">
              <w:rPr>
                <w:b/>
              </w:rPr>
              <w:t>225</w:t>
            </w:r>
          </w:p>
        </w:tc>
        <w:tc>
          <w:tcPr>
            <w:tcW w:w="1440" w:type="dxa"/>
          </w:tcPr>
          <w:p w:rsidR="00B807C1" w:rsidRPr="00AC4EDD" w:rsidRDefault="00B807C1" w:rsidP="008E0E79">
            <w:pPr>
              <w:spacing w:before="80" w:after="80"/>
            </w:pPr>
            <w:r w:rsidRPr="00AC4EDD">
              <w:t>0060(2)(c)</w:t>
            </w:r>
          </w:p>
        </w:tc>
        <w:tc>
          <w:tcPr>
            <w:tcW w:w="5850" w:type="dxa"/>
          </w:tcPr>
          <w:p w:rsidR="00B807C1" w:rsidRPr="00AC4EDD" w:rsidRDefault="00B807C1" w:rsidP="008E0E79">
            <w:pPr>
              <w:spacing w:before="80" w:after="80"/>
            </w:pPr>
            <w:r w:rsidRPr="00AC4EDD">
              <w:t>Clarify that a single source impact analysis is for emission increases equal to or greater than a significant emission rate above the netting basis due to the proposed source or modification</w:t>
            </w:r>
          </w:p>
        </w:tc>
        <w:tc>
          <w:tcPr>
            <w:tcW w:w="6390" w:type="dxa"/>
          </w:tcPr>
          <w:p w:rsidR="00B807C1" w:rsidRDefault="00B807C1" w:rsidP="0042252F">
            <w:pPr>
              <w:spacing w:before="80" w:after="80"/>
            </w:pPr>
            <w:r>
              <w:t>This change is recommended as a clarification to the rules consistent with how the rules have been applied.</w:t>
            </w:r>
          </w:p>
        </w:tc>
      </w:tr>
      <w:tr w:rsidR="00F944EB" w:rsidRPr="00C32A57" w:rsidTr="0028683C">
        <w:tc>
          <w:tcPr>
            <w:tcW w:w="918" w:type="dxa"/>
          </w:tcPr>
          <w:p w:rsidR="00F944EB" w:rsidRPr="00482705" w:rsidRDefault="00F944EB" w:rsidP="008E0E79">
            <w:pPr>
              <w:spacing w:before="80" w:after="80"/>
              <w:rPr>
                <w:b/>
              </w:rPr>
            </w:pPr>
            <w:r w:rsidRPr="00482705">
              <w:rPr>
                <w:b/>
              </w:rPr>
              <w:t>225</w:t>
            </w:r>
          </w:p>
        </w:tc>
        <w:tc>
          <w:tcPr>
            <w:tcW w:w="1440" w:type="dxa"/>
          </w:tcPr>
          <w:p w:rsidR="00F944EB" w:rsidRPr="00C32A57" w:rsidRDefault="00F944EB" w:rsidP="008E0E79">
            <w:pPr>
              <w:spacing w:before="80" w:after="80"/>
            </w:pPr>
            <w:r w:rsidRPr="00C32A57">
              <w:t>0090(2)(a)(C)</w:t>
            </w:r>
          </w:p>
        </w:tc>
        <w:tc>
          <w:tcPr>
            <w:tcW w:w="5850" w:type="dxa"/>
          </w:tcPr>
          <w:p w:rsidR="00F944EB" w:rsidRPr="00C32A57" w:rsidRDefault="00F944EB" w:rsidP="008E0E79">
            <w:pPr>
              <w:spacing w:before="80" w:after="80"/>
            </w:pPr>
            <w:r w:rsidRPr="00C32A57">
              <w:t xml:space="preserve">Add </w:t>
            </w:r>
            <w:r>
              <w:t>SO</w:t>
            </w:r>
            <w:r>
              <w:rPr>
                <w:vertAlign w:val="subscript"/>
              </w:rPr>
              <w:t>2</w:t>
            </w:r>
            <w:r>
              <w:t xml:space="preserve">  and </w:t>
            </w:r>
            <w:r w:rsidRPr="00C32A57">
              <w:t>NOx offsets</w:t>
            </w:r>
            <w:r>
              <w:t xml:space="preserve"> for non-ozone areas</w:t>
            </w:r>
          </w:p>
        </w:tc>
        <w:tc>
          <w:tcPr>
            <w:tcW w:w="6390" w:type="dxa"/>
          </w:tcPr>
          <w:p w:rsidR="00F944EB" w:rsidRPr="00AC4EDD" w:rsidRDefault="00F944EB" w:rsidP="00A8652F">
            <w:pPr>
              <w:spacing w:before="80" w:after="80"/>
            </w:pPr>
            <w:r w:rsidRPr="00CF1710">
              <w:rPr>
                <w:highlight w:val="yellow"/>
              </w:rPr>
              <w:t>This offset ratios are based the presumptive levels established by EPA in the preamble to Significant Impact Levels (SILs)</w:t>
            </w:r>
          </w:p>
        </w:tc>
      </w:tr>
      <w:tr w:rsidR="00B807C1" w:rsidTr="0028683C">
        <w:tc>
          <w:tcPr>
            <w:tcW w:w="918" w:type="dxa"/>
          </w:tcPr>
          <w:p w:rsidR="00B807C1" w:rsidRPr="00B63B52" w:rsidRDefault="00B807C1" w:rsidP="008E0E79">
            <w:pPr>
              <w:spacing w:before="80" w:after="80"/>
              <w:rPr>
                <w:b/>
              </w:rPr>
            </w:pPr>
            <w:r w:rsidRPr="00B63B52">
              <w:rPr>
                <w:b/>
              </w:rPr>
              <w:t>225</w:t>
            </w:r>
          </w:p>
        </w:tc>
        <w:tc>
          <w:tcPr>
            <w:tcW w:w="1440" w:type="dxa"/>
          </w:tcPr>
          <w:p w:rsidR="00B807C1" w:rsidRPr="00B63B52" w:rsidRDefault="00B807C1" w:rsidP="008E0E79">
            <w:pPr>
              <w:spacing w:before="80" w:after="80"/>
            </w:pPr>
            <w:r w:rsidRPr="00B63B52">
              <w:t>0090(2)(a)(D)</w:t>
            </w:r>
          </w:p>
        </w:tc>
        <w:tc>
          <w:tcPr>
            <w:tcW w:w="5850" w:type="dxa"/>
          </w:tcPr>
          <w:p w:rsidR="00B807C1" w:rsidRPr="00B63B52" w:rsidRDefault="00B807C1" w:rsidP="008E0E79">
            <w:pPr>
              <w:spacing w:before="80" w:after="80"/>
            </w:pPr>
            <w:r w:rsidRPr="00B63B52">
              <w:t>Add exception to net air quality benefit for small scale local energy projects</w:t>
            </w:r>
          </w:p>
        </w:tc>
        <w:tc>
          <w:tcPr>
            <w:tcW w:w="6390" w:type="dxa"/>
          </w:tcPr>
          <w:p w:rsidR="00B807C1" w:rsidRPr="00B63B52" w:rsidRDefault="00B807C1" w:rsidP="008E0E79">
            <w:pPr>
              <w:spacing w:before="80" w:after="80"/>
            </w:pPr>
            <w:r w:rsidRPr="00B63B52">
              <w:t>House Bill 2952 amended ORS 468A.040 to add an exception for small scale local energy projects regarding net air quality benefit</w:t>
            </w:r>
          </w:p>
        </w:tc>
      </w:tr>
      <w:tr w:rsidR="00E73071" w:rsidRPr="00C32A57" w:rsidTr="00A8652F">
        <w:tc>
          <w:tcPr>
            <w:tcW w:w="918" w:type="dxa"/>
          </w:tcPr>
          <w:p w:rsidR="00E73071" w:rsidRPr="00482705" w:rsidRDefault="00E73071" w:rsidP="00A8652F">
            <w:pPr>
              <w:spacing w:before="80" w:after="80"/>
              <w:rPr>
                <w:b/>
              </w:rPr>
            </w:pPr>
            <w:r>
              <w:rPr>
                <w:b/>
              </w:rPr>
              <w:t>225</w:t>
            </w:r>
          </w:p>
        </w:tc>
        <w:tc>
          <w:tcPr>
            <w:tcW w:w="1440" w:type="dxa"/>
          </w:tcPr>
          <w:p w:rsidR="00E73071" w:rsidRPr="00C32A57" w:rsidRDefault="00E73071" w:rsidP="00A8652F">
            <w:pPr>
              <w:spacing w:before="80" w:after="80"/>
            </w:pPr>
            <w:r>
              <w:t>0090(3)</w:t>
            </w:r>
          </w:p>
        </w:tc>
        <w:tc>
          <w:tcPr>
            <w:tcW w:w="5850" w:type="dxa"/>
          </w:tcPr>
          <w:p w:rsidR="00E73071" w:rsidRPr="00C32A57" w:rsidRDefault="00E73071" w:rsidP="00A8652F">
            <w:pPr>
              <w:spacing w:before="80" w:after="80"/>
            </w:pPr>
            <w:r w:rsidRPr="00C32A57">
              <w:t xml:space="preserve">Add </w:t>
            </w:r>
            <w:r>
              <w:t>SO</w:t>
            </w:r>
            <w:r>
              <w:rPr>
                <w:vertAlign w:val="subscript"/>
              </w:rPr>
              <w:t>2</w:t>
            </w:r>
            <w:r>
              <w:t xml:space="preserve">  and </w:t>
            </w:r>
            <w:r w:rsidRPr="00C32A57">
              <w:t>NOx offsets</w:t>
            </w:r>
          </w:p>
        </w:tc>
        <w:tc>
          <w:tcPr>
            <w:tcW w:w="6390" w:type="dxa"/>
          </w:tcPr>
          <w:p w:rsidR="00E73071" w:rsidRPr="00CF1710" w:rsidRDefault="00E73071" w:rsidP="00A8652F">
            <w:pPr>
              <w:spacing w:before="80" w:after="80"/>
              <w:rPr>
                <w:highlight w:val="yellow"/>
              </w:rPr>
            </w:pPr>
            <w:r w:rsidRPr="00CF1710">
              <w:rPr>
                <w:highlight w:val="yellow"/>
              </w:rPr>
              <w:t>This offset ratios are based the presumptive levels established by EPA in the preamble to Significant Impact Levels (SILs)</w:t>
            </w:r>
          </w:p>
        </w:tc>
      </w:tr>
      <w:tr w:rsidR="00E73071" w:rsidTr="0028683C">
        <w:tc>
          <w:tcPr>
            <w:tcW w:w="918" w:type="dxa"/>
          </w:tcPr>
          <w:p w:rsidR="00E73071" w:rsidRPr="008923DE" w:rsidRDefault="00E73071" w:rsidP="008E0E79">
            <w:pPr>
              <w:spacing w:before="80" w:after="80"/>
              <w:rPr>
                <w:b/>
              </w:rPr>
            </w:pPr>
            <w:r>
              <w:rPr>
                <w:b/>
              </w:rPr>
              <w:t>225</w:t>
            </w:r>
          </w:p>
        </w:tc>
        <w:tc>
          <w:tcPr>
            <w:tcW w:w="1440" w:type="dxa"/>
          </w:tcPr>
          <w:p w:rsidR="00E73071" w:rsidRPr="008923DE" w:rsidRDefault="00E73071" w:rsidP="008E0E79">
            <w:pPr>
              <w:spacing w:before="80" w:after="80"/>
            </w:pPr>
            <w:r>
              <w:t>0090(4)</w:t>
            </w:r>
          </w:p>
        </w:tc>
        <w:tc>
          <w:tcPr>
            <w:tcW w:w="5850" w:type="dxa"/>
          </w:tcPr>
          <w:p w:rsidR="00E73071" w:rsidRPr="008923DE" w:rsidRDefault="00E73071" w:rsidP="008E0E79">
            <w:pPr>
              <w:spacing w:before="80" w:after="80"/>
            </w:pPr>
            <w:r>
              <w:t>Add NOx offsets</w:t>
            </w:r>
          </w:p>
        </w:tc>
        <w:tc>
          <w:tcPr>
            <w:tcW w:w="6390" w:type="dxa"/>
          </w:tcPr>
          <w:p w:rsidR="00E73071" w:rsidRPr="00AC4EDD" w:rsidRDefault="00E73071" w:rsidP="008E0E79">
            <w:pPr>
              <w:spacing w:before="80" w:after="80"/>
            </w:pPr>
            <w:r w:rsidRPr="00AC4EDD">
              <w:t xml:space="preserve">This makes the rule language consistent with EPA requirements in 40 CFR Part 51 and past implementation of the rule.  </w:t>
            </w:r>
          </w:p>
        </w:tc>
      </w:tr>
      <w:tr w:rsidR="00E73071" w:rsidTr="0028683C">
        <w:tc>
          <w:tcPr>
            <w:tcW w:w="918" w:type="dxa"/>
          </w:tcPr>
          <w:p w:rsidR="00E73071" w:rsidRPr="00C4325F" w:rsidRDefault="00E73071" w:rsidP="008E0E79">
            <w:pPr>
              <w:spacing w:before="80" w:after="80"/>
              <w:rPr>
                <w:b/>
              </w:rPr>
            </w:pPr>
            <w:r>
              <w:rPr>
                <w:b/>
              </w:rPr>
              <w:t>225</w:t>
            </w:r>
          </w:p>
        </w:tc>
        <w:tc>
          <w:tcPr>
            <w:tcW w:w="1440" w:type="dxa"/>
          </w:tcPr>
          <w:p w:rsidR="00E73071" w:rsidRPr="00C4325F" w:rsidRDefault="00E73071" w:rsidP="008E0E79">
            <w:pPr>
              <w:spacing w:before="80" w:after="80"/>
            </w:pPr>
            <w:r>
              <w:t>0020 Table</w:t>
            </w:r>
          </w:p>
        </w:tc>
        <w:tc>
          <w:tcPr>
            <w:tcW w:w="5850" w:type="dxa"/>
          </w:tcPr>
          <w:p w:rsidR="00E73071" w:rsidRPr="00C4325F" w:rsidRDefault="00E73071" w:rsidP="008E0E79">
            <w:pPr>
              <w:spacing w:before="80" w:after="80"/>
            </w:pPr>
            <w:r>
              <w:t>Add K for PM2.5</w:t>
            </w:r>
          </w:p>
        </w:tc>
        <w:tc>
          <w:tcPr>
            <w:tcW w:w="6390" w:type="dxa"/>
          </w:tcPr>
          <w:p w:rsidR="00E73071" w:rsidRDefault="00E73071" w:rsidP="00A8652F">
            <w:r>
              <w:t xml:space="preserve">K is a pollutant specific constant for determining the range of influence of a competing source.  </w:t>
            </w:r>
          </w:p>
        </w:tc>
      </w:tr>
      <w:tr w:rsidR="00E73071" w:rsidTr="0028683C">
        <w:tc>
          <w:tcPr>
            <w:tcW w:w="918" w:type="dxa"/>
          </w:tcPr>
          <w:p w:rsidR="00E73071" w:rsidRPr="00C4325F" w:rsidRDefault="00E73071" w:rsidP="008E0E79">
            <w:pPr>
              <w:spacing w:before="80" w:after="80"/>
              <w:rPr>
                <w:b/>
              </w:rPr>
            </w:pPr>
            <w:r>
              <w:rPr>
                <w:b/>
              </w:rPr>
              <w:t>225</w:t>
            </w:r>
          </w:p>
        </w:tc>
        <w:tc>
          <w:tcPr>
            <w:tcW w:w="1440" w:type="dxa"/>
          </w:tcPr>
          <w:p w:rsidR="00E73071" w:rsidRPr="00C4325F" w:rsidRDefault="00E73071" w:rsidP="008E0E79">
            <w:pPr>
              <w:spacing w:before="80" w:after="80"/>
            </w:pPr>
            <w:r>
              <w:t>Table 1</w:t>
            </w:r>
          </w:p>
        </w:tc>
        <w:tc>
          <w:tcPr>
            <w:tcW w:w="5850" w:type="dxa"/>
          </w:tcPr>
          <w:p w:rsidR="00E73071" w:rsidRPr="00C4325F" w:rsidRDefault="00E73071" w:rsidP="008E0E79">
            <w:pPr>
              <w:spacing w:before="80" w:after="80"/>
            </w:pPr>
            <w:r>
              <w:t>Delete Table 1</w:t>
            </w:r>
          </w:p>
        </w:tc>
        <w:tc>
          <w:tcPr>
            <w:tcW w:w="6390" w:type="dxa"/>
          </w:tcPr>
          <w:p w:rsidR="00E73071" w:rsidRDefault="00E73071" w:rsidP="00A8652F">
            <w:r>
              <w:t>Class I Significant Impact Levels are being added to Table I in Division 200</w:t>
            </w:r>
          </w:p>
        </w:tc>
      </w:tr>
      <w:tr w:rsidR="00E73071" w:rsidTr="0028683C">
        <w:tc>
          <w:tcPr>
            <w:tcW w:w="918" w:type="dxa"/>
          </w:tcPr>
          <w:p w:rsidR="00E73071" w:rsidRPr="00C4325F" w:rsidRDefault="00E73071" w:rsidP="008E0E79">
            <w:pPr>
              <w:spacing w:before="80" w:after="80"/>
              <w:rPr>
                <w:b/>
              </w:rPr>
            </w:pPr>
            <w:r w:rsidRPr="00C4325F">
              <w:rPr>
                <w:b/>
              </w:rPr>
              <w:t>226</w:t>
            </w:r>
          </w:p>
        </w:tc>
        <w:tc>
          <w:tcPr>
            <w:tcW w:w="1440" w:type="dxa"/>
          </w:tcPr>
          <w:p w:rsidR="00E73071" w:rsidRPr="00C4325F" w:rsidRDefault="00E73071" w:rsidP="008E0E79">
            <w:pPr>
              <w:spacing w:before="80" w:after="80"/>
            </w:pPr>
            <w:r w:rsidRPr="00C4325F">
              <w:t>0010(1)</w:t>
            </w:r>
          </w:p>
        </w:tc>
        <w:tc>
          <w:tcPr>
            <w:tcW w:w="5850" w:type="dxa"/>
          </w:tcPr>
          <w:p w:rsidR="00E73071" w:rsidRPr="00C4325F" w:rsidRDefault="00E73071" w:rsidP="008E0E79">
            <w:pPr>
              <w:spacing w:before="80" w:after="80"/>
            </w:pPr>
            <w:r w:rsidRPr="00C4325F">
              <w:t>Definition of new source different from Division 208</w:t>
            </w:r>
          </w:p>
        </w:tc>
        <w:tc>
          <w:tcPr>
            <w:tcW w:w="6390" w:type="dxa"/>
          </w:tcPr>
          <w:p w:rsidR="00E73071" w:rsidRPr="00C4325F" w:rsidRDefault="00E73071" w:rsidP="008E0E79">
            <w:pPr>
              <w:spacing w:before="80" w:after="80"/>
            </w:pPr>
            <w:r w:rsidRPr="00C4325F">
              <w:t>Incorporate dates for new and existing sources into rule</w:t>
            </w:r>
          </w:p>
        </w:tc>
      </w:tr>
      <w:tr w:rsidR="00E73071" w:rsidTr="0028683C">
        <w:tc>
          <w:tcPr>
            <w:tcW w:w="918" w:type="dxa"/>
          </w:tcPr>
          <w:p w:rsidR="00E73071" w:rsidRPr="00632225" w:rsidRDefault="00E73071" w:rsidP="008E0E79">
            <w:pPr>
              <w:spacing w:before="80" w:after="80"/>
              <w:rPr>
                <w:b/>
              </w:rPr>
            </w:pPr>
            <w:r w:rsidRPr="00632225">
              <w:rPr>
                <w:b/>
              </w:rPr>
              <w:t>226</w:t>
            </w:r>
          </w:p>
        </w:tc>
        <w:tc>
          <w:tcPr>
            <w:tcW w:w="1440" w:type="dxa"/>
          </w:tcPr>
          <w:p w:rsidR="00E73071" w:rsidRPr="00632225" w:rsidRDefault="00E73071" w:rsidP="008E0E79">
            <w:pPr>
              <w:spacing w:before="80" w:after="80"/>
            </w:pPr>
            <w:r w:rsidRPr="00632225">
              <w:t>0010(2)</w:t>
            </w:r>
          </w:p>
        </w:tc>
        <w:tc>
          <w:tcPr>
            <w:tcW w:w="5850" w:type="dxa"/>
          </w:tcPr>
          <w:p w:rsidR="00E73071" w:rsidRPr="00632225" w:rsidRDefault="00E73071" w:rsidP="008E0E79">
            <w:pPr>
              <w:spacing w:before="80" w:after="80"/>
            </w:pPr>
            <w:r w:rsidRPr="00632225">
              <w:t>Delete definition of particulate matter already in Division 200</w:t>
            </w:r>
          </w:p>
        </w:tc>
        <w:tc>
          <w:tcPr>
            <w:tcW w:w="6390" w:type="dxa"/>
          </w:tcPr>
          <w:p w:rsidR="00E73071" w:rsidRPr="00632225" w:rsidRDefault="00E73071" w:rsidP="008E0E79">
            <w:pPr>
              <w:spacing w:before="80" w:after="80"/>
            </w:pPr>
            <w:r w:rsidRPr="00632225">
              <w:t>Delete and use Division 200 definition</w:t>
            </w:r>
          </w:p>
        </w:tc>
      </w:tr>
      <w:tr w:rsidR="00E73071" w:rsidRPr="00DC7BAD" w:rsidTr="0028683C">
        <w:tc>
          <w:tcPr>
            <w:tcW w:w="918" w:type="dxa"/>
          </w:tcPr>
          <w:p w:rsidR="00E73071" w:rsidRPr="00DC7BAD" w:rsidRDefault="00E73071" w:rsidP="008E0E79">
            <w:pPr>
              <w:spacing w:before="80" w:after="80"/>
              <w:rPr>
                <w:b/>
              </w:rPr>
            </w:pPr>
            <w:r w:rsidRPr="00DC7BAD">
              <w:rPr>
                <w:b/>
              </w:rPr>
              <w:lastRenderedPageBreak/>
              <w:t>226</w:t>
            </w:r>
          </w:p>
        </w:tc>
        <w:tc>
          <w:tcPr>
            <w:tcW w:w="1440" w:type="dxa"/>
          </w:tcPr>
          <w:p w:rsidR="00E73071" w:rsidRPr="00DC7BAD" w:rsidRDefault="00E73071" w:rsidP="008E0E79">
            <w:pPr>
              <w:spacing w:before="80" w:after="80"/>
            </w:pPr>
            <w:r w:rsidRPr="00DC7BAD">
              <w:t>0010(5)</w:t>
            </w:r>
          </w:p>
        </w:tc>
        <w:tc>
          <w:tcPr>
            <w:tcW w:w="5850" w:type="dxa"/>
          </w:tcPr>
          <w:p w:rsidR="00E73071" w:rsidRPr="00DC7BAD" w:rsidRDefault="00E73071" w:rsidP="008E0E79">
            <w:pPr>
              <w:spacing w:before="80" w:after="80"/>
            </w:pPr>
            <w:r w:rsidRPr="00DC7BAD">
              <w:t>Definition of standard conditions different from Division 230 and 240 but same as Division 226 and 228</w:t>
            </w:r>
          </w:p>
        </w:tc>
        <w:tc>
          <w:tcPr>
            <w:tcW w:w="6390" w:type="dxa"/>
          </w:tcPr>
          <w:p w:rsidR="00E73071" w:rsidRPr="00DC7BAD" w:rsidRDefault="00E73071" w:rsidP="008E0E79">
            <w:pPr>
              <w:spacing w:before="80" w:after="80"/>
            </w:pPr>
            <w:r w:rsidRPr="00DC7BAD">
              <w:t>Delete and incorporate into definition of standard cubic foot and move to Division 200</w:t>
            </w:r>
          </w:p>
        </w:tc>
      </w:tr>
      <w:tr w:rsidR="00E73071" w:rsidTr="0028683C">
        <w:tc>
          <w:tcPr>
            <w:tcW w:w="918" w:type="dxa"/>
          </w:tcPr>
          <w:p w:rsidR="00E73071" w:rsidRPr="00DC7BAD" w:rsidRDefault="00E73071" w:rsidP="008E0E79">
            <w:pPr>
              <w:spacing w:before="80" w:after="80"/>
              <w:rPr>
                <w:b/>
              </w:rPr>
            </w:pPr>
            <w:r w:rsidRPr="00DC7BAD">
              <w:rPr>
                <w:b/>
              </w:rPr>
              <w:t>226</w:t>
            </w:r>
          </w:p>
        </w:tc>
        <w:tc>
          <w:tcPr>
            <w:tcW w:w="1440" w:type="dxa"/>
          </w:tcPr>
          <w:p w:rsidR="00E73071" w:rsidRPr="00DC7BAD" w:rsidRDefault="00E73071" w:rsidP="008E0E79">
            <w:pPr>
              <w:spacing w:before="80" w:after="80"/>
            </w:pPr>
            <w:r w:rsidRPr="00DC7BAD">
              <w:t>0010(6)</w:t>
            </w:r>
          </w:p>
        </w:tc>
        <w:tc>
          <w:tcPr>
            <w:tcW w:w="5850" w:type="dxa"/>
          </w:tcPr>
          <w:p w:rsidR="00E73071" w:rsidRPr="00DC7BAD" w:rsidRDefault="00E73071" w:rsidP="008E0E79">
            <w:pPr>
              <w:spacing w:before="80" w:after="80"/>
            </w:pPr>
            <w:r w:rsidRPr="00DC7BAD">
              <w:t xml:space="preserve">Definition of standard cubic foot different from Division 236 and 240 </w:t>
            </w:r>
          </w:p>
        </w:tc>
        <w:tc>
          <w:tcPr>
            <w:tcW w:w="6390" w:type="dxa"/>
          </w:tcPr>
          <w:p w:rsidR="00E73071" w:rsidRPr="00DC7BAD" w:rsidRDefault="00E73071" w:rsidP="008E0E79">
            <w:pPr>
              <w:spacing w:before="80" w:after="80"/>
            </w:pPr>
            <w:r w:rsidRPr="00DC7BAD">
              <w:t xml:space="preserve">Use definition in 240 and move to Division 200 </w:t>
            </w:r>
          </w:p>
        </w:tc>
      </w:tr>
      <w:tr w:rsidR="00E73071" w:rsidTr="0028683C">
        <w:tc>
          <w:tcPr>
            <w:tcW w:w="918" w:type="dxa"/>
          </w:tcPr>
          <w:p w:rsidR="00E73071" w:rsidRPr="008923DE" w:rsidRDefault="00E73071" w:rsidP="008E0E79">
            <w:pPr>
              <w:spacing w:before="80" w:after="80"/>
              <w:rPr>
                <w:b/>
              </w:rPr>
            </w:pPr>
            <w:r>
              <w:rPr>
                <w:b/>
              </w:rPr>
              <w:t>226</w:t>
            </w:r>
          </w:p>
        </w:tc>
        <w:tc>
          <w:tcPr>
            <w:tcW w:w="1440" w:type="dxa"/>
          </w:tcPr>
          <w:p w:rsidR="00E73071" w:rsidRPr="008923DE" w:rsidRDefault="00E73071" w:rsidP="008E0E79">
            <w:pPr>
              <w:spacing w:before="80" w:after="80"/>
            </w:pPr>
            <w:r>
              <w:t>0120</w:t>
            </w:r>
          </w:p>
        </w:tc>
        <w:tc>
          <w:tcPr>
            <w:tcW w:w="5850" w:type="dxa"/>
          </w:tcPr>
          <w:p w:rsidR="00E73071" w:rsidRDefault="00E73071" w:rsidP="008E0E79">
            <w:pPr>
              <w:spacing w:before="80" w:after="80"/>
            </w:pPr>
            <w:r>
              <w:t>Change all instances of fuel burning equipment to external combustion devices</w:t>
            </w:r>
          </w:p>
        </w:tc>
        <w:tc>
          <w:tcPr>
            <w:tcW w:w="6390" w:type="dxa"/>
          </w:tcPr>
          <w:p w:rsidR="00E73071" w:rsidRPr="00D60B2C" w:rsidRDefault="00E73071" w:rsidP="008E0E79">
            <w:pPr>
              <w:spacing w:before="80" w:after="80"/>
            </w:pPr>
            <w:r w:rsidRPr="00D60B2C">
              <w:t>This is consistent with the change to the definition of fuel burning equipm</w:t>
            </w:r>
            <w:r>
              <w:t>e</w:t>
            </w:r>
            <w:r w:rsidRPr="00D60B2C">
              <w:t>nt</w:t>
            </w:r>
          </w:p>
        </w:tc>
      </w:tr>
      <w:tr w:rsidR="00E73071" w:rsidTr="0028683C">
        <w:tc>
          <w:tcPr>
            <w:tcW w:w="918" w:type="dxa"/>
          </w:tcPr>
          <w:p w:rsidR="00E73071" w:rsidRPr="008923DE" w:rsidRDefault="00E73071" w:rsidP="008E0E79">
            <w:pPr>
              <w:spacing w:before="80" w:after="80"/>
              <w:rPr>
                <w:b/>
              </w:rPr>
            </w:pPr>
            <w:r w:rsidRPr="008923DE">
              <w:rPr>
                <w:b/>
              </w:rPr>
              <w:t>226</w:t>
            </w:r>
          </w:p>
        </w:tc>
        <w:tc>
          <w:tcPr>
            <w:tcW w:w="1440" w:type="dxa"/>
          </w:tcPr>
          <w:p w:rsidR="00E73071" w:rsidRPr="008923DE" w:rsidRDefault="00E73071" w:rsidP="008E0E79">
            <w:pPr>
              <w:spacing w:before="80" w:after="80"/>
            </w:pPr>
            <w:r>
              <w:t>0210</w:t>
            </w:r>
          </w:p>
        </w:tc>
        <w:tc>
          <w:tcPr>
            <w:tcW w:w="5850" w:type="dxa"/>
          </w:tcPr>
          <w:p w:rsidR="00E73071" w:rsidRPr="008923DE" w:rsidRDefault="00E73071" w:rsidP="008E0E79">
            <w:pPr>
              <w:spacing w:before="80" w:after="80"/>
            </w:pPr>
            <w:r w:rsidRPr="008923DE">
              <w:t>Make it so source specific rules in other Divisions, as well as the NSPS and NESHAP, supersede the general requirements.</w:t>
            </w:r>
          </w:p>
        </w:tc>
        <w:tc>
          <w:tcPr>
            <w:tcW w:w="6390" w:type="dxa"/>
          </w:tcPr>
          <w:p w:rsidR="00E73071" w:rsidRPr="00D60B2C" w:rsidRDefault="00E73071" w:rsidP="008E0E79">
            <w:pPr>
              <w:spacing w:before="80" w:after="80"/>
            </w:pPr>
            <w:r w:rsidRPr="00D60B2C">
              <w:t xml:space="preserve">New Source Performance Standards (NSPS) and National Emission Standard for Hazardous Air Pollutants are specifically written for certain industries.  These rules are more stringent than the general permitting requirements.  By applying only the industry specific standards, the Department will eliminate confusion and steamline permitting requirements.  </w:t>
            </w:r>
            <w:r w:rsidRPr="00B62FF1">
              <w:t>(Proposed SIP Implementation Change)</w:t>
            </w:r>
          </w:p>
        </w:tc>
      </w:tr>
      <w:tr w:rsidR="00E73071" w:rsidTr="0028683C">
        <w:tc>
          <w:tcPr>
            <w:tcW w:w="918" w:type="dxa"/>
          </w:tcPr>
          <w:p w:rsidR="00E73071" w:rsidRPr="008923DE" w:rsidRDefault="00E73071" w:rsidP="008E0E79">
            <w:pPr>
              <w:spacing w:before="80" w:after="80"/>
              <w:rPr>
                <w:b/>
              </w:rPr>
            </w:pPr>
            <w:r w:rsidRPr="008923DE">
              <w:rPr>
                <w:b/>
              </w:rPr>
              <w:t>226</w:t>
            </w:r>
          </w:p>
        </w:tc>
        <w:tc>
          <w:tcPr>
            <w:tcW w:w="1440" w:type="dxa"/>
          </w:tcPr>
          <w:p w:rsidR="00E73071" w:rsidRPr="008923DE" w:rsidRDefault="00E73071" w:rsidP="008E0E79">
            <w:pPr>
              <w:spacing w:before="80" w:after="80"/>
            </w:pPr>
            <w:r w:rsidRPr="008923DE">
              <w:t>0210(1)</w:t>
            </w:r>
            <w:r>
              <w:t xml:space="preserve"> &amp; (2)</w:t>
            </w:r>
          </w:p>
        </w:tc>
        <w:tc>
          <w:tcPr>
            <w:tcW w:w="5850" w:type="dxa"/>
          </w:tcPr>
          <w:p w:rsidR="00E73071" w:rsidRPr="008923DE" w:rsidRDefault="00E73071" w:rsidP="008E0E79">
            <w:pPr>
              <w:spacing w:before="80" w:after="80"/>
            </w:pPr>
            <w:r>
              <w:t xml:space="preserve">Change </w:t>
            </w:r>
            <w:r w:rsidRPr="008923DE">
              <w:t xml:space="preserve">0.2 gr/dscf </w:t>
            </w:r>
            <w:r>
              <w:t>and 0.1 gr/dscf to 0.20 and 0.10 and add compliance schedule</w:t>
            </w:r>
          </w:p>
        </w:tc>
        <w:tc>
          <w:tcPr>
            <w:tcW w:w="6390" w:type="dxa"/>
          </w:tcPr>
          <w:p w:rsidR="00E73071" w:rsidRPr="00612FA4" w:rsidRDefault="00E73071" w:rsidP="008E0E79">
            <w:pPr>
              <w:spacing w:before="80" w:after="80"/>
            </w:pPr>
            <w:r w:rsidRPr="00612FA4">
              <w:t xml:space="preserve">This change is based on 06/06/90 EPA guidance and also </w:t>
            </w:r>
            <w:r>
              <w:t xml:space="preserve">to help meet the new PM2.5 ambient air quality standard.  </w:t>
            </w:r>
          </w:p>
        </w:tc>
      </w:tr>
      <w:tr w:rsidR="00E73071" w:rsidTr="0028683C">
        <w:tc>
          <w:tcPr>
            <w:tcW w:w="918" w:type="dxa"/>
          </w:tcPr>
          <w:p w:rsidR="00E73071" w:rsidRPr="008923DE" w:rsidRDefault="00E73071" w:rsidP="008E0E79">
            <w:pPr>
              <w:spacing w:before="80" w:after="80"/>
              <w:rPr>
                <w:b/>
              </w:rPr>
            </w:pPr>
            <w:r w:rsidRPr="008923DE">
              <w:rPr>
                <w:b/>
              </w:rPr>
              <w:t>226</w:t>
            </w:r>
          </w:p>
        </w:tc>
        <w:tc>
          <w:tcPr>
            <w:tcW w:w="1440" w:type="dxa"/>
          </w:tcPr>
          <w:p w:rsidR="00E73071" w:rsidRPr="008923DE" w:rsidRDefault="00E73071" w:rsidP="008E0E79">
            <w:pPr>
              <w:spacing w:before="80" w:after="80"/>
            </w:pPr>
            <w:r w:rsidRPr="008923DE">
              <w:t>0300 though 0320</w:t>
            </w:r>
          </w:p>
        </w:tc>
        <w:tc>
          <w:tcPr>
            <w:tcW w:w="5850" w:type="dxa"/>
          </w:tcPr>
          <w:p w:rsidR="00E73071" w:rsidRPr="008923DE" w:rsidRDefault="00E73071" w:rsidP="008E0E79">
            <w:pPr>
              <w:spacing w:before="80" w:after="80"/>
            </w:pPr>
            <w:r w:rsidRPr="008923DE">
              <w:t xml:space="preserve">Eliminate the process weight limit </w:t>
            </w:r>
          </w:p>
        </w:tc>
        <w:tc>
          <w:tcPr>
            <w:tcW w:w="6390" w:type="dxa"/>
          </w:tcPr>
          <w:p w:rsidR="00E73071" w:rsidRPr="00194CB0" w:rsidRDefault="00E73071" w:rsidP="007640AC">
            <w:r w:rsidRPr="00194CB0">
              <w:t>DEQ proposes to repeal OAR 340-226-0300 through 0320 because it has limited applicability and because other rules make this rule largely redundant.</w:t>
            </w:r>
          </w:p>
        </w:tc>
      </w:tr>
      <w:tr w:rsidR="00E73071" w:rsidTr="0028683C">
        <w:tc>
          <w:tcPr>
            <w:tcW w:w="918" w:type="dxa"/>
          </w:tcPr>
          <w:p w:rsidR="00E73071" w:rsidRDefault="00E73071" w:rsidP="008E0E79">
            <w:pPr>
              <w:spacing w:before="80" w:after="80"/>
              <w:rPr>
                <w:b/>
              </w:rPr>
            </w:pPr>
            <w:r>
              <w:rPr>
                <w:b/>
              </w:rPr>
              <w:t>228</w:t>
            </w:r>
          </w:p>
        </w:tc>
        <w:tc>
          <w:tcPr>
            <w:tcW w:w="1440" w:type="dxa"/>
          </w:tcPr>
          <w:p w:rsidR="00E73071" w:rsidRDefault="00E73071" w:rsidP="008E0E79">
            <w:pPr>
              <w:spacing w:before="80" w:after="80"/>
            </w:pPr>
            <w:r>
              <w:t>0020(1)</w:t>
            </w:r>
          </w:p>
        </w:tc>
        <w:tc>
          <w:tcPr>
            <w:tcW w:w="5850" w:type="dxa"/>
          </w:tcPr>
          <w:p w:rsidR="00E73071" w:rsidRPr="008923DE" w:rsidRDefault="00E73071" w:rsidP="008E0E79">
            <w:pPr>
              <w:spacing w:before="80" w:after="80"/>
            </w:pPr>
            <w:r>
              <w:t>Delete definition of ASTM already in Division 200</w:t>
            </w:r>
          </w:p>
        </w:tc>
        <w:tc>
          <w:tcPr>
            <w:tcW w:w="6390" w:type="dxa"/>
          </w:tcPr>
          <w:p w:rsidR="00E73071" w:rsidRPr="008923DE" w:rsidRDefault="00E73071" w:rsidP="008E0E79">
            <w:pPr>
              <w:spacing w:before="80" w:after="80"/>
            </w:pPr>
            <w:r>
              <w:t>Delete and use definition in Division 200</w:t>
            </w:r>
          </w:p>
        </w:tc>
      </w:tr>
      <w:tr w:rsidR="00E73071" w:rsidTr="0028683C">
        <w:tc>
          <w:tcPr>
            <w:tcW w:w="918" w:type="dxa"/>
          </w:tcPr>
          <w:p w:rsidR="00E73071" w:rsidRPr="007E40AE" w:rsidRDefault="00E73071" w:rsidP="008E0E79">
            <w:pPr>
              <w:spacing w:before="80" w:after="80"/>
              <w:rPr>
                <w:b/>
              </w:rPr>
            </w:pPr>
            <w:r w:rsidRPr="007E40AE">
              <w:rPr>
                <w:b/>
              </w:rPr>
              <w:t>228</w:t>
            </w:r>
          </w:p>
        </w:tc>
        <w:tc>
          <w:tcPr>
            <w:tcW w:w="1440" w:type="dxa"/>
          </w:tcPr>
          <w:p w:rsidR="00E73071" w:rsidRPr="007E40AE" w:rsidRDefault="00E73071" w:rsidP="008E0E79">
            <w:pPr>
              <w:spacing w:before="80" w:after="80"/>
            </w:pPr>
            <w:r w:rsidRPr="007E40AE">
              <w:t>0020(4)</w:t>
            </w:r>
          </w:p>
        </w:tc>
        <w:tc>
          <w:tcPr>
            <w:tcW w:w="5850" w:type="dxa"/>
          </w:tcPr>
          <w:p w:rsidR="00E73071" w:rsidRPr="007E40AE" w:rsidRDefault="00E73071" w:rsidP="008E0E79">
            <w:pPr>
              <w:spacing w:before="80" w:after="80"/>
            </w:pPr>
            <w:r w:rsidRPr="007E40AE">
              <w:t xml:space="preserve">Definition of fuel burning equipment different than Divisions 208 and 240 </w:t>
            </w:r>
          </w:p>
        </w:tc>
        <w:tc>
          <w:tcPr>
            <w:tcW w:w="6390" w:type="dxa"/>
          </w:tcPr>
          <w:p w:rsidR="00E73071" w:rsidRPr="007E40AE" w:rsidRDefault="00E73071" w:rsidP="008E0E79">
            <w:pPr>
              <w:spacing w:before="80" w:after="80"/>
            </w:pPr>
            <w:r w:rsidRPr="007E40AE">
              <w:t xml:space="preserve">Change definition of fuel burning equipment to “external combustion device,” delete from Divisions 208, 228, and 240, move to Division 200.  Avoids confusion about indirect heat transfer (e.g., boilers), direct heat transfer (e.g., dryers), and internal combustion devices (e.g., gas turbines).   </w:t>
            </w:r>
          </w:p>
        </w:tc>
      </w:tr>
      <w:tr w:rsidR="00E73071" w:rsidTr="0028683C">
        <w:tc>
          <w:tcPr>
            <w:tcW w:w="918" w:type="dxa"/>
          </w:tcPr>
          <w:p w:rsidR="00E73071" w:rsidRDefault="00E73071" w:rsidP="008E0E79">
            <w:pPr>
              <w:spacing w:before="80" w:after="80"/>
              <w:rPr>
                <w:b/>
              </w:rPr>
            </w:pPr>
            <w:r>
              <w:rPr>
                <w:b/>
              </w:rPr>
              <w:t>228</w:t>
            </w:r>
          </w:p>
        </w:tc>
        <w:tc>
          <w:tcPr>
            <w:tcW w:w="1440" w:type="dxa"/>
          </w:tcPr>
          <w:p w:rsidR="00E73071" w:rsidRDefault="00E73071" w:rsidP="008E0E79">
            <w:pPr>
              <w:spacing w:before="80" w:after="80"/>
            </w:pPr>
            <w:r>
              <w:t>0020(5)</w:t>
            </w:r>
          </w:p>
        </w:tc>
        <w:tc>
          <w:tcPr>
            <w:tcW w:w="5850" w:type="dxa"/>
          </w:tcPr>
          <w:p w:rsidR="00E73071" w:rsidRDefault="00E73071" w:rsidP="008E0E79">
            <w:pPr>
              <w:spacing w:before="80" w:after="80"/>
            </w:pPr>
            <w:r>
              <w:t>Delete definition of new source and include dates in 228-0200 and 228-0120</w:t>
            </w:r>
          </w:p>
        </w:tc>
        <w:tc>
          <w:tcPr>
            <w:tcW w:w="6390" w:type="dxa"/>
          </w:tcPr>
          <w:p w:rsidR="00E73071" w:rsidRPr="00C4325F" w:rsidRDefault="00E73071" w:rsidP="008E0E79">
            <w:pPr>
              <w:spacing w:before="80" w:after="80"/>
            </w:pPr>
            <w:r w:rsidRPr="00C4325F">
              <w:t>Incorporate dates for new sources into rule</w:t>
            </w:r>
          </w:p>
        </w:tc>
      </w:tr>
      <w:tr w:rsidR="00E73071" w:rsidRPr="00C55FB5" w:rsidTr="0028683C">
        <w:tc>
          <w:tcPr>
            <w:tcW w:w="918" w:type="dxa"/>
          </w:tcPr>
          <w:p w:rsidR="00E73071" w:rsidRPr="00C55FB5" w:rsidRDefault="00E73071" w:rsidP="008E0E79">
            <w:pPr>
              <w:spacing w:before="80" w:after="80"/>
              <w:rPr>
                <w:b/>
              </w:rPr>
            </w:pPr>
            <w:r w:rsidRPr="00C55FB5">
              <w:rPr>
                <w:b/>
              </w:rPr>
              <w:t>228</w:t>
            </w:r>
          </w:p>
        </w:tc>
        <w:tc>
          <w:tcPr>
            <w:tcW w:w="1440" w:type="dxa"/>
          </w:tcPr>
          <w:p w:rsidR="00E73071" w:rsidRPr="00C55FB5" w:rsidRDefault="00E73071" w:rsidP="008E0E79">
            <w:pPr>
              <w:spacing w:before="80" w:after="80"/>
            </w:pPr>
            <w:r w:rsidRPr="00C55FB5">
              <w:t>0020(7)</w:t>
            </w:r>
          </w:p>
        </w:tc>
        <w:tc>
          <w:tcPr>
            <w:tcW w:w="5850" w:type="dxa"/>
          </w:tcPr>
          <w:p w:rsidR="00E73071" w:rsidRPr="00C55FB5" w:rsidRDefault="00E73071" w:rsidP="008E0E79">
            <w:pPr>
              <w:spacing w:before="80" w:after="80"/>
            </w:pPr>
            <w:r w:rsidRPr="00C55FB5">
              <w:t xml:space="preserve">Definition of standard conditions different from Division 230 and 240 but same as Division 208 and 226 </w:t>
            </w:r>
          </w:p>
        </w:tc>
        <w:tc>
          <w:tcPr>
            <w:tcW w:w="6390" w:type="dxa"/>
          </w:tcPr>
          <w:p w:rsidR="00E73071" w:rsidRPr="00C55FB5" w:rsidRDefault="00E73071" w:rsidP="008E0E79">
            <w:pPr>
              <w:spacing w:before="80" w:after="80"/>
            </w:pPr>
            <w:r w:rsidRPr="00C55FB5">
              <w:t>Delete and incorporate into definition of standard cubic foot and move to Division 200</w:t>
            </w:r>
          </w:p>
        </w:tc>
      </w:tr>
      <w:tr w:rsidR="00E73071" w:rsidTr="0028683C">
        <w:tc>
          <w:tcPr>
            <w:tcW w:w="918" w:type="dxa"/>
          </w:tcPr>
          <w:p w:rsidR="00E73071" w:rsidRPr="00C55FB5" w:rsidRDefault="00E73071" w:rsidP="008E0E79">
            <w:pPr>
              <w:spacing w:before="80" w:after="80"/>
              <w:rPr>
                <w:b/>
              </w:rPr>
            </w:pPr>
            <w:r w:rsidRPr="00C55FB5">
              <w:rPr>
                <w:b/>
              </w:rPr>
              <w:t>228</w:t>
            </w:r>
          </w:p>
        </w:tc>
        <w:tc>
          <w:tcPr>
            <w:tcW w:w="1440" w:type="dxa"/>
          </w:tcPr>
          <w:p w:rsidR="00E73071" w:rsidRPr="00C55FB5" w:rsidRDefault="00E73071" w:rsidP="008E0E79">
            <w:pPr>
              <w:spacing w:before="80" w:after="80"/>
            </w:pPr>
            <w:r w:rsidRPr="00C55FB5">
              <w:t>0020(8)</w:t>
            </w:r>
          </w:p>
        </w:tc>
        <w:tc>
          <w:tcPr>
            <w:tcW w:w="5850" w:type="dxa"/>
          </w:tcPr>
          <w:p w:rsidR="00E73071" w:rsidRPr="00C55FB5" w:rsidRDefault="00E73071" w:rsidP="008E0E79">
            <w:pPr>
              <w:spacing w:before="80" w:after="80"/>
            </w:pPr>
            <w:r w:rsidRPr="00C55FB5">
              <w:t xml:space="preserve">Definition of standard cubic foot different from Division 236 and 240 </w:t>
            </w:r>
          </w:p>
        </w:tc>
        <w:tc>
          <w:tcPr>
            <w:tcW w:w="6390" w:type="dxa"/>
          </w:tcPr>
          <w:p w:rsidR="00E73071" w:rsidRPr="00C55FB5" w:rsidRDefault="00E73071" w:rsidP="008E0E79">
            <w:pPr>
              <w:spacing w:before="80" w:after="80"/>
            </w:pPr>
            <w:r w:rsidRPr="00C55FB5">
              <w:t xml:space="preserve">Use definition in 240 and move to Division 200 </w:t>
            </w:r>
          </w:p>
        </w:tc>
      </w:tr>
      <w:tr w:rsidR="00E73071" w:rsidTr="0028683C">
        <w:tc>
          <w:tcPr>
            <w:tcW w:w="918" w:type="dxa"/>
          </w:tcPr>
          <w:p w:rsidR="00E73071" w:rsidRPr="008923DE" w:rsidRDefault="00E73071" w:rsidP="008E0E79">
            <w:pPr>
              <w:spacing w:before="80" w:after="80"/>
              <w:rPr>
                <w:b/>
              </w:rPr>
            </w:pPr>
            <w:r w:rsidRPr="008923DE">
              <w:rPr>
                <w:b/>
              </w:rPr>
              <w:t>228</w:t>
            </w:r>
          </w:p>
        </w:tc>
        <w:tc>
          <w:tcPr>
            <w:tcW w:w="1440" w:type="dxa"/>
          </w:tcPr>
          <w:p w:rsidR="00E73071" w:rsidRPr="008923DE" w:rsidRDefault="00E73071" w:rsidP="008E0E79">
            <w:pPr>
              <w:spacing w:before="80" w:after="80"/>
            </w:pPr>
            <w:r w:rsidRPr="008923DE">
              <w:t>0200</w:t>
            </w:r>
          </w:p>
        </w:tc>
        <w:tc>
          <w:tcPr>
            <w:tcW w:w="5850" w:type="dxa"/>
          </w:tcPr>
          <w:p w:rsidR="00E73071" w:rsidRPr="008923DE" w:rsidRDefault="00E73071" w:rsidP="008E0E79">
            <w:pPr>
              <w:spacing w:before="80" w:after="80"/>
            </w:pPr>
            <w:r w:rsidRPr="008923DE">
              <w:t>Exempt sources subject to source specific standards in other Divisions, NSPS</w:t>
            </w:r>
            <w:r>
              <w:t xml:space="preserve"> (division 238)</w:t>
            </w:r>
            <w:r w:rsidRPr="008923DE">
              <w:t>, or NESHAP</w:t>
            </w:r>
            <w:r>
              <w:t xml:space="preserve"> (division 244)</w:t>
            </w:r>
            <w:r w:rsidRPr="008923DE">
              <w:t xml:space="preserve">.  </w:t>
            </w:r>
          </w:p>
        </w:tc>
        <w:tc>
          <w:tcPr>
            <w:tcW w:w="6390" w:type="dxa"/>
          </w:tcPr>
          <w:p w:rsidR="00E73071" w:rsidRPr="00BC365C" w:rsidRDefault="00E73071" w:rsidP="008E0E79">
            <w:pPr>
              <w:spacing w:before="80" w:after="80"/>
            </w:pPr>
            <w:r w:rsidRPr="00BC365C">
              <w:t xml:space="preserve">New Source Performance Standards (NSPS) and National Emission Standard for Hazardous Air Pollutants are specifically written for certain industries.  These rules are more stringent than the general permitting requirements.  By applying only the industry specific standards, the Department will eliminate confusion and steamline permitting requirements.  </w:t>
            </w:r>
            <w:r w:rsidRPr="00B62FF1">
              <w:t>(Proposed SIP Implementation Change)</w:t>
            </w:r>
          </w:p>
        </w:tc>
      </w:tr>
      <w:tr w:rsidR="00E73071" w:rsidTr="0028683C">
        <w:tc>
          <w:tcPr>
            <w:tcW w:w="918" w:type="dxa"/>
          </w:tcPr>
          <w:p w:rsidR="00E73071" w:rsidRPr="008923DE" w:rsidRDefault="00E73071" w:rsidP="00194CB0">
            <w:pPr>
              <w:spacing w:before="80" w:after="80"/>
              <w:rPr>
                <w:b/>
              </w:rPr>
            </w:pPr>
            <w:r>
              <w:rPr>
                <w:b/>
              </w:rPr>
              <w:t>228</w:t>
            </w:r>
          </w:p>
        </w:tc>
        <w:tc>
          <w:tcPr>
            <w:tcW w:w="1440" w:type="dxa"/>
          </w:tcPr>
          <w:p w:rsidR="00E73071" w:rsidRDefault="00E73071" w:rsidP="00194CB0">
            <w:pPr>
              <w:spacing w:before="80" w:after="80"/>
            </w:pPr>
            <w:r>
              <w:t>0200(3)</w:t>
            </w:r>
          </w:p>
        </w:tc>
        <w:tc>
          <w:tcPr>
            <w:tcW w:w="5850" w:type="dxa"/>
          </w:tcPr>
          <w:p w:rsidR="00E73071" w:rsidRPr="008923DE" w:rsidRDefault="00E73071" w:rsidP="006471B6">
            <w:pPr>
              <w:spacing w:before="80" w:after="80"/>
            </w:pPr>
            <w:r>
              <w:t xml:space="preserve">Add a provision that emissions units exempt from this rule must have </w:t>
            </w:r>
            <w:r>
              <w:lastRenderedPageBreak/>
              <w:t>a startup/shutdown procedures</w:t>
            </w:r>
          </w:p>
        </w:tc>
        <w:tc>
          <w:tcPr>
            <w:tcW w:w="6390" w:type="dxa"/>
          </w:tcPr>
          <w:p w:rsidR="00E73071" w:rsidRDefault="00E73071" w:rsidP="00194CB0">
            <w:pPr>
              <w:spacing w:before="80" w:after="80"/>
            </w:pPr>
            <w:r>
              <w:lastRenderedPageBreak/>
              <w:t xml:space="preserve">Emission units that are subject to source specific rules in other Divisions, as </w:t>
            </w:r>
            <w:r>
              <w:lastRenderedPageBreak/>
              <w:t xml:space="preserve">well as the NSPS and NESHAP, must have startup/shutdown procedures approved because these rules do not apply during startup/shutdown </w:t>
            </w:r>
            <w:r w:rsidRPr="00B62FF1">
              <w:t>(Proposed SIP Implementation Change)</w:t>
            </w:r>
          </w:p>
        </w:tc>
      </w:tr>
      <w:tr w:rsidR="00E73071" w:rsidTr="0028683C">
        <w:tc>
          <w:tcPr>
            <w:tcW w:w="918" w:type="dxa"/>
          </w:tcPr>
          <w:p w:rsidR="00E73071" w:rsidRPr="008923DE" w:rsidRDefault="00E73071" w:rsidP="008E0E79">
            <w:pPr>
              <w:spacing w:before="80" w:after="80"/>
              <w:rPr>
                <w:b/>
              </w:rPr>
            </w:pPr>
            <w:r w:rsidRPr="008923DE">
              <w:rPr>
                <w:b/>
              </w:rPr>
              <w:lastRenderedPageBreak/>
              <w:t>228</w:t>
            </w:r>
          </w:p>
        </w:tc>
        <w:tc>
          <w:tcPr>
            <w:tcW w:w="1440" w:type="dxa"/>
          </w:tcPr>
          <w:p w:rsidR="00E73071" w:rsidRPr="008923DE" w:rsidRDefault="00E73071" w:rsidP="008E0E79">
            <w:pPr>
              <w:spacing w:before="80" w:after="80"/>
            </w:pPr>
            <w:r w:rsidRPr="008923DE">
              <w:t>0210</w:t>
            </w:r>
          </w:p>
        </w:tc>
        <w:tc>
          <w:tcPr>
            <w:tcW w:w="5850" w:type="dxa"/>
          </w:tcPr>
          <w:p w:rsidR="00E73071" w:rsidRPr="008923DE" w:rsidRDefault="00E73071" w:rsidP="008E0E79">
            <w:pPr>
              <w:spacing w:before="80" w:after="80"/>
            </w:pPr>
            <w:r w:rsidRPr="008923DE">
              <w:t>Exempt sources subject to source specific standards in other Divisions, NSPS</w:t>
            </w:r>
            <w:r>
              <w:t xml:space="preserve"> (division 238)</w:t>
            </w:r>
            <w:r w:rsidRPr="008923DE">
              <w:t>, or NESHAP</w:t>
            </w:r>
            <w:r>
              <w:t xml:space="preserve"> (division 244)</w:t>
            </w:r>
            <w:r w:rsidRPr="008923DE">
              <w:t xml:space="preserve">.  </w:t>
            </w:r>
          </w:p>
        </w:tc>
        <w:tc>
          <w:tcPr>
            <w:tcW w:w="6390" w:type="dxa"/>
          </w:tcPr>
          <w:p w:rsidR="00E73071" w:rsidRPr="00BC365C" w:rsidRDefault="00E73071" w:rsidP="008E0E79">
            <w:pPr>
              <w:spacing w:before="80" w:after="80"/>
            </w:pPr>
            <w:r w:rsidRPr="00BC365C">
              <w:t xml:space="preserve">New Source Performance Standards (NSPS) and National Emission Standard for Hazardous Air Pollutants are specifically written for certain industries.  These rules are more stringent than the general permitting requirements.  By applying only the industry specific standards, the Department will eliminate confusion and steamline permitting requirements.  </w:t>
            </w:r>
            <w:r w:rsidRPr="00B62FF1">
              <w:t>(Proposed SIP Implementation Change)</w:t>
            </w:r>
          </w:p>
        </w:tc>
      </w:tr>
      <w:tr w:rsidR="00E73071" w:rsidTr="0028683C">
        <w:tc>
          <w:tcPr>
            <w:tcW w:w="918" w:type="dxa"/>
          </w:tcPr>
          <w:p w:rsidR="00E73071" w:rsidRPr="008923DE" w:rsidRDefault="00E73071" w:rsidP="008E0E79">
            <w:pPr>
              <w:spacing w:before="80" w:after="80"/>
              <w:rPr>
                <w:b/>
              </w:rPr>
            </w:pPr>
            <w:r w:rsidRPr="008923DE">
              <w:rPr>
                <w:b/>
              </w:rPr>
              <w:t>228</w:t>
            </w:r>
          </w:p>
        </w:tc>
        <w:tc>
          <w:tcPr>
            <w:tcW w:w="1440" w:type="dxa"/>
          </w:tcPr>
          <w:p w:rsidR="00E73071" w:rsidRPr="008923DE" w:rsidRDefault="00E73071" w:rsidP="008E0E79">
            <w:pPr>
              <w:spacing w:before="80" w:after="80"/>
            </w:pPr>
            <w:r w:rsidRPr="008923DE">
              <w:t>0210(1)</w:t>
            </w:r>
          </w:p>
        </w:tc>
        <w:tc>
          <w:tcPr>
            <w:tcW w:w="5850" w:type="dxa"/>
          </w:tcPr>
          <w:p w:rsidR="00E73071" w:rsidRPr="008923DE" w:rsidRDefault="00E73071" w:rsidP="007C555C">
            <w:pPr>
              <w:spacing w:before="80" w:after="80"/>
            </w:pPr>
            <w:r>
              <w:t xml:space="preserve">Change </w:t>
            </w:r>
            <w:r w:rsidRPr="00BA6368">
              <w:t>0.2</w:t>
            </w:r>
            <w:r w:rsidRPr="008923DE">
              <w:t xml:space="preserve"> </w:t>
            </w:r>
            <w:r>
              <w:t xml:space="preserve">and 0.1 </w:t>
            </w:r>
            <w:r w:rsidRPr="008923DE">
              <w:t xml:space="preserve">gr/dscf limit </w:t>
            </w:r>
            <w:r>
              <w:t>to 0.20 and 0.10</w:t>
            </w:r>
            <w:r w:rsidRPr="008923DE">
              <w:t xml:space="preserve"> gr/dscf.  </w:t>
            </w:r>
          </w:p>
        </w:tc>
        <w:tc>
          <w:tcPr>
            <w:tcW w:w="6390" w:type="dxa"/>
          </w:tcPr>
          <w:p w:rsidR="00E73071" w:rsidRPr="00612FA4" w:rsidRDefault="00E73071" w:rsidP="008E0E79">
            <w:pPr>
              <w:spacing w:before="80" w:after="80"/>
            </w:pPr>
            <w:r w:rsidRPr="00612FA4">
              <w:t xml:space="preserve">This change is based on 06/06/90 EPA guidance and also </w:t>
            </w:r>
            <w:r>
              <w:t xml:space="preserve">to help meet the new PM2.5 ambient air quality standard.  </w:t>
            </w:r>
          </w:p>
        </w:tc>
      </w:tr>
      <w:tr w:rsidR="00E73071" w:rsidRPr="009E67A6" w:rsidTr="0028683C">
        <w:tc>
          <w:tcPr>
            <w:tcW w:w="918" w:type="dxa"/>
          </w:tcPr>
          <w:p w:rsidR="00E73071" w:rsidRPr="009E67A6" w:rsidRDefault="00E73071" w:rsidP="008E0E79">
            <w:pPr>
              <w:spacing w:before="80" w:after="80"/>
              <w:rPr>
                <w:b/>
              </w:rPr>
            </w:pPr>
            <w:r>
              <w:rPr>
                <w:b/>
              </w:rPr>
              <w:t>228</w:t>
            </w:r>
          </w:p>
        </w:tc>
        <w:tc>
          <w:tcPr>
            <w:tcW w:w="1440" w:type="dxa"/>
          </w:tcPr>
          <w:p w:rsidR="00E73071" w:rsidRPr="009E67A6" w:rsidRDefault="00E73071" w:rsidP="008E0E79">
            <w:pPr>
              <w:spacing w:before="80" w:after="80"/>
            </w:pPr>
            <w:r>
              <w:t>0210(3)</w:t>
            </w:r>
          </w:p>
        </w:tc>
        <w:tc>
          <w:tcPr>
            <w:tcW w:w="5850" w:type="dxa"/>
          </w:tcPr>
          <w:p w:rsidR="00E73071" w:rsidRPr="009E67A6" w:rsidRDefault="00E73071" w:rsidP="008E0E79">
            <w:pPr>
              <w:spacing w:before="80" w:after="80"/>
            </w:pPr>
            <w:r>
              <w:t>Add test method</w:t>
            </w:r>
          </w:p>
        </w:tc>
        <w:tc>
          <w:tcPr>
            <w:tcW w:w="6390" w:type="dxa"/>
          </w:tcPr>
          <w:p w:rsidR="00E73071" w:rsidRDefault="00E73071" w:rsidP="008E0E79">
            <w:pPr>
              <w:spacing w:before="80" w:after="80"/>
            </w:pPr>
            <w:r>
              <w:t>A test method should always be specified with each standard  in order to be able to show compliance</w:t>
            </w:r>
          </w:p>
        </w:tc>
      </w:tr>
      <w:tr w:rsidR="00E73071" w:rsidTr="0028683C">
        <w:tc>
          <w:tcPr>
            <w:tcW w:w="918" w:type="dxa"/>
          </w:tcPr>
          <w:p w:rsidR="00E73071" w:rsidRPr="008923DE" w:rsidRDefault="00E73071" w:rsidP="00194CB0">
            <w:pPr>
              <w:spacing w:before="80" w:after="80"/>
              <w:rPr>
                <w:b/>
              </w:rPr>
            </w:pPr>
            <w:r w:rsidRPr="008923DE">
              <w:rPr>
                <w:b/>
              </w:rPr>
              <w:t>228</w:t>
            </w:r>
          </w:p>
        </w:tc>
        <w:tc>
          <w:tcPr>
            <w:tcW w:w="1440" w:type="dxa"/>
          </w:tcPr>
          <w:p w:rsidR="00E73071" w:rsidRPr="008923DE" w:rsidRDefault="00E73071" w:rsidP="00194CB0">
            <w:pPr>
              <w:spacing w:before="80" w:after="80"/>
            </w:pPr>
            <w:r>
              <w:t>0210(4</w:t>
            </w:r>
            <w:r w:rsidRPr="008923DE">
              <w:t>)</w:t>
            </w:r>
          </w:p>
        </w:tc>
        <w:tc>
          <w:tcPr>
            <w:tcW w:w="5850" w:type="dxa"/>
          </w:tcPr>
          <w:p w:rsidR="00E73071" w:rsidRPr="008923DE" w:rsidRDefault="00E73071" w:rsidP="00194CB0">
            <w:pPr>
              <w:spacing w:before="80" w:after="80"/>
            </w:pPr>
            <w:r w:rsidRPr="008923DE">
              <w:t xml:space="preserve">Add date for </w:t>
            </w:r>
            <w:r>
              <w:t xml:space="preserve">compliance.  </w:t>
            </w:r>
          </w:p>
        </w:tc>
        <w:tc>
          <w:tcPr>
            <w:tcW w:w="6390" w:type="dxa"/>
          </w:tcPr>
          <w:p w:rsidR="00E73071" w:rsidRPr="00612FA4" w:rsidRDefault="00E73071" w:rsidP="00194CB0">
            <w:pPr>
              <w:spacing w:before="80" w:after="80"/>
            </w:pPr>
            <w:r w:rsidRPr="00612FA4">
              <w:t xml:space="preserve">This change is based on 06/06/90 EPA guidance and also </w:t>
            </w:r>
            <w:r>
              <w:t xml:space="preserve">to help meet the new PM2.5 ambient air quality standard.  </w:t>
            </w:r>
          </w:p>
        </w:tc>
      </w:tr>
      <w:tr w:rsidR="00E73071" w:rsidTr="0028683C">
        <w:tc>
          <w:tcPr>
            <w:tcW w:w="918" w:type="dxa"/>
          </w:tcPr>
          <w:p w:rsidR="00E73071" w:rsidRPr="008923DE" w:rsidRDefault="00E73071" w:rsidP="00194CB0">
            <w:pPr>
              <w:spacing w:before="80" w:after="80"/>
              <w:rPr>
                <w:b/>
              </w:rPr>
            </w:pPr>
            <w:r>
              <w:rPr>
                <w:b/>
              </w:rPr>
              <w:t>228</w:t>
            </w:r>
          </w:p>
        </w:tc>
        <w:tc>
          <w:tcPr>
            <w:tcW w:w="1440" w:type="dxa"/>
          </w:tcPr>
          <w:p w:rsidR="00E73071" w:rsidRDefault="00E73071" w:rsidP="00194CB0">
            <w:pPr>
              <w:spacing w:before="80" w:after="80"/>
            </w:pPr>
            <w:r>
              <w:t>0210(5)</w:t>
            </w:r>
          </w:p>
        </w:tc>
        <w:tc>
          <w:tcPr>
            <w:tcW w:w="5850" w:type="dxa"/>
          </w:tcPr>
          <w:p w:rsidR="00E73071" w:rsidRPr="008923DE" w:rsidRDefault="00E73071" w:rsidP="00194CB0">
            <w:pPr>
              <w:spacing w:before="80" w:after="80"/>
            </w:pPr>
            <w:r>
              <w:t>Add a provision that emissions units exempt from this rule must have a startup/shutdown procedures</w:t>
            </w:r>
          </w:p>
        </w:tc>
        <w:tc>
          <w:tcPr>
            <w:tcW w:w="6390" w:type="dxa"/>
          </w:tcPr>
          <w:p w:rsidR="00E73071" w:rsidRDefault="00E73071" w:rsidP="00194CB0">
            <w:pPr>
              <w:spacing w:before="80" w:after="80"/>
            </w:pPr>
            <w:r>
              <w:t xml:space="preserve">Emission units that are subject to source specific rules in other Divisions, as well as the NSPS and NESHAP, must have startup/shutdown procedures approved because these rules do not apply during startup/shutdown </w:t>
            </w:r>
            <w:r w:rsidRPr="00B62FF1">
              <w:t>(Proposed SIP Implementation Change)</w:t>
            </w:r>
          </w:p>
        </w:tc>
      </w:tr>
      <w:tr w:rsidR="00E73071" w:rsidRPr="009E67A6" w:rsidTr="0028683C">
        <w:tc>
          <w:tcPr>
            <w:tcW w:w="918" w:type="dxa"/>
          </w:tcPr>
          <w:p w:rsidR="00E73071" w:rsidRPr="009E67A6" w:rsidRDefault="00E73071" w:rsidP="008E0E79">
            <w:pPr>
              <w:spacing w:before="80" w:after="80"/>
              <w:rPr>
                <w:b/>
              </w:rPr>
            </w:pPr>
            <w:r w:rsidRPr="009E67A6">
              <w:rPr>
                <w:b/>
              </w:rPr>
              <w:t>228</w:t>
            </w:r>
          </w:p>
        </w:tc>
        <w:tc>
          <w:tcPr>
            <w:tcW w:w="1440" w:type="dxa"/>
          </w:tcPr>
          <w:p w:rsidR="00E73071" w:rsidRPr="009E67A6" w:rsidRDefault="00E73071" w:rsidP="008E0E79">
            <w:pPr>
              <w:spacing w:before="80" w:after="80"/>
            </w:pPr>
            <w:r w:rsidRPr="009E67A6">
              <w:t>0300</w:t>
            </w:r>
          </w:p>
        </w:tc>
        <w:tc>
          <w:tcPr>
            <w:tcW w:w="5850" w:type="dxa"/>
          </w:tcPr>
          <w:p w:rsidR="00E73071" w:rsidRPr="009E67A6" w:rsidRDefault="00E73071" w:rsidP="008E0E79">
            <w:pPr>
              <w:spacing w:before="80" w:after="80"/>
            </w:pPr>
            <w:r w:rsidRPr="009E67A6">
              <w:t>Update federal reference for 40 CFR Parts 72, 75 and 76 from July 1, 2006</w:t>
            </w:r>
          </w:p>
        </w:tc>
        <w:tc>
          <w:tcPr>
            <w:tcW w:w="6390" w:type="dxa"/>
          </w:tcPr>
          <w:p w:rsidR="00E73071" w:rsidRPr="009E67A6" w:rsidRDefault="00E73071" w:rsidP="008E0E79">
            <w:pPr>
              <w:spacing w:before="80" w:after="80"/>
            </w:pPr>
            <w:r>
              <w:t xml:space="preserve">Changes adopted on </w:t>
            </w:r>
            <w:r w:rsidRPr="009E67A6">
              <w:t>July 2, 2010</w:t>
            </w:r>
          </w:p>
          <w:p w:rsidR="00E73071" w:rsidRPr="009E67A6" w:rsidRDefault="00E73071" w:rsidP="008E0E79">
            <w:pPr>
              <w:spacing w:before="80" w:after="80"/>
            </w:pPr>
          </w:p>
        </w:tc>
      </w:tr>
      <w:tr w:rsidR="00E73071" w:rsidTr="0028683C">
        <w:tc>
          <w:tcPr>
            <w:tcW w:w="918" w:type="dxa"/>
          </w:tcPr>
          <w:p w:rsidR="00E73071" w:rsidRDefault="00E73071" w:rsidP="008E0E79">
            <w:pPr>
              <w:spacing w:before="80" w:after="80"/>
              <w:rPr>
                <w:b/>
              </w:rPr>
            </w:pPr>
            <w:r>
              <w:rPr>
                <w:b/>
              </w:rPr>
              <w:t>232</w:t>
            </w:r>
          </w:p>
        </w:tc>
        <w:tc>
          <w:tcPr>
            <w:tcW w:w="1440" w:type="dxa"/>
          </w:tcPr>
          <w:p w:rsidR="00E73071" w:rsidRDefault="00E73071" w:rsidP="008E0E79">
            <w:pPr>
              <w:spacing w:before="80" w:after="80"/>
            </w:pPr>
            <w:r>
              <w:t>0030(19)</w:t>
            </w:r>
          </w:p>
        </w:tc>
        <w:tc>
          <w:tcPr>
            <w:tcW w:w="5850" w:type="dxa"/>
          </w:tcPr>
          <w:p w:rsidR="00E73071" w:rsidRPr="008923DE" w:rsidRDefault="00E73071" w:rsidP="008E0E79">
            <w:pPr>
              <w:spacing w:before="80" w:after="80"/>
            </w:pPr>
            <w:r>
              <w:t>Definition of emission unit different from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Default="00E73071" w:rsidP="008E0E79">
            <w:pPr>
              <w:spacing w:before="80" w:after="80"/>
              <w:rPr>
                <w:b/>
              </w:rPr>
            </w:pPr>
            <w:r>
              <w:rPr>
                <w:b/>
              </w:rPr>
              <w:t>232</w:t>
            </w:r>
          </w:p>
        </w:tc>
        <w:tc>
          <w:tcPr>
            <w:tcW w:w="1440" w:type="dxa"/>
          </w:tcPr>
          <w:p w:rsidR="00E73071" w:rsidRDefault="00E73071" w:rsidP="008E0E79">
            <w:pPr>
              <w:spacing w:before="80" w:after="80"/>
            </w:pPr>
            <w:r>
              <w:t>0030(31)</w:t>
            </w:r>
          </w:p>
        </w:tc>
        <w:tc>
          <w:tcPr>
            <w:tcW w:w="5850" w:type="dxa"/>
          </w:tcPr>
          <w:p w:rsidR="00E73071" w:rsidRDefault="00E73071" w:rsidP="008E0E79">
            <w:pPr>
              <w:spacing w:before="80" w:after="80"/>
            </w:pPr>
            <w:r>
              <w:t>Definition of hardboard different from Division 234 and 240</w:t>
            </w:r>
          </w:p>
        </w:tc>
        <w:tc>
          <w:tcPr>
            <w:tcW w:w="6390" w:type="dxa"/>
          </w:tcPr>
          <w:p w:rsidR="00E73071" w:rsidRPr="008923DE" w:rsidRDefault="00E73071" w:rsidP="008E0E79">
            <w:pPr>
              <w:spacing w:before="80" w:after="80"/>
            </w:pPr>
            <w:r>
              <w:t>Use definition from Division 234 and Division 240 and move to Division 200</w:t>
            </w:r>
          </w:p>
        </w:tc>
      </w:tr>
      <w:tr w:rsidR="00E73071" w:rsidTr="0028683C">
        <w:tc>
          <w:tcPr>
            <w:tcW w:w="918" w:type="dxa"/>
          </w:tcPr>
          <w:p w:rsidR="00E73071" w:rsidRPr="008923DE" w:rsidRDefault="00E73071" w:rsidP="008E0E79">
            <w:pPr>
              <w:spacing w:before="80" w:after="80"/>
              <w:rPr>
                <w:b/>
              </w:rPr>
            </w:pPr>
            <w:r>
              <w:rPr>
                <w:b/>
              </w:rPr>
              <w:t>232</w:t>
            </w:r>
          </w:p>
        </w:tc>
        <w:tc>
          <w:tcPr>
            <w:tcW w:w="1440" w:type="dxa"/>
          </w:tcPr>
          <w:p w:rsidR="00E73071" w:rsidRPr="008923DE" w:rsidRDefault="00E73071" w:rsidP="008E0E79">
            <w:pPr>
              <w:spacing w:before="80" w:after="80"/>
            </w:pPr>
            <w:r>
              <w:t>0030(42)</w:t>
            </w:r>
          </w:p>
        </w:tc>
        <w:tc>
          <w:tcPr>
            <w:tcW w:w="5850" w:type="dxa"/>
          </w:tcPr>
          <w:p w:rsidR="00E73071" w:rsidRPr="008923DE" w:rsidRDefault="00E73071" w:rsidP="008E0E79">
            <w:pPr>
              <w:spacing w:before="80" w:after="80"/>
            </w:pPr>
            <w:r>
              <w:t>Definition of major modification different from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Pr="008923DE" w:rsidRDefault="00E73071" w:rsidP="008E0E79">
            <w:pPr>
              <w:spacing w:before="80" w:after="80"/>
              <w:rPr>
                <w:b/>
              </w:rPr>
            </w:pPr>
            <w:r>
              <w:rPr>
                <w:b/>
              </w:rPr>
              <w:t>232</w:t>
            </w:r>
          </w:p>
        </w:tc>
        <w:tc>
          <w:tcPr>
            <w:tcW w:w="1440" w:type="dxa"/>
          </w:tcPr>
          <w:p w:rsidR="00E73071" w:rsidRPr="008923DE" w:rsidRDefault="00E73071" w:rsidP="008E0E79">
            <w:pPr>
              <w:spacing w:before="80" w:after="80"/>
            </w:pPr>
            <w:r>
              <w:t>0030(43)</w:t>
            </w:r>
          </w:p>
        </w:tc>
        <w:tc>
          <w:tcPr>
            <w:tcW w:w="5850" w:type="dxa"/>
          </w:tcPr>
          <w:p w:rsidR="00E73071" w:rsidRPr="008923DE" w:rsidRDefault="00E73071" w:rsidP="008E0E79">
            <w:pPr>
              <w:spacing w:before="80" w:after="80"/>
            </w:pPr>
            <w:r>
              <w:t>Definition of major source different from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Pr="008923DE" w:rsidRDefault="00E73071" w:rsidP="008E0E79">
            <w:pPr>
              <w:spacing w:before="80" w:after="80"/>
              <w:rPr>
                <w:b/>
              </w:rPr>
            </w:pPr>
            <w:r>
              <w:rPr>
                <w:b/>
              </w:rPr>
              <w:t>232</w:t>
            </w:r>
          </w:p>
        </w:tc>
        <w:tc>
          <w:tcPr>
            <w:tcW w:w="1440" w:type="dxa"/>
          </w:tcPr>
          <w:p w:rsidR="00E73071" w:rsidRPr="008923DE" w:rsidRDefault="00E73071" w:rsidP="008E0E79">
            <w:pPr>
              <w:spacing w:before="80" w:after="80"/>
            </w:pPr>
            <w:r>
              <w:t>0030(54)</w:t>
            </w:r>
          </w:p>
        </w:tc>
        <w:tc>
          <w:tcPr>
            <w:tcW w:w="5850" w:type="dxa"/>
          </w:tcPr>
          <w:p w:rsidR="00E73071" w:rsidRPr="008923DE" w:rsidRDefault="00E73071" w:rsidP="008E0E79">
            <w:pPr>
              <w:spacing w:before="80" w:after="80"/>
            </w:pPr>
            <w:r>
              <w:t>Definition of person different from Division 200</w:t>
            </w:r>
          </w:p>
        </w:tc>
        <w:tc>
          <w:tcPr>
            <w:tcW w:w="6390" w:type="dxa"/>
          </w:tcPr>
          <w:p w:rsidR="00E73071" w:rsidRPr="008923DE" w:rsidRDefault="00E73071" w:rsidP="008E0E79">
            <w:pPr>
              <w:spacing w:before="80" w:after="80"/>
            </w:pPr>
            <w:r>
              <w:t>Use definition from Division 232 and move to Division 200</w:t>
            </w:r>
          </w:p>
        </w:tc>
      </w:tr>
      <w:tr w:rsidR="00E73071" w:rsidTr="0028683C">
        <w:tc>
          <w:tcPr>
            <w:tcW w:w="918" w:type="dxa"/>
          </w:tcPr>
          <w:p w:rsidR="00E73071" w:rsidRPr="008923DE" w:rsidRDefault="00E73071" w:rsidP="008E0E79">
            <w:pPr>
              <w:spacing w:before="80" w:after="80"/>
              <w:rPr>
                <w:b/>
              </w:rPr>
            </w:pPr>
            <w:r>
              <w:rPr>
                <w:b/>
              </w:rPr>
              <w:t>232</w:t>
            </w:r>
          </w:p>
        </w:tc>
        <w:tc>
          <w:tcPr>
            <w:tcW w:w="1440" w:type="dxa"/>
          </w:tcPr>
          <w:p w:rsidR="00E73071" w:rsidRPr="008923DE" w:rsidRDefault="00E73071" w:rsidP="008E0E79">
            <w:pPr>
              <w:spacing w:before="80" w:after="80"/>
            </w:pPr>
            <w:r>
              <w:t>0030(57)</w:t>
            </w:r>
          </w:p>
        </w:tc>
        <w:tc>
          <w:tcPr>
            <w:tcW w:w="5850" w:type="dxa"/>
          </w:tcPr>
          <w:p w:rsidR="00E73071" w:rsidRPr="008923DE" w:rsidRDefault="00E73071" w:rsidP="008E0E79">
            <w:pPr>
              <w:spacing w:before="80" w:after="80"/>
            </w:pPr>
            <w:r>
              <w:t>Definition of potential to emit different from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Pr="008923DE" w:rsidRDefault="00E73071" w:rsidP="008E0E79">
            <w:pPr>
              <w:spacing w:before="80" w:after="80"/>
              <w:rPr>
                <w:b/>
              </w:rPr>
            </w:pPr>
            <w:r>
              <w:rPr>
                <w:b/>
              </w:rPr>
              <w:t>232</w:t>
            </w:r>
          </w:p>
        </w:tc>
        <w:tc>
          <w:tcPr>
            <w:tcW w:w="1440" w:type="dxa"/>
          </w:tcPr>
          <w:p w:rsidR="00E73071" w:rsidRPr="008923DE" w:rsidRDefault="00E73071" w:rsidP="008E0E79">
            <w:pPr>
              <w:spacing w:before="80" w:after="80"/>
            </w:pPr>
            <w:r>
              <w:t>0030(68)</w:t>
            </w:r>
          </w:p>
        </w:tc>
        <w:tc>
          <w:tcPr>
            <w:tcW w:w="5850" w:type="dxa"/>
          </w:tcPr>
          <w:p w:rsidR="00E73071" w:rsidRPr="008923DE" w:rsidRDefault="00E73071" w:rsidP="008E0E79">
            <w:pPr>
              <w:spacing w:before="80" w:after="80"/>
            </w:pPr>
            <w:r>
              <w:t>Definition of source different from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Pr="008923DE" w:rsidRDefault="00E73071" w:rsidP="008E0E79">
            <w:pPr>
              <w:spacing w:before="80" w:after="80"/>
              <w:rPr>
                <w:b/>
              </w:rPr>
            </w:pPr>
            <w:r>
              <w:rPr>
                <w:b/>
              </w:rPr>
              <w:t>232</w:t>
            </w:r>
          </w:p>
        </w:tc>
        <w:tc>
          <w:tcPr>
            <w:tcW w:w="1440" w:type="dxa"/>
          </w:tcPr>
          <w:p w:rsidR="00E73071" w:rsidRPr="008923DE" w:rsidRDefault="00E73071" w:rsidP="008E0E79">
            <w:pPr>
              <w:spacing w:before="80" w:after="80"/>
            </w:pPr>
            <w:r>
              <w:t>0030(69)</w:t>
            </w:r>
          </w:p>
        </w:tc>
        <w:tc>
          <w:tcPr>
            <w:tcW w:w="5850" w:type="dxa"/>
          </w:tcPr>
          <w:p w:rsidR="00E73071" w:rsidRPr="008923DE" w:rsidRDefault="00E73071" w:rsidP="008E0E79">
            <w:pPr>
              <w:spacing w:before="80" w:after="80"/>
            </w:pPr>
            <w:r>
              <w:t>Definition of source category different from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Default="00E73071" w:rsidP="008E0E79">
            <w:pPr>
              <w:spacing w:before="80" w:after="80"/>
              <w:rPr>
                <w:b/>
              </w:rPr>
            </w:pPr>
            <w:r>
              <w:rPr>
                <w:b/>
              </w:rPr>
              <w:lastRenderedPageBreak/>
              <w:t>234</w:t>
            </w:r>
          </w:p>
        </w:tc>
        <w:tc>
          <w:tcPr>
            <w:tcW w:w="1440" w:type="dxa"/>
          </w:tcPr>
          <w:p w:rsidR="00E73071" w:rsidRDefault="00E73071" w:rsidP="008E0E79">
            <w:pPr>
              <w:spacing w:before="80" w:after="80"/>
            </w:pPr>
            <w:r>
              <w:t>0010(1)</w:t>
            </w:r>
          </w:p>
        </w:tc>
        <w:tc>
          <w:tcPr>
            <w:tcW w:w="5850" w:type="dxa"/>
          </w:tcPr>
          <w:p w:rsidR="00E73071" w:rsidRDefault="00E73071" w:rsidP="008E0E79">
            <w:pPr>
              <w:spacing w:before="80" w:after="80"/>
            </w:pPr>
            <w:r>
              <w:t>Definition of acid absorption tower no longer needed</w:t>
            </w:r>
          </w:p>
        </w:tc>
        <w:tc>
          <w:tcPr>
            <w:tcW w:w="6390" w:type="dxa"/>
          </w:tcPr>
          <w:p w:rsidR="00E73071" w:rsidRPr="007E40AE" w:rsidRDefault="00E73071" w:rsidP="00C51062">
            <w:pPr>
              <w:spacing w:before="80" w:after="80"/>
            </w:pPr>
            <w:r>
              <w:t xml:space="preserve">These sources no longer exist in the state.  If a new source did build a facility, New Source Review, New Source Performance Standards and MACT would apply. These rules would be more stringent than the existing rules.  </w:t>
            </w:r>
            <w:r w:rsidRPr="00B62FF1">
              <w:t>(Proposed SIP Implementation Change)</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rsidRPr="00D84DA2">
              <w:t>0010(</w:t>
            </w:r>
            <w:r>
              <w:t>2)</w:t>
            </w:r>
          </w:p>
        </w:tc>
        <w:tc>
          <w:tcPr>
            <w:tcW w:w="5850" w:type="dxa"/>
          </w:tcPr>
          <w:p w:rsidR="00E73071" w:rsidRDefault="00E73071" w:rsidP="008E0E79">
            <w:pPr>
              <w:spacing w:before="80" w:after="80"/>
            </w:pPr>
            <w:r>
              <w:t>Definition of acid plant no longer needed</w:t>
            </w:r>
          </w:p>
        </w:tc>
        <w:tc>
          <w:tcPr>
            <w:tcW w:w="6390" w:type="dxa"/>
          </w:tcPr>
          <w:p w:rsidR="00E73071" w:rsidRPr="007E40AE" w:rsidRDefault="00E73071" w:rsidP="00C51062">
            <w:pPr>
              <w:spacing w:before="80" w:after="80"/>
            </w:pPr>
            <w:r>
              <w:t xml:space="preserve">These sources no longer exist in the state.  If a new source did build a facility, New Source Review, New Source Performance Standards and MACT would apply. These rules would be more stringent than the existing rules.  </w:t>
            </w:r>
            <w:r w:rsidRPr="00B62FF1">
              <w:t>(Proposed SIP Implementation Change)</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rsidRPr="00D84DA2">
              <w:t>0010(</w:t>
            </w:r>
            <w:r>
              <w:t>3)</w:t>
            </w:r>
          </w:p>
        </w:tc>
        <w:tc>
          <w:tcPr>
            <w:tcW w:w="5850" w:type="dxa"/>
          </w:tcPr>
          <w:p w:rsidR="00E73071" w:rsidRDefault="00E73071" w:rsidP="008E0E79">
            <w:pPr>
              <w:spacing w:before="80" w:after="80"/>
            </w:pPr>
            <w:r>
              <w:t>Definition of average daily emission no longer needed</w:t>
            </w:r>
          </w:p>
        </w:tc>
        <w:tc>
          <w:tcPr>
            <w:tcW w:w="6390" w:type="dxa"/>
          </w:tcPr>
          <w:p w:rsidR="00E73071" w:rsidRPr="007E40AE" w:rsidRDefault="00E73071" w:rsidP="00C51062">
            <w:pPr>
              <w:spacing w:before="80" w:after="80"/>
            </w:pPr>
            <w:r>
              <w:t xml:space="preserve">These sources no longer exist in the state.  If a new source did build a facility, New Source Review, New Source Performance Standards and MACT would apply. These rules would be more stringent than the existing rules.  </w:t>
            </w:r>
            <w:r w:rsidRPr="00B62FF1">
              <w:t>(Proposed SIP Implementation Change)</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rsidRPr="00D84DA2">
              <w:t>0010(</w:t>
            </w:r>
            <w:r>
              <w:t>4)</w:t>
            </w:r>
          </w:p>
        </w:tc>
        <w:tc>
          <w:tcPr>
            <w:tcW w:w="5850" w:type="dxa"/>
          </w:tcPr>
          <w:p w:rsidR="00E73071" w:rsidRDefault="00E73071" w:rsidP="008E0E79">
            <w:pPr>
              <w:spacing w:before="80" w:after="80"/>
            </w:pPr>
            <w:r>
              <w:t>Definition of average daily production no longer needed</w:t>
            </w:r>
          </w:p>
        </w:tc>
        <w:tc>
          <w:tcPr>
            <w:tcW w:w="6390" w:type="dxa"/>
          </w:tcPr>
          <w:p w:rsidR="00E73071" w:rsidRPr="007E40AE" w:rsidRDefault="00E73071" w:rsidP="00C51062">
            <w:pPr>
              <w:spacing w:before="80" w:after="80"/>
            </w:pPr>
            <w:r>
              <w:t xml:space="preserve">These sources no longer exist in the state.  If a new source did build a facility, New Source Review, New Source Performance Standards and MACT would apply. These rules would be more stringent than the existing rules.  </w:t>
            </w:r>
            <w:r w:rsidRPr="00B62FF1">
              <w:t>(Proposed SIP Implementation Change)</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t>0010(5)</w:t>
            </w:r>
          </w:p>
        </w:tc>
        <w:tc>
          <w:tcPr>
            <w:tcW w:w="5850" w:type="dxa"/>
          </w:tcPr>
          <w:p w:rsidR="00E73071" w:rsidRDefault="00E73071" w:rsidP="008E0E79">
            <w:pPr>
              <w:spacing w:before="80" w:after="80"/>
            </w:pPr>
            <w:r>
              <w:t xml:space="preserve">Definition of average operating opacity same as Division 240 </w:t>
            </w:r>
          </w:p>
        </w:tc>
        <w:tc>
          <w:tcPr>
            <w:tcW w:w="6390" w:type="dxa"/>
          </w:tcPr>
          <w:p w:rsidR="00E73071" w:rsidRPr="008923DE" w:rsidRDefault="00E73071" w:rsidP="008E0E79">
            <w:pPr>
              <w:spacing w:before="80" w:after="80"/>
            </w:pPr>
            <w:r>
              <w:t>Move to Division 200</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rsidRPr="00D84DA2">
              <w:t>0010(</w:t>
            </w:r>
            <w:r>
              <w:t>7)</w:t>
            </w:r>
          </w:p>
        </w:tc>
        <w:tc>
          <w:tcPr>
            <w:tcW w:w="5850" w:type="dxa"/>
          </w:tcPr>
          <w:p w:rsidR="00E73071" w:rsidRDefault="00E73071" w:rsidP="008E0E79">
            <w:pPr>
              <w:spacing w:before="80" w:after="80"/>
            </w:pPr>
            <w:r>
              <w:t>Definition of blow system no longer needed</w:t>
            </w:r>
          </w:p>
        </w:tc>
        <w:tc>
          <w:tcPr>
            <w:tcW w:w="6390" w:type="dxa"/>
          </w:tcPr>
          <w:p w:rsidR="00E73071" w:rsidRPr="007E40AE" w:rsidRDefault="00E73071" w:rsidP="00C51062">
            <w:pPr>
              <w:spacing w:before="80" w:after="80"/>
            </w:pPr>
            <w:r>
              <w:t xml:space="preserve">These sources no longer exist in the state.  If a new source did build a facility, New Source Review, New Source Performance Standards and MACT would apply. These rules would be more stringent than the existing rules.  </w:t>
            </w:r>
            <w:r w:rsidRPr="00B62FF1">
              <w:t>(Proposed SIP Implementation Change)</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rsidRPr="00D84DA2">
              <w:t>0010(</w:t>
            </w:r>
            <w:r>
              <w:t>11)</w:t>
            </w:r>
          </w:p>
        </w:tc>
        <w:tc>
          <w:tcPr>
            <w:tcW w:w="5850" w:type="dxa"/>
          </w:tcPr>
          <w:p w:rsidR="00E73071" w:rsidRDefault="00E73071" w:rsidP="008E0E79">
            <w:pPr>
              <w:spacing w:before="80" w:after="80"/>
            </w:pPr>
            <w:r>
              <w:t>Definition of continuous-flow conveying system no longer needed</w:t>
            </w:r>
          </w:p>
        </w:tc>
        <w:tc>
          <w:tcPr>
            <w:tcW w:w="6390" w:type="dxa"/>
          </w:tcPr>
          <w:p w:rsidR="00E73071" w:rsidRDefault="00E73071" w:rsidP="008E0E79">
            <w:pPr>
              <w:spacing w:before="80" w:after="80"/>
            </w:pPr>
            <w:r>
              <w:t>This definition is not used in this division.</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t>0010(13)</w:t>
            </w:r>
          </w:p>
        </w:tc>
        <w:tc>
          <w:tcPr>
            <w:tcW w:w="5850" w:type="dxa"/>
          </w:tcPr>
          <w:p w:rsidR="00E73071" w:rsidRDefault="00E73071" w:rsidP="008E0E79">
            <w:pPr>
              <w:spacing w:before="80" w:after="80"/>
            </w:pPr>
            <w:r>
              <w:t xml:space="preserve">Definition of Department already in Division 200 </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t>0010(14)</w:t>
            </w:r>
          </w:p>
        </w:tc>
        <w:tc>
          <w:tcPr>
            <w:tcW w:w="5850" w:type="dxa"/>
          </w:tcPr>
          <w:p w:rsidR="00E73071" w:rsidRDefault="00E73071" w:rsidP="008E0E79">
            <w:pPr>
              <w:spacing w:before="80" w:after="80"/>
            </w:pPr>
            <w:r>
              <w:t xml:space="preserve">Definition of emission different from Division 200 </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t>0010(15)</w:t>
            </w:r>
          </w:p>
        </w:tc>
        <w:tc>
          <w:tcPr>
            <w:tcW w:w="5850" w:type="dxa"/>
          </w:tcPr>
          <w:p w:rsidR="00E73071" w:rsidRDefault="00E73071" w:rsidP="008E0E79">
            <w:pPr>
              <w:spacing w:before="80" w:after="80"/>
            </w:pPr>
            <w:r>
              <w:t xml:space="preserve">Definition of EPA Method 9 same as Division 240 </w:t>
            </w:r>
          </w:p>
        </w:tc>
        <w:tc>
          <w:tcPr>
            <w:tcW w:w="6390" w:type="dxa"/>
          </w:tcPr>
          <w:p w:rsidR="00E73071" w:rsidRPr="008923DE" w:rsidRDefault="00E73071" w:rsidP="008E0E79">
            <w:pPr>
              <w:spacing w:before="80" w:after="80"/>
            </w:pPr>
            <w:r>
              <w:t>Move to Division 200</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t>0010(16)</w:t>
            </w:r>
          </w:p>
        </w:tc>
        <w:tc>
          <w:tcPr>
            <w:tcW w:w="5850" w:type="dxa"/>
          </w:tcPr>
          <w:p w:rsidR="00E73071" w:rsidRDefault="00E73071" w:rsidP="008E0E79">
            <w:pPr>
              <w:spacing w:before="80" w:after="80"/>
            </w:pPr>
            <w:r>
              <w:t xml:space="preserve">Delete definition of fuel moisture content.  </w:t>
            </w:r>
          </w:p>
        </w:tc>
        <w:tc>
          <w:tcPr>
            <w:tcW w:w="6390" w:type="dxa"/>
          </w:tcPr>
          <w:p w:rsidR="00E73071" w:rsidRPr="008923DE" w:rsidRDefault="00E73071" w:rsidP="008E0E79">
            <w:pPr>
              <w:spacing w:before="80" w:after="80"/>
            </w:pPr>
            <w:r>
              <w:t>Incorporated language into OAR 340-234-0510(1)(c)(A) and (B)</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t>0010(17)</w:t>
            </w:r>
          </w:p>
        </w:tc>
        <w:tc>
          <w:tcPr>
            <w:tcW w:w="5850" w:type="dxa"/>
          </w:tcPr>
          <w:p w:rsidR="00E73071" w:rsidRDefault="00E73071" w:rsidP="008E0E79">
            <w:pPr>
              <w:spacing w:before="80" w:after="80"/>
            </w:pPr>
            <w:r>
              <w:t xml:space="preserve">Definition of fugitive emissions different from Division 200 and 236, same as Division 240 </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t>0010(18)</w:t>
            </w:r>
          </w:p>
        </w:tc>
        <w:tc>
          <w:tcPr>
            <w:tcW w:w="5850" w:type="dxa"/>
          </w:tcPr>
          <w:p w:rsidR="00E73071" w:rsidRDefault="00E73071" w:rsidP="008E0E79">
            <w:pPr>
              <w:spacing w:before="80" w:after="80"/>
            </w:pPr>
            <w:r>
              <w:t>Definition of hardboard different from Division 232 but same as Division 240</w:t>
            </w:r>
          </w:p>
        </w:tc>
        <w:tc>
          <w:tcPr>
            <w:tcW w:w="6390" w:type="dxa"/>
          </w:tcPr>
          <w:p w:rsidR="00E73071" w:rsidRPr="008923DE" w:rsidRDefault="00E73071" w:rsidP="008E0E79">
            <w:pPr>
              <w:spacing w:before="80" w:after="80"/>
            </w:pPr>
            <w:r>
              <w:t>Use definition from Division 234 and move to Division 200</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t>0010(21)</w:t>
            </w:r>
          </w:p>
        </w:tc>
        <w:tc>
          <w:tcPr>
            <w:tcW w:w="5850" w:type="dxa"/>
          </w:tcPr>
          <w:p w:rsidR="00E73071" w:rsidRDefault="00E73071" w:rsidP="008E0E79">
            <w:pPr>
              <w:spacing w:before="80" w:after="80"/>
            </w:pPr>
            <w:r>
              <w:t>Definition of maximum opacity same as Division 240</w:t>
            </w:r>
          </w:p>
        </w:tc>
        <w:tc>
          <w:tcPr>
            <w:tcW w:w="6390" w:type="dxa"/>
          </w:tcPr>
          <w:p w:rsidR="00E73071" w:rsidRPr="008923DE" w:rsidRDefault="00E73071" w:rsidP="008E0E79">
            <w:pPr>
              <w:spacing w:before="80" w:after="80"/>
            </w:pPr>
            <w:r>
              <w:t>Move to Division 200</w:t>
            </w:r>
          </w:p>
        </w:tc>
      </w:tr>
      <w:tr w:rsidR="00E73071" w:rsidTr="0028683C">
        <w:tc>
          <w:tcPr>
            <w:tcW w:w="918" w:type="dxa"/>
          </w:tcPr>
          <w:p w:rsidR="00E73071" w:rsidRDefault="00E73071" w:rsidP="008E0E79">
            <w:pPr>
              <w:spacing w:before="80" w:after="80"/>
              <w:rPr>
                <w:b/>
              </w:rPr>
            </w:pPr>
            <w:r>
              <w:rPr>
                <w:b/>
              </w:rPr>
              <w:lastRenderedPageBreak/>
              <w:t>234</w:t>
            </w:r>
          </w:p>
        </w:tc>
        <w:tc>
          <w:tcPr>
            <w:tcW w:w="1440" w:type="dxa"/>
          </w:tcPr>
          <w:p w:rsidR="00E73071" w:rsidRDefault="00E73071" w:rsidP="008E0E79">
            <w:pPr>
              <w:spacing w:before="80" w:after="80"/>
            </w:pPr>
            <w:r w:rsidRPr="00D84DA2">
              <w:t>0010(</w:t>
            </w:r>
            <w:r>
              <w:t>23)</w:t>
            </w:r>
          </w:p>
        </w:tc>
        <w:tc>
          <w:tcPr>
            <w:tcW w:w="5850" w:type="dxa"/>
          </w:tcPr>
          <w:p w:rsidR="00E73071" w:rsidRDefault="00E73071" w:rsidP="008E0E79">
            <w:pPr>
              <w:spacing w:before="80" w:after="80"/>
            </w:pPr>
            <w:r>
              <w:t>Definition of neutral sulfite semi-chemical (NSSC) pulp mill no longer needed</w:t>
            </w:r>
          </w:p>
        </w:tc>
        <w:tc>
          <w:tcPr>
            <w:tcW w:w="6390" w:type="dxa"/>
          </w:tcPr>
          <w:p w:rsidR="00E73071" w:rsidRPr="007E40AE" w:rsidRDefault="00E73071" w:rsidP="00C51062">
            <w:pPr>
              <w:spacing w:before="80" w:after="80"/>
            </w:pPr>
            <w:r>
              <w:t xml:space="preserve">These sources no longer exist in the state.  If a new source did build a facility, New Source Review, New Source Performance Standards and MACT would apply. These rules would be more stringent than the existing rules.  </w:t>
            </w:r>
            <w:r w:rsidRPr="00B62FF1">
              <w:t>(Proposed SIP Implementation Change)</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t>0010(27)</w:t>
            </w:r>
          </w:p>
        </w:tc>
        <w:tc>
          <w:tcPr>
            <w:tcW w:w="5850" w:type="dxa"/>
          </w:tcPr>
          <w:p w:rsidR="00E73071" w:rsidRDefault="00E73071" w:rsidP="008E0E79">
            <w:pPr>
              <w:spacing w:before="80" w:after="80"/>
            </w:pPr>
            <w:r>
              <w:t>Definition of particle board same as Division 240</w:t>
            </w:r>
          </w:p>
        </w:tc>
        <w:tc>
          <w:tcPr>
            <w:tcW w:w="6390" w:type="dxa"/>
          </w:tcPr>
          <w:p w:rsidR="00E73071" w:rsidRPr="008923DE" w:rsidRDefault="00E73071" w:rsidP="008E0E79">
            <w:pPr>
              <w:spacing w:before="80" w:after="80"/>
            </w:pPr>
            <w:r>
              <w:t>Move to Division 200</w:t>
            </w:r>
          </w:p>
        </w:tc>
      </w:tr>
      <w:tr w:rsidR="00E73071" w:rsidTr="0028683C">
        <w:tc>
          <w:tcPr>
            <w:tcW w:w="918" w:type="dxa"/>
          </w:tcPr>
          <w:p w:rsidR="00E73071" w:rsidRPr="009665B7" w:rsidRDefault="00E73071" w:rsidP="008E0E79">
            <w:pPr>
              <w:spacing w:before="80" w:after="80"/>
            </w:pPr>
            <w:r w:rsidRPr="009665B7">
              <w:rPr>
                <w:b/>
              </w:rPr>
              <w:t>234</w:t>
            </w:r>
          </w:p>
        </w:tc>
        <w:tc>
          <w:tcPr>
            <w:tcW w:w="1440" w:type="dxa"/>
          </w:tcPr>
          <w:p w:rsidR="00E73071" w:rsidRPr="009665B7" w:rsidRDefault="00E73071" w:rsidP="008E0E79">
            <w:pPr>
              <w:spacing w:before="80" w:after="80"/>
            </w:pPr>
            <w:r w:rsidRPr="009665B7">
              <w:t>0010(28)</w:t>
            </w:r>
          </w:p>
        </w:tc>
        <w:tc>
          <w:tcPr>
            <w:tcW w:w="5850" w:type="dxa"/>
          </w:tcPr>
          <w:p w:rsidR="00E73071" w:rsidRPr="009665B7" w:rsidRDefault="00E73071" w:rsidP="008E0E79">
            <w:pPr>
              <w:spacing w:before="80" w:after="80"/>
            </w:pPr>
            <w:r w:rsidRPr="009665B7">
              <w:t>Definition of particulate matter different from Division 200, 236, 238, 240</w:t>
            </w:r>
          </w:p>
        </w:tc>
        <w:tc>
          <w:tcPr>
            <w:tcW w:w="6390" w:type="dxa"/>
          </w:tcPr>
          <w:p w:rsidR="00E73071" w:rsidRPr="009665B7" w:rsidRDefault="00E73071" w:rsidP="008E0E79">
            <w:pPr>
              <w:spacing w:before="80" w:after="80"/>
            </w:pPr>
            <w:r w:rsidRPr="009665B7">
              <w:t>Delete and use Division 200 definition. Move specific test requirements to rule with standard.  Create a testing and monitoring section in 234-0540.</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t>0010(29)</w:t>
            </w:r>
          </w:p>
        </w:tc>
        <w:tc>
          <w:tcPr>
            <w:tcW w:w="5850" w:type="dxa"/>
          </w:tcPr>
          <w:p w:rsidR="00E73071" w:rsidRDefault="00E73071" w:rsidP="008E0E79">
            <w:pPr>
              <w:spacing w:before="80" w:after="80"/>
            </w:pPr>
            <w:r>
              <w:t>Definition of parts per million same as Division 230</w:t>
            </w:r>
          </w:p>
        </w:tc>
        <w:tc>
          <w:tcPr>
            <w:tcW w:w="6390" w:type="dxa"/>
          </w:tcPr>
          <w:p w:rsidR="00E73071" w:rsidRPr="008923DE" w:rsidRDefault="00E73071" w:rsidP="008E0E79">
            <w:pPr>
              <w:spacing w:before="80" w:after="80"/>
            </w:pPr>
            <w:r>
              <w:t>Move to Division 200</w:t>
            </w:r>
          </w:p>
        </w:tc>
      </w:tr>
      <w:tr w:rsidR="00E73071" w:rsidTr="0028683C">
        <w:tc>
          <w:tcPr>
            <w:tcW w:w="918" w:type="dxa"/>
          </w:tcPr>
          <w:p w:rsidR="00E73071" w:rsidRDefault="00E73071" w:rsidP="008E0E79">
            <w:pPr>
              <w:spacing w:before="80" w:after="80"/>
            </w:pPr>
            <w:r w:rsidRPr="00331019">
              <w:rPr>
                <w:b/>
              </w:rPr>
              <w:t>2</w:t>
            </w:r>
            <w:r>
              <w:rPr>
                <w:b/>
              </w:rPr>
              <w:t>34</w:t>
            </w:r>
          </w:p>
        </w:tc>
        <w:tc>
          <w:tcPr>
            <w:tcW w:w="1440" w:type="dxa"/>
          </w:tcPr>
          <w:p w:rsidR="00E73071" w:rsidRPr="008923DE" w:rsidRDefault="00E73071" w:rsidP="008E0E79">
            <w:pPr>
              <w:spacing w:before="80" w:after="80"/>
            </w:pPr>
            <w:r>
              <w:t>0010(30)</w:t>
            </w:r>
          </w:p>
        </w:tc>
        <w:tc>
          <w:tcPr>
            <w:tcW w:w="5850" w:type="dxa"/>
          </w:tcPr>
          <w:p w:rsidR="00E73071" w:rsidRPr="008923DE" w:rsidRDefault="00E73071" w:rsidP="008E0E79">
            <w:pPr>
              <w:spacing w:before="80" w:after="80"/>
            </w:pPr>
            <w:r>
              <w:t>Definition of person already in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Default="00E73071" w:rsidP="008E0E79">
            <w:pPr>
              <w:spacing w:before="80" w:after="80"/>
            </w:pPr>
            <w:r w:rsidRPr="00331019">
              <w:rPr>
                <w:b/>
              </w:rPr>
              <w:t>2</w:t>
            </w:r>
            <w:r>
              <w:rPr>
                <w:b/>
              </w:rPr>
              <w:t>34</w:t>
            </w:r>
          </w:p>
        </w:tc>
        <w:tc>
          <w:tcPr>
            <w:tcW w:w="1440" w:type="dxa"/>
          </w:tcPr>
          <w:p w:rsidR="00E73071" w:rsidRPr="008923DE" w:rsidRDefault="00E73071" w:rsidP="008E0E79">
            <w:pPr>
              <w:spacing w:before="80" w:after="80"/>
            </w:pPr>
            <w:r>
              <w:t>0010(32)</w:t>
            </w:r>
          </w:p>
        </w:tc>
        <w:tc>
          <w:tcPr>
            <w:tcW w:w="5850" w:type="dxa"/>
          </w:tcPr>
          <w:p w:rsidR="00E73071" w:rsidRDefault="00E73071" w:rsidP="008E0E79">
            <w:pPr>
              <w:spacing w:before="80" w:after="80"/>
            </w:pPr>
            <w:r>
              <w:t>Definition of press cooling vent same as Division 240</w:t>
            </w:r>
          </w:p>
        </w:tc>
        <w:tc>
          <w:tcPr>
            <w:tcW w:w="6390" w:type="dxa"/>
          </w:tcPr>
          <w:p w:rsidR="00E73071" w:rsidRPr="008923DE" w:rsidRDefault="00E73071" w:rsidP="008E0E79">
            <w:pPr>
              <w:spacing w:before="80" w:after="80"/>
            </w:pPr>
            <w:r>
              <w:t>Move to Division 200</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rsidRPr="00D84DA2">
              <w:t>0010(</w:t>
            </w:r>
            <w:r>
              <w:t>39)</w:t>
            </w:r>
          </w:p>
        </w:tc>
        <w:tc>
          <w:tcPr>
            <w:tcW w:w="5850" w:type="dxa"/>
          </w:tcPr>
          <w:p w:rsidR="00E73071" w:rsidRDefault="00E73071" w:rsidP="008E0E79">
            <w:pPr>
              <w:spacing w:before="80" w:after="80"/>
            </w:pPr>
            <w:r>
              <w:t>Definition of spent liquor incinerator no longer needed</w:t>
            </w:r>
          </w:p>
        </w:tc>
        <w:tc>
          <w:tcPr>
            <w:tcW w:w="6390" w:type="dxa"/>
          </w:tcPr>
          <w:p w:rsidR="00E73071" w:rsidRPr="007E40AE" w:rsidRDefault="00E73071" w:rsidP="00C51062">
            <w:pPr>
              <w:spacing w:before="80" w:after="80"/>
            </w:pPr>
            <w:r>
              <w:t xml:space="preserve">These sources no longer exist in the state.  If a new source did build a facility, New Source Review, New Source Performance Standards and MACT would apply. These rules would be more stringent than the existing rules.  </w:t>
            </w:r>
            <w:r w:rsidRPr="00B62FF1">
              <w:t>(Proposed SIP Implementation Change)</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rsidRPr="00D84DA2">
              <w:t>0010(</w:t>
            </w:r>
            <w:r>
              <w:t>42)</w:t>
            </w:r>
          </w:p>
        </w:tc>
        <w:tc>
          <w:tcPr>
            <w:tcW w:w="5850" w:type="dxa"/>
          </w:tcPr>
          <w:p w:rsidR="00E73071" w:rsidRDefault="00E73071" w:rsidP="008E0E79">
            <w:pPr>
              <w:spacing w:before="80" w:after="80"/>
            </w:pPr>
            <w:r>
              <w:t>Definition of sulfite mill no longer needed</w:t>
            </w:r>
          </w:p>
        </w:tc>
        <w:tc>
          <w:tcPr>
            <w:tcW w:w="6390" w:type="dxa"/>
          </w:tcPr>
          <w:p w:rsidR="00E73071" w:rsidRPr="007E40AE" w:rsidRDefault="00E73071" w:rsidP="00C51062">
            <w:pPr>
              <w:spacing w:before="80" w:after="80"/>
            </w:pPr>
            <w:r>
              <w:t xml:space="preserve">These sources no longer exist in the state.  If a new source did build a facility, New Source Review, New Source Performance Standards and MACT would apply. These rules would be more stringent than the existing rules.  </w:t>
            </w:r>
            <w:r w:rsidRPr="00B62FF1">
              <w:t>(Proposed SIP Implementation Change)</w:t>
            </w:r>
          </w:p>
        </w:tc>
      </w:tr>
      <w:tr w:rsidR="00E73071" w:rsidTr="0028683C">
        <w:tc>
          <w:tcPr>
            <w:tcW w:w="918" w:type="dxa"/>
          </w:tcPr>
          <w:p w:rsidR="00E73071" w:rsidRDefault="00E73071" w:rsidP="008E0E79">
            <w:pPr>
              <w:spacing w:before="80" w:after="80"/>
              <w:rPr>
                <w:b/>
              </w:rPr>
            </w:pPr>
            <w:r>
              <w:rPr>
                <w:b/>
              </w:rPr>
              <w:t>234</w:t>
            </w:r>
          </w:p>
        </w:tc>
        <w:tc>
          <w:tcPr>
            <w:tcW w:w="1440" w:type="dxa"/>
          </w:tcPr>
          <w:p w:rsidR="00E73071" w:rsidRDefault="00E73071" w:rsidP="008E0E79">
            <w:pPr>
              <w:spacing w:before="80" w:after="80"/>
            </w:pPr>
            <w:r w:rsidRPr="00D84DA2">
              <w:t>0010(</w:t>
            </w:r>
            <w:r>
              <w:t>43)</w:t>
            </w:r>
          </w:p>
        </w:tc>
        <w:tc>
          <w:tcPr>
            <w:tcW w:w="5850" w:type="dxa"/>
          </w:tcPr>
          <w:p w:rsidR="00E73071" w:rsidRDefault="00E73071" w:rsidP="008E0E79">
            <w:pPr>
              <w:spacing w:before="80" w:after="80"/>
            </w:pPr>
            <w:r>
              <w:t>Definition of sulfur oxides no longer needed</w:t>
            </w:r>
          </w:p>
        </w:tc>
        <w:tc>
          <w:tcPr>
            <w:tcW w:w="6390" w:type="dxa"/>
          </w:tcPr>
          <w:p w:rsidR="00E73071" w:rsidRPr="007E40AE" w:rsidRDefault="00E73071" w:rsidP="00C51062">
            <w:pPr>
              <w:spacing w:before="80" w:after="80"/>
            </w:pPr>
            <w:r>
              <w:t xml:space="preserve">These sources no longer exist in the state.  If a new source did build a facility, New Source Review, New Source Performance Standards and MACT would apply. These rules would be more stringent than the existing rules.  </w:t>
            </w:r>
            <w:r w:rsidRPr="00B62FF1">
              <w:t>(Proposed SIP Implementation Change)</w:t>
            </w:r>
          </w:p>
        </w:tc>
      </w:tr>
      <w:tr w:rsidR="00E73071" w:rsidTr="0028683C">
        <w:tc>
          <w:tcPr>
            <w:tcW w:w="918" w:type="dxa"/>
          </w:tcPr>
          <w:p w:rsidR="00E73071" w:rsidRDefault="00E73071" w:rsidP="008E0E79">
            <w:pPr>
              <w:spacing w:before="80" w:after="80"/>
            </w:pPr>
            <w:r w:rsidRPr="00331019">
              <w:rPr>
                <w:b/>
              </w:rPr>
              <w:t>2</w:t>
            </w:r>
            <w:r>
              <w:rPr>
                <w:b/>
              </w:rPr>
              <w:t>34</w:t>
            </w:r>
          </w:p>
        </w:tc>
        <w:tc>
          <w:tcPr>
            <w:tcW w:w="1440" w:type="dxa"/>
          </w:tcPr>
          <w:p w:rsidR="00E73071" w:rsidRPr="008923DE" w:rsidRDefault="00E73071" w:rsidP="008E0E79">
            <w:pPr>
              <w:spacing w:before="80" w:after="80"/>
            </w:pPr>
            <w:r>
              <w:t>0010(44)</w:t>
            </w:r>
          </w:p>
        </w:tc>
        <w:tc>
          <w:tcPr>
            <w:tcW w:w="5850" w:type="dxa"/>
          </w:tcPr>
          <w:p w:rsidR="00E73071" w:rsidRDefault="00E73071" w:rsidP="008E0E79">
            <w:pPr>
              <w:spacing w:before="80" w:after="80"/>
            </w:pPr>
            <w:r>
              <w:t xml:space="preserve">Definition of total reduced sulfur already Division 200 </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Default="00E73071" w:rsidP="008E0E79">
            <w:pPr>
              <w:spacing w:before="80" w:after="80"/>
            </w:pPr>
            <w:r w:rsidRPr="00331019">
              <w:rPr>
                <w:b/>
              </w:rPr>
              <w:t>2</w:t>
            </w:r>
            <w:r>
              <w:rPr>
                <w:b/>
              </w:rPr>
              <w:t>34</w:t>
            </w:r>
          </w:p>
        </w:tc>
        <w:tc>
          <w:tcPr>
            <w:tcW w:w="1440" w:type="dxa"/>
          </w:tcPr>
          <w:p w:rsidR="00E73071" w:rsidRPr="008923DE" w:rsidRDefault="00E73071" w:rsidP="008E0E79">
            <w:pPr>
              <w:spacing w:before="80" w:after="80"/>
            </w:pPr>
            <w:r>
              <w:t>0010(45)</w:t>
            </w:r>
          </w:p>
        </w:tc>
        <w:tc>
          <w:tcPr>
            <w:tcW w:w="5850" w:type="dxa"/>
          </w:tcPr>
          <w:p w:rsidR="00E73071" w:rsidRDefault="00E73071" w:rsidP="008E0E79">
            <w:pPr>
              <w:spacing w:before="80" w:after="80"/>
            </w:pPr>
            <w:r>
              <w:t>Definition of veneer same as Division 240</w:t>
            </w:r>
          </w:p>
        </w:tc>
        <w:tc>
          <w:tcPr>
            <w:tcW w:w="6390" w:type="dxa"/>
          </w:tcPr>
          <w:p w:rsidR="00E73071" w:rsidRPr="008923DE" w:rsidRDefault="00E73071" w:rsidP="008E0E79">
            <w:pPr>
              <w:spacing w:before="80" w:after="80"/>
            </w:pPr>
            <w:r>
              <w:t>Move to Division 200</w:t>
            </w:r>
          </w:p>
        </w:tc>
      </w:tr>
      <w:tr w:rsidR="00E73071" w:rsidTr="0028683C">
        <w:tc>
          <w:tcPr>
            <w:tcW w:w="918" w:type="dxa"/>
          </w:tcPr>
          <w:p w:rsidR="00E73071" w:rsidRPr="00267A69" w:rsidRDefault="00E73071" w:rsidP="008E0E79">
            <w:pPr>
              <w:spacing w:before="80" w:after="80"/>
            </w:pPr>
            <w:r w:rsidRPr="00267A69">
              <w:rPr>
                <w:b/>
              </w:rPr>
              <w:t>234</w:t>
            </w:r>
          </w:p>
        </w:tc>
        <w:tc>
          <w:tcPr>
            <w:tcW w:w="1440" w:type="dxa"/>
          </w:tcPr>
          <w:p w:rsidR="00E73071" w:rsidRPr="00267A69" w:rsidRDefault="00E73071" w:rsidP="008E0E79">
            <w:pPr>
              <w:spacing w:before="80" w:after="80"/>
            </w:pPr>
            <w:r w:rsidRPr="00267A69">
              <w:t>0010(46)</w:t>
            </w:r>
          </w:p>
        </w:tc>
        <w:tc>
          <w:tcPr>
            <w:tcW w:w="5850" w:type="dxa"/>
          </w:tcPr>
          <w:p w:rsidR="00E73071" w:rsidRPr="00267A69" w:rsidRDefault="00E73071" w:rsidP="008E0E79">
            <w:pPr>
              <w:spacing w:before="80" w:after="80"/>
            </w:pPr>
            <w:r w:rsidRPr="00267A69">
              <w:t xml:space="preserve">Definition of wigwam </w:t>
            </w:r>
            <w:r w:rsidRPr="00267A69">
              <w:rPr>
                <w:u w:val="single"/>
              </w:rPr>
              <w:t>fired</w:t>
            </w:r>
            <w:r w:rsidRPr="00267A69">
              <w:t xml:space="preserve"> burner (not used) same as definition of wigwam </w:t>
            </w:r>
            <w:r w:rsidRPr="00267A69">
              <w:rPr>
                <w:u w:val="single"/>
              </w:rPr>
              <w:t>waste</w:t>
            </w:r>
            <w:r w:rsidRPr="00267A69">
              <w:t xml:space="preserve"> burner in Division 240</w:t>
            </w:r>
          </w:p>
        </w:tc>
        <w:tc>
          <w:tcPr>
            <w:tcW w:w="6390" w:type="dxa"/>
          </w:tcPr>
          <w:p w:rsidR="00E73071" w:rsidRPr="00267A69" w:rsidRDefault="00E73071" w:rsidP="008E0E79">
            <w:pPr>
              <w:spacing w:before="80" w:after="80"/>
            </w:pPr>
            <w:r w:rsidRPr="00267A69">
              <w:t xml:space="preserve">Move to Division 200 </w:t>
            </w:r>
          </w:p>
        </w:tc>
      </w:tr>
      <w:tr w:rsidR="00E73071" w:rsidRPr="007E40AE" w:rsidTr="0028683C">
        <w:tc>
          <w:tcPr>
            <w:tcW w:w="918" w:type="dxa"/>
          </w:tcPr>
          <w:p w:rsidR="00E73071" w:rsidRPr="000E304C" w:rsidRDefault="00E73071" w:rsidP="008E0E79">
            <w:pPr>
              <w:spacing w:before="80" w:after="80"/>
              <w:rPr>
                <w:b/>
              </w:rPr>
            </w:pPr>
            <w:r w:rsidRPr="000E304C">
              <w:rPr>
                <w:b/>
              </w:rPr>
              <w:t>234</w:t>
            </w:r>
          </w:p>
        </w:tc>
        <w:tc>
          <w:tcPr>
            <w:tcW w:w="1440" w:type="dxa"/>
          </w:tcPr>
          <w:p w:rsidR="00E73071" w:rsidRPr="000E304C" w:rsidRDefault="00E73071" w:rsidP="008E0E79">
            <w:pPr>
              <w:spacing w:before="80" w:after="80"/>
            </w:pPr>
            <w:r w:rsidRPr="000E304C">
              <w:t>0240(2)(a)</w:t>
            </w:r>
          </w:p>
        </w:tc>
        <w:tc>
          <w:tcPr>
            <w:tcW w:w="5850" w:type="dxa"/>
          </w:tcPr>
          <w:p w:rsidR="00E73071" w:rsidRPr="000E304C" w:rsidRDefault="00E73071" w:rsidP="008E0E79">
            <w:pPr>
              <w:spacing w:before="80" w:after="80"/>
            </w:pPr>
            <w:r w:rsidRPr="000E304C">
              <w:t>Add the source test methods for particulate matter</w:t>
            </w:r>
          </w:p>
        </w:tc>
        <w:tc>
          <w:tcPr>
            <w:tcW w:w="6390" w:type="dxa"/>
          </w:tcPr>
          <w:p w:rsidR="00E73071" w:rsidRPr="000E304C" w:rsidRDefault="00E73071" w:rsidP="008E0E79">
            <w:pPr>
              <w:spacing w:before="80" w:after="80"/>
            </w:pPr>
            <w:r w:rsidRPr="000E304C">
              <w:t>The definition of particulate matter has been moved to Division 200.  The test methods are being separated from the definition and included with the standard.</w:t>
            </w:r>
          </w:p>
        </w:tc>
      </w:tr>
      <w:tr w:rsidR="00E73071" w:rsidRPr="007E40AE" w:rsidTr="0028683C">
        <w:tc>
          <w:tcPr>
            <w:tcW w:w="918" w:type="dxa"/>
          </w:tcPr>
          <w:p w:rsidR="00E73071" w:rsidRPr="007E40AE" w:rsidRDefault="00E73071" w:rsidP="008E0E79">
            <w:pPr>
              <w:spacing w:before="80" w:after="80"/>
              <w:rPr>
                <w:b/>
              </w:rPr>
            </w:pPr>
            <w:r>
              <w:rPr>
                <w:b/>
              </w:rPr>
              <w:t>234</w:t>
            </w:r>
          </w:p>
        </w:tc>
        <w:tc>
          <w:tcPr>
            <w:tcW w:w="1440" w:type="dxa"/>
          </w:tcPr>
          <w:p w:rsidR="00E73071" w:rsidRPr="007E40AE" w:rsidRDefault="00E73071" w:rsidP="008E0E79">
            <w:pPr>
              <w:spacing w:before="80" w:after="80"/>
            </w:pPr>
            <w:r>
              <w:t>0300-0360</w:t>
            </w:r>
          </w:p>
        </w:tc>
        <w:tc>
          <w:tcPr>
            <w:tcW w:w="5850" w:type="dxa"/>
          </w:tcPr>
          <w:p w:rsidR="00E73071" w:rsidRPr="007E40AE" w:rsidRDefault="00E73071" w:rsidP="008E0E79">
            <w:pPr>
              <w:spacing w:before="80" w:after="80"/>
            </w:pPr>
            <w:r>
              <w:t>Delete neutral sulfite semi-chemical pulp mill rules</w:t>
            </w:r>
          </w:p>
        </w:tc>
        <w:tc>
          <w:tcPr>
            <w:tcW w:w="6390" w:type="dxa"/>
          </w:tcPr>
          <w:p w:rsidR="00E73071" w:rsidRPr="007E40AE" w:rsidRDefault="00E73071" w:rsidP="00C51062">
            <w:pPr>
              <w:spacing w:before="80" w:after="80"/>
            </w:pPr>
            <w:r>
              <w:t xml:space="preserve">These sources no longer exist in the state.  If a new source did build a facility, New Source Review, New Source Performance Standards and </w:t>
            </w:r>
            <w:r>
              <w:lastRenderedPageBreak/>
              <w:t xml:space="preserve">MACT would apply. These rules would be more stringent than the existing rules.  </w:t>
            </w:r>
            <w:r w:rsidRPr="00B62FF1">
              <w:t>(Proposed SIP Implementation Change)</w:t>
            </w:r>
          </w:p>
        </w:tc>
      </w:tr>
      <w:tr w:rsidR="00E73071" w:rsidRPr="007E40AE" w:rsidTr="0028683C">
        <w:tc>
          <w:tcPr>
            <w:tcW w:w="918" w:type="dxa"/>
          </w:tcPr>
          <w:p w:rsidR="00E73071" w:rsidRPr="007E40AE" w:rsidRDefault="00E73071" w:rsidP="008E0E79">
            <w:pPr>
              <w:spacing w:before="80" w:after="80"/>
              <w:rPr>
                <w:b/>
              </w:rPr>
            </w:pPr>
            <w:r>
              <w:rPr>
                <w:b/>
              </w:rPr>
              <w:lastRenderedPageBreak/>
              <w:t>234</w:t>
            </w:r>
          </w:p>
        </w:tc>
        <w:tc>
          <w:tcPr>
            <w:tcW w:w="1440" w:type="dxa"/>
          </w:tcPr>
          <w:p w:rsidR="00E73071" w:rsidRPr="007E40AE" w:rsidRDefault="00E73071" w:rsidP="008E0E79">
            <w:pPr>
              <w:spacing w:before="80" w:after="80"/>
            </w:pPr>
            <w:r>
              <w:t>0400-0430</w:t>
            </w:r>
          </w:p>
        </w:tc>
        <w:tc>
          <w:tcPr>
            <w:tcW w:w="5850" w:type="dxa"/>
          </w:tcPr>
          <w:p w:rsidR="00E73071" w:rsidRPr="007E40AE" w:rsidRDefault="00E73071" w:rsidP="008E0E79">
            <w:pPr>
              <w:spacing w:before="80" w:after="80"/>
            </w:pPr>
            <w:r>
              <w:t>Delete sulfite pulp mill rules</w:t>
            </w:r>
          </w:p>
        </w:tc>
        <w:tc>
          <w:tcPr>
            <w:tcW w:w="6390" w:type="dxa"/>
          </w:tcPr>
          <w:p w:rsidR="00E73071" w:rsidRPr="007E40AE" w:rsidRDefault="00E73071" w:rsidP="00C51062">
            <w:pPr>
              <w:spacing w:before="80" w:after="80"/>
            </w:pPr>
            <w:r>
              <w:t xml:space="preserve">These sources no longer exist in the state.  If a new source did build a facility, New Source Review, New Source Performance Standards and MACT would apply. These rules would be more stringent than the existing rules.  </w:t>
            </w:r>
            <w:r w:rsidRPr="00B62FF1">
              <w:t>(Proposed SIP Implementation Change)</w:t>
            </w:r>
          </w:p>
        </w:tc>
      </w:tr>
      <w:tr w:rsidR="00E73071" w:rsidRPr="007E40AE" w:rsidTr="0028683C">
        <w:tc>
          <w:tcPr>
            <w:tcW w:w="918" w:type="dxa"/>
          </w:tcPr>
          <w:p w:rsidR="00E73071" w:rsidRPr="007E40AE" w:rsidRDefault="00E73071" w:rsidP="008E0E79">
            <w:pPr>
              <w:spacing w:before="80" w:after="80"/>
              <w:rPr>
                <w:b/>
              </w:rPr>
            </w:pPr>
            <w:r w:rsidRPr="007E40AE">
              <w:rPr>
                <w:b/>
              </w:rPr>
              <w:t>234</w:t>
            </w:r>
          </w:p>
        </w:tc>
        <w:tc>
          <w:tcPr>
            <w:tcW w:w="1440" w:type="dxa"/>
          </w:tcPr>
          <w:p w:rsidR="00E73071" w:rsidRPr="007E40AE" w:rsidRDefault="00E73071" w:rsidP="008E0E79">
            <w:pPr>
              <w:spacing w:before="80" w:after="80"/>
            </w:pPr>
            <w:r w:rsidRPr="007E40AE">
              <w:t>0500(2)</w:t>
            </w:r>
          </w:p>
        </w:tc>
        <w:tc>
          <w:tcPr>
            <w:tcW w:w="5850" w:type="dxa"/>
          </w:tcPr>
          <w:p w:rsidR="00E73071" w:rsidRPr="007E40AE" w:rsidRDefault="00E73071" w:rsidP="008E0E79">
            <w:pPr>
              <w:spacing w:before="80" w:after="80"/>
            </w:pPr>
            <w:r w:rsidRPr="007E40AE">
              <w:t>Replace fuel burning equipment with external combustion device</w:t>
            </w:r>
          </w:p>
        </w:tc>
        <w:tc>
          <w:tcPr>
            <w:tcW w:w="6390" w:type="dxa"/>
          </w:tcPr>
          <w:p w:rsidR="00E73071" w:rsidRPr="007E40AE" w:rsidRDefault="00E73071" w:rsidP="008E0E79">
            <w:pPr>
              <w:spacing w:before="80" w:after="80"/>
            </w:pPr>
            <w:r w:rsidRPr="007E40AE">
              <w:t>Avoids confusion about indirect heat transfer (e.g., boilers), direct heat transfer (e.g., dryers), and internal combustion devices (e.g., gas turbines).</w:t>
            </w:r>
          </w:p>
        </w:tc>
      </w:tr>
      <w:tr w:rsidR="00E73071" w:rsidRPr="007E40AE" w:rsidTr="0028683C">
        <w:tc>
          <w:tcPr>
            <w:tcW w:w="918" w:type="dxa"/>
          </w:tcPr>
          <w:p w:rsidR="00E73071" w:rsidRPr="007E40AE" w:rsidRDefault="00E73071" w:rsidP="00CD55DA">
            <w:pPr>
              <w:spacing w:before="80" w:after="80"/>
              <w:rPr>
                <w:b/>
              </w:rPr>
            </w:pPr>
            <w:r w:rsidRPr="007E40AE">
              <w:rPr>
                <w:b/>
              </w:rPr>
              <w:t>234</w:t>
            </w:r>
          </w:p>
        </w:tc>
        <w:tc>
          <w:tcPr>
            <w:tcW w:w="1440" w:type="dxa"/>
          </w:tcPr>
          <w:p w:rsidR="00E73071" w:rsidRPr="007E40AE" w:rsidRDefault="00E73071" w:rsidP="00446FF9">
            <w:pPr>
              <w:spacing w:before="80" w:after="80"/>
            </w:pPr>
            <w:r>
              <w:t>0510(1)(b)(A)</w:t>
            </w:r>
          </w:p>
        </w:tc>
        <w:tc>
          <w:tcPr>
            <w:tcW w:w="5850" w:type="dxa"/>
          </w:tcPr>
          <w:p w:rsidR="00E73071" w:rsidRPr="007E40AE" w:rsidRDefault="00E73071" w:rsidP="00CD55DA">
            <w:pPr>
              <w:spacing w:before="80" w:after="80"/>
            </w:pPr>
            <w:r>
              <w:t>Add the sentence that defines a violation</w:t>
            </w:r>
          </w:p>
        </w:tc>
        <w:tc>
          <w:tcPr>
            <w:tcW w:w="6390" w:type="dxa"/>
          </w:tcPr>
          <w:p w:rsidR="00E73071" w:rsidRPr="007E40AE" w:rsidRDefault="00E73071" w:rsidP="00CD55DA">
            <w:pPr>
              <w:spacing w:before="80" w:after="80"/>
            </w:pPr>
            <w:r>
              <w:t xml:space="preserve">This sentence does not belong in the definition of average operating opacity. It belongs in this subsection with the standard.  </w:t>
            </w:r>
          </w:p>
        </w:tc>
      </w:tr>
      <w:tr w:rsidR="00E73071" w:rsidRPr="007E40AE" w:rsidTr="0028683C">
        <w:tc>
          <w:tcPr>
            <w:tcW w:w="918" w:type="dxa"/>
          </w:tcPr>
          <w:p w:rsidR="00E73071" w:rsidRPr="007E40AE" w:rsidRDefault="00E73071" w:rsidP="008E0E79">
            <w:pPr>
              <w:spacing w:before="80" w:after="80"/>
              <w:rPr>
                <w:b/>
              </w:rPr>
            </w:pPr>
            <w:r w:rsidRPr="007E40AE">
              <w:rPr>
                <w:b/>
              </w:rPr>
              <w:t>234</w:t>
            </w:r>
          </w:p>
        </w:tc>
        <w:tc>
          <w:tcPr>
            <w:tcW w:w="1440" w:type="dxa"/>
          </w:tcPr>
          <w:p w:rsidR="00E73071" w:rsidRPr="007E40AE" w:rsidRDefault="00E73071" w:rsidP="008E0E79">
            <w:pPr>
              <w:spacing w:before="80" w:after="80"/>
            </w:pPr>
            <w:r w:rsidRPr="007E40AE">
              <w:t>0510(1)(c)(A) and (B)</w:t>
            </w:r>
          </w:p>
        </w:tc>
        <w:tc>
          <w:tcPr>
            <w:tcW w:w="5850" w:type="dxa"/>
          </w:tcPr>
          <w:p w:rsidR="00E73071" w:rsidRPr="007E40AE" w:rsidRDefault="00E73071" w:rsidP="008E0E79">
            <w:pPr>
              <w:spacing w:before="80" w:after="80"/>
            </w:pPr>
            <w:r w:rsidRPr="007E40AE">
              <w:t>Incorporate fuel moisture content into rule and add test method</w:t>
            </w:r>
          </w:p>
        </w:tc>
        <w:tc>
          <w:tcPr>
            <w:tcW w:w="6390" w:type="dxa"/>
          </w:tcPr>
          <w:p w:rsidR="00E73071" w:rsidRPr="007E40AE" w:rsidRDefault="00E73071" w:rsidP="008E0E79">
            <w:pPr>
              <w:spacing w:before="80" w:after="80"/>
            </w:pPr>
            <w:r w:rsidRPr="007E40AE">
              <w:t>Avoids confusion about indirect heat transfer (e.g., boilers), direct heat transfer (e.g., dryers), and internal combustion devices (e.g., gas turbines).</w:t>
            </w:r>
          </w:p>
        </w:tc>
      </w:tr>
      <w:tr w:rsidR="00E73071" w:rsidRPr="007E40AE" w:rsidTr="0028683C">
        <w:tc>
          <w:tcPr>
            <w:tcW w:w="918" w:type="dxa"/>
          </w:tcPr>
          <w:p w:rsidR="00E73071" w:rsidRPr="007E40AE" w:rsidRDefault="00E73071" w:rsidP="008E0E79">
            <w:pPr>
              <w:spacing w:before="80" w:after="80"/>
              <w:rPr>
                <w:b/>
              </w:rPr>
            </w:pPr>
            <w:r w:rsidRPr="007E40AE">
              <w:rPr>
                <w:b/>
              </w:rPr>
              <w:t>234</w:t>
            </w:r>
          </w:p>
        </w:tc>
        <w:tc>
          <w:tcPr>
            <w:tcW w:w="1440" w:type="dxa"/>
          </w:tcPr>
          <w:p w:rsidR="00E73071" w:rsidRPr="007E40AE" w:rsidRDefault="00E73071" w:rsidP="008E0E79">
            <w:pPr>
              <w:spacing w:before="80" w:after="80"/>
            </w:pPr>
            <w:r w:rsidRPr="007E40AE">
              <w:t>0510(2)(b)</w:t>
            </w:r>
          </w:p>
        </w:tc>
        <w:tc>
          <w:tcPr>
            <w:tcW w:w="5850" w:type="dxa"/>
          </w:tcPr>
          <w:p w:rsidR="00E73071" w:rsidRPr="007E40AE" w:rsidRDefault="00E73071" w:rsidP="008E0E79">
            <w:pPr>
              <w:spacing w:before="80" w:after="80"/>
            </w:pPr>
            <w:r w:rsidRPr="007E40AE">
              <w:t>Replace fuel burning equipment with external combustion device</w:t>
            </w:r>
          </w:p>
        </w:tc>
        <w:tc>
          <w:tcPr>
            <w:tcW w:w="6390" w:type="dxa"/>
          </w:tcPr>
          <w:p w:rsidR="00E73071" w:rsidRPr="007E40AE" w:rsidRDefault="00E73071" w:rsidP="008E0E79">
            <w:pPr>
              <w:spacing w:before="80" w:after="80"/>
            </w:pPr>
            <w:r w:rsidRPr="007E40AE">
              <w:t>Avoids confusion about indirect heat transfer (e.g., boilers), direct heat transfer (e.g., dryers), and internal combustion devices (e.g., gas turbines).</w:t>
            </w:r>
          </w:p>
        </w:tc>
      </w:tr>
      <w:tr w:rsidR="00E73071" w:rsidRPr="007E40AE" w:rsidTr="0028683C">
        <w:tc>
          <w:tcPr>
            <w:tcW w:w="918" w:type="dxa"/>
          </w:tcPr>
          <w:p w:rsidR="00E73071" w:rsidRPr="007E40AE" w:rsidRDefault="00E73071" w:rsidP="008E0E79">
            <w:pPr>
              <w:spacing w:before="80" w:after="80"/>
              <w:rPr>
                <w:b/>
              </w:rPr>
            </w:pPr>
            <w:r w:rsidRPr="007E40AE">
              <w:rPr>
                <w:b/>
              </w:rPr>
              <w:t>234</w:t>
            </w:r>
          </w:p>
        </w:tc>
        <w:tc>
          <w:tcPr>
            <w:tcW w:w="1440" w:type="dxa"/>
          </w:tcPr>
          <w:p w:rsidR="00E73071" w:rsidRPr="007E40AE" w:rsidRDefault="00E73071" w:rsidP="008E0E79">
            <w:pPr>
              <w:spacing w:before="80" w:after="80"/>
            </w:pPr>
            <w:r w:rsidRPr="007E40AE">
              <w:t>0520(2)(b)</w:t>
            </w:r>
          </w:p>
        </w:tc>
        <w:tc>
          <w:tcPr>
            <w:tcW w:w="5850" w:type="dxa"/>
          </w:tcPr>
          <w:p w:rsidR="00E73071" w:rsidRPr="007E40AE" w:rsidRDefault="00E73071" w:rsidP="008E0E79">
            <w:pPr>
              <w:spacing w:before="80" w:after="80"/>
            </w:pPr>
            <w:r w:rsidRPr="007E40AE">
              <w:t>Replace fuel burning equipment with external combustion device</w:t>
            </w:r>
          </w:p>
        </w:tc>
        <w:tc>
          <w:tcPr>
            <w:tcW w:w="6390" w:type="dxa"/>
          </w:tcPr>
          <w:p w:rsidR="00E73071" w:rsidRPr="007E40AE" w:rsidRDefault="00E73071" w:rsidP="008E0E79">
            <w:pPr>
              <w:spacing w:before="80" w:after="80"/>
            </w:pPr>
            <w:r w:rsidRPr="007E40AE">
              <w:t>Avoids confusion about indirect heat transfer (e.g., boilers), direct heat transfer (e.g., dryers), and internal combustion devices (e.g., gas turbines).</w:t>
            </w:r>
          </w:p>
        </w:tc>
      </w:tr>
      <w:tr w:rsidR="00E73071" w:rsidTr="0028683C">
        <w:tc>
          <w:tcPr>
            <w:tcW w:w="918" w:type="dxa"/>
          </w:tcPr>
          <w:p w:rsidR="00E73071" w:rsidRPr="007E40AE" w:rsidRDefault="00E73071" w:rsidP="008E0E79">
            <w:pPr>
              <w:spacing w:before="80" w:after="80"/>
              <w:rPr>
                <w:b/>
              </w:rPr>
            </w:pPr>
            <w:r w:rsidRPr="007E40AE">
              <w:rPr>
                <w:b/>
              </w:rPr>
              <w:t>234</w:t>
            </w:r>
          </w:p>
        </w:tc>
        <w:tc>
          <w:tcPr>
            <w:tcW w:w="1440" w:type="dxa"/>
          </w:tcPr>
          <w:p w:rsidR="00E73071" w:rsidRPr="007E40AE" w:rsidRDefault="00E73071" w:rsidP="008E0E79">
            <w:pPr>
              <w:spacing w:before="80" w:after="80"/>
            </w:pPr>
            <w:r w:rsidRPr="007E40AE">
              <w:t xml:space="preserve">0530(2)(c) </w:t>
            </w:r>
          </w:p>
        </w:tc>
        <w:tc>
          <w:tcPr>
            <w:tcW w:w="5850" w:type="dxa"/>
          </w:tcPr>
          <w:p w:rsidR="00E73071" w:rsidRPr="007E40AE" w:rsidRDefault="00E73071" w:rsidP="008E0E79">
            <w:pPr>
              <w:spacing w:before="80" w:after="80"/>
            </w:pPr>
            <w:r w:rsidRPr="007E40AE">
              <w:t>Replace fuel burning equipment with external combustion device</w:t>
            </w:r>
          </w:p>
        </w:tc>
        <w:tc>
          <w:tcPr>
            <w:tcW w:w="6390" w:type="dxa"/>
          </w:tcPr>
          <w:p w:rsidR="00E73071" w:rsidRPr="007E40AE" w:rsidRDefault="00E73071" w:rsidP="008E0E79">
            <w:pPr>
              <w:spacing w:before="80" w:after="80"/>
            </w:pPr>
            <w:r w:rsidRPr="007E40AE">
              <w:t>Avoids confusion about indirect heat transfer (e.g., boilers), direct heat transfer (e.g., dryers), and internal combustion devices (e.g., gas turbines).</w:t>
            </w:r>
          </w:p>
        </w:tc>
      </w:tr>
      <w:tr w:rsidR="00E73071" w:rsidTr="0028683C">
        <w:tc>
          <w:tcPr>
            <w:tcW w:w="918" w:type="dxa"/>
          </w:tcPr>
          <w:p w:rsidR="00E73071" w:rsidRPr="00331019" w:rsidRDefault="00E73071" w:rsidP="008E0E79">
            <w:pPr>
              <w:spacing w:before="80" w:after="80"/>
              <w:rPr>
                <w:b/>
              </w:rPr>
            </w:pPr>
            <w:r>
              <w:rPr>
                <w:b/>
              </w:rPr>
              <w:t>234</w:t>
            </w:r>
          </w:p>
        </w:tc>
        <w:tc>
          <w:tcPr>
            <w:tcW w:w="1440" w:type="dxa"/>
          </w:tcPr>
          <w:p w:rsidR="00E73071" w:rsidRDefault="00E73071" w:rsidP="008E0E79">
            <w:pPr>
              <w:spacing w:before="80" w:after="80"/>
            </w:pPr>
            <w:r>
              <w:t>0540</w:t>
            </w:r>
          </w:p>
        </w:tc>
        <w:tc>
          <w:tcPr>
            <w:tcW w:w="5850" w:type="dxa"/>
          </w:tcPr>
          <w:p w:rsidR="00E73071" w:rsidRDefault="00E73071" w:rsidP="008E0E79">
            <w:pPr>
              <w:spacing w:before="80" w:after="80"/>
            </w:pPr>
            <w:r>
              <w:t>Add a rule for Testing and Monitoring</w:t>
            </w:r>
          </w:p>
        </w:tc>
        <w:tc>
          <w:tcPr>
            <w:tcW w:w="6390" w:type="dxa"/>
          </w:tcPr>
          <w:p w:rsidR="00E73071" w:rsidRDefault="00E73071" w:rsidP="008E0E79">
            <w:pPr>
              <w:spacing w:before="80" w:after="80"/>
            </w:pPr>
            <w:r>
              <w:t>A test method should always be specified with each standard  in order to be able to show compliance</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0010(1)</w:t>
            </w:r>
          </w:p>
        </w:tc>
        <w:tc>
          <w:tcPr>
            <w:tcW w:w="5850" w:type="dxa"/>
          </w:tcPr>
          <w:p w:rsidR="00E73071" w:rsidRDefault="00E73071" w:rsidP="00F61DCA">
            <w:pPr>
              <w:spacing w:before="80" w:after="80"/>
            </w:pPr>
            <w:r>
              <w:t>Delete definition of all sources</w:t>
            </w:r>
          </w:p>
        </w:tc>
        <w:tc>
          <w:tcPr>
            <w:tcW w:w="6390" w:type="dxa"/>
          </w:tcPr>
          <w:p w:rsidR="00E73071" w:rsidRDefault="00E73071" w:rsidP="00F61DCA">
            <w:pPr>
              <w:spacing w:before="80" w:after="80"/>
            </w:pPr>
            <w:r>
              <w:t>No longer needed since primary aluminum and ferronickel rules are being repealed</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0010(2)</w:t>
            </w:r>
          </w:p>
        </w:tc>
        <w:tc>
          <w:tcPr>
            <w:tcW w:w="5850" w:type="dxa"/>
          </w:tcPr>
          <w:p w:rsidR="00E73071" w:rsidRDefault="00E73071" w:rsidP="00F61DCA">
            <w:pPr>
              <w:spacing w:before="80" w:after="80"/>
            </w:pPr>
            <w:r>
              <w:t>Delete definition of annual average</w:t>
            </w:r>
          </w:p>
        </w:tc>
        <w:tc>
          <w:tcPr>
            <w:tcW w:w="6390" w:type="dxa"/>
          </w:tcPr>
          <w:p w:rsidR="00E73071" w:rsidRDefault="00E73071" w:rsidP="00F61DCA">
            <w:pPr>
              <w:spacing w:before="80" w:after="80"/>
            </w:pPr>
            <w:r>
              <w:t>No longer needed since primary aluminum rules are being repealed</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0010(3)</w:t>
            </w:r>
          </w:p>
        </w:tc>
        <w:tc>
          <w:tcPr>
            <w:tcW w:w="5850" w:type="dxa"/>
          </w:tcPr>
          <w:p w:rsidR="00E73071" w:rsidRDefault="00E73071" w:rsidP="00F61DCA">
            <w:pPr>
              <w:spacing w:before="80" w:after="80"/>
            </w:pPr>
            <w:r>
              <w:t>Delete definition of anode baking plant</w:t>
            </w:r>
          </w:p>
        </w:tc>
        <w:tc>
          <w:tcPr>
            <w:tcW w:w="6390" w:type="dxa"/>
          </w:tcPr>
          <w:p w:rsidR="00E73071" w:rsidRDefault="00E73071" w:rsidP="00F61DCA">
            <w:pPr>
              <w:spacing w:before="80" w:after="80"/>
            </w:pPr>
            <w:r>
              <w:t>No longer needed since primary aluminum rules are being repealed</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0010(4)</w:t>
            </w:r>
          </w:p>
        </w:tc>
        <w:tc>
          <w:tcPr>
            <w:tcW w:w="5850" w:type="dxa"/>
          </w:tcPr>
          <w:p w:rsidR="00E73071" w:rsidRDefault="00E73071" w:rsidP="00F61DCA">
            <w:pPr>
              <w:spacing w:before="80" w:after="80"/>
            </w:pPr>
            <w:r>
              <w:t>Delete definition of anode plant</w:t>
            </w:r>
          </w:p>
        </w:tc>
        <w:tc>
          <w:tcPr>
            <w:tcW w:w="6390" w:type="dxa"/>
          </w:tcPr>
          <w:p w:rsidR="00E73071" w:rsidRDefault="00E73071" w:rsidP="00F61DCA">
            <w:pPr>
              <w:spacing w:before="80" w:after="80"/>
            </w:pPr>
            <w:r>
              <w:t>No longer needed since primary aluminum rules are being repealed</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0010(5)</w:t>
            </w:r>
          </w:p>
        </w:tc>
        <w:tc>
          <w:tcPr>
            <w:tcW w:w="5850" w:type="dxa"/>
          </w:tcPr>
          <w:p w:rsidR="00E73071" w:rsidRDefault="00E73071" w:rsidP="00F61DCA">
            <w:pPr>
              <w:spacing w:before="80" w:after="80"/>
            </w:pPr>
            <w:r>
              <w:t>Delete definition of average dry laterite ore production rate</w:t>
            </w:r>
          </w:p>
        </w:tc>
        <w:tc>
          <w:tcPr>
            <w:tcW w:w="6390" w:type="dxa"/>
          </w:tcPr>
          <w:p w:rsidR="00E73071" w:rsidRDefault="00E73071" w:rsidP="00F61DCA">
            <w:pPr>
              <w:spacing w:before="80" w:after="80"/>
            </w:pPr>
            <w:r>
              <w:t>No longer needed since ferronickel rules are being repealed</w:t>
            </w:r>
          </w:p>
        </w:tc>
      </w:tr>
      <w:tr w:rsidR="00E73071" w:rsidTr="0028683C">
        <w:tc>
          <w:tcPr>
            <w:tcW w:w="918" w:type="dxa"/>
          </w:tcPr>
          <w:p w:rsidR="00E73071" w:rsidRDefault="00E73071" w:rsidP="008E0E79">
            <w:pPr>
              <w:spacing w:before="80" w:after="80"/>
            </w:pPr>
            <w:r w:rsidRPr="00331019">
              <w:rPr>
                <w:b/>
              </w:rPr>
              <w:t>2</w:t>
            </w:r>
            <w:r>
              <w:rPr>
                <w:b/>
              </w:rPr>
              <w:t>36</w:t>
            </w:r>
          </w:p>
        </w:tc>
        <w:tc>
          <w:tcPr>
            <w:tcW w:w="1440" w:type="dxa"/>
          </w:tcPr>
          <w:p w:rsidR="00E73071" w:rsidRPr="008923DE" w:rsidRDefault="00E73071" w:rsidP="008E0E79">
            <w:pPr>
              <w:spacing w:before="80" w:after="80"/>
            </w:pPr>
            <w:r>
              <w:t>0010(6)</w:t>
            </w:r>
          </w:p>
        </w:tc>
        <w:tc>
          <w:tcPr>
            <w:tcW w:w="5850" w:type="dxa"/>
          </w:tcPr>
          <w:p w:rsidR="00E73071" w:rsidRDefault="00E73071" w:rsidP="008E0E79">
            <w:pPr>
              <w:spacing w:before="80" w:after="80"/>
            </w:pPr>
            <w:r>
              <w:t>Definition of collection efficiency different from Division 240</w:t>
            </w:r>
          </w:p>
        </w:tc>
        <w:tc>
          <w:tcPr>
            <w:tcW w:w="6390" w:type="dxa"/>
          </w:tcPr>
          <w:p w:rsidR="00E73071" w:rsidRPr="008923DE" w:rsidRDefault="00E73071" w:rsidP="008E0E79">
            <w:pPr>
              <w:spacing w:before="80" w:after="80"/>
            </w:pPr>
            <w:r>
              <w:t>Use Division 240 definition and move to Division 200</w:t>
            </w:r>
          </w:p>
        </w:tc>
      </w:tr>
      <w:tr w:rsidR="00E73071" w:rsidTr="0028683C">
        <w:tc>
          <w:tcPr>
            <w:tcW w:w="918" w:type="dxa"/>
          </w:tcPr>
          <w:p w:rsidR="00E73071" w:rsidRPr="008923DE" w:rsidRDefault="00E73071" w:rsidP="008E0E79">
            <w:pPr>
              <w:spacing w:before="80" w:after="80"/>
              <w:rPr>
                <w:b/>
              </w:rPr>
            </w:pPr>
            <w:r>
              <w:rPr>
                <w:b/>
              </w:rPr>
              <w:t>236</w:t>
            </w:r>
          </w:p>
        </w:tc>
        <w:tc>
          <w:tcPr>
            <w:tcW w:w="1440" w:type="dxa"/>
          </w:tcPr>
          <w:p w:rsidR="00E73071" w:rsidRPr="008923DE" w:rsidRDefault="00E73071" w:rsidP="008E0E79">
            <w:pPr>
              <w:spacing w:before="80" w:after="80"/>
            </w:pPr>
            <w:r>
              <w:t>0010(7)</w:t>
            </w:r>
          </w:p>
        </w:tc>
        <w:tc>
          <w:tcPr>
            <w:tcW w:w="5850" w:type="dxa"/>
          </w:tcPr>
          <w:p w:rsidR="00E73071" w:rsidRPr="008923DE" w:rsidRDefault="00E73071" w:rsidP="008E0E79">
            <w:pPr>
              <w:spacing w:before="80" w:after="80"/>
            </w:pPr>
            <w:r>
              <w:t>Definition of Commission different from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0010(8)</w:t>
            </w:r>
          </w:p>
        </w:tc>
        <w:tc>
          <w:tcPr>
            <w:tcW w:w="5850" w:type="dxa"/>
          </w:tcPr>
          <w:p w:rsidR="00E73071" w:rsidRDefault="00E73071" w:rsidP="00F61DCA">
            <w:pPr>
              <w:spacing w:before="80" w:after="80"/>
            </w:pPr>
            <w:r>
              <w:t>Delete definition of cured forage</w:t>
            </w:r>
          </w:p>
        </w:tc>
        <w:tc>
          <w:tcPr>
            <w:tcW w:w="6390" w:type="dxa"/>
          </w:tcPr>
          <w:p w:rsidR="00E73071" w:rsidRDefault="00E73071" w:rsidP="00F61DCA">
            <w:pPr>
              <w:spacing w:before="80" w:after="80"/>
            </w:pPr>
            <w:r>
              <w:t>No longer needed since primary aluminum rules are being repealed</w:t>
            </w:r>
          </w:p>
        </w:tc>
      </w:tr>
      <w:tr w:rsidR="00E73071" w:rsidTr="0028683C">
        <w:tc>
          <w:tcPr>
            <w:tcW w:w="918" w:type="dxa"/>
          </w:tcPr>
          <w:p w:rsidR="00E73071" w:rsidRPr="008923DE" w:rsidRDefault="00E73071" w:rsidP="008E0E79">
            <w:pPr>
              <w:spacing w:before="80" w:after="80"/>
              <w:rPr>
                <w:b/>
              </w:rPr>
            </w:pPr>
            <w:r>
              <w:rPr>
                <w:b/>
              </w:rPr>
              <w:lastRenderedPageBreak/>
              <w:t>236</w:t>
            </w:r>
          </w:p>
        </w:tc>
        <w:tc>
          <w:tcPr>
            <w:tcW w:w="1440" w:type="dxa"/>
          </w:tcPr>
          <w:p w:rsidR="00E73071" w:rsidRPr="008923DE" w:rsidRDefault="00E73071" w:rsidP="008E0E79">
            <w:pPr>
              <w:spacing w:before="80" w:after="80"/>
            </w:pPr>
            <w:r>
              <w:t>0010(9)</w:t>
            </w:r>
          </w:p>
        </w:tc>
        <w:tc>
          <w:tcPr>
            <w:tcW w:w="5850" w:type="dxa"/>
          </w:tcPr>
          <w:p w:rsidR="00E73071" w:rsidRPr="008923DE" w:rsidRDefault="00E73071" w:rsidP="008E0E79">
            <w:pPr>
              <w:spacing w:before="80" w:after="80"/>
            </w:pPr>
            <w:r>
              <w:t>Definition of Department different from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0010(11)</w:t>
            </w:r>
          </w:p>
        </w:tc>
        <w:tc>
          <w:tcPr>
            <w:tcW w:w="5850" w:type="dxa"/>
          </w:tcPr>
          <w:p w:rsidR="00E73071" w:rsidRDefault="00E73071" w:rsidP="00F61DCA">
            <w:pPr>
              <w:spacing w:before="80" w:after="80"/>
            </w:pPr>
            <w:r>
              <w:t xml:space="preserve">Delete definition of average dry laterite ore </w:t>
            </w:r>
          </w:p>
        </w:tc>
        <w:tc>
          <w:tcPr>
            <w:tcW w:w="6390" w:type="dxa"/>
          </w:tcPr>
          <w:p w:rsidR="00E73071" w:rsidRDefault="00E73071" w:rsidP="00F61DCA">
            <w:pPr>
              <w:spacing w:before="80" w:after="80"/>
            </w:pPr>
            <w:r>
              <w:t>No longer needed since ferronickel rules are being repealed</w:t>
            </w:r>
          </w:p>
        </w:tc>
      </w:tr>
      <w:tr w:rsidR="00E73071" w:rsidTr="0028683C">
        <w:tc>
          <w:tcPr>
            <w:tcW w:w="918" w:type="dxa"/>
          </w:tcPr>
          <w:p w:rsidR="00E73071" w:rsidRPr="008923DE" w:rsidRDefault="00E73071" w:rsidP="008E0E79">
            <w:pPr>
              <w:spacing w:before="80" w:after="80"/>
              <w:rPr>
                <w:b/>
              </w:rPr>
            </w:pPr>
            <w:r>
              <w:rPr>
                <w:b/>
              </w:rPr>
              <w:t>236</w:t>
            </w:r>
          </w:p>
        </w:tc>
        <w:tc>
          <w:tcPr>
            <w:tcW w:w="1440" w:type="dxa"/>
          </w:tcPr>
          <w:p w:rsidR="00E73071" w:rsidRPr="008923DE" w:rsidRDefault="00E73071" w:rsidP="008E0E79">
            <w:pPr>
              <w:spacing w:before="80" w:after="80"/>
            </w:pPr>
            <w:r>
              <w:t>0010(12)</w:t>
            </w:r>
          </w:p>
        </w:tc>
        <w:tc>
          <w:tcPr>
            <w:tcW w:w="5850" w:type="dxa"/>
          </w:tcPr>
          <w:p w:rsidR="00E73071" w:rsidRPr="008923DE" w:rsidRDefault="00E73071" w:rsidP="008E0E79">
            <w:pPr>
              <w:spacing w:before="80" w:after="80"/>
            </w:pPr>
            <w:r>
              <w:t>Definition of emission different from Division 200, same as Division 240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0010(14)</w:t>
            </w:r>
          </w:p>
        </w:tc>
        <w:tc>
          <w:tcPr>
            <w:tcW w:w="5850" w:type="dxa"/>
          </w:tcPr>
          <w:p w:rsidR="00E73071" w:rsidRDefault="00E73071" w:rsidP="00F61DCA">
            <w:pPr>
              <w:spacing w:before="80" w:after="80"/>
            </w:pPr>
            <w:r>
              <w:t xml:space="preserve">Delete definition of ferronickel </w:t>
            </w:r>
          </w:p>
        </w:tc>
        <w:tc>
          <w:tcPr>
            <w:tcW w:w="6390" w:type="dxa"/>
          </w:tcPr>
          <w:p w:rsidR="00E73071" w:rsidRDefault="00E73071" w:rsidP="00F61DCA">
            <w:pPr>
              <w:spacing w:before="80" w:after="80"/>
            </w:pPr>
            <w:r>
              <w:t>No longer needed since ferronickel rules are being repealed</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0010(15)</w:t>
            </w:r>
          </w:p>
        </w:tc>
        <w:tc>
          <w:tcPr>
            <w:tcW w:w="5850" w:type="dxa"/>
          </w:tcPr>
          <w:p w:rsidR="00E73071" w:rsidRDefault="00E73071" w:rsidP="00F61DCA">
            <w:pPr>
              <w:spacing w:before="80" w:after="80"/>
            </w:pPr>
            <w:r>
              <w:t>Delete definition of fluorides</w:t>
            </w:r>
          </w:p>
        </w:tc>
        <w:tc>
          <w:tcPr>
            <w:tcW w:w="6390" w:type="dxa"/>
          </w:tcPr>
          <w:p w:rsidR="00E73071" w:rsidRDefault="00E73071" w:rsidP="00F61DCA">
            <w:pPr>
              <w:spacing w:before="80" w:after="80"/>
            </w:pPr>
            <w:r>
              <w:t>No longer needed since primary aluminum rules are being repealed</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0010(16)</w:t>
            </w:r>
          </w:p>
        </w:tc>
        <w:tc>
          <w:tcPr>
            <w:tcW w:w="5850" w:type="dxa"/>
          </w:tcPr>
          <w:p w:rsidR="00E73071" w:rsidRDefault="00E73071" w:rsidP="00F61DCA">
            <w:pPr>
              <w:spacing w:before="80" w:after="80"/>
            </w:pPr>
            <w:r>
              <w:t xml:space="preserve">Delete definition of forage </w:t>
            </w:r>
          </w:p>
        </w:tc>
        <w:tc>
          <w:tcPr>
            <w:tcW w:w="6390" w:type="dxa"/>
          </w:tcPr>
          <w:p w:rsidR="00E73071" w:rsidRDefault="00E73071" w:rsidP="00F61DCA">
            <w:pPr>
              <w:spacing w:before="80" w:after="80"/>
            </w:pPr>
            <w:r>
              <w:t>No longer needed since primary aluminum rules are being repealed</w:t>
            </w:r>
          </w:p>
        </w:tc>
      </w:tr>
      <w:tr w:rsidR="00E73071" w:rsidTr="0028683C">
        <w:tc>
          <w:tcPr>
            <w:tcW w:w="918" w:type="dxa"/>
          </w:tcPr>
          <w:p w:rsidR="00E73071" w:rsidRPr="000D1794" w:rsidRDefault="00E73071" w:rsidP="008E0E79">
            <w:pPr>
              <w:spacing w:before="80" w:after="80"/>
              <w:rPr>
                <w:b/>
              </w:rPr>
            </w:pPr>
            <w:r w:rsidRPr="000D1794">
              <w:rPr>
                <w:b/>
              </w:rPr>
              <w:t>236</w:t>
            </w:r>
          </w:p>
        </w:tc>
        <w:tc>
          <w:tcPr>
            <w:tcW w:w="1440" w:type="dxa"/>
          </w:tcPr>
          <w:p w:rsidR="00E73071" w:rsidRPr="000D1794" w:rsidRDefault="00E73071" w:rsidP="008E0E79">
            <w:pPr>
              <w:spacing w:before="80" w:after="80"/>
            </w:pPr>
            <w:r w:rsidRPr="000D1794">
              <w:t>0010(17)</w:t>
            </w:r>
          </w:p>
        </w:tc>
        <w:tc>
          <w:tcPr>
            <w:tcW w:w="5850" w:type="dxa"/>
          </w:tcPr>
          <w:p w:rsidR="00E73071" w:rsidRPr="000D1794" w:rsidRDefault="00E73071" w:rsidP="008E0E79">
            <w:pPr>
              <w:spacing w:before="80" w:after="80"/>
            </w:pPr>
            <w:r w:rsidRPr="000D1794">
              <w:t>Definition of fugitive emissions different from Division 200, 234, 240</w:t>
            </w:r>
          </w:p>
        </w:tc>
        <w:tc>
          <w:tcPr>
            <w:tcW w:w="6390" w:type="dxa"/>
          </w:tcPr>
          <w:p w:rsidR="00E73071" w:rsidRPr="000D1794" w:rsidRDefault="00E73071" w:rsidP="008E0E79">
            <w:pPr>
              <w:spacing w:before="80" w:after="80"/>
            </w:pPr>
            <w:r w:rsidRPr="000D1794">
              <w:t>Delete and use Division 200 definition</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0010(19)</w:t>
            </w:r>
          </w:p>
        </w:tc>
        <w:tc>
          <w:tcPr>
            <w:tcW w:w="5850" w:type="dxa"/>
          </w:tcPr>
          <w:p w:rsidR="00E73071" w:rsidRDefault="00E73071" w:rsidP="00F61DCA">
            <w:pPr>
              <w:spacing w:before="80" w:after="80"/>
            </w:pPr>
            <w:r>
              <w:t>Delete definition of laterite ore</w:t>
            </w:r>
          </w:p>
        </w:tc>
        <w:tc>
          <w:tcPr>
            <w:tcW w:w="6390" w:type="dxa"/>
          </w:tcPr>
          <w:p w:rsidR="00E73071" w:rsidRDefault="00E73071" w:rsidP="00F61DCA">
            <w:pPr>
              <w:spacing w:before="80" w:after="80"/>
            </w:pPr>
            <w:r>
              <w:t>No longer needed since ferronickel rules are being repealed</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0010(20)</w:t>
            </w:r>
          </w:p>
        </w:tc>
        <w:tc>
          <w:tcPr>
            <w:tcW w:w="5850" w:type="dxa"/>
          </w:tcPr>
          <w:p w:rsidR="00E73071" w:rsidRDefault="00E73071" w:rsidP="00F61DCA">
            <w:pPr>
              <w:spacing w:before="80" w:after="80"/>
            </w:pPr>
            <w:r>
              <w:t>Delete definition of monthly average</w:t>
            </w:r>
          </w:p>
        </w:tc>
        <w:tc>
          <w:tcPr>
            <w:tcW w:w="6390" w:type="dxa"/>
          </w:tcPr>
          <w:p w:rsidR="00E73071" w:rsidRDefault="00E73071" w:rsidP="00F61DCA">
            <w:pPr>
              <w:spacing w:before="80" w:after="80"/>
            </w:pPr>
            <w:r>
              <w:t>No longer needed since primary aluminum rules are being repealed</w:t>
            </w:r>
          </w:p>
        </w:tc>
      </w:tr>
      <w:tr w:rsidR="00E73071" w:rsidTr="0028683C">
        <w:tc>
          <w:tcPr>
            <w:tcW w:w="918" w:type="dxa"/>
          </w:tcPr>
          <w:p w:rsidR="00E73071" w:rsidRPr="009C651A" w:rsidRDefault="00E73071" w:rsidP="008E0E79">
            <w:pPr>
              <w:spacing w:before="80" w:after="80"/>
            </w:pPr>
            <w:r w:rsidRPr="009C651A">
              <w:rPr>
                <w:b/>
              </w:rPr>
              <w:t>236</w:t>
            </w:r>
          </w:p>
        </w:tc>
        <w:tc>
          <w:tcPr>
            <w:tcW w:w="1440" w:type="dxa"/>
          </w:tcPr>
          <w:p w:rsidR="00E73071" w:rsidRPr="009C651A" w:rsidRDefault="00E73071" w:rsidP="008E0E79">
            <w:pPr>
              <w:spacing w:before="80" w:after="80"/>
            </w:pPr>
            <w:r w:rsidRPr="009C651A">
              <w:t>0010(21)</w:t>
            </w:r>
          </w:p>
        </w:tc>
        <w:tc>
          <w:tcPr>
            <w:tcW w:w="5850" w:type="dxa"/>
          </w:tcPr>
          <w:p w:rsidR="00E73071" w:rsidRPr="009C651A" w:rsidRDefault="00E73071" w:rsidP="008E0E79">
            <w:pPr>
              <w:spacing w:before="80" w:after="80"/>
            </w:pPr>
            <w:r w:rsidRPr="009C651A">
              <w:t>Definition of particulate matter different from Division 200, 234, 238, 240</w:t>
            </w:r>
          </w:p>
        </w:tc>
        <w:tc>
          <w:tcPr>
            <w:tcW w:w="6390" w:type="dxa"/>
          </w:tcPr>
          <w:p w:rsidR="00E73071" w:rsidRPr="009C651A" w:rsidRDefault="00E73071" w:rsidP="008E0E79">
            <w:pPr>
              <w:spacing w:before="80" w:after="80"/>
            </w:pPr>
            <w:r w:rsidRPr="009C651A">
              <w:t>Move to Division 200</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0010(22)</w:t>
            </w:r>
          </w:p>
        </w:tc>
        <w:tc>
          <w:tcPr>
            <w:tcW w:w="5850" w:type="dxa"/>
          </w:tcPr>
          <w:p w:rsidR="00E73071" w:rsidRDefault="00E73071" w:rsidP="00F61DCA">
            <w:pPr>
              <w:spacing w:before="80" w:after="80"/>
            </w:pPr>
            <w:r>
              <w:t>Delete definition of primary aluminum plant</w:t>
            </w:r>
          </w:p>
        </w:tc>
        <w:tc>
          <w:tcPr>
            <w:tcW w:w="6390" w:type="dxa"/>
          </w:tcPr>
          <w:p w:rsidR="00E73071" w:rsidRDefault="00E73071" w:rsidP="00F61DCA">
            <w:pPr>
              <w:spacing w:before="80" w:after="80"/>
            </w:pPr>
            <w:r>
              <w:t>No longer needed since primary aluminum rules are being repealed</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0010(24)</w:t>
            </w:r>
          </w:p>
        </w:tc>
        <w:tc>
          <w:tcPr>
            <w:tcW w:w="5850" w:type="dxa"/>
          </w:tcPr>
          <w:p w:rsidR="00E73071" w:rsidRDefault="00E73071" w:rsidP="00F61DCA">
            <w:pPr>
              <w:spacing w:before="80" w:after="80"/>
            </w:pPr>
            <w:r>
              <w:t>Delete definition of pot line primary emission control systems</w:t>
            </w:r>
          </w:p>
        </w:tc>
        <w:tc>
          <w:tcPr>
            <w:tcW w:w="6390" w:type="dxa"/>
          </w:tcPr>
          <w:p w:rsidR="00E73071" w:rsidRDefault="00E73071" w:rsidP="00F61DCA">
            <w:pPr>
              <w:spacing w:before="80" w:after="80"/>
            </w:pPr>
            <w:r>
              <w:t>No longer needed since primary aluminum rules are being repealed</w:t>
            </w:r>
          </w:p>
        </w:tc>
      </w:tr>
      <w:tr w:rsidR="00E73071" w:rsidTr="0028683C">
        <w:tc>
          <w:tcPr>
            <w:tcW w:w="918" w:type="dxa"/>
          </w:tcPr>
          <w:p w:rsidR="00E73071" w:rsidRPr="00331019" w:rsidRDefault="00E73071" w:rsidP="00F61DCA">
            <w:pPr>
              <w:spacing w:before="80" w:after="80"/>
              <w:rPr>
                <w:b/>
              </w:rPr>
            </w:pPr>
            <w:r>
              <w:rPr>
                <w:b/>
              </w:rPr>
              <w:t>236</w:t>
            </w:r>
          </w:p>
        </w:tc>
        <w:tc>
          <w:tcPr>
            <w:tcW w:w="1440" w:type="dxa"/>
          </w:tcPr>
          <w:p w:rsidR="00E73071" w:rsidRDefault="00E73071" w:rsidP="00F61DCA">
            <w:pPr>
              <w:spacing w:before="80" w:after="80"/>
            </w:pPr>
            <w:r>
              <w:t>0010(26)</w:t>
            </w:r>
          </w:p>
        </w:tc>
        <w:tc>
          <w:tcPr>
            <w:tcW w:w="5850" w:type="dxa"/>
          </w:tcPr>
          <w:p w:rsidR="00E73071" w:rsidRDefault="00E73071" w:rsidP="00F61DCA">
            <w:pPr>
              <w:spacing w:before="80" w:after="80"/>
            </w:pPr>
            <w:r>
              <w:t>Delete definition of pot line regularly schedule monitoring</w:t>
            </w:r>
          </w:p>
        </w:tc>
        <w:tc>
          <w:tcPr>
            <w:tcW w:w="6390" w:type="dxa"/>
          </w:tcPr>
          <w:p w:rsidR="00E73071" w:rsidRDefault="00E73071" w:rsidP="00F61DCA">
            <w:pPr>
              <w:spacing w:before="80" w:after="80"/>
            </w:pPr>
            <w:r>
              <w:t>No longer needed since primary aluminum rules are being repealed</w:t>
            </w:r>
          </w:p>
        </w:tc>
      </w:tr>
      <w:tr w:rsidR="00E73071" w:rsidTr="0028683C">
        <w:tc>
          <w:tcPr>
            <w:tcW w:w="918" w:type="dxa"/>
          </w:tcPr>
          <w:p w:rsidR="00E73071" w:rsidRPr="008923DE" w:rsidRDefault="00E73071" w:rsidP="008E0E79">
            <w:pPr>
              <w:spacing w:before="80" w:after="80"/>
              <w:rPr>
                <w:b/>
              </w:rPr>
            </w:pPr>
            <w:r>
              <w:rPr>
                <w:b/>
              </w:rPr>
              <w:t>236</w:t>
            </w:r>
          </w:p>
        </w:tc>
        <w:tc>
          <w:tcPr>
            <w:tcW w:w="1440" w:type="dxa"/>
          </w:tcPr>
          <w:p w:rsidR="00E73071" w:rsidRPr="008923DE" w:rsidRDefault="00E73071" w:rsidP="008E0E79">
            <w:pPr>
              <w:spacing w:before="80" w:after="80"/>
            </w:pPr>
            <w:r>
              <w:t>0010(27)</w:t>
            </w:r>
          </w:p>
        </w:tc>
        <w:tc>
          <w:tcPr>
            <w:tcW w:w="5850" w:type="dxa"/>
          </w:tcPr>
          <w:p w:rsidR="00E73071" w:rsidRPr="008923DE" w:rsidRDefault="00E73071" w:rsidP="008E0E79">
            <w:pPr>
              <w:spacing w:before="80" w:after="80"/>
            </w:pPr>
            <w:r>
              <w:t>Definition of source test already in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Pr="00DC7BAD" w:rsidRDefault="00E73071" w:rsidP="008E0E79">
            <w:pPr>
              <w:spacing w:before="80" w:after="80"/>
              <w:rPr>
                <w:b/>
              </w:rPr>
            </w:pPr>
            <w:r w:rsidRPr="00DC7BAD">
              <w:rPr>
                <w:b/>
              </w:rPr>
              <w:t>236</w:t>
            </w:r>
          </w:p>
        </w:tc>
        <w:tc>
          <w:tcPr>
            <w:tcW w:w="1440" w:type="dxa"/>
          </w:tcPr>
          <w:p w:rsidR="00E73071" w:rsidRPr="00DC7BAD" w:rsidRDefault="00E73071" w:rsidP="008E0E79">
            <w:pPr>
              <w:spacing w:before="80" w:after="80"/>
            </w:pPr>
            <w:r w:rsidRPr="00DC7BAD">
              <w:t>0010(28)</w:t>
            </w:r>
          </w:p>
        </w:tc>
        <w:tc>
          <w:tcPr>
            <w:tcW w:w="5850" w:type="dxa"/>
          </w:tcPr>
          <w:p w:rsidR="00E73071" w:rsidRPr="00DC7BAD" w:rsidRDefault="00E73071" w:rsidP="008E0E79">
            <w:pPr>
              <w:spacing w:before="80" w:after="80"/>
            </w:pPr>
            <w:r w:rsidRPr="00DC7BAD">
              <w:t xml:space="preserve">Definition of standard cubic foot different from Division 236 and 240 </w:t>
            </w:r>
          </w:p>
        </w:tc>
        <w:tc>
          <w:tcPr>
            <w:tcW w:w="6390" w:type="dxa"/>
          </w:tcPr>
          <w:p w:rsidR="00E73071" w:rsidRPr="00DC7BAD" w:rsidRDefault="00E73071" w:rsidP="008E0E79">
            <w:pPr>
              <w:spacing w:before="80" w:after="80"/>
            </w:pPr>
            <w:r w:rsidRPr="00DC7BAD">
              <w:t xml:space="preserve">Use definition in 240 and move to Division 200 </w:t>
            </w:r>
          </w:p>
        </w:tc>
      </w:tr>
      <w:tr w:rsidR="00E73071" w:rsidRPr="007E40AE" w:rsidTr="0028683C">
        <w:tc>
          <w:tcPr>
            <w:tcW w:w="918" w:type="dxa"/>
          </w:tcPr>
          <w:p w:rsidR="00E73071" w:rsidRPr="007E40AE" w:rsidRDefault="00E73071" w:rsidP="008E0E79">
            <w:pPr>
              <w:spacing w:before="80" w:after="80"/>
              <w:rPr>
                <w:b/>
              </w:rPr>
            </w:pPr>
            <w:r>
              <w:rPr>
                <w:b/>
              </w:rPr>
              <w:t>236</w:t>
            </w:r>
          </w:p>
        </w:tc>
        <w:tc>
          <w:tcPr>
            <w:tcW w:w="1440" w:type="dxa"/>
          </w:tcPr>
          <w:p w:rsidR="00E73071" w:rsidRPr="007E40AE" w:rsidRDefault="00E73071" w:rsidP="008E0E79">
            <w:pPr>
              <w:spacing w:before="80" w:after="80"/>
            </w:pPr>
            <w:r>
              <w:t>0100-0150</w:t>
            </w:r>
          </w:p>
        </w:tc>
        <w:tc>
          <w:tcPr>
            <w:tcW w:w="5850" w:type="dxa"/>
          </w:tcPr>
          <w:p w:rsidR="00E73071" w:rsidRPr="007E40AE" w:rsidRDefault="00E73071" w:rsidP="008E0E79">
            <w:pPr>
              <w:spacing w:before="80" w:after="80"/>
            </w:pPr>
            <w:r>
              <w:t>Delete primary aluminum standards</w:t>
            </w:r>
          </w:p>
        </w:tc>
        <w:tc>
          <w:tcPr>
            <w:tcW w:w="6390" w:type="dxa"/>
          </w:tcPr>
          <w:p w:rsidR="00E73071" w:rsidRPr="007E40AE" w:rsidRDefault="00E73071" w:rsidP="00C51062">
            <w:pPr>
              <w:spacing w:before="80" w:after="80"/>
            </w:pPr>
            <w:r>
              <w:t xml:space="preserve">These sources no longer exist in the state.  If a new source did build a facility, New Source Review, New Source Performance Standards and MACT would apply. These rules would be more stringent than the existing rules.  </w:t>
            </w:r>
            <w:r w:rsidRPr="00B62FF1">
              <w:t>(Proposed SIP Implementation Change)</w:t>
            </w:r>
          </w:p>
        </w:tc>
      </w:tr>
      <w:tr w:rsidR="00E73071" w:rsidTr="0028683C">
        <w:tc>
          <w:tcPr>
            <w:tcW w:w="918" w:type="dxa"/>
          </w:tcPr>
          <w:p w:rsidR="00E73071" w:rsidRPr="008923DE" w:rsidRDefault="00E73071" w:rsidP="008E0E79">
            <w:pPr>
              <w:spacing w:before="80" w:after="80"/>
              <w:rPr>
                <w:b/>
              </w:rPr>
            </w:pPr>
            <w:r>
              <w:rPr>
                <w:b/>
              </w:rPr>
              <w:t>236</w:t>
            </w:r>
          </w:p>
        </w:tc>
        <w:tc>
          <w:tcPr>
            <w:tcW w:w="1440" w:type="dxa"/>
          </w:tcPr>
          <w:p w:rsidR="00E73071" w:rsidRPr="008923DE" w:rsidRDefault="00E73071" w:rsidP="008E0E79">
            <w:pPr>
              <w:spacing w:before="80" w:after="80"/>
            </w:pPr>
            <w:r>
              <w:t>0200-0230</w:t>
            </w:r>
          </w:p>
        </w:tc>
        <w:tc>
          <w:tcPr>
            <w:tcW w:w="5850" w:type="dxa"/>
          </w:tcPr>
          <w:p w:rsidR="00E73071" w:rsidRPr="008923DE" w:rsidRDefault="00E73071" w:rsidP="008E0E79">
            <w:pPr>
              <w:spacing w:before="80" w:after="80"/>
            </w:pPr>
            <w:r>
              <w:t>Delete laterite ore production of ferronickel rules</w:t>
            </w:r>
          </w:p>
        </w:tc>
        <w:tc>
          <w:tcPr>
            <w:tcW w:w="6390" w:type="dxa"/>
          </w:tcPr>
          <w:p w:rsidR="00E73071" w:rsidRPr="007E40AE" w:rsidRDefault="00E73071" w:rsidP="00C51062">
            <w:pPr>
              <w:spacing w:before="80" w:after="80"/>
            </w:pPr>
            <w:r>
              <w:t xml:space="preserve">These sources no longer exist in the state.  If a new source did build a facility, New Source Review, New Source Performance Standards and MACT would apply. These rules would be more stringent than the existing rules.  </w:t>
            </w:r>
            <w:r w:rsidRPr="00B62FF1">
              <w:t>(Proposed SIP Implementation Change)</w:t>
            </w:r>
          </w:p>
        </w:tc>
      </w:tr>
      <w:tr w:rsidR="00E73071" w:rsidTr="0028683C">
        <w:tc>
          <w:tcPr>
            <w:tcW w:w="918" w:type="dxa"/>
          </w:tcPr>
          <w:p w:rsidR="00E73071" w:rsidRPr="008923DE" w:rsidRDefault="00E73071" w:rsidP="008E0E79">
            <w:pPr>
              <w:spacing w:before="80" w:after="80"/>
              <w:rPr>
                <w:b/>
              </w:rPr>
            </w:pPr>
            <w:r w:rsidRPr="008923DE">
              <w:rPr>
                <w:b/>
              </w:rPr>
              <w:t>236</w:t>
            </w:r>
          </w:p>
        </w:tc>
        <w:tc>
          <w:tcPr>
            <w:tcW w:w="1440" w:type="dxa"/>
          </w:tcPr>
          <w:p w:rsidR="00E73071" w:rsidRPr="008923DE" w:rsidRDefault="00E73071" w:rsidP="008E0E79">
            <w:pPr>
              <w:spacing w:before="80" w:after="80"/>
            </w:pPr>
            <w:r w:rsidRPr="008923DE">
              <w:t>0410</w:t>
            </w:r>
          </w:p>
        </w:tc>
        <w:tc>
          <w:tcPr>
            <w:tcW w:w="5850" w:type="dxa"/>
          </w:tcPr>
          <w:p w:rsidR="00E73071" w:rsidRPr="008923DE" w:rsidRDefault="00E73071" w:rsidP="008E0E79">
            <w:pPr>
              <w:spacing w:before="80" w:after="80"/>
            </w:pPr>
            <w:r w:rsidRPr="008923DE">
              <w:t>Eliminate different standards for inside and outside of special control areas.</w:t>
            </w:r>
          </w:p>
        </w:tc>
        <w:tc>
          <w:tcPr>
            <w:tcW w:w="6390" w:type="dxa"/>
          </w:tcPr>
          <w:p w:rsidR="00E73071" w:rsidRPr="008923DE" w:rsidRDefault="00E73071" w:rsidP="003A115B">
            <w:pPr>
              <w:spacing w:before="80" w:after="80"/>
            </w:pPr>
            <w:r>
              <w:t xml:space="preserve">All asphalt plants should comply with the requirements, regardless of where they are located.  </w:t>
            </w:r>
            <w:r w:rsidRPr="00B62FF1">
              <w:t>(Proposed SIP Implementation Change)</w:t>
            </w:r>
          </w:p>
        </w:tc>
      </w:tr>
      <w:tr w:rsidR="00E73071" w:rsidTr="0028683C">
        <w:tc>
          <w:tcPr>
            <w:tcW w:w="918" w:type="dxa"/>
          </w:tcPr>
          <w:p w:rsidR="00E73071" w:rsidRPr="009F4017" w:rsidRDefault="00E73071" w:rsidP="008E0E79">
            <w:pPr>
              <w:spacing w:before="80" w:after="80"/>
              <w:rPr>
                <w:b/>
              </w:rPr>
            </w:pPr>
            <w:r w:rsidRPr="009F4017">
              <w:rPr>
                <w:b/>
              </w:rPr>
              <w:lastRenderedPageBreak/>
              <w:t>236</w:t>
            </w:r>
          </w:p>
        </w:tc>
        <w:tc>
          <w:tcPr>
            <w:tcW w:w="1440" w:type="dxa"/>
          </w:tcPr>
          <w:p w:rsidR="00E73071" w:rsidRPr="009F4017" w:rsidRDefault="00E73071" w:rsidP="008E0E79">
            <w:pPr>
              <w:spacing w:before="80" w:after="80"/>
            </w:pPr>
            <w:r w:rsidRPr="009F4017">
              <w:t>0410</w:t>
            </w:r>
          </w:p>
        </w:tc>
        <w:tc>
          <w:tcPr>
            <w:tcW w:w="5850" w:type="dxa"/>
          </w:tcPr>
          <w:p w:rsidR="00E73071" w:rsidRPr="009F4017" w:rsidRDefault="00E73071" w:rsidP="008E0E79">
            <w:pPr>
              <w:spacing w:before="80" w:after="80"/>
            </w:pPr>
            <w:r w:rsidRPr="009F4017">
              <w:t>Make all existing asphalt plants comply with the state standard</w:t>
            </w:r>
            <w:r>
              <w:t>s</w:t>
            </w:r>
            <w:r w:rsidRPr="009F4017">
              <w:t xml:space="preserve"> and all new plants comply with the NSPS.  </w:t>
            </w:r>
          </w:p>
        </w:tc>
        <w:tc>
          <w:tcPr>
            <w:tcW w:w="6390" w:type="dxa"/>
          </w:tcPr>
          <w:p w:rsidR="00E73071" w:rsidRPr="00974F06" w:rsidRDefault="00E73071" w:rsidP="008E0E79">
            <w:pPr>
              <w:spacing w:before="80" w:after="80"/>
            </w:pPr>
            <w:r>
              <w:t xml:space="preserve">Clarifies requirements for existing and new asphalt plants and eliminates redundant/conflicting standards.  </w:t>
            </w:r>
            <w:r w:rsidRPr="00974F06">
              <w:t xml:space="preserve">  </w:t>
            </w:r>
          </w:p>
        </w:tc>
      </w:tr>
      <w:tr w:rsidR="00E73071" w:rsidRPr="00992BC7" w:rsidTr="0028683C">
        <w:tc>
          <w:tcPr>
            <w:tcW w:w="918" w:type="dxa"/>
          </w:tcPr>
          <w:p w:rsidR="00E73071" w:rsidRPr="009F4017" w:rsidRDefault="00E73071" w:rsidP="008E0E79">
            <w:pPr>
              <w:spacing w:before="80" w:after="80"/>
              <w:rPr>
                <w:b/>
              </w:rPr>
            </w:pPr>
            <w:r>
              <w:rPr>
                <w:b/>
              </w:rPr>
              <w:t>236</w:t>
            </w:r>
          </w:p>
        </w:tc>
        <w:tc>
          <w:tcPr>
            <w:tcW w:w="1440" w:type="dxa"/>
          </w:tcPr>
          <w:p w:rsidR="00E73071" w:rsidRPr="009F4017" w:rsidRDefault="00E73071" w:rsidP="008E0E79">
            <w:pPr>
              <w:spacing w:before="80" w:after="80"/>
            </w:pPr>
            <w:r>
              <w:t>0410(3)</w:t>
            </w:r>
          </w:p>
        </w:tc>
        <w:tc>
          <w:tcPr>
            <w:tcW w:w="5850" w:type="dxa"/>
          </w:tcPr>
          <w:p w:rsidR="00E73071" w:rsidRPr="009F4017" w:rsidRDefault="00E73071" w:rsidP="008E0E79">
            <w:pPr>
              <w:spacing w:before="80" w:after="80"/>
            </w:pPr>
            <w:r>
              <w:t>Add test method</w:t>
            </w:r>
          </w:p>
        </w:tc>
        <w:tc>
          <w:tcPr>
            <w:tcW w:w="6390" w:type="dxa"/>
          </w:tcPr>
          <w:p w:rsidR="00E73071" w:rsidRDefault="00E73071" w:rsidP="005A4EE4">
            <w:pPr>
              <w:spacing w:before="80" w:after="80"/>
            </w:pPr>
            <w:r>
              <w:t>A test method should always be specified with each standard  in order to be able to show compliance</w:t>
            </w:r>
          </w:p>
        </w:tc>
      </w:tr>
      <w:tr w:rsidR="00E73071" w:rsidRPr="00992BC7" w:rsidTr="0028683C">
        <w:tc>
          <w:tcPr>
            <w:tcW w:w="918" w:type="dxa"/>
          </w:tcPr>
          <w:p w:rsidR="00E73071" w:rsidRDefault="00E73071" w:rsidP="008E0E79">
            <w:pPr>
              <w:spacing w:before="80" w:after="80"/>
              <w:rPr>
                <w:b/>
              </w:rPr>
            </w:pPr>
            <w:r w:rsidRPr="009F4017">
              <w:rPr>
                <w:b/>
              </w:rPr>
              <w:t>236</w:t>
            </w:r>
          </w:p>
          <w:p w:rsidR="00E73071" w:rsidRPr="009F4017" w:rsidRDefault="00E73071" w:rsidP="008E0E79">
            <w:pPr>
              <w:spacing w:before="80" w:after="80"/>
              <w:rPr>
                <w:b/>
              </w:rPr>
            </w:pPr>
          </w:p>
        </w:tc>
        <w:tc>
          <w:tcPr>
            <w:tcW w:w="1440" w:type="dxa"/>
          </w:tcPr>
          <w:p w:rsidR="00E73071" w:rsidRPr="009F4017" w:rsidRDefault="00E73071" w:rsidP="008E0E79">
            <w:pPr>
              <w:spacing w:before="80" w:after="80"/>
            </w:pPr>
            <w:r w:rsidRPr="009F4017">
              <w:t>0420</w:t>
            </w:r>
          </w:p>
        </w:tc>
        <w:tc>
          <w:tcPr>
            <w:tcW w:w="5850" w:type="dxa"/>
          </w:tcPr>
          <w:p w:rsidR="00E73071" w:rsidRPr="009F4017" w:rsidRDefault="00E73071" w:rsidP="008E0E79">
            <w:pPr>
              <w:spacing w:before="80" w:after="80"/>
            </w:pPr>
            <w:r w:rsidRPr="009F4017">
              <w:t>Delete “Other Established Air Quality Limitations”</w:t>
            </w:r>
          </w:p>
        </w:tc>
        <w:tc>
          <w:tcPr>
            <w:tcW w:w="6390" w:type="dxa"/>
          </w:tcPr>
          <w:p w:rsidR="00E73071" w:rsidRPr="009F4017" w:rsidRDefault="00E73071" w:rsidP="003A115B">
            <w:pPr>
              <w:spacing w:before="80" w:after="80"/>
            </w:pPr>
            <w:r w:rsidRPr="009F4017">
              <w:t>Make it so source specific rules in other Divisions, as well as the NSPS and NESHAP, supersede the general requirements</w:t>
            </w:r>
            <w:r>
              <w:t xml:space="preserve">.  Other Established Air Quality Limitations refer to general requirements.  </w:t>
            </w:r>
            <w:r w:rsidRPr="00B62FF1">
              <w:t>(Proposed SIP Implementation Change</w:t>
            </w:r>
            <w:r>
              <w:t xml:space="preserve">) </w:t>
            </w:r>
          </w:p>
        </w:tc>
      </w:tr>
      <w:tr w:rsidR="00E73071" w:rsidTr="0028683C">
        <w:tc>
          <w:tcPr>
            <w:tcW w:w="918" w:type="dxa"/>
          </w:tcPr>
          <w:p w:rsidR="00E73071" w:rsidRPr="008923DE" w:rsidRDefault="00E73071" w:rsidP="008E0E79">
            <w:pPr>
              <w:spacing w:before="80" w:after="80"/>
              <w:rPr>
                <w:b/>
              </w:rPr>
            </w:pPr>
            <w:r>
              <w:rPr>
                <w:b/>
              </w:rPr>
              <w:t>240</w:t>
            </w:r>
          </w:p>
        </w:tc>
        <w:tc>
          <w:tcPr>
            <w:tcW w:w="1440" w:type="dxa"/>
          </w:tcPr>
          <w:p w:rsidR="00E73071" w:rsidRPr="008923DE" w:rsidRDefault="00E73071" w:rsidP="008E0E79">
            <w:pPr>
              <w:spacing w:before="80" w:after="80"/>
            </w:pPr>
            <w:r>
              <w:t>0030(1)</w:t>
            </w:r>
          </w:p>
        </w:tc>
        <w:tc>
          <w:tcPr>
            <w:tcW w:w="5850" w:type="dxa"/>
          </w:tcPr>
          <w:p w:rsidR="00E73071" w:rsidRPr="008923DE" w:rsidRDefault="00E73071" w:rsidP="008E0E79">
            <w:pPr>
              <w:spacing w:before="80" w:after="80"/>
            </w:pPr>
            <w:r>
              <w:t>Definition of air contaminant already in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Default="00E73071" w:rsidP="008E0E79">
            <w:pPr>
              <w:spacing w:before="80" w:after="80"/>
              <w:rPr>
                <w:b/>
              </w:rPr>
            </w:pPr>
            <w:r>
              <w:rPr>
                <w:b/>
              </w:rPr>
              <w:t>240</w:t>
            </w:r>
          </w:p>
        </w:tc>
        <w:tc>
          <w:tcPr>
            <w:tcW w:w="1440" w:type="dxa"/>
          </w:tcPr>
          <w:p w:rsidR="00E73071" w:rsidRDefault="00E73071" w:rsidP="008E0E79">
            <w:pPr>
              <w:spacing w:before="80" w:after="80"/>
            </w:pPr>
            <w:r>
              <w:t>0030(3)</w:t>
            </w:r>
          </w:p>
        </w:tc>
        <w:tc>
          <w:tcPr>
            <w:tcW w:w="5850" w:type="dxa"/>
          </w:tcPr>
          <w:p w:rsidR="00E73071" w:rsidRDefault="00E73071" w:rsidP="008E0E79">
            <w:pPr>
              <w:spacing w:before="80" w:after="80"/>
            </w:pPr>
            <w:r>
              <w:t xml:space="preserve">Definition of average operating opacity same as Division 234 </w:t>
            </w:r>
          </w:p>
        </w:tc>
        <w:tc>
          <w:tcPr>
            <w:tcW w:w="6390" w:type="dxa"/>
          </w:tcPr>
          <w:p w:rsidR="00E73071" w:rsidRPr="008923DE" w:rsidRDefault="00E73071" w:rsidP="008E0E79">
            <w:pPr>
              <w:spacing w:before="80" w:after="80"/>
            </w:pPr>
            <w:r>
              <w:t>Move to Division 200</w:t>
            </w:r>
          </w:p>
        </w:tc>
      </w:tr>
      <w:tr w:rsidR="00E73071" w:rsidTr="0028683C">
        <w:tc>
          <w:tcPr>
            <w:tcW w:w="918" w:type="dxa"/>
          </w:tcPr>
          <w:p w:rsidR="00E73071" w:rsidRPr="00B711C2" w:rsidRDefault="00E73071" w:rsidP="002F7029">
            <w:pPr>
              <w:spacing w:before="80" w:after="80"/>
            </w:pPr>
            <w:r w:rsidRPr="00B711C2">
              <w:rPr>
                <w:b/>
              </w:rPr>
              <w:t>240</w:t>
            </w:r>
          </w:p>
        </w:tc>
        <w:tc>
          <w:tcPr>
            <w:tcW w:w="1440" w:type="dxa"/>
          </w:tcPr>
          <w:p w:rsidR="00E73071" w:rsidRPr="00B711C2" w:rsidRDefault="00E73071" w:rsidP="002F7029">
            <w:pPr>
              <w:spacing w:before="80" w:after="80"/>
            </w:pPr>
            <w:r>
              <w:t>0030(4</w:t>
            </w:r>
            <w:r w:rsidRPr="00B711C2">
              <w:t>)</w:t>
            </w:r>
          </w:p>
        </w:tc>
        <w:tc>
          <w:tcPr>
            <w:tcW w:w="5850" w:type="dxa"/>
          </w:tcPr>
          <w:p w:rsidR="00E73071" w:rsidRPr="00B711C2" w:rsidRDefault="00E73071" w:rsidP="00F31B94">
            <w:pPr>
              <w:spacing w:before="80" w:after="80"/>
            </w:pPr>
            <w:r>
              <w:t>Delete d</w:t>
            </w:r>
            <w:r w:rsidRPr="00B711C2">
              <w:t xml:space="preserve">efinition of </w:t>
            </w:r>
            <w:r>
              <w:t>charcoal producing plant</w:t>
            </w:r>
          </w:p>
        </w:tc>
        <w:tc>
          <w:tcPr>
            <w:tcW w:w="6390" w:type="dxa"/>
          </w:tcPr>
          <w:p w:rsidR="00E73071" w:rsidRPr="00B711C2" w:rsidRDefault="00E73071" w:rsidP="00F31B94">
            <w:pPr>
              <w:spacing w:before="80" w:after="80"/>
            </w:pPr>
            <w:r>
              <w:t>No longer needed since Charcoal Producing Plant  rules are being repealed</w:t>
            </w:r>
          </w:p>
        </w:tc>
      </w:tr>
      <w:tr w:rsidR="00E73071" w:rsidTr="0028683C">
        <w:tc>
          <w:tcPr>
            <w:tcW w:w="918" w:type="dxa"/>
          </w:tcPr>
          <w:p w:rsidR="00E73071" w:rsidRPr="00B711C2" w:rsidRDefault="00E73071" w:rsidP="008E0E79">
            <w:pPr>
              <w:spacing w:before="80" w:after="80"/>
            </w:pPr>
            <w:r w:rsidRPr="00B711C2">
              <w:rPr>
                <w:b/>
              </w:rPr>
              <w:t>240</w:t>
            </w:r>
          </w:p>
        </w:tc>
        <w:tc>
          <w:tcPr>
            <w:tcW w:w="1440" w:type="dxa"/>
          </w:tcPr>
          <w:p w:rsidR="00E73071" w:rsidRPr="00B711C2" w:rsidRDefault="00E73071" w:rsidP="008E0E79">
            <w:pPr>
              <w:spacing w:before="80" w:after="80"/>
            </w:pPr>
            <w:r w:rsidRPr="00B711C2">
              <w:t>0030(5)</w:t>
            </w:r>
          </w:p>
        </w:tc>
        <w:tc>
          <w:tcPr>
            <w:tcW w:w="5850" w:type="dxa"/>
          </w:tcPr>
          <w:p w:rsidR="00E73071" w:rsidRPr="00B711C2" w:rsidRDefault="00E73071" w:rsidP="008E0E79">
            <w:pPr>
              <w:spacing w:before="80" w:after="80"/>
            </w:pPr>
            <w:r w:rsidRPr="00B711C2">
              <w:t>Definition of collection efficiency different than Division 236</w:t>
            </w:r>
          </w:p>
        </w:tc>
        <w:tc>
          <w:tcPr>
            <w:tcW w:w="6390" w:type="dxa"/>
          </w:tcPr>
          <w:p w:rsidR="00E73071" w:rsidRPr="00B711C2" w:rsidRDefault="00E73071" w:rsidP="008E0E79">
            <w:pPr>
              <w:spacing w:before="80" w:after="80"/>
            </w:pPr>
            <w:r w:rsidRPr="00B711C2">
              <w:t>Use Division 240 defin</w:t>
            </w:r>
            <w:r>
              <w:t>i</w:t>
            </w:r>
            <w:r w:rsidRPr="00B711C2">
              <w:t>tion and move to Division 200</w:t>
            </w:r>
          </w:p>
        </w:tc>
      </w:tr>
      <w:tr w:rsidR="00E73071" w:rsidTr="0028683C">
        <w:tc>
          <w:tcPr>
            <w:tcW w:w="918" w:type="dxa"/>
          </w:tcPr>
          <w:p w:rsidR="00E73071" w:rsidRDefault="00E73071" w:rsidP="008E0E79">
            <w:pPr>
              <w:spacing w:before="80" w:after="80"/>
            </w:pPr>
            <w:r w:rsidRPr="00331019">
              <w:rPr>
                <w:b/>
              </w:rPr>
              <w:t>240</w:t>
            </w:r>
          </w:p>
        </w:tc>
        <w:tc>
          <w:tcPr>
            <w:tcW w:w="1440" w:type="dxa"/>
          </w:tcPr>
          <w:p w:rsidR="00E73071" w:rsidRPr="008923DE" w:rsidRDefault="00E73071" w:rsidP="008E0E79">
            <w:pPr>
              <w:spacing w:before="80" w:after="80"/>
            </w:pPr>
            <w:r>
              <w:t>0030(6)</w:t>
            </w:r>
          </w:p>
        </w:tc>
        <w:tc>
          <w:tcPr>
            <w:tcW w:w="5850" w:type="dxa"/>
          </w:tcPr>
          <w:p w:rsidR="00E73071" w:rsidRPr="008923DE" w:rsidRDefault="00E73071" w:rsidP="008E0E79">
            <w:pPr>
              <w:spacing w:before="80" w:after="80"/>
            </w:pPr>
            <w:r>
              <w:t>Definition of Department already in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Pr="00331019" w:rsidRDefault="00E73071" w:rsidP="008E0E79">
            <w:pPr>
              <w:spacing w:before="80" w:after="80"/>
              <w:rPr>
                <w:b/>
              </w:rPr>
            </w:pPr>
            <w:r>
              <w:rPr>
                <w:b/>
              </w:rPr>
              <w:t>240</w:t>
            </w:r>
          </w:p>
        </w:tc>
        <w:tc>
          <w:tcPr>
            <w:tcW w:w="1440" w:type="dxa"/>
          </w:tcPr>
          <w:p w:rsidR="00E73071" w:rsidRDefault="00E73071" w:rsidP="008E0E79">
            <w:pPr>
              <w:spacing w:before="80" w:after="80"/>
            </w:pPr>
            <w:r>
              <w:t>0030(9)</w:t>
            </w:r>
          </w:p>
        </w:tc>
        <w:tc>
          <w:tcPr>
            <w:tcW w:w="5850" w:type="dxa"/>
          </w:tcPr>
          <w:p w:rsidR="00E73071" w:rsidRDefault="00E73071" w:rsidP="008E0E79">
            <w:pPr>
              <w:spacing w:before="80" w:after="80"/>
            </w:pPr>
            <w:r>
              <w:t xml:space="preserve">Definition of dry standard cubic foot different from standard cubic foot in </w:t>
            </w:r>
            <w:r w:rsidRPr="00C55FB5">
              <w:t xml:space="preserve">Division 236 </w:t>
            </w:r>
          </w:p>
        </w:tc>
        <w:tc>
          <w:tcPr>
            <w:tcW w:w="6390" w:type="dxa"/>
          </w:tcPr>
          <w:p w:rsidR="00E73071" w:rsidRDefault="00E73071" w:rsidP="008E0E79">
            <w:pPr>
              <w:spacing w:before="80" w:after="80"/>
            </w:pPr>
            <w:r>
              <w:t>Use definition of standard cubic foot and Move to Division 200</w:t>
            </w:r>
          </w:p>
        </w:tc>
      </w:tr>
      <w:tr w:rsidR="00E73071" w:rsidTr="0028683C">
        <w:tc>
          <w:tcPr>
            <w:tcW w:w="918" w:type="dxa"/>
          </w:tcPr>
          <w:p w:rsidR="00E73071" w:rsidRDefault="00E73071" w:rsidP="008E0E79">
            <w:pPr>
              <w:spacing w:before="80" w:after="80"/>
            </w:pPr>
            <w:r w:rsidRPr="00331019">
              <w:rPr>
                <w:b/>
              </w:rPr>
              <w:t>240</w:t>
            </w:r>
          </w:p>
        </w:tc>
        <w:tc>
          <w:tcPr>
            <w:tcW w:w="1440" w:type="dxa"/>
          </w:tcPr>
          <w:p w:rsidR="00E73071" w:rsidRPr="008923DE" w:rsidRDefault="00E73071" w:rsidP="008E0E79">
            <w:pPr>
              <w:spacing w:before="80" w:after="80"/>
            </w:pPr>
            <w:r>
              <w:t>0030(10)</w:t>
            </w:r>
          </w:p>
        </w:tc>
        <w:tc>
          <w:tcPr>
            <w:tcW w:w="5850" w:type="dxa"/>
          </w:tcPr>
          <w:p w:rsidR="00E73071" w:rsidRPr="008923DE" w:rsidRDefault="00E73071" w:rsidP="008E0E79">
            <w:pPr>
              <w:spacing w:before="80" w:after="80"/>
            </w:pPr>
            <w:r>
              <w:t>Definition of emission different from Division 200, same as Division 234</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Default="00E73071" w:rsidP="008E0E79">
            <w:pPr>
              <w:spacing w:before="80" w:after="80"/>
              <w:rPr>
                <w:b/>
              </w:rPr>
            </w:pPr>
            <w:r>
              <w:rPr>
                <w:b/>
              </w:rPr>
              <w:t>240</w:t>
            </w:r>
          </w:p>
        </w:tc>
        <w:tc>
          <w:tcPr>
            <w:tcW w:w="1440" w:type="dxa"/>
          </w:tcPr>
          <w:p w:rsidR="00E73071" w:rsidRDefault="00E73071" w:rsidP="008E0E79">
            <w:pPr>
              <w:spacing w:before="80" w:after="80"/>
            </w:pPr>
            <w:r>
              <w:t>0030(11)</w:t>
            </w:r>
          </w:p>
        </w:tc>
        <w:tc>
          <w:tcPr>
            <w:tcW w:w="5850" w:type="dxa"/>
          </w:tcPr>
          <w:p w:rsidR="00E73071" w:rsidRDefault="00E73071" w:rsidP="008E0E79">
            <w:pPr>
              <w:spacing w:before="80" w:after="80"/>
            </w:pPr>
            <w:r>
              <w:t>Definition of EPA Method 9 same as Division 234</w:t>
            </w:r>
          </w:p>
        </w:tc>
        <w:tc>
          <w:tcPr>
            <w:tcW w:w="6390" w:type="dxa"/>
          </w:tcPr>
          <w:p w:rsidR="00E73071" w:rsidRPr="008923DE" w:rsidRDefault="00E73071" w:rsidP="008E0E79">
            <w:pPr>
              <w:spacing w:before="80" w:after="80"/>
            </w:pPr>
            <w:r>
              <w:t>Move to Division 200</w:t>
            </w:r>
          </w:p>
        </w:tc>
      </w:tr>
      <w:tr w:rsidR="00CD4867" w:rsidTr="00B05010">
        <w:tc>
          <w:tcPr>
            <w:tcW w:w="918" w:type="dxa"/>
          </w:tcPr>
          <w:p w:rsidR="00CD4867" w:rsidRDefault="00CD4867" w:rsidP="00B05010">
            <w:pPr>
              <w:spacing w:before="80" w:after="80"/>
            </w:pPr>
            <w:r w:rsidRPr="00331019">
              <w:rPr>
                <w:b/>
              </w:rPr>
              <w:t>240</w:t>
            </w:r>
          </w:p>
        </w:tc>
        <w:tc>
          <w:tcPr>
            <w:tcW w:w="1440" w:type="dxa"/>
          </w:tcPr>
          <w:p w:rsidR="00CD4867" w:rsidRPr="008923DE" w:rsidRDefault="00CD4867" w:rsidP="00B05010">
            <w:pPr>
              <w:spacing w:before="80" w:after="80"/>
            </w:pPr>
            <w:r>
              <w:t>0030(12)</w:t>
            </w:r>
          </w:p>
        </w:tc>
        <w:tc>
          <w:tcPr>
            <w:tcW w:w="5850" w:type="dxa"/>
          </w:tcPr>
          <w:p w:rsidR="00CD4867" w:rsidRPr="008923DE" w:rsidRDefault="00CD4867" w:rsidP="00CD4867">
            <w:pPr>
              <w:spacing w:before="80" w:after="80"/>
            </w:pPr>
            <w:r>
              <w:t xml:space="preserve">Definition of facility different from Division 238 </w:t>
            </w:r>
          </w:p>
        </w:tc>
        <w:tc>
          <w:tcPr>
            <w:tcW w:w="6390" w:type="dxa"/>
          </w:tcPr>
          <w:p w:rsidR="00CD4867" w:rsidRPr="008923DE" w:rsidRDefault="00CD4867" w:rsidP="00B05010">
            <w:pPr>
              <w:spacing w:before="80" w:after="80"/>
            </w:pPr>
            <w:r>
              <w:t>Move to Division 200 but make exception for Division 238 NSPS definition</w:t>
            </w:r>
          </w:p>
        </w:tc>
      </w:tr>
      <w:tr w:rsidR="00E73071" w:rsidTr="0028683C">
        <w:tc>
          <w:tcPr>
            <w:tcW w:w="918" w:type="dxa"/>
          </w:tcPr>
          <w:p w:rsidR="00E73071" w:rsidRPr="007E40AE" w:rsidRDefault="00E73071" w:rsidP="008E0E79">
            <w:pPr>
              <w:spacing w:before="80" w:after="80"/>
            </w:pPr>
            <w:r w:rsidRPr="007E40AE">
              <w:rPr>
                <w:b/>
              </w:rPr>
              <w:t>240</w:t>
            </w:r>
          </w:p>
        </w:tc>
        <w:tc>
          <w:tcPr>
            <w:tcW w:w="1440" w:type="dxa"/>
          </w:tcPr>
          <w:p w:rsidR="00E73071" w:rsidRPr="007E40AE" w:rsidRDefault="00E73071" w:rsidP="008E0E79">
            <w:pPr>
              <w:spacing w:before="80" w:after="80"/>
            </w:pPr>
            <w:r w:rsidRPr="007E40AE">
              <w:t>0030(13)</w:t>
            </w:r>
          </w:p>
        </w:tc>
        <w:tc>
          <w:tcPr>
            <w:tcW w:w="5850" w:type="dxa"/>
          </w:tcPr>
          <w:p w:rsidR="00E73071" w:rsidRPr="007E40AE" w:rsidRDefault="00E73071" w:rsidP="008E0E79">
            <w:pPr>
              <w:spacing w:before="80" w:after="80"/>
            </w:pPr>
            <w:r w:rsidRPr="007E40AE">
              <w:t>Definition of fuel burning equipment different than Division 208 and 228</w:t>
            </w:r>
          </w:p>
        </w:tc>
        <w:tc>
          <w:tcPr>
            <w:tcW w:w="6390" w:type="dxa"/>
          </w:tcPr>
          <w:p w:rsidR="00E73071" w:rsidRPr="007E40AE" w:rsidRDefault="00E73071" w:rsidP="008E0E79">
            <w:pPr>
              <w:spacing w:before="80" w:after="80"/>
            </w:pPr>
            <w:r w:rsidRPr="007E40AE">
              <w:t xml:space="preserve">Change definition of fuel burning equipment to “external combustion device,” delete from Divisions 208, 228, and 240, move to Division 200.  Avoids confusion about indirect heat transfer (e.g., boilers), direct heat transfer (e.g., dryers), and internal combustion devices (e.g., gas turbines).   </w:t>
            </w:r>
          </w:p>
        </w:tc>
      </w:tr>
      <w:tr w:rsidR="00E73071" w:rsidTr="0028683C">
        <w:tc>
          <w:tcPr>
            <w:tcW w:w="918" w:type="dxa"/>
          </w:tcPr>
          <w:p w:rsidR="00E73071" w:rsidRPr="00F34223" w:rsidRDefault="00E73071" w:rsidP="008E0E79">
            <w:pPr>
              <w:spacing w:before="80" w:after="80"/>
              <w:rPr>
                <w:b/>
              </w:rPr>
            </w:pPr>
            <w:r w:rsidRPr="00F34223">
              <w:rPr>
                <w:b/>
              </w:rPr>
              <w:t>240</w:t>
            </w:r>
          </w:p>
        </w:tc>
        <w:tc>
          <w:tcPr>
            <w:tcW w:w="1440" w:type="dxa"/>
          </w:tcPr>
          <w:p w:rsidR="00E73071" w:rsidRPr="00F34223" w:rsidRDefault="00E73071" w:rsidP="008E0E79">
            <w:pPr>
              <w:spacing w:before="80" w:after="80"/>
            </w:pPr>
            <w:r w:rsidRPr="00F34223">
              <w:t>0030(11)</w:t>
            </w:r>
            <w:r>
              <w:t xml:space="preserve"> and (12)</w:t>
            </w:r>
          </w:p>
        </w:tc>
        <w:tc>
          <w:tcPr>
            <w:tcW w:w="5850" w:type="dxa"/>
          </w:tcPr>
          <w:p w:rsidR="00E73071" w:rsidRPr="00F34223" w:rsidRDefault="00E73071" w:rsidP="008E0E79">
            <w:pPr>
              <w:spacing w:before="80" w:after="80"/>
            </w:pPr>
            <w:r w:rsidRPr="00F34223">
              <w:t>Delete definition</w:t>
            </w:r>
            <w:r>
              <w:t>s</w:t>
            </w:r>
            <w:r w:rsidRPr="00F34223">
              <w:t xml:space="preserve"> of fuel moisture content.  </w:t>
            </w:r>
          </w:p>
        </w:tc>
        <w:tc>
          <w:tcPr>
            <w:tcW w:w="6390" w:type="dxa"/>
          </w:tcPr>
          <w:p w:rsidR="00E73071" w:rsidRPr="00F34223" w:rsidRDefault="00E73071" w:rsidP="008E0E79">
            <w:pPr>
              <w:spacing w:before="80" w:after="80"/>
            </w:pPr>
            <w:r w:rsidRPr="00F34223">
              <w:t>Incorporated language into OAR 340-240-0120(1)(e) and (f)</w:t>
            </w:r>
          </w:p>
        </w:tc>
      </w:tr>
      <w:tr w:rsidR="00E73071" w:rsidTr="0028683C">
        <w:tc>
          <w:tcPr>
            <w:tcW w:w="918" w:type="dxa"/>
          </w:tcPr>
          <w:p w:rsidR="00E73071" w:rsidRDefault="00E73071" w:rsidP="008E0E79">
            <w:pPr>
              <w:spacing w:before="80" w:after="80"/>
            </w:pPr>
            <w:r w:rsidRPr="00331019">
              <w:rPr>
                <w:b/>
              </w:rPr>
              <w:t>240</w:t>
            </w:r>
          </w:p>
        </w:tc>
        <w:tc>
          <w:tcPr>
            <w:tcW w:w="1440" w:type="dxa"/>
          </w:tcPr>
          <w:p w:rsidR="00E73071" w:rsidRPr="008923DE" w:rsidRDefault="00E73071" w:rsidP="008E0E79">
            <w:pPr>
              <w:spacing w:before="80" w:after="80"/>
            </w:pPr>
            <w:r>
              <w:t xml:space="preserve">0030(16) </w:t>
            </w:r>
          </w:p>
        </w:tc>
        <w:tc>
          <w:tcPr>
            <w:tcW w:w="5850" w:type="dxa"/>
          </w:tcPr>
          <w:p w:rsidR="00E73071" w:rsidRPr="008923DE" w:rsidRDefault="00E73071" w:rsidP="008E0E79">
            <w:pPr>
              <w:spacing w:before="80" w:after="80"/>
            </w:pPr>
            <w:r>
              <w:t>Definition of fugitive emissions different from Division 200 and 236, same as Division 234</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Default="00E73071" w:rsidP="008E0E79">
            <w:pPr>
              <w:spacing w:before="80" w:after="80"/>
              <w:rPr>
                <w:b/>
              </w:rPr>
            </w:pPr>
            <w:r>
              <w:rPr>
                <w:b/>
              </w:rPr>
              <w:t>240</w:t>
            </w:r>
          </w:p>
        </w:tc>
        <w:tc>
          <w:tcPr>
            <w:tcW w:w="1440" w:type="dxa"/>
          </w:tcPr>
          <w:p w:rsidR="00E73071" w:rsidRDefault="00E73071" w:rsidP="008E0E79">
            <w:pPr>
              <w:spacing w:before="80" w:after="80"/>
            </w:pPr>
            <w:r>
              <w:t>0030(18)</w:t>
            </w:r>
          </w:p>
        </w:tc>
        <w:tc>
          <w:tcPr>
            <w:tcW w:w="5850" w:type="dxa"/>
          </w:tcPr>
          <w:p w:rsidR="00E73071" w:rsidRDefault="00E73071" w:rsidP="008E0E79">
            <w:pPr>
              <w:spacing w:before="80" w:after="80"/>
            </w:pPr>
            <w:r>
              <w:t>Defi</w:t>
            </w:r>
            <w:r w:rsidRPr="00F34223">
              <w:t>n</w:t>
            </w:r>
            <w:r>
              <w:t xml:space="preserve">ition of hardboard different from Division 232 but same as Division 234 </w:t>
            </w:r>
          </w:p>
        </w:tc>
        <w:tc>
          <w:tcPr>
            <w:tcW w:w="6390" w:type="dxa"/>
          </w:tcPr>
          <w:p w:rsidR="00E73071" w:rsidRPr="008923DE" w:rsidRDefault="00E73071" w:rsidP="008E0E79">
            <w:pPr>
              <w:spacing w:before="80" w:after="80"/>
            </w:pPr>
            <w:r>
              <w:t>Use definition from Division 234 and Division 240 and move to Division 200</w:t>
            </w:r>
          </w:p>
        </w:tc>
      </w:tr>
      <w:tr w:rsidR="00E73071" w:rsidTr="0028683C">
        <w:tc>
          <w:tcPr>
            <w:tcW w:w="918" w:type="dxa"/>
          </w:tcPr>
          <w:p w:rsidR="00E73071" w:rsidRDefault="00E73071" w:rsidP="008E0E79">
            <w:pPr>
              <w:spacing w:before="80" w:after="80"/>
            </w:pPr>
            <w:r w:rsidRPr="00331019">
              <w:rPr>
                <w:b/>
              </w:rPr>
              <w:lastRenderedPageBreak/>
              <w:t>240</w:t>
            </w:r>
          </w:p>
        </w:tc>
        <w:tc>
          <w:tcPr>
            <w:tcW w:w="1440" w:type="dxa"/>
          </w:tcPr>
          <w:p w:rsidR="00E73071" w:rsidRPr="008923DE" w:rsidRDefault="00E73071" w:rsidP="008E0E79">
            <w:pPr>
              <w:spacing w:before="80" w:after="80"/>
            </w:pPr>
            <w:r>
              <w:t>0030(22)</w:t>
            </w:r>
          </w:p>
        </w:tc>
        <w:tc>
          <w:tcPr>
            <w:tcW w:w="5850" w:type="dxa"/>
          </w:tcPr>
          <w:p w:rsidR="00E73071" w:rsidRPr="008923DE" w:rsidRDefault="00E73071" w:rsidP="008E0E79">
            <w:pPr>
              <w:spacing w:before="80" w:after="80"/>
            </w:pPr>
            <w:r>
              <w:t>Definition of lowest achievable emission rate already in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Default="00E73071" w:rsidP="008E0E79">
            <w:pPr>
              <w:spacing w:before="80" w:after="80"/>
              <w:rPr>
                <w:b/>
              </w:rPr>
            </w:pPr>
            <w:r>
              <w:rPr>
                <w:b/>
              </w:rPr>
              <w:t>240</w:t>
            </w:r>
          </w:p>
        </w:tc>
        <w:tc>
          <w:tcPr>
            <w:tcW w:w="1440" w:type="dxa"/>
          </w:tcPr>
          <w:p w:rsidR="00E73071" w:rsidRDefault="00E73071" w:rsidP="008E0E79">
            <w:pPr>
              <w:spacing w:before="80" w:after="80"/>
            </w:pPr>
            <w:r>
              <w:t>0030(23)</w:t>
            </w:r>
          </w:p>
        </w:tc>
        <w:tc>
          <w:tcPr>
            <w:tcW w:w="5850" w:type="dxa"/>
          </w:tcPr>
          <w:p w:rsidR="00E73071" w:rsidRDefault="00E73071" w:rsidP="008E0E79">
            <w:pPr>
              <w:spacing w:before="80" w:after="80"/>
            </w:pPr>
            <w:r>
              <w:t>Move definition of maximum opacity to Division 200, same as Division 234</w:t>
            </w:r>
          </w:p>
        </w:tc>
        <w:tc>
          <w:tcPr>
            <w:tcW w:w="6390" w:type="dxa"/>
          </w:tcPr>
          <w:p w:rsidR="00E73071" w:rsidRPr="008923DE" w:rsidRDefault="00E73071" w:rsidP="008E0E79">
            <w:pPr>
              <w:spacing w:before="80" w:after="80"/>
            </w:pPr>
            <w:r>
              <w:t>Move to Division 200</w:t>
            </w:r>
          </w:p>
        </w:tc>
      </w:tr>
      <w:tr w:rsidR="00E73071" w:rsidTr="0028683C">
        <w:tc>
          <w:tcPr>
            <w:tcW w:w="918" w:type="dxa"/>
          </w:tcPr>
          <w:p w:rsidR="00E73071" w:rsidRDefault="00E73071" w:rsidP="002F7029">
            <w:pPr>
              <w:spacing w:before="80" w:after="80"/>
              <w:rPr>
                <w:b/>
              </w:rPr>
            </w:pPr>
            <w:r>
              <w:rPr>
                <w:b/>
              </w:rPr>
              <w:t>240</w:t>
            </w:r>
          </w:p>
        </w:tc>
        <w:tc>
          <w:tcPr>
            <w:tcW w:w="1440" w:type="dxa"/>
          </w:tcPr>
          <w:p w:rsidR="00E73071" w:rsidRDefault="00E73071" w:rsidP="002F7029">
            <w:pPr>
              <w:spacing w:before="80" w:after="80"/>
            </w:pPr>
            <w:r>
              <w:t>0030(29)</w:t>
            </w:r>
          </w:p>
        </w:tc>
        <w:tc>
          <w:tcPr>
            <w:tcW w:w="5850" w:type="dxa"/>
          </w:tcPr>
          <w:p w:rsidR="00E73071" w:rsidRDefault="00E73071" w:rsidP="002F7029">
            <w:pPr>
              <w:spacing w:before="80" w:after="80"/>
            </w:pPr>
            <w:r>
              <w:t>Delete definition of offset</w:t>
            </w:r>
          </w:p>
        </w:tc>
        <w:tc>
          <w:tcPr>
            <w:tcW w:w="6390" w:type="dxa"/>
          </w:tcPr>
          <w:p w:rsidR="00E73071" w:rsidRPr="008923DE" w:rsidRDefault="00E73071" w:rsidP="002F7029">
            <w:pPr>
              <w:spacing w:before="80" w:after="80"/>
            </w:pPr>
            <w:r>
              <w:t>This definition refers to the definition in Division 200</w:t>
            </w:r>
          </w:p>
        </w:tc>
      </w:tr>
      <w:tr w:rsidR="00E73071" w:rsidTr="0028683C">
        <w:tc>
          <w:tcPr>
            <w:tcW w:w="918" w:type="dxa"/>
          </w:tcPr>
          <w:p w:rsidR="00E73071" w:rsidRDefault="00E73071" w:rsidP="008E0E79">
            <w:pPr>
              <w:spacing w:before="80" w:after="80"/>
              <w:rPr>
                <w:b/>
              </w:rPr>
            </w:pPr>
            <w:r>
              <w:rPr>
                <w:b/>
              </w:rPr>
              <w:t>240</w:t>
            </w:r>
          </w:p>
        </w:tc>
        <w:tc>
          <w:tcPr>
            <w:tcW w:w="1440" w:type="dxa"/>
          </w:tcPr>
          <w:p w:rsidR="00E73071" w:rsidRDefault="00E73071" w:rsidP="008E0E79">
            <w:pPr>
              <w:spacing w:before="80" w:after="80"/>
            </w:pPr>
            <w:r>
              <w:t>0030(32)</w:t>
            </w:r>
          </w:p>
        </w:tc>
        <w:tc>
          <w:tcPr>
            <w:tcW w:w="5850" w:type="dxa"/>
          </w:tcPr>
          <w:p w:rsidR="00E73071" w:rsidRDefault="00E73071" w:rsidP="008E0E79">
            <w:pPr>
              <w:spacing w:before="80" w:after="80"/>
            </w:pPr>
            <w:r>
              <w:t>Definition of particle board same as Division 234</w:t>
            </w:r>
          </w:p>
        </w:tc>
        <w:tc>
          <w:tcPr>
            <w:tcW w:w="6390" w:type="dxa"/>
          </w:tcPr>
          <w:p w:rsidR="00E73071" w:rsidRPr="008923DE" w:rsidRDefault="00E73071" w:rsidP="008E0E79">
            <w:pPr>
              <w:spacing w:before="80" w:after="80"/>
            </w:pPr>
            <w:r>
              <w:t>Move to Division 200</w:t>
            </w:r>
          </w:p>
        </w:tc>
      </w:tr>
      <w:tr w:rsidR="00E73071" w:rsidTr="0028683C">
        <w:tc>
          <w:tcPr>
            <w:tcW w:w="918" w:type="dxa"/>
          </w:tcPr>
          <w:p w:rsidR="00E73071" w:rsidRPr="008A5477" w:rsidRDefault="00E73071" w:rsidP="008E0E79">
            <w:pPr>
              <w:spacing w:before="80" w:after="80"/>
            </w:pPr>
            <w:r w:rsidRPr="008A5477">
              <w:rPr>
                <w:b/>
              </w:rPr>
              <w:t>240</w:t>
            </w:r>
          </w:p>
        </w:tc>
        <w:tc>
          <w:tcPr>
            <w:tcW w:w="1440" w:type="dxa"/>
          </w:tcPr>
          <w:p w:rsidR="00E73071" w:rsidRPr="008A5477" w:rsidRDefault="00E73071" w:rsidP="008E0E79">
            <w:pPr>
              <w:spacing w:before="80" w:after="80"/>
            </w:pPr>
            <w:r w:rsidRPr="008A5477">
              <w:t>0030(33)</w:t>
            </w:r>
          </w:p>
        </w:tc>
        <w:tc>
          <w:tcPr>
            <w:tcW w:w="5850" w:type="dxa"/>
          </w:tcPr>
          <w:p w:rsidR="00E73071" w:rsidRPr="008A5477" w:rsidRDefault="00E73071" w:rsidP="008E0E79">
            <w:pPr>
              <w:spacing w:before="80" w:after="80"/>
            </w:pPr>
            <w:r w:rsidRPr="008A5477">
              <w:t>Definition of particulate matter different from Division 200, 234, 236, 238</w:t>
            </w:r>
          </w:p>
        </w:tc>
        <w:tc>
          <w:tcPr>
            <w:tcW w:w="6390" w:type="dxa"/>
          </w:tcPr>
          <w:p w:rsidR="00E73071" w:rsidRPr="008A5477" w:rsidRDefault="00E73071" w:rsidP="008E0E79">
            <w:pPr>
              <w:spacing w:before="80" w:after="80"/>
            </w:pPr>
            <w:r w:rsidRPr="008A5477">
              <w:t xml:space="preserve">Move to Division 200.  </w:t>
            </w:r>
          </w:p>
        </w:tc>
      </w:tr>
      <w:tr w:rsidR="00E73071" w:rsidTr="0028683C">
        <w:tc>
          <w:tcPr>
            <w:tcW w:w="918" w:type="dxa"/>
          </w:tcPr>
          <w:p w:rsidR="00E73071" w:rsidRDefault="00E73071" w:rsidP="008E0E79">
            <w:pPr>
              <w:spacing w:before="80" w:after="80"/>
            </w:pPr>
            <w:r w:rsidRPr="00331019">
              <w:rPr>
                <w:b/>
              </w:rPr>
              <w:t>240</w:t>
            </w:r>
          </w:p>
        </w:tc>
        <w:tc>
          <w:tcPr>
            <w:tcW w:w="1440" w:type="dxa"/>
          </w:tcPr>
          <w:p w:rsidR="00E73071" w:rsidRPr="008923DE" w:rsidRDefault="00E73071" w:rsidP="008E0E79">
            <w:pPr>
              <w:spacing w:before="80" w:after="80"/>
            </w:pPr>
            <w:r>
              <w:t>0030(34)</w:t>
            </w:r>
          </w:p>
        </w:tc>
        <w:tc>
          <w:tcPr>
            <w:tcW w:w="5850" w:type="dxa"/>
          </w:tcPr>
          <w:p w:rsidR="00E73071" w:rsidRPr="008923DE" w:rsidRDefault="00E73071" w:rsidP="008E0E79">
            <w:pPr>
              <w:spacing w:before="80" w:after="80"/>
            </w:pPr>
            <w:r>
              <w:t>Definition of person already in Division 200</w:t>
            </w:r>
          </w:p>
        </w:tc>
        <w:tc>
          <w:tcPr>
            <w:tcW w:w="6390" w:type="dxa"/>
          </w:tcPr>
          <w:p w:rsidR="00E73071" w:rsidRPr="008923DE" w:rsidRDefault="00E73071" w:rsidP="008E0E79">
            <w:pPr>
              <w:spacing w:before="80" w:after="80"/>
            </w:pPr>
            <w:r>
              <w:t>Delete and use Division 200 definition</w:t>
            </w:r>
          </w:p>
        </w:tc>
      </w:tr>
      <w:tr w:rsidR="00E73071" w:rsidTr="0028683C">
        <w:tc>
          <w:tcPr>
            <w:tcW w:w="918" w:type="dxa"/>
          </w:tcPr>
          <w:p w:rsidR="00E73071" w:rsidRDefault="00E73071" w:rsidP="008E0E79">
            <w:pPr>
              <w:spacing w:before="80" w:after="80"/>
            </w:pPr>
            <w:r w:rsidRPr="00331019">
              <w:rPr>
                <w:b/>
              </w:rPr>
              <w:t>2</w:t>
            </w:r>
            <w:r>
              <w:rPr>
                <w:b/>
              </w:rPr>
              <w:t>40</w:t>
            </w:r>
          </w:p>
        </w:tc>
        <w:tc>
          <w:tcPr>
            <w:tcW w:w="1440" w:type="dxa"/>
          </w:tcPr>
          <w:p w:rsidR="00E73071" w:rsidRPr="008923DE" w:rsidRDefault="00E73071" w:rsidP="008E0E79">
            <w:pPr>
              <w:spacing w:before="80" w:after="80"/>
            </w:pPr>
            <w:r>
              <w:t>0030(35)</w:t>
            </w:r>
          </w:p>
        </w:tc>
        <w:tc>
          <w:tcPr>
            <w:tcW w:w="5850" w:type="dxa"/>
          </w:tcPr>
          <w:p w:rsidR="00E73071" w:rsidRDefault="00E73071" w:rsidP="008E0E79">
            <w:pPr>
              <w:spacing w:before="80" w:after="80"/>
            </w:pPr>
            <w:r>
              <w:t>Definition of press cooling vent same as Division 234</w:t>
            </w:r>
          </w:p>
        </w:tc>
        <w:tc>
          <w:tcPr>
            <w:tcW w:w="6390" w:type="dxa"/>
          </w:tcPr>
          <w:p w:rsidR="00E73071" w:rsidRPr="008923DE" w:rsidRDefault="00E73071" w:rsidP="008E0E79">
            <w:pPr>
              <w:spacing w:before="80" w:after="80"/>
            </w:pPr>
            <w:r>
              <w:t>Move to Division 200</w:t>
            </w:r>
          </w:p>
        </w:tc>
      </w:tr>
      <w:tr w:rsidR="00E73071" w:rsidTr="0028683C">
        <w:tc>
          <w:tcPr>
            <w:tcW w:w="918" w:type="dxa"/>
          </w:tcPr>
          <w:p w:rsidR="00E73071" w:rsidRPr="008923DE" w:rsidRDefault="00E73071" w:rsidP="008E0E79">
            <w:pPr>
              <w:spacing w:before="80" w:after="80"/>
              <w:rPr>
                <w:b/>
              </w:rPr>
            </w:pPr>
            <w:r>
              <w:rPr>
                <w:b/>
              </w:rPr>
              <w:t>240</w:t>
            </w:r>
          </w:p>
        </w:tc>
        <w:tc>
          <w:tcPr>
            <w:tcW w:w="1440" w:type="dxa"/>
          </w:tcPr>
          <w:p w:rsidR="00E73071" w:rsidRPr="008923DE" w:rsidRDefault="00E73071" w:rsidP="008E0E79">
            <w:pPr>
              <w:spacing w:before="80" w:after="80"/>
            </w:pPr>
            <w:r>
              <w:t>0030(37)</w:t>
            </w:r>
          </w:p>
        </w:tc>
        <w:tc>
          <w:tcPr>
            <w:tcW w:w="5850" w:type="dxa"/>
          </w:tcPr>
          <w:p w:rsidR="00E73071" w:rsidRPr="008923DE" w:rsidRDefault="00E73071" w:rsidP="008E0E79">
            <w:pPr>
              <w:spacing w:before="80" w:after="80"/>
            </w:pPr>
            <w:r>
              <w:t>Definition of source different from Division 200</w:t>
            </w:r>
          </w:p>
        </w:tc>
        <w:tc>
          <w:tcPr>
            <w:tcW w:w="6390" w:type="dxa"/>
          </w:tcPr>
          <w:p w:rsidR="00E73071" w:rsidRPr="008923DE" w:rsidRDefault="00E73071" w:rsidP="008E0E79">
            <w:pPr>
              <w:spacing w:before="80" w:after="80"/>
            </w:pPr>
            <w:r>
              <w:t>Delete and use definition in Division 200</w:t>
            </w:r>
          </w:p>
        </w:tc>
      </w:tr>
      <w:tr w:rsidR="00E73071" w:rsidTr="0028683C">
        <w:tc>
          <w:tcPr>
            <w:tcW w:w="918" w:type="dxa"/>
          </w:tcPr>
          <w:p w:rsidR="00E73071" w:rsidRPr="00DC7BAD" w:rsidRDefault="00E73071" w:rsidP="008E0E79">
            <w:pPr>
              <w:spacing w:before="80" w:after="80"/>
              <w:rPr>
                <w:b/>
              </w:rPr>
            </w:pPr>
            <w:r w:rsidRPr="00DC7BAD">
              <w:rPr>
                <w:b/>
              </w:rPr>
              <w:t>240</w:t>
            </w:r>
          </w:p>
        </w:tc>
        <w:tc>
          <w:tcPr>
            <w:tcW w:w="1440" w:type="dxa"/>
          </w:tcPr>
          <w:p w:rsidR="00E73071" w:rsidRPr="00DC7BAD" w:rsidRDefault="00E73071" w:rsidP="008E0E79">
            <w:pPr>
              <w:spacing w:before="80" w:after="80"/>
            </w:pPr>
            <w:r w:rsidRPr="00DC7BAD">
              <w:t>0030(38)</w:t>
            </w:r>
          </w:p>
        </w:tc>
        <w:tc>
          <w:tcPr>
            <w:tcW w:w="5850" w:type="dxa"/>
          </w:tcPr>
          <w:p w:rsidR="00E73071" w:rsidRPr="00DC7BAD" w:rsidRDefault="00E73071" w:rsidP="008E0E79">
            <w:pPr>
              <w:spacing w:before="80" w:after="80"/>
            </w:pPr>
            <w:r w:rsidRPr="00DC7BAD">
              <w:t>Definition of standard conditions different from Division 230 and 240 but same as Division 226 and 228</w:t>
            </w:r>
          </w:p>
        </w:tc>
        <w:tc>
          <w:tcPr>
            <w:tcW w:w="6390" w:type="dxa"/>
          </w:tcPr>
          <w:p w:rsidR="00E73071" w:rsidRPr="00DC7BAD" w:rsidRDefault="00E73071" w:rsidP="008E0E79">
            <w:pPr>
              <w:spacing w:before="80" w:after="80"/>
            </w:pPr>
            <w:r w:rsidRPr="00DC7BAD">
              <w:t>Delete and incorporate into definition of standard cubic foot and move to Division 200</w:t>
            </w:r>
          </w:p>
        </w:tc>
      </w:tr>
      <w:tr w:rsidR="00E73071" w:rsidTr="0028683C">
        <w:tc>
          <w:tcPr>
            <w:tcW w:w="918" w:type="dxa"/>
          </w:tcPr>
          <w:p w:rsidR="00E73071" w:rsidRDefault="00E73071" w:rsidP="008E0E79">
            <w:pPr>
              <w:spacing w:before="80" w:after="80"/>
            </w:pPr>
            <w:r w:rsidRPr="00331019">
              <w:rPr>
                <w:b/>
              </w:rPr>
              <w:t>2</w:t>
            </w:r>
            <w:r>
              <w:rPr>
                <w:b/>
              </w:rPr>
              <w:t>40</w:t>
            </w:r>
          </w:p>
        </w:tc>
        <w:tc>
          <w:tcPr>
            <w:tcW w:w="1440" w:type="dxa"/>
          </w:tcPr>
          <w:p w:rsidR="00E73071" w:rsidRPr="008923DE" w:rsidRDefault="00E73071" w:rsidP="008E0E79">
            <w:pPr>
              <w:spacing w:before="80" w:after="80"/>
            </w:pPr>
            <w:r>
              <w:t>0030(39)</w:t>
            </w:r>
          </w:p>
        </w:tc>
        <w:tc>
          <w:tcPr>
            <w:tcW w:w="5850" w:type="dxa"/>
          </w:tcPr>
          <w:p w:rsidR="00E73071" w:rsidRDefault="00E73071" w:rsidP="008E0E79">
            <w:pPr>
              <w:spacing w:before="80" w:after="80"/>
            </w:pPr>
            <w:r>
              <w:t>Definition of veneer same as Division 234</w:t>
            </w:r>
          </w:p>
        </w:tc>
        <w:tc>
          <w:tcPr>
            <w:tcW w:w="6390" w:type="dxa"/>
          </w:tcPr>
          <w:p w:rsidR="00E73071" w:rsidRPr="008923DE" w:rsidRDefault="00E73071" w:rsidP="008E0E79">
            <w:pPr>
              <w:spacing w:before="80" w:after="80"/>
            </w:pPr>
            <w:r>
              <w:t>Move to Division 200</w:t>
            </w:r>
          </w:p>
        </w:tc>
      </w:tr>
      <w:tr w:rsidR="00E73071" w:rsidTr="0028683C">
        <w:tc>
          <w:tcPr>
            <w:tcW w:w="918" w:type="dxa"/>
          </w:tcPr>
          <w:p w:rsidR="00E73071" w:rsidRPr="004134BB" w:rsidRDefault="00E73071" w:rsidP="008E0E79">
            <w:pPr>
              <w:spacing w:before="80" w:after="80"/>
            </w:pPr>
            <w:r w:rsidRPr="004134BB">
              <w:rPr>
                <w:b/>
              </w:rPr>
              <w:t>240</w:t>
            </w:r>
          </w:p>
        </w:tc>
        <w:tc>
          <w:tcPr>
            <w:tcW w:w="1440" w:type="dxa"/>
          </w:tcPr>
          <w:p w:rsidR="00E73071" w:rsidRPr="004134BB" w:rsidRDefault="00E73071" w:rsidP="008E0E79">
            <w:pPr>
              <w:spacing w:before="80" w:after="80"/>
            </w:pPr>
            <w:r w:rsidRPr="004134BB">
              <w:t>0030(42)</w:t>
            </w:r>
          </w:p>
        </w:tc>
        <w:tc>
          <w:tcPr>
            <w:tcW w:w="5850" w:type="dxa"/>
          </w:tcPr>
          <w:p w:rsidR="00E73071" w:rsidRPr="004134BB" w:rsidRDefault="00E73071" w:rsidP="008E0E79">
            <w:pPr>
              <w:spacing w:before="80" w:after="80"/>
            </w:pPr>
            <w:r w:rsidRPr="004134BB">
              <w:t xml:space="preserve">Definition of wigwam </w:t>
            </w:r>
            <w:r w:rsidRPr="004134BB">
              <w:rPr>
                <w:u w:val="single"/>
              </w:rPr>
              <w:t>fired</w:t>
            </w:r>
            <w:r w:rsidRPr="004134BB">
              <w:t xml:space="preserve"> burner (not used) same as definition of wigwam </w:t>
            </w:r>
            <w:r w:rsidRPr="004134BB">
              <w:rPr>
                <w:u w:val="single"/>
              </w:rPr>
              <w:t>waste</w:t>
            </w:r>
            <w:r w:rsidRPr="004134BB">
              <w:t xml:space="preserve"> burner in Division 234</w:t>
            </w:r>
          </w:p>
        </w:tc>
        <w:tc>
          <w:tcPr>
            <w:tcW w:w="6390" w:type="dxa"/>
          </w:tcPr>
          <w:p w:rsidR="00E73071" w:rsidRPr="004134BB" w:rsidRDefault="00E73071" w:rsidP="008E0E79">
            <w:pPr>
              <w:spacing w:before="80" w:after="80"/>
            </w:pPr>
            <w:r w:rsidRPr="004134BB">
              <w:t>Delete and move definition of wigwam waste burner to Division 200</w:t>
            </w:r>
          </w:p>
        </w:tc>
      </w:tr>
      <w:tr w:rsidR="00E73071" w:rsidTr="0028683C">
        <w:tc>
          <w:tcPr>
            <w:tcW w:w="918" w:type="dxa"/>
          </w:tcPr>
          <w:p w:rsidR="00E73071" w:rsidRPr="00DF3DC5" w:rsidRDefault="00E73071" w:rsidP="00CD55DA">
            <w:pPr>
              <w:spacing w:before="80" w:after="80"/>
              <w:rPr>
                <w:b/>
              </w:rPr>
            </w:pPr>
            <w:r w:rsidRPr="00DF3DC5">
              <w:rPr>
                <w:b/>
              </w:rPr>
              <w:t>240</w:t>
            </w:r>
          </w:p>
        </w:tc>
        <w:tc>
          <w:tcPr>
            <w:tcW w:w="1440" w:type="dxa"/>
          </w:tcPr>
          <w:p w:rsidR="00E73071" w:rsidRPr="00DF3DC5" w:rsidRDefault="00E73071" w:rsidP="00CD55DA">
            <w:pPr>
              <w:spacing w:before="80" w:after="80"/>
            </w:pPr>
            <w:r w:rsidRPr="00DF3DC5">
              <w:t>0120(1)(</w:t>
            </w:r>
            <w:r>
              <w:t>a</w:t>
            </w:r>
            <w:r w:rsidRPr="00DF3DC5">
              <w:t>)</w:t>
            </w:r>
          </w:p>
        </w:tc>
        <w:tc>
          <w:tcPr>
            <w:tcW w:w="5850" w:type="dxa"/>
          </w:tcPr>
          <w:p w:rsidR="00E73071" w:rsidRPr="007E40AE" w:rsidRDefault="00E73071" w:rsidP="00CD55DA">
            <w:pPr>
              <w:spacing w:before="80" w:after="80"/>
            </w:pPr>
            <w:r>
              <w:t>Add the sentence that defines a violation</w:t>
            </w:r>
          </w:p>
        </w:tc>
        <w:tc>
          <w:tcPr>
            <w:tcW w:w="6390" w:type="dxa"/>
          </w:tcPr>
          <w:p w:rsidR="00E73071" w:rsidRPr="007E40AE" w:rsidRDefault="00E73071" w:rsidP="00CD55DA">
            <w:pPr>
              <w:spacing w:before="80" w:after="80"/>
            </w:pPr>
            <w:r>
              <w:t xml:space="preserve">This sentence does not belong in the definition of average operating opacity. It belongs in this subsection with the standard.  </w:t>
            </w:r>
          </w:p>
        </w:tc>
      </w:tr>
      <w:tr w:rsidR="00E73071" w:rsidTr="0028683C">
        <w:tc>
          <w:tcPr>
            <w:tcW w:w="918" w:type="dxa"/>
          </w:tcPr>
          <w:p w:rsidR="00E73071" w:rsidRPr="00DF3DC5" w:rsidRDefault="00E73071" w:rsidP="008E0E79">
            <w:pPr>
              <w:spacing w:before="80" w:after="80"/>
              <w:rPr>
                <w:b/>
              </w:rPr>
            </w:pPr>
            <w:r w:rsidRPr="00DF3DC5">
              <w:rPr>
                <w:b/>
              </w:rPr>
              <w:t>240</w:t>
            </w:r>
          </w:p>
        </w:tc>
        <w:tc>
          <w:tcPr>
            <w:tcW w:w="1440" w:type="dxa"/>
          </w:tcPr>
          <w:p w:rsidR="00E73071" w:rsidRPr="00DF3DC5" w:rsidRDefault="00E73071" w:rsidP="008E0E79">
            <w:pPr>
              <w:spacing w:before="80" w:after="80"/>
            </w:pPr>
            <w:r w:rsidRPr="00DF3DC5">
              <w:t>0120(1)(e) and (f)</w:t>
            </w:r>
          </w:p>
        </w:tc>
        <w:tc>
          <w:tcPr>
            <w:tcW w:w="5850" w:type="dxa"/>
          </w:tcPr>
          <w:p w:rsidR="00E73071" w:rsidRPr="00DF3DC5" w:rsidRDefault="00E73071" w:rsidP="008E0E79">
            <w:pPr>
              <w:spacing w:before="80" w:after="80"/>
            </w:pPr>
            <w:r w:rsidRPr="00DF3DC5">
              <w:t>Incorporate fuel moisture content into rule and add test method</w:t>
            </w:r>
          </w:p>
        </w:tc>
        <w:tc>
          <w:tcPr>
            <w:tcW w:w="6390" w:type="dxa"/>
          </w:tcPr>
          <w:p w:rsidR="00E73071" w:rsidRPr="00DF3DC5" w:rsidRDefault="00E73071" w:rsidP="008E0E79">
            <w:pPr>
              <w:spacing w:before="80" w:after="80"/>
            </w:pPr>
            <w:r>
              <w:t>This clarifies the requirement</w:t>
            </w:r>
          </w:p>
        </w:tc>
      </w:tr>
      <w:tr w:rsidR="00E73071" w:rsidRPr="007E40AE" w:rsidTr="0028683C">
        <w:tc>
          <w:tcPr>
            <w:tcW w:w="918" w:type="dxa"/>
          </w:tcPr>
          <w:p w:rsidR="00E73071" w:rsidRPr="007E40AE" w:rsidRDefault="00E73071" w:rsidP="008E0E79">
            <w:pPr>
              <w:spacing w:before="80" w:after="80"/>
              <w:rPr>
                <w:b/>
              </w:rPr>
            </w:pPr>
            <w:r w:rsidRPr="007E40AE">
              <w:rPr>
                <w:b/>
              </w:rPr>
              <w:t>240</w:t>
            </w:r>
          </w:p>
        </w:tc>
        <w:tc>
          <w:tcPr>
            <w:tcW w:w="1440" w:type="dxa"/>
          </w:tcPr>
          <w:p w:rsidR="00E73071" w:rsidRPr="007E40AE" w:rsidRDefault="00E73071" w:rsidP="008E0E79">
            <w:pPr>
              <w:spacing w:before="80" w:after="80"/>
            </w:pPr>
            <w:r w:rsidRPr="007E40AE">
              <w:t>0120(2)</w:t>
            </w:r>
          </w:p>
        </w:tc>
        <w:tc>
          <w:tcPr>
            <w:tcW w:w="5850" w:type="dxa"/>
          </w:tcPr>
          <w:p w:rsidR="00E73071" w:rsidRPr="007E40AE" w:rsidRDefault="00E73071" w:rsidP="008E0E79">
            <w:pPr>
              <w:spacing w:before="80" w:after="80"/>
            </w:pPr>
            <w:r w:rsidRPr="007E40AE">
              <w:t>Replace fuel burning equipment with external combustion device</w:t>
            </w:r>
          </w:p>
        </w:tc>
        <w:tc>
          <w:tcPr>
            <w:tcW w:w="6390" w:type="dxa"/>
          </w:tcPr>
          <w:p w:rsidR="00E73071" w:rsidRPr="007E40AE" w:rsidRDefault="00E73071" w:rsidP="008E0E79">
            <w:pPr>
              <w:spacing w:before="80" w:after="80"/>
            </w:pPr>
            <w:r w:rsidRPr="007E40AE">
              <w:t>Avoids confusion about indirect heat transfer (e.g., boilers), direct heat transfer (e.g., dryers), and internal combustion devices (e.g., gas turbines).</w:t>
            </w:r>
          </w:p>
        </w:tc>
      </w:tr>
      <w:tr w:rsidR="00E73071" w:rsidTr="0028683C">
        <w:tc>
          <w:tcPr>
            <w:tcW w:w="918" w:type="dxa"/>
          </w:tcPr>
          <w:p w:rsidR="00E73071" w:rsidRPr="007E40AE" w:rsidRDefault="00E73071" w:rsidP="008E0E79">
            <w:pPr>
              <w:spacing w:before="80" w:after="80"/>
              <w:rPr>
                <w:b/>
              </w:rPr>
            </w:pPr>
            <w:r w:rsidRPr="007E40AE">
              <w:rPr>
                <w:b/>
              </w:rPr>
              <w:t>240</w:t>
            </w:r>
          </w:p>
        </w:tc>
        <w:tc>
          <w:tcPr>
            <w:tcW w:w="1440" w:type="dxa"/>
          </w:tcPr>
          <w:p w:rsidR="00E73071" w:rsidRPr="007E40AE" w:rsidRDefault="00E73071" w:rsidP="008E0E79">
            <w:pPr>
              <w:spacing w:before="80" w:after="80"/>
            </w:pPr>
            <w:r w:rsidRPr="007E40AE">
              <w:t>0150(3)</w:t>
            </w:r>
          </w:p>
        </w:tc>
        <w:tc>
          <w:tcPr>
            <w:tcW w:w="5850" w:type="dxa"/>
          </w:tcPr>
          <w:p w:rsidR="00E73071" w:rsidRPr="007E40AE" w:rsidRDefault="00E73071" w:rsidP="008E0E79">
            <w:pPr>
              <w:spacing w:before="80" w:after="80"/>
            </w:pPr>
            <w:r w:rsidRPr="007E40AE">
              <w:t>Replace fuel burning equipment with external combustion device</w:t>
            </w:r>
          </w:p>
        </w:tc>
        <w:tc>
          <w:tcPr>
            <w:tcW w:w="6390" w:type="dxa"/>
          </w:tcPr>
          <w:p w:rsidR="00E73071" w:rsidRPr="007E40AE" w:rsidRDefault="00E73071" w:rsidP="008E0E79">
            <w:pPr>
              <w:spacing w:before="80" w:after="80"/>
            </w:pPr>
            <w:r w:rsidRPr="007E40AE">
              <w:t>Avoids confusion about indirect heat transfer (e.g., boilers), direct heat transfer (e.g., dryers), and internal combustion devices (e.g., gas turbines).</w:t>
            </w:r>
          </w:p>
        </w:tc>
      </w:tr>
      <w:tr w:rsidR="00E73071" w:rsidTr="0028683C">
        <w:tc>
          <w:tcPr>
            <w:tcW w:w="918" w:type="dxa"/>
          </w:tcPr>
          <w:p w:rsidR="00E73071" w:rsidRDefault="00E73071" w:rsidP="00F61DCA">
            <w:pPr>
              <w:spacing w:before="80" w:after="80"/>
              <w:rPr>
                <w:b/>
              </w:rPr>
            </w:pPr>
            <w:r>
              <w:rPr>
                <w:b/>
              </w:rPr>
              <w:t>240</w:t>
            </w:r>
          </w:p>
        </w:tc>
        <w:tc>
          <w:tcPr>
            <w:tcW w:w="1440" w:type="dxa"/>
          </w:tcPr>
          <w:p w:rsidR="00E73071" w:rsidRDefault="00E73071" w:rsidP="00F61DCA">
            <w:pPr>
              <w:spacing w:before="80" w:after="80"/>
            </w:pPr>
            <w:r>
              <w:t>0170</w:t>
            </w:r>
          </w:p>
        </w:tc>
        <w:tc>
          <w:tcPr>
            <w:tcW w:w="5850" w:type="dxa"/>
          </w:tcPr>
          <w:p w:rsidR="00E73071" w:rsidRDefault="00E73071" w:rsidP="00F61DCA">
            <w:pPr>
              <w:spacing w:before="80" w:after="80"/>
            </w:pPr>
            <w:r>
              <w:t>Delete Charcoal Producing Plant rules</w:t>
            </w:r>
          </w:p>
        </w:tc>
        <w:tc>
          <w:tcPr>
            <w:tcW w:w="6390" w:type="dxa"/>
          </w:tcPr>
          <w:p w:rsidR="00E73071" w:rsidRPr="007E40AE" w:rsidRDefault="00E73071" w:rsidP="006376F3">
            <w:pPr>
              <w:spacing w:before="80" w:after="80"/>
            </w:pPr>
            <w:r>
              <w:t xml:space="preserve">These sources no longer exist in the state outside of Lane County.  If a new source did build a facility, New Source Review would apply. These rules would be more stringent than the existing rules.  </w:t>
            </w:r>
            <w:r w:rsidRPr="00B62FF1">
              <w:t>(Proposed SIP Implementation Change)</w:t>
            </w:r>
          </w:p>
        </w:tc>
      </w:tr>
      <w:tr w:rsidR="00E73071" w:rsidTr="0028683C">
        <w:tc>
          <w:tcPr>
            <w:tcW w:w="918" w:type="dxa"/>
          </w:tcPr>
          <w:p w:rsidR="00E73071" w:rsidRDefault="00E73071" w:rsidP="002F7029">
            <w:pPr>
              <w:spacing w:before="80" w:after="80"/>
              <w:rPr>
                <w:b/>
              </w:rPr>
            </w:pPr>
            <w:r>
              <w:rPr>
                <w:b/>
              </w:rPr>
              <w:t>240</w:t>
            </w:r>
          </w:p>
        </w:tc>
        <w:tc>
          <w:tcPr>
            <w:tcW w:w="1440" w:type="dxa"/>
          </w:tcPr>
          <w:p w:rsidR="00E73071" w:rsidRDefault="00E73071" w:rsidP="002F7029">
            <w:pPr>
              <w:spacing w:before="80" w:after="80"/>
            </w:pPr>
            <w:r>
              <w:t xml:space="preserve">0220(1)(b) and </w:t>
            </w:r>
            <w:r>
              <w:lastRenderedPageBreak/>
              <w:t>(e)</w:t>
            </w:r>
          </w:p>
        </w:tc>
        <w:tc>
          <w:tcPr>
            <w:tcW w:w="5850" w:type="dxa"/>
          </w:tcPr>
          <w:p w:rsidR="00E73071" w:rsidRDefault="00E73071" w:rsidP="002F7029">
            <w:pPr>
              <w:spacing w:before="80" w:after="80"/>
            </w:pPr>
            <w:r>
              <w:lastRenderedPageBreak/>
              <w:t>Delete dates in the past</w:t>
            </w:r>
          </w:p>
        </w:tc>
        <w:tc>
          <w:tcPr>
            <w:tcW w:w="6390" w:type="dxa"/>
          </w:tcPr>
          <w:p w:rsidR="00E73071" w:rsidRPr="00105E88" w:rsidRDefault="00E73071" w:rsidP="002F7029">
            <w:pPr>
              <w:spacing w:before="80" w:after="80"/>
            </w:pPr>
            <w:r>
              <w:t>The required testing dates are already past</w:t>
            </w:r>
          </w:p>
        </w:tc>
      </w:tr>
      <w:tr w:rsidR="00E73071" w:rsidTr="0028683C">
        <w:tc>
          <w:tcPr>
            <w:tcW w:w="918" w:type="dxa"/>
          </w:tcPr>
          <w:p w:rsidR="00E73071" w:rsidRDefault="00E73071" w:rsidP="00F61DCA">
            <w:pPr>
              <w:spacing w:before="80" w:after="80"/>
              <w:rPr>
                <w:b/>
              </w:rPr>
            </w:pPr>
            <w:r>
              <w:rPr>
                <w:b/>
              </w:rPr>
              <w:lastRenderedPageBreak/>
              <w:t>240</w:t>
            </w:r>
          </w:p>
        </w:tc>
        <w:tc>
          <w:tcPr>
            <w:tcW w:w="1440" w:type="dxa"/>
          </w:tcPr>
          <w:p w:rsidR="00E73071" w:rsidRDefault="00E73071" w:rsidP="00F61DCA">
            <w:pPr>
              <w:spacing w:before="80" w:after="80"/>
            </w:pPr>
            <w:r>
              <w:t>0220(1)(b)</w:t>
            </w:r>
          </w:p>
        </w:tc>
        <w:tc>
          <w:tcPr>
            <w:tcW w:w="5850" w:type="dxa"/>
          </w:tcPr>
          <w:p w:rsidR="00E73071" w:rsidRDefault="00E73071" w:rsidP="00F61DCA">
            <w:pPr>
              <w:spacing w:before="80" w:after="80"/>
            </w:pPr>
            <w:r>
              <w:t xml:space="preserve">Delete requirement for source testing of charcoal producing plant </w:t>
            </w:r>
          </w:p>
        </w:tc>
        <w:tc>
          <w:tcPr>
            <w:tcW w:w="6390" w:type="dxa"/>
          </w:tcPr>
          <w:p w:rsidR="00E73071" w:rsidRPr="007E40AE" w:rsidRDefault="00E73071" w:rsidP="006376F3">
            <w:pPr>
              <w:spacing w:before="80" w:after="80"/>
            </w:pPr>
            <w:r>
              <w:t xml:space="preserve">These sources no longer exist in the state outside of Lane County.  If a new source did build a facility, New Source Review would apply. These rules would be more stringent than the existing rules.  </w:t>
            </w:r>
            <w:r w:rsidRPr="00B62FF1">
              <w:t>(Proposed SIP Implementation Change)</w:t>
            </w:r>
          </w:p>
        </w:tc>
      </w:tr>
      <w:tr w:rsidR="00E73071" w:rsidTr="0028683C">
        <w:tc>
          <w:tcPr>
            <w:tcW w:w="918" w:type="dxa"/>
          </w:tcPr>
          <w:p w:rsidR="00E73071" w:rsidRPr="007E40AE" w:rsidRDefault="00E73071" w:rsidP="008E0E79">
            <w:pPr>
              <w:spacing w:before="80" w:after="80"/>
              <w:rPr>
                <w:b/>
              </w:rPr>
            </w:pPr>
            <w:r>
              <w:rPr>
                <w:b/>
              </w:rPr>
              <w:t>240</w:t>
            </w:r>
          </w:p>
        </w:tc>
        <w:tc>
          <w:tcPr>
            <w:tcW w:w="1440" w:type="dxa"/>
          </w:tcPr>
          <w:p w:rsidR="00E73071" w:rsidRPr="007E40AE" w:rsidRDefault="00E73071" w:rsidP="008E0E79">
            <w:pPr>
              <w:spacing w:before="80" w:after="80"/>
            </w:pPr>
            <w:r>
              <w:t>0220(6)</w:t>
            </w:r>
          </w:p>
        </w:tc>
        <w:tc>
          <w:tcPr>
            <w:tcW w:w="5850" w:type="dxa"/>
          </w:tcPr>
          <w:p w:rsidR="00E73071" w:rsidRPr="007E40AE" w:rsidRDefault="00E73071" w:rsidP="008E0E79">
            <w:pPr>
              <w:spacing w:before="80" w:after="80"/>
            </w:pPr>
            <w:r>
              <w:t>Add (6) to include the source test methods for particulate matter</w:t>
            </w:r>
          </w:p>
        </w:tc>
        <w:tc>
          <w:tcPr>
            <w:tcW w:w="6390" w:type="dxa"/>
          </w:tcPr>
          <w:p w:rsidR="00E73071" w:rsidRPr="00105E88" w:rsidRDefault="00E73071" w:rsidP="008E0E79">
            <w:pPr>
              <w:spacing w:before="80" w:after="80"/>
            </w:pPr>
            <w:r w:rsidRPr="00105E88">
              <w:t>The definition of particulate matter has been moved to Division 200.  The test methods are being separated from the definition and included with the standard.</w:t>
            </w:r>
          </w:p>
        </w:tc>
      </w:tr>
    </w:tbl>
    <w:p w:rsidR="00BE36D9" w:rsidRDefault="00BE36D9" w:rsidP="008E0E79">
      <w:pPr>
        <w:spacing w:before="80" w:after="80"/>
      </w:pPr>
    </w:p>
    <w:sectPr w:rsidR="00BE36D9" w:rsidSect="00213A82">
      <w:footerReference w:type="default" r:id="rId11"/>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C21" w:rsidRDefault="00832C21" w:rsidP="00213A82">
      <w:r>
        <w:separator/>
      </w:r>
    </w:p>
  </w:endnote>
  <w:endnote w:type="continuationSeparator" w:id="0">
    <w:p w:rsidR="00832C21" w:rsidRDefault="00832C21" w:rsidP="00213A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C21" w:rsidRDefault="008D2704" w:rsidP="00213A82">
    <w:pPr>
      <w:pStyle w:val="Footer"/>
      <w:jc w:val="center"/>
    </w:pPr>
    <w:fldSimple w:instr=" DATE \@ &quot;M/d/yyyy h:mm am/pm&quot; ">
      <w:r w:rsidR="000134F2">
        <w:rPr>
          <w:noProof/>
        </w:rPr>
        <w:t>8/18/2011 3:13 PM</w:t>
      </w:r>
    </w:fldSimple>
    <w:r w:rsidR="00832C21">
      <w:tab/>
    </w:r>
    <w:r w:rsidR="00832C21">
      <w:tab/>
    </w:r>
    <w:r w:rsidR="00832C21">
      <w:tab/>
    </w:r>
    <w:r w:rsidR="00832C21">
      <w:tab/>
    </w:r>
    <w:r w:rsidR="00832C21">
      <w:tab/>
    </w:r>
    <w:r w:rsidR="00832C21">
      <w:tab/>
      <w:t xml:space="preserve">Page </w:t>
    </w:r>
    <w:r>
      <w:rPr>
        <w:b/>
        <w:sz w:val="24"/>
        <w:szCs w:val="24"/>
      </w:rPr>
      <w:fldChar w:fldCharType="begin"/>
    </w:r>
    <w:r w:rsidR="00832C21">
      <w:rPr>
        <w:b/>
      </w:rPr>
      <w:instrText xml:space="preserve"> PAGE </w:instrText>
    </w:r>
    <w:r>
      <w:rPr>
        <w:b/>
        <w:sz w:val="24"/>
        <w:szCs w:val="24"/>
      </w:rPr>
      <w:fldChar w:fldCharType="separate"/>
    </w:r>
    <w:r w:rsidR="000134F2">
      <w:rPr>
        <w:b/>
        <w:noProof/>
      </w:rPr>
      <w:t>1</w:t>
    </w:r>
    <w:r>
      <w:rPr>
        <w:b/>
        <w:sz w:val="24"/>
        <w:szCs w:val="24"/>
      </w:rPr>
      <w:fldChar w:fldCharType="end"/>
    </w:r>
    <w:r w:rsidR="00832C21">
      <w:t xml:space="preserve"> of </w:t>
    </w:r>
    <w:r>
      <w:rPr>
        <w:b/>
        <w:sz w:val="24"/>
        <w:szCs w:val="24"/>
      </w:rPr>
      <w:fldChar w:fldCharType="begin"/>
    </w:r>
    <w:r w:rsidR="00832C21">
      <w:rPr>
        <w:b/>
      </w:rPr>
      <w:instrText xml:space="preserve"> NUMPAGES  </w:instrText>
    </w:r>
    <w:r>
      <w:rPr>
        <w:b/>
        <w:sz w:val="24"/>
        <w:szCs w:val="24"/>
      </w:rPr>
      <w:fldChar w:fldCharType="separate"/>
    </w:r>
    <w:r w:rsidR="000134F2">
      <w:rPr>
        <w:b/>
        <w:noProof/>
      </w:rPr>
      <w:t>21</w:t>
    </w:r>
    <w:r>
      <w:rPr>
        <w:b/>
        <w:sz w:val="24"/>
        <w:szCs w:val="24"/>
      </w:rPr>
      <w:fldChar w:fldCharType="end"/>
    </w:r>
  </w:p>
  <w:p w:rsidR="00832C21" w:rsidRDefault="00832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C21" w:rsidRDefault="00832C21" w:rsidP="00213A82">
      <w:r>
        <w:separator/>
      </w:r>
    </w:p>
  </w:footnote>
  <w:footnote w:type="continuationSeparator" w:id="0">
    <w:p w:rsidR="00832C21" w:rsidRDefault="00832C21"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5"/>
  </w:num>
  <w:num w:numId="4">
    <w:abstractNumId w:val="12"/>
  </w:num>
  <w:num w:numId="5">
    <w:abstractNumId w:val="1"/>
  </w:num>
  <w:num w:numId="6">
    <w:abstractNumId w:val="8"/>
  </w:num>
  <w:num w:numId="7">
    <w:abstractNumId w:val="0"/>
  </w:num>
  <w:num w:numId="8">
    <w:abstractNumId w:val="9"/>
  </w:num>
  <w:num w:numId="9">
    <w:abstractNumId w:val="4"/>
  </w:num>
  <w:num w:numId="10">
    <w:abstractNumId w:val="10"/>
  </w:num>
  <w:num w:numId="11">
    <w:abstractNumId w:val="11"/>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134F2"/>
    <w:rsid w:val="00014297"/>
    <w:rsid w:val="00022C9F"/>
    <w:rsid w:val="00022F37"/>
    <w:rsid w:val="0002357D"/>
    <w:rsid w:val="00024BA3"/>
    <w:rsid w:val="0003080C"/>
    <w:rsid w:val="000317FD"/>
    <w:rsid w:val="00032A03"/>
    <w:rsid w:val="00043256"/>
    <w:rsid w:val="00043B91"/>
    <w:rsid w:val="00054E1E"/>
    <w:rsid w:val="00057B8D"/>
    <w:rsid w:val="00057DAE"/>
    <w:rsid w:val="00065AC1"/>
    <w:rsid w:val="00066DC6"/>
    <w:rsid w:val="00072428"/>
    <w:rsid w:val="0008030C"/>
    <w:rsid w:val="0008470F"/>
    <w:rsid w:val="000863AA"/>
    <w:rsid w:val="0008670C"/>
    <w:rsid w:val="00091D43"/>
    <w:rsid w:val="00092CA6"/>
    <w:rsid w:val="000A0458"/>
    <w:rsid w:val="000B5027"/>
    <w:rsid w:val="000C00B6"/>
    <w:rsid w:val="000C4915"/>
    <w:rsid w:val="000C4BF0"/>
    <w:rsid w:val="000D1033"/>
    <w:rsid w:val="000D1794"/>
    <w:rsid w:val="000D4A69"/>
    <w:rsid w:val="000E0B5F"/>
    <w:rsid w:val="000E304C"/>
    <w:rsid w:val="000E417C"/>
    <w:rsid w:val="000E6DC2"/>
    <w:rsid w:val="000E72D9"/>
    <w:rsid w:val="000F27CB"/>
    <w:rsid w:val="000F7B34"/>
    <w:rsid w:val="001034CB"/>
    <w:rsid w:val="00104246"/>
    <w:rsid w:val="00105E88"/>
    <w:rsid w:val="001062FE"/>
    <w:rsid w:val="00112E2A"/>
    <w:rsid w:val="001150BA"/>
    <w:rsid w:val="00115F9F"/>
    <w:rsid w:val="00121F0A"/>
    <w:rsid w:val="0012443B"/>
    <w:rsid w:val="00126CF8"/>
    <w:rsid w:val="00140A2D"/>
    <w:rsid w:val="001419B7"/>
    <w:rsid w:val="00143B62"/>
    <w:rsid w:val="00157090"/>
    <w:rsid w:val="00160937"/>
    <w:rsid w:val="00160A20"/>
    <w:rsid w:val="0016382F"/>
    <w:rsid w:val="00164AD4"/>
    <w:rsid w:val="00165FBA"/>
    <w:rsid w:val="0017540B"/>
    <w:rsid w:val="00177CB8"/>
    <w:rsid w:val="0018123E"/>
    <w:rsid w:val="00181F64"/>
    <w:rsid w:val="00183092"/>
    <w:rsid w:val="001838A8"/>
    <w:rsid w:val="00184031"/>
    <w:rsid w:val="00187A19"/>
    <w:rsid w:val="001914F9"/>
    <w:rsid w:val="00193374"/>
    <w:rsid w:val="00194CB0"/>
    <w:rsid w:val="00196D88"/>
    <w:rsid w:val="001B4814"/>
    <w:rsid w:val="001C491D"/>
    <w:rsid w:val="001D2413"/>
    <w:rsid w:val="001D3F2C"/>
    <w:rsid w:val="001E53A3"/>
    <w:rsid w:val="001E6AD5"/>
    <w:rsid w:val="001E71AB"/>
    <w:rsid w:val="001E7386"/>
    <w:rsid w:val="001E74CA"/>
    <w:rsid w:val="001F2BD1"/>
    <w:rsid w:val="001F339F"/>
    <w:rsid w:val="001F7219"/>
    <w:rsid w:val="00202BA4"/>
    <w:rsid w:val="002043E2"/>
    <w:rsid w:val="00204B05"/>
    <w:rsid w:val="00210260"/>
    <w:rsid w:val="00213A82"/>
    <w:rsid w:val="00214639"/>
    <w:rsid w:val="00223792"/>
    <w:rsid w:val="00231987"/>
    <w:rsid w:val="00231F88"/>
    <w:rsid w:val="002339BE"/>
    <w:rsid w:val="0024008B"/>
    <w:rsid w:val="0024621B"/>
    <w:rsid w:val="002556E0"/>
    <w:rsid w:val="00260D0C"/>
    <w:rsid w:val="0026314B"/>
    <w:rsid w:val="00264CF1"/>
    <w:rsid w:val="0026588D"/>
    <w:rsid w:val="00267A69"/>
    <w:rsid w:val="00273711"/>
    <w:rsid w:val="002741FA"/>
    <w:rsid w:val="00274939"/>
    <w:rsid w:val="00274ED5"/>
    <w:rsid w:val="00275CE9"/>
    <w:rsid w:val="00277C83"/>
    <w:rsid w:val="00281AAC"/>
    <w:rsid w:val="002826C2"/>
    <w:rsid w:val="00285DF9"/>
    <w:rsid w:val="0028683C"/>
    <w:rsid w:val="00286EE3"/>
    <w:rsid w:val="002934D4"/>
    <w:rsid w:val="00294996"/>
    <w:rsid w:val="00296128"/>
    <w:rsid w:val="002965A9"/>
    <w:rsid w:val="00296AFD"/>
    <w:rsid w:val="002B0695"/>
    <w:rsid w:val="002B097B"/>
    <w:rsid w:val="002B18BD"/>
    <w:rsid w:val="002B3CF0"/>
    <w:rsid w:val="002B3E7B"/>
    <w:rsid w:val="002B490F"/>
    <w:rsid w:val="002C0824"/>
    <w:rsid w:val="002C483C"/>
    <w:rsid w:val="002C6804"/>
    <w:rsid w:val="002C6F77"/>
    <w:rsid w:val="002C79D3"/>
    <w:rsid w:val="002D6993"/>
    <w:rsid w:val="002E0879"/>
    <w:rsid w:val="002E2B24"/>
    <w:rsid w:val="002E5909"/>
    <w:rsid w:val="002E6688"/>
    <w:rsid w:val="002E78C6"/>
    <w:rsid w:val="002F363E"/>
    <w:rsid w:val="002F7029"/>
    <w:rsid w:val="00306914"/>
    <w:rsid w:val="0030705B"/>
    <w:rsid w:val="00307C61"/>
    <w:rsid w:val="00311EFA"/>
    <w:rsid w:val="00312E14"/>
    <w:rsid w:val="00316F8C"/>
    <w:rsid w:val="00324C46"/>
    <w:rsid w:val="00324FE9"/>
    <w:rsid w:val="00344A0B"/>
    <w:rsid w:val="00345AC2"/>
    <w:rsid w:val="003478DB"/>
    <w:rsid w:val="00354D7F"/>
    <w:rsid w:val="00355551"/>
    <w:rsid w:val="00355574"/>
    <w:rsid w:val="00356016"/>
    <w:rsid w:val="00367C3A"/>
    <w:rsid w:val="00367E2A"/>
    <w:rsid w:val="00370DCD"/>
    <w:rsid w:val="003713F2"/>
    <w:rsid w:val="0037757E"/>
    <w:rsid w:val="00380895"/>
    <w:rsid w:val="00380F04"/>
    <w:rsid w:val="00383188"/>
    <w:rsid w:val="00390E18"/>
    <w:rsid w:val="00391CF0"/>
    <w:rsid w:val="0039379D"/>
    <w:rsid w:val="00397BB5"/>
    <w:rsid w:val="003A115B"/>
    <w:rsid w:val="003A158A"/>
    <w:rsid w:val="003A1FBD"/>
    <w:rsid w:val="003A3013"/>
    <w:rsid w:val="003A6FBB"/>
    <w:rsid w:val="003A7AB5"/>
    <w:rsid w:val="003B1BBC"/>
    <w:rsid w:val="003B6134"/>
    <w:rsid w:val="003B6404"/>
    <w:rsid w:val="003C217A"/>
    <w:rsid w:val="003C2C07"/>
    <w:rsid w:val="003C3E8F"/>
    <w:rsid w:val="003C6362"/>
    <w:rsid w:val="003D1751"/>
    <w:rsid w:val="003D23FC"/>
    <w:rsid w:val="003D2DAA"/>
    <w:rsid w:val="003E626B"/>
    <w:rsid w:val="003F3264"/>
    <w:rsid w:val="003F4171"/>
    <w:rsid w:val="003F63F7"/>
    <w:rsid w:val="003F7761"/>
    <w:rsid w:val="004053AD"/>
    <w:rsid w:val="004134BB"/>
    <w:rsid w:val="00414E03"/>
    <w:rsid w:val="00415AB1"/>
    <w:rsid w:val="00421B54"/>
    <w:rsid w:val="0042252F"/>
    <w:rsid w:val="004301F8"/>
    <w:rsid w:val="00443026"/>
    <w:rsid w:val="00445A2D"/>
    <w:rsid w:val="00446FF9"/>
    <w:rsid w:val="00460D66"/>
    <w:rsid w:val="004646DE"/>
    <w:rsid w:val="00467FAD"/>
    <w:rsid w:val="00471DDA"/>
    <w:rsid w:val="00472435"/>
    <w:rsid w:val="00476C90"/>
    <w:rsid w:val="0047754B"/>
    <w:rsid w:val="004803DD"/>
    <w:rsid w:val="00482705"/>
    <w:rsid w:val="0048350B"/>
    <w:rsid w:val="00485459"/>
    <w:rsid w:val="004931D0"/>
    <w:rsid w:val="004955E6"/>
    <w:rsid w:val="004A3035"/>
    <w:rsid w:val="004B60C5"/>
    <w:rsid w:val="004C2F7E"/>
    <w:rsid w:val="004C35BD"/>
    <w:rsid w:val="004C5967"/>
    <w:rsid w:val="004D45CF"/>
    <w:rsid w:val="004D513C"/>
    <w:rsid w:val="004D6EA9"/>
    <w:rsid w:val="004E440F"/>
    <w:rsid w:val="004E4D52"/>
    <w:rsid w:val="004F3824"/>
    <w:rsid w:val="004F73EF"/>
    <w:rsid w:val="00503B8A"/>
    <w:rsid w:val="005063DB"/>
    <w:rsid w:val="00513265"/>
    <w:rsid w:val="00525047"/>
    <w:rsid w:val="0052727B"/>
    <w:rsid w:val="00533CD6"/>
    <w:rsid w:val="00533E0E"/>
    <w:rsid w:val="0053633C"/>
    <w:rsid w:val="00545D09"/>
    <w:rsid w:val="00546DF9"/>
    <w:rsid w:val="00552726"/>
    <w:rsid w:val="00553C1B"/>
    <w:rsid w:val="00553C32"/>
    <w:rsid w:val="005546B3"/>
    <w:rsid w:val="00556241"/>
    <w:rsid w:val="0055717C"/>
    <w:rsid w:val="00557B30"/>
    <w:rsid w:val="00563590"/>
    <w:rsid w:val="00567FDF"/>
    <w:rsid w:val="00575581"/>
    <w:rsid w:val="00576FC1"/>
    <w:rsid w:val="00577213"/>
    <w:rsid w:val="00583231"/>
    <w:rsid w:val="0058497B"/>
    <w:rsid w:val="005954B6"/>
    <w:rsid w:val="00597701"/>
    <w:rsid w:val="005A0A7B"/>
    <w:rsid w:val="005A1189"/>
    <w:rsid w:val="005A4EE4"/>
    <w:rsid w:val="005A64DE"/>
    <w:rsid w:val="005A76A2"/>
    <w:rsid w:val="005B4A0C"/>
    <w:rsid w:val="005C2DA2"/>
    <w:rsid w:val="005D1C60"/>
    <w:rsid w:val="005D1CFE"/>
    <w:rsid w:val="005D1DBD"/>
    <w:rsid w:val="005D7E9D"/>
    <w:rsid w:val="005E18A4"/>
    <w:rsid w:val="005E43EB"/>
    <w:rsid w:val="005E4AFC"/>
    <w:rsid w:val="005E5139"/>
    <w:rsid w:val="005E5E02"/>
    <w:rsid w:val="005F01EC"/>
    <w:rsid w:val="00603215"/>
    <w:rsid w:val="00603F28"/>
    <w:rsid w:val="00612FA4"/>
    <w:rsid w:val="00617C11"/>
    <w:rsid w:val="00623389"/>
    <w:rsid w:val="0062778C"/>
    <w:rsid w:val="006318B5"/>
    <w:rsid w:val="00632225"/>
    <w:rsid w:val="00632E2A"/>
    <w:rsid w:val="006350E8"/>
    <w:rsid w:val="006376F3"/>
    <w:rsid w:val="006471B6"/>
    <w:rsid w:val="0065092C"/>
    <w:rsid w:val="006551DE"/>
    <w:rsid w:val="006579C1"/>
    <w:rsid w:val="00657DE0"/>
    <w:rsid w:val="00666EAD"/>
    <w:rsid w:val="0068222F"/>
    <w:rsid w:val="00684A96"/>
    <w:rsid w:val="006A505B"/>
    <w:rsid w:val="006A6649"/>
    <w:rsid w:val="006B08CB"/>
    <w:rsid w:val="006B4FBA"/>
    <w:rsid w:val="006B6C77"/>
    <w:rsid w:val="006C3B3A"/>
    <w:rsid w:val="006D1A92"/>
    <w:rsid w:val="006D2D3F"/>
    <w:rsid w:val="006D3852"/>
    <w:rsid w:val="006D3EB1"/>
    <w:rsid w:val="006D5D75"/>
    <w:rsid w:val="006D6E07"/>
    <w:rsid w:val="006E43AA"/>
    <w:rsid w:val="006E49F7"/>
    <w:rsid w:val="0070048C"/>
    <w:rsid w:val="00703553"/>
    <w:rsid w:val="00707019"/>
    <w:rsid w:val="00710E72"/>
    <w:rsid w:val="007114EB"/>
    <w:rsid w:val="00715463"/>
    <w:rsid w:val="007171AE"/>
    <w:rsid w:val="0072122B"/>
    <w:rsid w:val="007236DB"/>
    <w:rsid w:val="0072418D"/>
    <w:rsid w:val="00725FBA"/>
    <w:rsid w:val="00732000"/>
    <w:rsid w:val="00734C57"/>
    <w:rsid w:val="00743B1A"/>
    <w:rsid w:val="00747EDD"/>
    <w:rsid w:val="00762DA4"/>
    <w:rsid w:val="007630C0"/>
    <w:rsid w:val="00763BC1"/>
    <w:rsid w:val="007640AC"/>
    <w:rsid w:val="00765852"/>
    <w:rsid w:val="00771ECF"/>
    <w:rsid w:val="00775111"/>
    <w:rsid w:val="00782841"/>
    <w:rsid w:val="00787586"/>
    <w:rsid w:val="007902F7"/>
    <w:rsid w:val="00792C56"/>
    <w:rsid w:val="007961ED"/>
    <w:rsid w:val="00797A5B"/>
    <w:rsid w:val="007A16A2"/>
    <w:rsid w:val="007B1C80"/>
    <w:rsid w:val="007B587E"/>
    <w:rsid w:val="007B6A1D"/>
    <w:rsid w:val="007C0EF4"/>
    <w:rsid w:val="007C5426"/>
    <w:rsid w:val="007C555C"/>
    <w:rsid w:val="007C7581"/>
    <w:rsid w:val="007D28C5"/>
    <w:rsid w:val="007E06D5"/>
    <w:rsid w:val="007E37E8"/>
    <w:rsid w:val="007E40AE"/>
    <w:rsid w:val="007E4572"/>
    <w:rsid w:val="007F260D"/>
    <w:rsid w:val="007F3640"/>
    <w:rsid w:val="007F62E1"/>
    <w:rsid w:val="008006E0"/>
    <w:rsid w:val="008045A3"/>
    <w:rsid w:val="00810026"/>
    <w:rsid w:val="00814FCF"/>
    <w:rsid w:val="00817D6E"/>
    <w:rsid w:val="00824FD2"/>
    <w:rsid w:val="00826050"/>
    <w:rsid w:val="00831B1A"/>
    <w:rsid w:val="00832C21"/>
    <w:rsid w:val="00833DAD"/>
    <w:rsid w:val="00835534"/>
    <w:rsid w:val="0083595D"/>
    <w:rsid w:val="008444B4"/>
    <w:rsid w:val="008500DC"/>
    <w:rsid w:val="00854F5A"/>
    <w:rsid w:val="00855C7C"/>
    <w:rsid w:val="00863E14"/>
    <w:rsid w:val="008670B3"/>
    <w:rsid w:val="00871315"/>
    <w:rsid w:val="008715A6"/>
    <w:rsid w:val="0087408C"/>
    <w:rsid w:val="00874738"/>
    <w:rsid w:val="00883520"/>
    <w:rsid w:val="008858D3"/>
    <w:rsid w:val="008923DE"/>
    <w:rsid w:val="00896C6C"/>
    <w:rsid w:val="00896D50"/>
    <w:rsid w:val="008A0117"/>
    <w:rsid w:val="008A0DAE"/>
    <w:rsid w:val="008A5444"/>
    <w:rsid w:val="008A5477"/>
    <w:rsid w:val="008A6014"/>
    <w:rsid w:val="008B03DD"/>
    <w:rsid w:val="008B04C2"/>
    <w:rsid w:val="008B057E"/>
    <w:rsid w:val="008B424E"/>
    <w:rsid w:val="008B6A7E"/>
    <w:rsid w:val="008C1C29"/>
    <w:rsid w:val="008C3EFD"/>
    <w:rsid w:val="008D2170"/>
    <w:rsid w:val="008D2704"/>
    <w:rsid w:val="008E0E79"/>
    <w:rsid w:val="008E1FBF"/>
    <w:rsid w:val="008E327D"/>
    <w:rsid w:val="008E5363"/>
    <w:rsid w:val="008E6DEF"/>
    <w:rsid w:val="008F0081"/>
    <w:rsid w:val="008F07A9"/>
    <w:rsid w:val="008F6ECC"/>
    <w:rsid w:val="008F79CD"/>
    <w:rsid w:val="00902B04"/>
    <w:rsid w:val="00905739"/>
    <w:rsid w:val="0091208A"/>
    <w:rsid w:val="00924C31"/>
    <w:rsid w:val="00924C3D"/>
    <w:rsid w:val="009256EB"/>
    <w:rsid w:val="0093073E"/>
    <w:rsid w:val="00937784"/>
    <w:rsid w:val="00942621"/>
    <w:rsid w:val="00942965"/>
    <w:rsid w:val="009517B9"/>
    <w:rsid w:val="00957B9E"/>
    <w:rsid w:val="009665B7"/>
    <w:rsid w:val="009673D8"/>
    <w:rsid w:val="009737AC"/>
    <w:rsid w:val="00974F06"/>
    <w:rsid w:val="009754A7"/>
    <w:rsid w:val="00975AA4"/>
    <w:rsid w:val="009824AA"/>
    <w:rsid w:val="009917A3"/>
    <w:rsid w:val="00992BC7"/>
    <w:rsid w:val="009A0C47"/>
    <w:rsid w:val="009A75F7"/>
    <w:rsid w:val="009B2DB1"/>
    <w:rsid w:val="009B38D5"/>
    <w:rsid w:val="009B3CB5"/>
    <w:rsid w:val="009B7B14"/>
    <w:rsid w:val="009C26B5"/>
    <w:rsid w:val="009C651A"/>
    <w:rsid w:val="009D14DA"/>
    <w:rsid w:val="009D4133"/>
    <w:rsid w:val="009D57A2"/>
    <w:rsid w:val="009D79D2"/>
    <w:rsid w:val="009E054F"/>
    <w:rsid w:val="009E2515"/>
    <w:rsid w:val="009E2F58"/>
    <w:rsid w:val="009E39EB"/>
    <w:rsid w:val="009E67A6"/>
    <w:rsid w:val="009F4017"/>
    <w:rsid w:val="009F43D9"/>
    <w:rsid w:val="009F7460"/>
    <w:rsid w:val="00A01B65"/>
    <w:rsid w:val="00A11874"/>
    <w:rsid w:val="00A1239D"/>
    <w:rsid w:val="00A1509A"/>
    <w:rsid w:val="00A17681"/>
    <w:rsid w:val="00A248EF"/>
    <w:rsid w:val="00A24C9A"/>
    <w:rsid w:val="00A27AFE"/>
    <w:rsid w:val="00A323A8"/>
    <w:rsid w:val="00A33341"/>
    <w:rsid w:val="00A3421E"/>
    <w:rsid w:val="00A46F58"/>
    <w:rsid w:val="00A53B65"/>
    <w:rsid w:val="00A56A6F"/>
    <w:rsid w:val="00A645DE"/>
    <w:rsid w:val="00A8017F"/>
    <w:rsid w:val="00A81F05"/>
    <w:rsid w:val="00A83176"/>
    <w:rsid w:val="00A91A96"/>
    <w:rsid w:val="00A97ABC"/>
    <w:rsid w:val="00AA53E8"/>
    <w:rsid w:val="00AA5440"/>
    <w:rsid w:val="00AB28BB"/>
    <w:rsid w:val="00AB7C94"/>
    <w:rsid w:val="00AC104D"/>
    <w:rsid w:val="00AC4EDD"/>
    <w:rsid w:val="00AD210F"/>
    <w:rsid w:val="00AD2576"/>
    <w:rsid w:val="00AD3F42"/>
    <w:rsid w:val="00AE5643"/>
    <w:rsid w:val="00AF0805"/>
    <w:rsid w:val="00AF352F"/>
    <w:rsid w:val="00B1318D"/>
    <w:rsid w:val="00B139E1"/>
    <w:rsid w:val="00B26366"/>
    <w:rsid w:val="00B269FD"/>
    <w:rsid w:val="00B41A77"/>
    <w:rsid w:val="00B471BF"/>
    <w:rsid w:val="00B61F61"/>
    <w:rsid w:val="00B62FF1"/>
    <w:rsid w:val="00B6326F"/>
    <w:rsid w:val="00B63B52"/>
    <w:rsid w:val="00B702AA"/>
    <w:rsid w:val="00B711C2"/>
    <w:rsid w:val="00B807C1"/>
    <w:rsid w:val="00B81BC8"/>
    <w:rsid w:val="00B82B60"/>
    <w:rsid w:val="00B9210F"/>
    <w:rsid w:val="00B95A05"/>
    <w:rsid w:val="00BA116F"/>
    <w:rsid w:val="00BA3CF2"/>
    <w:rsid w:val="00BA51A1"/>
    <w:rsid w:val="00BA6368"/>
    <w:rsid w:val="00BA658C"/>
    <w:rsid w:val="00BB737C"/>
    <w:rsid w:val="00BC09A0"/>
    <w:rsid w:val="00BC2A07"/>
    <w:rsid w:val="00BC365C"/>
    <w:rsid w:val="00BC7871"/>
    <w:rsid w:val="00BD182A"/>
    <w:rsid w:val="00BD3A3B"/>
    <w:rsid w:val="00BE36D9"/>
    <w:rsid w:val="00BE4232"/>
    <w:rsid w:val="00BF0C8F"/>
    <w:rsid w:val="00BF45EC"/>
    <w:rsid w:val="00BF63D6"/>
    <w:rsid w:val="00C046C9"/>
    <w:rsid w:val="00C04D34"/>
    <w:rsid w:val="00C0688D"/>
    <w:rsid w:val="00C10D56"/>
    <w:rsid w:val="00C12215"/>
    <w:rsid w:val="00C3191C"/>
    <w:rsid w:val="00C32A57"/>
    <w:rsid w:val="00C33F9C"/>
    <w:rsid w:val="00C3752A"/>
    <w:rsid w:val="00C37909"/>
    <w:rsid w:val="00C37F73"/>
    <w:rsid w:val="00C40FB6"/>
    <w:rsid w:val="00C41785"/>
    <w:rsid w:val="00C4260B"/>
    <w:rsid w:val="00C4325F"/>
    <w:rsid w:val="00C51062"/>
    <w:rsid w:val="00C54D67"/>
    <w:rsid w:val="00C55FB5"/>
    <w:rsid w:val="00C645FB"/>
    <w:rsid w:val="00C64C7C"/>
    <w:rsid w:val="00C66B51"/>
    <w:rsid w:val="00C76035"/>
    <w:rsid w:val="00C80B3B"/>
    <w:rsid w:val="00C82289"/>
    <w:rsid w:val="00C84976"/>
    <w:rsid w:val="00C854D6"/>
    <w:rsid w:val="00C90282"/>
    <w:rsid w:val="00C91BC1"/>
    <w:rsid w:val="00C92EA2"/>
    <w:rsid w:val="00CB50C5"/>
    <w:rsid w:val="00CB5D67"/>
    <w:rsid w:val="00CC22D5"/>
    <w:rsid w:val="00CC38F6"/>
    <w:rsid w:val="00CD3C36"/>
    <w:rsid w:val="00CD4867"/>
    <w:rsid w:val="00CD55DA"/>
    <w:rsid w:val="00CE6938"/>
    <w:rsid w:val="00CE7CBB"/>
    <w:rsid w:val="00CF1710"/>
    <w:rsid w:val="00D04425"/>
    <w:rsid w:val="00D05F77"/>
    <w:rsid w:val="00D10088"/>
    <w:rsid w:val="00D149F6"/>
    <w:rsid w:val="00D16F81"/>
    <w:rsid w:val="00D225AD"/>
    <w:rsid w:val="00D27A28"/>
    <w:rsid w:val="00D318E4"/>
    <w:rsid w:val="00D32A95"/>
    <w:rsid w:val="00D44123"/>
    <w:rsid w:val="00D44459"/>
    <w:rsid w:val="00D52C86"/>
    <w:rsid w:val="00D559FA"/>
    <w:rsid w:val="00D60B2C"/>
    <w:rsid w:val="00D60C12"/>
    <w:rsid w:val="00D665CF"/>
    <w:rsid w:val="00D72FCF"/>
    <w:rsid w:val="00D77448"/>
    <w:rsid w:val="00D874E7"/>
    <w:rsid w:val="00D877EA"/>
    <w:rsid w:val="00D91DF6"/>
    <w:rsid w:val="00D9292D"/>
    <w:rsid w:val="00D9596E"/>
    <w:rsid w:val="00D95DE7"/>
    <w:rsid w:val="00DA186A"/>
    <w:rsid w:val="00DA2F42"/>
    <w:rsid w:val="00DA3AE1"/>
    <w:rsid w:val="00DA5F64"/>
    <w:rsid w:val="00DC1758"/>
    <w:rsid w:val="00DC6480"/>
    <w:rsid w:val="00DC7BAD"/>
    <w:rsid w:val="00DD0F2F"/>
    <w:rsid w:val="00DD1271"/>
    <w:rsid w:val="00DF0610"/>
    <w:rsid w:val="00DF1CB3"/>
    <w:rsid w:val="00DF3DC5"/>
    <w:rsid w:val="00DF7448"/>
    <w:rsid w:val="00E01536"/>
    <w:rsid w:val="00E01F20"/>
    <w:rsid w:val="00E053B8"/>
    <w:rsid w:val="00E11A62"/>
    <w:rsid w:val="00E11ED5"/>
    <w:rsid w:val="00E12588"/>
    <w:rsid w:val="00E30A60"/>
    <w:rsid w:val="00E33C29"/>
    <w:rsid w:val="00E34FA6"/>
    <w:rsid w:val="00E45ACA"/>
    <w:rsid w:val="00E47AEA"/>
    <w:rsid w:val="00E47B12"/>
    <w:rsid w:val="00E514C5"/>
    <w:rsid w:val="00E51E9C"/>
    <w:rsid w:val="00E5619F"/>
    <w:rsid w:val="00E73071"/>
    <w:rsid w:val="00E73367"/>
    <w:rsid w:val="00E97AD1"/>
    <w:rsid w:val="00EA13E3"/>
    <w:rsid w:val="00EA4295"/>
    <w:rsid w:val="00EA6EFF"/>
    <w:rsid w:val="00EA7BA9"/>
    <w:rsid w:val="00EB5ABE"/>
    <w:rsid w:val="00EC2361"/>
    <w:rsid w:val="00EC4D1A"/>
    <w:rsid w:val="00ED18B9"/>
    <w:rsid w:val="00ED5A5F"/>
    <w:rsid w:val="00EE1411"/>
    <w:rsid w:val="00EF2CA3"/>
    <w:rsid w:val="00EF3291"/>
    <w:rsid w:val="00EF50AD"/>
    <w:rsid w:val="00F03241"/>
    <w:rsid w:val="00F03F11"/>
    <w:rsid w:val="00F1318F"/>
    <w:rsid w:val="00F232CD"/>
    <w:rsid w:val="00F24A94"/>
    <w:rsid w:val="00F27786"/>
    <w:rsid w:val="00F30E39"/>
    <w:rsid w:val="00F30F98"/>
    <w:rsid w:val="00F31B94"/>
    <w:rsid w:val="00F32588"/>
    <w:rsid w:val="00F338F7"/>
    <w:rsid w:val="00F34223"/>
    <w:rsid w:val="00F34D70"/>
    <w:rsid w:val="00F3568E"/>
    <w:rsid w:val="00F37179"/>
    <w:rsid w:val="00F37F48"/>
    <w:rsid w:val="00F47EB9"/>
    <w:rsid w:val="00F51DC7"/>
    <w:rsid w:val="00F53C0B"/>
    <w:rsid w:val="00F5634D"/>
    <w:rsid w:val="00F61DCA"/>
    <w:rsid w:val="00F67D86"/>
    <w:rsid w:val="00F818DE"/>
    <w:rsid w:val="00F83EC1"/>
    <w:rsid w:val="00F867FE"/>
    <w:rsid w:val="00F879BB"/>
    <w:rsid w:val="00F944EB"/>
    <w:rsid w:val="00FA11E4"/>
    <w:rsid w:val="00FA459C"/>
    <w:rsid w:val="00FA49F0"/>
    <w:rsid w:val="00FC0123"/>
    <w:rsid w:val="00FC12CB"/>
    <w:rsid w:val="00FC242C"/>
    <w:rsid w:val="00FC3FBA"/>
    <w:rsid w:val="00FD045F"/>
    <w:rsid w:val="00FD2170"/>
    <w:rsid w:val="00FD3AE0"/>
    <w:rsid w:val="00FD6CB3"/>
    <w:rsid w:val="00FE0C87"/>
    <w:rsid w:val="00FE0DFB"/>
    <w:rsid w:val="00FF10DA"/>
    <w:rsid w:val="00FF39A2"/>
    <w:rsid w:val="00FF6748"/>
    <w:rsid w:val="00FF6819"/>
    <w:rsid w:val="00FF7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D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semiHidden/>
    <w:unhideWhenUsed/>
    <w:rsid w:val="00213A82"/>
    <w:pPr>
      <w:tabs>
        <w:tab w:val="center" w:pos="4680"/>
        <w:tab w:val="right" w:pos="9360"/>
      </w:tabs>
    </w:pPr>
  </w:style>
  <w:style w:type="character" w:customStyle="1" w:styleId="HeaderChar">
    <w:name w:val="Header Char"/>
    <w:basedOn w:val="DefaultParagraphFont"/>
    <w:link w:val="Header"/>
    <w:uiPriority w:val="99"/>
    <w:semiHidden/>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semiHidden/>
    <w:unhideWhenUsed/>
    <w:rsid w:val="00743B1A"/>
    <w:rPr>
      <w:color w:val="0000FF"/>
      <w:u w:val="single"/>
    </w:rPr>
  </w:style>
</w:styles>
</file>

<file path=word/webSettings.xml><?xml version="1.0" encoding="utf-8"?>
<w:webSettings xmlns:r="http://schemas.openxmlformats.org/officeDocument/2006/relationships" xmlns:w="http://schemas.openxmlformats.org/wordprocessingml/2006/main">
  <w:divs>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CDateModifi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1" ma:contentTypeDescription="Create a new document." ma:contentTypeScope="" ma:versionID="07a7c29c1671396b35c4372a2a986793">
  <xsd:schema xmlns:xsd="http://www.w3.org/2001/XMLSchema" xmlns:p="http://schemas.microsoft.com/office/2006/metadata/properties" xmlns:ns2="http://schemas.microsoft.com/sharepoint/v3/fields" targetNamespace="http://schemas.microsoft.com/office/2006/metadata/properties" ma:root="true" ma:fieldsID="fd99b1831b21168215dd403945c2f53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2.xml><?xml version="1.0" encoding="utf-8"?>
<ds:datastoreItem xmlns:ds="http://schemas.openxmlformats.org/officeDocument/2006/customXml" ds:itemID="{103D9505-73F9-45DD-B899-1B4DCB044FF1}">
  <ds:schemaRefs>
    <ds:schemaRef ds:uri="http://schemas.microsoft.com/office/2006/metadata/properties"/>
    <ds:schemaRef ds:uri="http://schemas.microsoft.com/sharepoint/v3/fields"/>
  </ds:schemaRefs>
</ds:datastoreItem>
</file>

<file path=customXml/itemProps3.xml><?xml version="1.0" encoding="utf-8"?>
<ds:datastoreItem xmlns:ds="http://schemas.openxmlformats.org/officeDocument/2006/customXml" ds:itemID="{4235DC8A-6DC5-43E6-8E68-07715D268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9B828F1-9DE6-40CB-B206-5E9D1EBA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8148</Words>
  <Characters>44258</Characters>
  <Application>Microsoft Office Word</Application>
  <DocSecurity>0</DocSecurity>
  <Lines>368</Lines>
  <Paragraphs>104</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52302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cp:revision>
  <cp:lastPrinted>2010-06-23T21:09:00Z</cp:lastPrinted>
  <dcterms:created xsi:type="dcterms:W3CDTF">2011-08-18T22:14:00Z</dcterms:created>
  <dcterms:modified xsi:type="dcterms:W3CDTF">2011-08-18T22:14:00Z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