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375" w:rsidRDefault="00425375" w:rsidP="0007409F">
      <w:pPr>
        <w:tabs>
          <w:tab w:val="center" w:pos="4680"/>
        </w:tabs>
        <w:suppressAutoHyphens/>
        <w:jc w:val="center"/>
        <w:rPr>
          <w:spacing w:val="-3"/>
        </w:rPr>
      </w:pPr>
      <w:r>
        <w:rPr>
          <w:spacing w:val="-3"/>
        </w:rPr>
        <w:t xml:space="preserve">State of </w:t>
      </w:r>
      <w:smartTag w:uri="urn:schemas-microsoft-com:office:smarttags" w:element="State">
        <w:smartTag w:uri="urn:schemas-microsoft-com:office:smarttags" w:element="Street">
          <w:r>
            <w:rPr>
              <w:spacing w:val="-3"/>
            </w:rPr>
            <w:t>Oregon</w:t>
          </w:r>
        </w:smartTag>
      </w:smartTag>
    </w:p>
    <w:p w:rsidR="00425375" w:rsidRDefault="00425375" w:rsidP="0007409F">
      <w:pPr>
        <w:tabs>
          <w:tab w:val="center" w:pos="4680"/>
        </w:tabs>
        <w:suppressAutoHyphens/>
        <w:jc w:val="both"/>
        <w:rPr>
          <w:spacing w:val="-3"/>
        </w:rPr>
      </w:pPr>
      <w:r>
        <w:rPr>
          <w:spacing w:val="-3"/>
        </w:rPr>
        <w:tab/>
        <w:t>DEPARTMENT OF ENVIRONMENTAL QUALITY</w:t>
      </w:r>
    </w:p>
    <w:p w:rsidR="00425375" w:rsidRPr="00B56084" w:rsidRDefault="00C01102" w:rsidP="0007409F">
      <w:pPr>
        <w:keepNext/>
        <w:keepLines/>
        <w:tabs>
          <w:tab w:val="left" w:pos="-1440"/>
          <w:tab w:val="left" w:pos="-720"/>
          <w:tab w:val="left" w:pos="0"/>
        </w:tabs>
        <w:suppressAutoHyphens/>
        <w:jc w:val="center"/>
        <w:rPr>
          <w:b/>
        </w:rPr>
      </w:pPr>
      <w:r>
        <w:rPr>
          <w:b/>
        </w:rPr>
        <w:t>`</w:t>
      </w:r>
    </w:p>
    <w:p w:rsidR="00425375" w:rsidRDefault="00425375" w:rsidP="0007409F">
      <w:pPr>
        <w:keepNext/>
        <w:keepLines/>
        <w:tabs>
          <w:tab w:val="left" w:pos="-1440"/>
          <w:tab w:val="left" w:pos="-720"/>
          <w:tab w:val="left" w:pos="0"/>
        </w:tabs>
        <w:suppressAutoHyphens/>
        <w:jc w:val="center"/>
        <w:rPr>
          <w:b/>
          <w:sz w:val="28"/>
          <w:szCs w:val="28"/>
        </w:rPr>
      </w:pPr>
      <w:r w:rsidRPr="00565CB5">
        <w:rPr>
          <w:b/>
          <w:sz w:val="28"/>
          <w:szCs w:val="28"/>
        </w:rPr>
        <w:t>Relationship to Federal Requirements</w:t>
      </w:r>
    </w:p>
    <w:p w:rsidR="00CB537F" w:rsidRDefault="00CB537F" w:rsidP="0007409F">
      <w:pPr>
        <w:tabs>
          <w:tab w:val="center" w:pos="2340"/>
          <w:tab w:val="center" w:pos="7020"/>
        </w:tabs>
        <w:jc w:val="center"/>
        <w:rPr>
          <w:b/>
        </w:rPr>
      </w:pPr>
    </w:p>
    <w:p w:rsidR="000E497D" w:rsidRPr="000E497D" w:rsidRDefault="000E497D" w:rsidP="000E497D">
      <w:pPr>
        <w:tabs>
          <w:tab w:val="center" w:pos="2340"/>
          <w:tab w:val="center" w:pos="7020"/>
        </w:tabs>
        <w:jc w:val="center"/>
        <w:rPr>
          <w:b/>
          <w:sz w:val="28"/>
          <w:szCs w:val="28"/>
        </w:rPr>
      </w:pPr>
      <w:r w:rsidRPr="000E497D">
        <w:rPr>
          <w:b/>
          <w:sz w:val="28"/>
          <w:szCs w:val="28"/>
        </w:rPr>
        <w:t>Air Quality Rule Overhaul</w:t>
      </w:r>
    </w:p>
    <w:p w:rsidR="00425375" w:rsidRPr="003B2111" w:rsidRDefault="00425375" w:rsidP="0007409F">
      <w:pPr>
        <w:tabs>
          <w:tab w:val="center" w:pos="2340"/>
          <w:tab w:val="center" w:pos="7020"/>
        </w:tabs>
        <w:jc w:val="center"/>
        <w:rPr>
          <w:b/>
          <w:sz w:val="28"/>
          <w:szCs w:val="28"/>
        </w:rPr>
      </w:pPr>
      <w:r w:rsidRPr="003B2111">
        <w:rPr>
          <w:b/>
          <w:sz w:val="28"/>
          <w:szCs w:val="28"/>
        </w:rPr>
        <w:t xml:space="preserve">     _______________________________________________________________</w:t>
      </w:r>
    </w:p>
    <w:p w:rsidR="00432A7A" w:rsidRDefault="00432A7A" w:rsidP="0007409F">
      <w:pPr>
        <w:tabs>
          <w:tab w:val="center" w:pos="2340"/>
          <w:tab w:val="center" w:pos="7020"/>
        </w:tabs>
        <w:jc w:val="center"/>
        <w:rPr>
          <w:rFonts w:ascii="Arial" w:hAnsi="Arial" w:cs="Arial"/>
          <w:sz w:val="22"/>
          <w:szCs w:val="22"/>
        </w:rPr>
      </w:pPr>
    </w:p>
    <w:p w:rsidR="000E497D" w:rsidRPr="000E497D" w:rsidRDefault="000E497D" w:rsidP="000E497D">
      <w:pPr>
        <w:rPr>
          <w:rFonts w:ascii="Arial" w:hAnsi="Arial" w:cs="Arial"/>
        </w:rPr>
      </w:pPr>
      <w:r w:rsidRPr="000E497D">
        <w:rPr>
          <w:rFonts w:ascii="Arial" w:hAnsi="Arial" w:cs="Arial"/>
        </w:rPr>
        <w:t xml:space="preserve">The Oregon Department of Environmental Quality (DEQ) is proposing rules that would reorganize and rectify procedural permitting requirements, add requirements for areas violating standards, and repeal outdated rules. </w:t>
      </w:r>
    </w:p>
    <w:p w:rsidR="00425375" w:rsidRDefault="00425375" w:rsidP="0007409F">
      <w:pPr>
        <w:rPr>
          <w:b/>
        </w:rPr>
      </w:pPr>
    </w:p>
    <w:p w:rsidR="00425375" w:rsidRPr="008837DD" w:rsidRDefault="00425375" w:rsidP="0007409F">
      <w:pPr>
        <w:rPr>
          <w:b/>
          <w:i/>
        </w:rPr>
      </w:pPr>
      <w:r w:rsidRPr="008837DD">
        <w:rPr>
          <w:b/>
          <w:i/>
        </w:rPr>
        <w:t xml:space="preserve">Answers to the following questions identify how the proposed rulemaking relates to federal requirements and </w:t>
      </w:r>
      <w:r w:rsidR="00BC139B">
        <w:rPr>
          <w:b/>
          <w:i/>
        </w:rPr>
        <w:t>the</w:t>
      </w:r>
      <w:r w:rsidRPr="008837DD">
        <w:rPr>
          <w:b/>
          <w:i/>
        </w:rPr>
        <w:t xml:space="preserve"> justification for differing from</w:t>
      </w:r>
      <w:r w:rsidR="00D062F4" w:rsidRPr="008837DD">
        <w:rPr>
          <w:b/>
          <w:i/>
        </w:rPr>
        <w:t>,</w:t>
      </w:r>
      <w:r w:rsidRPr="008837DD">
        <w:rPr>
          <w:b/>
          <w:i/>
        </w:rPr>
        <w:t xml:space="preserve"> or adding to</w:t>
      </w:r>
      <w:r w:rsidR="00D062F4" w:rsidRPr="008837DD">
        <w:rPr>
          <w:b/>
          <w:i/>
        </w:rPr>
        <w:t>,</w:t>
      </w:r>
      <w:r w:rsidRPr="008837DD">
        <w:rPr>
          <w:b/>
          <w:i/>
        </w:rPr>
        <w:t xml:space="preserve"> federal requirements. This statement is required by OAR 340-011-0029(1).</w:t>
      </w:r>
    </w:p>
    <w:p w:rsidR="00650005" w:rsidRDefault="00650005" w:rsidP="0007409F">
      <w:pPr>
        <w:rPr>
          <w:b/>
          <w:spacing w:val="-3"/>
        </w:rPr>
      </w:pPr>
    </w:p>
    <w:p w:rsidR="00425375" w:rsidRPr="00BC139B" w:rsidRDefault="00DA749A" w:rsidP="0007409F">
      <w:pPr>
        <w:rPr>
          <w:rFonts w:ascii="Arial" w:hAnsi="Arial" w:cs="Arial"/>
          <w:b/>
          <w:spacing w:val="-3"/>
        </w:rPr>
      </w:pPr>
      <w:proofErr w:type="gramStart"/>
      <w:r w:rsidRPr="00BC139B">
        <w:rPr>
          <w:rFonts w:ascii="Arial" w:hAnsi="Arial" w:cs="Arial"/>
          <w:b/>
          <w:spacing w:val="-3"/>
        </w:rPr>
        <w:t>1.</w:t>
      </w:r>
      <w:r w:rsidR="004E72B3" w:rsidRPr="00BC139B" w:rsidDel="004E72B3">
        <w:rPr>
          <w:rFonts w:ascii="Arial" w:hAnsi="Arial" w:cs="Arial"/>
          <w:b/>
          <w:spacing w:val="-3"/>
        </w:rPr>
        <w:t xml:space="preserve"> </w:t>
      </w:r>
      <w:r w:rsidR="00425375" w:rsidRPr="00BC139B">
        <w:rPr>
          <w:rFonts w:ascii="Arial" w:hAnsi="Arial" w:cs="Arial"/>
          <w:b/>
          <w:spacing w:val="-3"/>
        </w:rPr>
        <w:t>Is the proposed rulemaking different from, or in addition to, applicable federal requirements?</w:t>
      </w:r>
      <w:proofErr w:type="gramEnd"/>
      <w:r w:rsidR="00425375" w:rsidRPr="00BC139B">
        <w:rPr>
          <w:rFonts w:ascii="Arial" w:hAnsi="Arial" w:cs="Arial"/>
          <w:b/>
          <w:spacing w:val="-3"/>
        </w:rPr>
        <w:t xml:space="preserve"> </w:t>
      </w:r>
      <w:r w:rsidR="00B56084">
        <w:rPr>
          <w:rFonts w:ascii="Arial" w:hAnsi="Arial" w:cs="Arial"/>
          <w:b/>
          <w:spacing w:val="-3"/>
        </w:rPr>
        <w:t xml:space="preserve"> </w:t>
      </w:r>
      <w:r w:rsidR="00425375" w:rsidRPr="00BC139B">
        <w:rPr>
          <w:rFonts w:ascii="Arial" w:hAnsi="Arial" w:cs="Arial"/>
          <w:b/>
          <w:spacing w:val="-3"/>
        </w:rPr>
        <w:t>If so, what are the differences or additions?</w:t>
      </w:r>
      <w:r w:rsidR="001B203A">
        <w:rPr>
          <w:rFonts w:ascii="Arial" w:hAnsi="Arial" w:cs="Arial"/>
          <w:b/>
          <w:spacing w:val="-3"/>
        </w:rPr>
        <w:t xml:space="preserve">  </w:t>
      </w:r>
    </w:p>
    <w:p w:rsidR="002A4F1A" w:rsidRDefault="002A4F1A" w:rsidP="002A4F1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sz w:val="22"/>
          <w:szCs w:val="22"/>
        </w:rPr>
      </w:pPr>
    </w:p>
    <w:p w:rsidR="00C40557" w:rsidRDefault="00C179E3" w:rsidP="002A4F1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sz w:val="22"/>
          <w:szCs w:val="22"/>
        </w:rPr>
      </w:pPr>
      <w:r>
        <w:rPr>
          <w:rFonts w:ascii="Arial" w:hAnsi="Arial" w:cs="Arial"/>
          <w:sz w:val="22"/>
          <w:szCs w:val="22"/>
        </w:rPr>
        <w:t xml:space="preserve">Yes, </w:t>
      </w:r>
      <w:r w:rsidR="002E2FCF">
        <w:rPr>
          <w:rFonts w:ascii="Arial" w:hAnsi="Arial" w:cs="Arial"/>
          <w:sz w:val="22"/>
          <w:szCs w:val="22"/>
        </w:rPr>
        <w:t xml:space="preserve">the proposed rulemaking is different because it modifies Oregon’s existing permitting rules which are different than federal rules.  Oregon’s permitting program has been structured in a different way than the federal program since it originated in 1982, </w:t>
      </w:r>
      <w:r>
        <w:rPr>
          <w:rFonts w:ascii="Arial" w:hAnsi="Arial" w:cs="Arial"/>
          <w:sz w:val="22"/>
          <w:szCs w:val="22"/>
        </w:rPr>
        <w:t xml:space="preserve">but </w:t>
      </w:r>
      <w:r w:rsidR="002E2FCF">
        <w:rPr>
          <w:rFonts w:ascii="Arial" w:hAnsi="Arial" w:cs="Arial"/>
          <w:sz w:val="22"/>
          <w:szCs w:val="22"/>
        </w:rPr>
        <w:t xml:space="preserve">is </w:t>
      </w:r>
      <w:r>
        <w:rPr>
          <w:rFonts w:ascii="Arial" w:hAnsi="Arial" w:cs="Arial"/>
          <w:sz w:val="22"/>
          <w:szCs w:val="22"/>
        </w:rPr>
        <w:t xml:space="preserve">considered </w:t>
      </w:r>
      <w:r w:rsidR="00C40557">
        <w:rPr>
          <w:rFonts w:ascii="Arial" w:hAnsi="Arial" w:cs="Arial"/>
          <w:sz w:val="22"/>
          <w:szCs w:val="22"/>
        </w:rPr>
        <w:t>equivalent by</w:t>
      </w:r>
      <w:r>
        <w:rPr>
          <w:rFonts w:ascii="Arial" w:hAnsi="Arial" w:cs="Arial"/>
          <w:sz w:val="22"/>
          <w:szCs w:val="22"/>
        </w:rPr>
        <w:t xml:space="preserve"> </w:t>
      </w:r>
      <w:r w:rsidR="00C40557">
        <w:rPr>
          <w:rFonts w:ascii="Arial" w:hAnsi="Arial" w:cs="Arial"/>
          <w:sz w:val="22"/>
          <w:szCs w:val="22"/>
        </w:rPr>
        <w:t xml:space="preserve">the </w:t>
      </w:r>
      <w:r>
        <w:rPr>
          <w:rFonts w:ascii="Arial" w:hAnsi="Arial" w:cs="Arial"/>
          <w:sz w:val="22"/>
          <w:szCs w:val="22"/>
        </w:rPr>
        <w:t xml:space="preserve">Environmental Protection Agency.  </w:t>
      </w:r>
      <w:r w:rsidR="00C40557">
        <w:rPr>
          <w:rFonts w:ascii="Arial" w:hAnsi="Arial" w:cs="Arial"/>
          <w:sz w:val="22"/>
          <w:szCs w:val="22"/>
        </w:rPr>
        <w:t xml:space="preserve">  </w:t>
      </w:r>
    </w:p>
    <w:p w:rsidR="00C179E3" w:rsidRDefault="00C179E3" w:rsidP="002A4F1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sz w:val="22"/>
          <w:szCs w:val="22"/>
        </w:rPr>
      </w:pPr>
    </w:p>
    <w:p w:rsidR="00C40557" w:rsidRDefault="00C40557" w:rsidP="002A4F1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sz w:val="22"/>
          <w:szCs w:val="22"/>
        </w:rPr>
      </w:pPr>
      <w:r>
        <w:rPr>
          <w:rFonts w:ascii="Arial" w:hAnsi="Arial" w:cs="Arial"/>
          <w:sz w:val="22"/>
          <w:szCs w:val="22"/>
        </w:rPr>
        <w:t xml:space="preserve">Both programs require preconstruction approval </w:t>
      </w:r>
      <w:r w:rsidR="002E2FCF">
        <w:rPr>
          <w:rFonts w:ascii="Arial" w:hAnsi="Arial" w:cs="Arial"/>
          <w:sz w:val="22"/>
          <w:szCs w:val="22"/>
        </w:rPr>
        <w:t xml:space="preserve">(NSR/PSD) </w:t>
      </w:r>
      <w:r>
        <w:rPr>
          <w:rFonts w:ascii="Arial" w:hAnsi="Arial" w:cs="Arial"/>
          <w:sz w:val="22"/>
          <w:szCs w:val="22"/>
        </w:rPr>
        <w:t xml:space="preserve">for new major </w:t>
      </w:r>
      <w:r w:rsidR="002C657A">
        <w:rPr>
          <w:rFonts w:ascii="Arial" w:hAnsi="Arial" w:cs="Arial"/>
          <w:sz w:val="22"/>
          <w:szCs w:val="22"/>
        </w:rPr>
        <w:t xml:space="preserve">air pollution </w:t>
      </w:r>
      <w:r>
        <w:rPr>
          <w:rFonts w:ascii="Arial" w:hAnsi="Arial" w:cs="Arial"/>
          <w:sz w:val="22"/>
          <w:szCs w:val="22"/>
        </w:rPr>
        <w:t xml:space="preserve">sources </w:t>
      </w:r>
      <w:r w:rsidR="002C657A">
        <w:rPr>
          <w:rFonts w:ascii="Arial" w:hAnsi="Arial" w:cs="Arial"/>
          <w:sz w:val="22"/>
          <w:szCs w:val="22"/>
        </w:rPr>
        <w:t>or existing sources making</w:t>
      </w:r>
      <w:r>
        <w:rPr>
          <w:rFonts w:ascii="Arial" w:hAnsi="Arial" w:cs="Arial"/>
          <w:sz w:val="22"/>
          <w:szCs w:val="22"/>
        </w:rPr>
        <w:t xml:space="preserve"> modification</w:t>
      </w:r>
      <w:r w:rsidR="002C657A">
        <w:rPr>
          <w:rFonts w:ascii="Arial" w:hAnsi="Arial" w:cs="Arial"/>
          <w:sz w:val="22"/>
          <w:szCs w:val="22"/>
        </w:rPr>
        <w:t xml:space="preserve"> that will increa</w:t>
      </w:r>
      <w:r w:rsidR="00056050">
        <w:rPr>
          <w:rFonts w:ascii="Arial" w:hAnsi="Arial" w:cs="Arial"/>
          <w:sz w:val="22"/>
          <w:szCs w:val="22"/>
        </w:rPr>
        <w:t>se their</w:t>
      </w:r>
      <w:r w:rsidR="002C657A">
        <w:rPr>
          <w:rFonts w:ascii="Arial" w:hAnsi="Arial" w:cs="Arial"/>
          <w:sz w:val="22"/>
          <w:szCs w:val="22"/>
        </w:rPr>
        <w:t xml:space="preserve"> emissions </w:t>
      </w:r>
      <w:r w:rsidR="00B11B32">
        <w:rPr>
          <w:rFonts w:ascii="Arial" w:hAnsi="Arial" w:cs="Arial"/>
          <w:sz w:val="22"/>
          <w:szCs w:val="22"/>
        </w:rPr>
        <w:t xml:space="preserve">above </w:t>
      </w:r>
      <w:r w:rsidR="002E2FCF">
        <w:rPr>
          <w:rFonts w:ascii="Arial" w:hAnsi="Arial" w:cs="Arial"/>
          <w:sz w:val="22"/>
          <w:szCs w:val="22"/>
        </w:rPr>
        <w:t xml:space="preserve">a </w:t>
      </w:r>
      <w:r w:rsidR="00B11B32">
        <w:rPr>
          <w:rFonts w:ascii="Arial" w:hAnsi="Arial" w:cs="Arial"/>
          <w:sz w:val="22"/>
          <w:szCs w:val="22"/>
        </w:rPr>
        <w:t xml:space="preserve">baseline level </w:t>
      </w:r>
      <w:r w:rsidR="00056050">
        <w:rPr>
          <w:rFonts w:ascii="Arial" w:hAnsi="Arial" w:cs="Arial"/>
          <w:sz w:val="22"/>
          <w:szCs w:val="22"/>
        </w:rPr>
        <w:t xml:space="preserve">by a defined amount known as </w:t>
      </w:r>
      <w:r w:rsidR="00B11B32">
        <w:rPr>
          <w:rFonts w:ascii="Arial" w:hAnsi="Arial" w:cs="Arial"/>
          <w:sz w:val="22"/>
          <w:szCs w:val="22"/>
        </w:rPr>
        <w:t>a</w:t>
      </w:r>
      <w:r w:rsidR="00056050">
        <w:rPr>
          <w:rFonts w:ascii="Arial" w:hAnsi="Arial" w:cs="Arial"/>
          <w:sz w:val="22"/>
          <w:szCs w:val="22"/>
        </w:rPr>
        <w:t xml:space="preserve"> “Significant Emission Rate.” </w:t>
      </w:r>
      <w:r w:rsidR="00B11B32">
        <w:rPr>
          <w:rFonts w:ascii="Arial" w:hAnsi="Arial" w:cs="Arial"/>
          <w:sz w:val="22"/>
          <w:szCs w:val="22"/>
        </w:rPr>
        <w:t xml:space="preserve"> </w:t>
      </w:r>
      <w:r>
        <w:rPr>
          <w:rFonts w:ascii="Arial" w:hAnsi="Arial" w:cs="Arial"/>
          <w:sz w:val="22"/>
          <w:szCs w:val="22"/>
        </w:rPr>
        <w:t>The primary difference between Oregon’s existing</w:t>
      </w:r>
      <w:r w:rsidR="00B11B32">
        <w:rPr>
          <w:rFonts w:ascii="Arial" w:hAnsi="Arial" w:cs="Arial"/>
          <w:sz w:val="22"/>
          <w:szCs w:val="22"/>
        </w:rPr>
        <w:t xml:space="preserve"> rules and the federal rules is</w:t>
      </w:r>
      <w:r>
        <w:rPr>
          <w:rFonts w:ascii="Arial" w:hAnsi="Arial" w:cs="Arial"/>
          <w:sz w:val="22"/>
          <w:szCs w:val="22"/>
        </w:rPr>
        <w:t xml:space="preserve"> </w:t>
      </w:r>
      <w:r w:rsidR="00B11B32">
        <w:rPr>
          <w:rFonts w:ascii="Arial" w:hAnsi="Arial" w:cs="Arial"/>
          <w:sz w:val="22"/>
          <w:szCs w:val="22"/>
        </w:rPr>
        <w:t>how the baseline emission level is established.</w:t>
      </w:r>
      <w:r>
        <w:rPr>
          <w:rFonts w:ascii="Arial" w:hAnsi="Arial" w:cs="Arial"/>
          <w:sz w:val="22"/>
          <w:szCs w:val="22"/>
        </w:rPr>
        <w:t xml:space="preserve"> </w:t>
      </w:r>
    </w:p>
    <w:p w:rsidR="0081209A" w:rsidRDefault="009C7195" w:rsidP="002A4F1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sz w:val="22"/>
          <w:szCs w:val="22"/>
        </w:rPr>
      </w:pPr>
      <w:r>
        <w:rPr>
          <w:rFonts w:ascii="Arial" w:hAnsi="Arial" w:cs="Arial"/>
          <w:sz w:val="22"/>
          <w:szCs w:val="22"/>
        </w:rPr>
        <w:t xml:space="preserve">Under </w:t>
      </w:r>
      <w:r w:rsidR="00BA7421">
        <w:rPr>
          <w:rFonts w:ascii="Arial" w:hAnsi="Arial" w:cs="Arial"/>
          <w:sz w:val="22"/>
          <w:szCs w:val="22"/>
        </w:rPr>
        <w:t>Oregon</w:t>
      </w:r>
      <w:r>
        <w:rPr>
          <w:rFonts w:ascii="Arial" w:hAnsi="Arial" w:cs="Arial"/>
          <w:sz w:val="22"/>
          <w:szCs w:val="22"/>
        </w:rPr>
        <w:t>’s program, baseline</w:t>
      </w:r>
      <w:r w:rsidR="00B11B32">
        <w:rPr>
          <w:rFonts w:ascii="Arial" w:hAnsi="Arial" w:cs="Arial"/>
          <w:sz w:val="22"/>
          <w:szCs w:val="22"/>
        </w:rPr>
        <w:t xml:space="preserve"> </w:t>
      </w:r>
      <w:r>
        <w:rPr>
          <w:rFonts w:ascii="Arial" w:hAnsi="Arial" w:cs="Arial"/>
          <w:sz w:val="22"/>
          <w:szCs w:val="22"/>
        </w:rPr>
        <w:t xml:space="preserve">is based on emissions </w:t>
      </w:r>
      <w:r w:rsidR="002F0FEF">
        <w:rPr>
          <w:rFonts w:ascii="Arial" w:hAnsi="Arial" w:cs="Arial"/>
          <w:sz w:val="22"/>
          <w:szCs w:val="22"/>
        </w:rPr>
        <w:t>from a set</w:t>
      </w:r>
      <w:r w:rsidR="00B11B32">
        <w:rPr>
          <w:rFonts w:ascii="Arial" w:hAnsi="Arial" w:cs="Arial"/>
          <w:sz w:val="22"/>
          <w:szCs w:val="22"/>
        </w:rPr>
        <w:t xml:space="preserve"> time period, often the year </w:t>
      </w:r>
      <w:r>
        <w:rPr>
          <w:rFonts w:ascii="Arial" w:hAnsi="Arial" w:cs="Arial"/>
          <w:sz w:val="22"/>
          <w:szCs w:val="22"/>
        </w:rPr>
        <w:t>1977</w:t>
      </w:r>
      <w:r w:rsidR="00B11B32">
        <w:rPr>
          <w:rFonts w:ascii="Arial" w:hAnsi="Arial" w:cs="Arial"/>
          <w:sz w:val="22"/>
          <w:szCs w:val="22"/>
        </w:rPr>
        <w:t xml:space="preserve"> or 1978</w:t>
      </w:r>
      <w:r w:rsidR="00BA7421">
        <w:rPr>
          <w:rFonts w:ascii="Arial" w:hAnsi="Arial" w:cs="Arial"/>
          <w:sz w:val="22"/>
          <w:szCs w:val="22"/>
        </w:rPr>
        <w:t xml:space="preserve">.  If </w:t>
      </w:r>
      <w:r>
        <w:rPr>
          <w:rFonts w:ascii="Arial" w:hAnsi="Arial" w:cs="Arial"/>
          <w:sz w:val="22"/>
          <w:szCs w:val="22"/>
        </w:rPr>
        <w:t xml:space="preserve">emissions go above the baseline </w:t>
      </w:r>
      <w:r w:rsidR="00B11B32">
        <w:rPr>
          <w:rFonts w:ascii="Arial" w:hAnsi="Arial" w:cs="Arial"/>
          <w:sz w:val="22"/>
          <w:szCs w:val="22"/>
        </w:rPr>
        <w:t xml:space="preserve">by the </w:t>
      </w:r>
      <w:r>
        <w:rPr>
          <w:rFonts w:ascii="Arial" w:hAnsi="Arial" w:cs="Arial"/>
          <w:sz w:val="22"/>
          <w:szCs w:val="22"/>
        </w:rPr>
        <w:t>S</w:t>
      </w:r>
      <w:r w:rsidR="00BA7421">
        <w:rPr>
          <w:rFonts w:ascii="Arial" w:hAnsi="Arial" w:cs="Arial"/>
          <w:sz w:val="22"/>
          <w:szCs w:val="22"/>
        </w:rPr>
        <w:t xml:space="preserve">ignificant </w:t>
      </w:r>
      <w:r>
        <w:rPr>
          <w:rFonts w:ascii="Arial" w:hAnsi="Arial" w:cs="Arial"/>
          <w:sz w:val="22"/>
          <w:szCs w:val="22"/>
        </w:rPr>
        <w:t>E</w:t>
      </w:r>
      <w:r w:rsidR="00BA7421">
        <w:rPr>
          <w:rFonts w:ascii="Arial" w:hAnsi="Arial" w:cs="Arial"/>
          <w:sz w:val="22"/>
          <w:szCs w:val="22"/>
        </w:rPr>
        <w:t xml:space="preserve">mission </w:t>
      </w:r>
      <w:r>
        <w:rPr>
          <w:rFonts w:ascii="Arial" w:hAnsi="Arial" w:cs="Arial"/>
          <w:sz w:val="22"/>
          <w:szCs w:val="22"/>
        </w:rPr>
        <w:t>R</w:t>
      </w:r>
      <w:r w:rsidR="00BA7421">
        <w:rPr>
          <w:rFonts w:ascii="Arial" w:hAnsi="Arial" w:cs="Arial"/>
          <w:sz w:val="22"/>
          <w:szCs w:val="22"/>
        </w:rPr>
        <w:t>ate for a pollutant, the source triggers NSR/PSD.  Under the federal program</w:t>
      </w:r>
      <w:r w:rsidR="003E06B9">
        <w:rPr>
          <w:rFonts w:ascii="Arial" w:hAnsi="Arial" w:cs="Arial"/>
          <w:sz w:val="22"/>
          <w:szCs w:val="22"/>
        </w:rPr>
        <w:t xml:space="preserve"> this is also true, but the </w:t>
      </w:r>
      <w:r w:rsidR="00BA7421">
        <w:rPr>
          <w:rFonts w:ascii="Arial" w:hAnsi="Arial" w:cs="Arial"/>
          <w:sz w:val="22"/>
          <w:szCs w:val="22"/>
        </w:rPr>
        <w:t xml:space="preserve">baseline is based on the </w:t>
      </w:r>
      <w:r w:rsidR="00C71991">
        <w:rPr>
          <w:rStyle w:val="Emphasis"/>
          <w:rFonts w:ascii="Arial" w:hAnsi="Arial" w:cs="Arial"/>
          <w:i w:val="0"/>
          <w:sz w:val="22"/>
          <w:szCs w:val="22"/>
        </w:rPr>
        <w:t xml:space="preserve">highest actual emissions </w:t>
      </w:r>
      <w:r w:rsidR="00A54286">
        <w:rPr>
          <w:rStyle w:val="Emphasis"/>
          <w:rFonts w:ascii="Arial" w:hAnsi="Arial" w:cs="Arial"/>
          <w:i w:val="0"/>
          <w:sz w:val="22"/>
          <w:szCs w:val="22"/>
        </w:rPr>
        <w:t xml:space="preserve">over </w:t>
      </w:r>
      <w:r w:rsidR="00C71991">
        <w:rPr>
          <w:rStyle w:val="Emphasis"/>
          <w:rFonts w:ascii="Arial" w:hAnsi="Arial" w:cs="Arial"/>
          <w:i w:val="0"/>
          <w:sz w:val="22"/>
          <w:szCs w:val="22"/>
        </w:rPr>
        <w:t>any two year period in the previous ten years</w:t>
      </w:r>
      <w:r w:rsidR="00A0670E">
        <w:rPr>
          <w:rStyle w:val="Emphasis"/>
          <w:rFonts w:ascii="Arial" w:hAnsi="Arial" w:cs="Arial"/>
          <w:i w:val="0"/>
          <w:sz w:val="22"/>
          <w:szCs w:val="22"/>
        </w:rPr>
        <w:t xml:space="preserve">.  </w:t>
      </w:r>
      <w:r w:rsidR="002E2FCF">
        <w:rPr>
          <w:rFonts w:ascii="Arial" w:hAnsi="Arial" w:cs="Arial"/>
          <w:sz w:val="22"/>
          <w:szCs w:val="22"/>
        </w:rPr>
        <w:t xml:space="preserve"> </w:t>
      </w:r>
    </w:p>
    <w:p w:rsidR="00B11B32" w:rsidRDefault="00B11B32" w:rsidP="00DC7CAF">
      <w:pPr>
        <w:rPr>
          <w:rFonts w:ascii="Arial" w:hAnsi="Arial" w:cs="Arial"/>
          <w:color w:val="000000"/>
          <w:sz w:val="22"/>
          <w:szCs w:val="22"/>
        </w:rPr>
      </w:pPr>
    </w:p>
    <w:p w:rsidR="00B11B32" w:rsidRDefault="00B11B32" w:rsidP="00DC7CAF">
      <w:pPr>
        <w:rPr>
          <w:rFonts w:ascii="Arial" w:hAnsi="Arial" w:cs="Arial"/>
          <w:color w:val="000000"/>
          <w:sz w:val="22"/>
          <w:szCs w:val="22"/>
        </w:rPr>
      </w:pPr>
      <w:r>
        <w:rPr>
          <w:rFonts w:ascii="Arial" w:hAnsi="Arial" w:cs="Arial"/>
          <w:color w:val="000000"/>
          <w:sz w:val="22"/>
          <w:szCs w:val="22"/>
        </w:rPr>
        <w:t>The proposed rule do</w:t>
      </w:r>
      <w:r w:rsidR="002F0FEF">
        <w:rPr>
          <w:rFonts w:ascii="Arial" w:hAnsi="Arial" w:cs="Arial"/>
          <w:color w:val="000000"/>
          <w:sz w:val="22"/>
          <w:szCs w:val="22"/>
        </w:rPr>
        <w:t>es</w:t>
      </w:r>
      <w:r>
        <w:rPr>
          <w:rFonts w:ascii="Arial" w:hAnsi="Arial" w:cs="Arial"/>
          <w:color w:val="000000"/>
          <w:sz w:val="22"/>
          <w:szCs w:val="22"/>
        </w:rPr>
        <w:t xml:space="preserve"> not create</w:t>
      </w:r>
      <w:r w:rsidR="003E06B9">
        <w:rPr>
          <w:rFonts w:ascii="Arial" w:hAnsi="Arial" w:cs="Arial"/>
          <w:color w:val="000000"/>
          <w:sz w:val="22"/>
          <w:szCs w:val="22"/>
        </w:rPr>
        <w:t xml:space="preserve"> new differences </w:t>
      </w:r>
      <w:r w:rsidR="00C13D1E">
        <w:rPr>
          <w:rFonts w:ascii="Arial" w:hAnsi="Arial" w:cs="Arial"/>
          <w:color w:val="000000"/>
          <w:sz w:val="22"/>
          <w:szCs w:val="22"/>
        </w:rPr>
        <w:t xml:space="preserve">in the major source preconstruction program </w:t>
      </w:r>
      <w:r w:rsidR="003E06B9">
        <w:rPr>
          <w:rFonts w:ascii="Arial" w:hAnsi="Arial" w:cs="Arial"/>
          <w:color w:val="000000"/>
          <w:sz w:val="22"/>
          <w:szCs w:val="22"/>
        </w:rPr>
        <w:t>from the federal program</w:t>
      </w:r>
      <w:r w:rsidR="002F0FEF">
        <w:rPr>
          <w:rFonts w:ascii="Arial" w:hAnsi="Arial" w:cs="Arial"/>
          <w:color w:val="000000"/>
          <w:sz w:val="22"/>
          <w:szCs w:val="22"/>
        </w:rPr>
        <w:t xml:space="preserve">.  It makes changes to </w:t>
      </w:r>
      <w:proofErr w:type="spellStart"/>
      <w:proofErr w:type="gramStart"/>
      <w:r w:rsidR="002F0FEF">
        <w:rPr>
          <w:rFonts w:ascii="Arial" w:hAnsi="Arial" w:cs="Arial"/>
          <w:color w:val="000000"/>
          <w:sz w:val="22"/>
          <w:szCs w:val="22"/>
        </w:rPr>
        <w:t>Oregons</w:t>
      </w:r>
      <w:proofErr w:type="spellEnd"/>
      <w:proofErr w:type="gramEnd"/>
      <w:r w:rsidR="002F0FEF">
        <w:rPr>
          <w:rFonts w:ascii="Arial" w:hAnsi="Arial" w:cs="Arial"/>
          <w:color w:val="000000"/>
          <w:sz w:val="22"/>
          <w:szCs w:val="22"/>
        </w:rPr>
        <w:t xml:space="preserve"> rules to maintain equivalency with the federal program</w:t>
      </w:r>
      <w:r w:rsidR="003E06B9">
        <w:rPr>
          <w:rFonts w:ascii="Arial" w:hAnsi="Arial" w:cs="Arial"/>
          <w:color w:val="000000"/>
          <w:sz w:val="22"/>
          <w:szCs w:val="22"/>
        </w:rPr>
        <w:t xml:space="preserve">.  The proposed rule incorporates two new federally regulated pollutants (greenhouse gases and fine particulates) </w:t>
      </w:r>
      <w:r w:rsidR="002F0FEF">
        <w:rPr>
          <w:rFonts w:ascii="Arial" w:hAnsi="Arial" w:cs="Arial"/>
          <w:color w:val="000000"/>
          <w:sz w:val="22"/>
          <w:szCs w:val="22"/>
        </w:rPr>
        <w:t xml:space="preserve">into </w:t>
      </w:r>
      <w:r w:rsidR="003E06B9">
        <w:rPr>
          <w:rFonts w:ascii="Arial" w:hAnsi="Arial" w:cs="Arial"/>
          <w:color w:val="000000"/>
          <w:sz w:val="22"/>
          <w:szCs w:val="22"/>
        </w:rPr>
        <w:t xml:space="preserve">Oregon’s existing </w:t>
      </w:r>
      <w:r w:rsidR="002F0FEF">
        <w:rPr>
          <w:rFonts w:ascii="Arial" w:hAnsi="Arial" w:cs="Arial"/>
          <w:color w:val="000000"/>
          <w:sz w:val="22"/>
          <w:szCs w:val="22"/>
        </w:rPr>
        <w:t>program which is</w:t>
      </w:r>
      <w:r w:rsidR="00B92319">
        <w:rPr>
          <w:rFonts w:ascii="Arial" w:hAnsi="Arial" w:cs="Arial"/>
          <w:color w:val="000000"/>
          <w:sz w:val="22"/>
          <w:szCs w:val="22"/>
        </w:rPr>
        <w:t>,</w:t>
      </w:r>
      <w:r w:rsidR="002F0FEF">
        <w:rPr>
          <w:rFonts w:ascii="Arial" w:hAnsi="Arial" w:cs="Arial"/>
          <w:color w:val="000000"/>
          <w:sz w:val="22"/>
          <w:szCs w:val="22"/>
        </w:rPr>
        <w:t xml:space="preserve"> and has been </w:t>
      </w:r>
      <w:r w:rsidR="003E06B9">
        <w:rPr>
          <w:rFonts w:ascii="Arial" w:hAnsi="Arial" w:cs="Arial"/>
          <w:color w:val="000000"/>
          <w:sz w:val="22"/>
          <w:szCs w:val="22"/>
        </w:rPr>
        <w:t>diffe</w:t>
      </w:r>
      <w:r w:rsidR="002F0FEF">
        <w:rPr>
          <w:rFonts w:ascii="Arial" w:hAnsi="Arial" w:cs="Arial"/>
          <w:color w:val="000000"/>
          <w:sz w:val="22"/>
          <w:szCs w:val="22"/>
        </w:rPr>
        <w:t>rent from the</w:t>
      </w:r>
      <w:r w:rsidR="003E06B9">
        <w:rPr>
          <w:rFonts w:ascii="Arial" w:hAnsi="Arial" w:cs="Arial"/>
          <w:color w:val="000000"/>
          <w:sz w:val="22"/>
          <w:szCs w:val="22"/>
        </w:rPr>
        <w:t xml:space="preserve"> federal</w:t>
      </w:r>
      <w:r w:rsidR="002F0FEF">
        <w:rPr>
          <w:rFonts w:ascii="Arial" w:hAnsi="Arial" w:cs="Arial"/>
          <w:color w:val="000000"/>
          <w:sz w:val="22"/>
          <w:szCs w:val="22"/>
        </w:rPr>
        <w:t xml:space="preserve"> program for many years</w:t>
      </w:r>
      <w:r w:rsidR="003E06B9">
        <w:rPr>
          <w:rFonts w:ascii="Arial" w:hAnsi="Arial" w:cs="Arial"/>
          <w:color w:val="000000"/>
          <w:sz w:val="22"/>
          <w:szCs w:val="22"/>
        </w:rPr>
        <w:t xml:space="preserve">.  </w:t>
      </w:r>
    </w:p>
    <w:p w:rsidR="0007409F" w:rsidRPr="00B82BAC" w:rsidRDefault="0007409F" w:rsidP="0007409F">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sz w:val="22"/>
          <w:szCs w:val="22"/>
        </w:rPr>
      </w:pPr>
    </w:p>
    <w:p w:rsidR="00785A30" w:rsidRPr="00A8407C" w:rsidRDefault="00785A30" w:rsidP="00975666">
      <w:pPr>
        <w:autoSpaceDE w:val="0"/>
        <w:autoSpaceDN w:val="0"/>
        <w:adjustRightInd w:val="0"/>
        <w:rPr>
          <w:rFonts w:ascii="Arial" w:hAnsi="Arial" w:cs="Arial"/>
          <w:sz w:val="22"/>
          <w:szCs w:val="22"/>
        </w:rPr>
      </w:pPr>
    </w:p>
    <w:p w:rsidR="00425375" w:rsidRDefault="00425375" w:rsidP="0007409F">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b/>
          <w:bCs/>
        </w:rPr>
      </w:pPr>
      <w:r>
        <w:rPr>
          <w:b/>
          <w:spacing w:val="-3"/>
        </w:rPr>
        <w:t>2.</w:t>
      </w:r>
      <w:r w:rsidR="004E72B3" w:rsidDel="004E72B3">
        <w:rPr>
          <w:b/>
          <w:spacing w:val="-3"/>
        </w:rPr>
        <w:t xml:space="preserve"> </w:t>
      </w:r>
      <w:r w:rsidRPr="00BC139B">
        <w:rPr>
          <w:rFonts w:ascii="Arial" w:hAnsi="Arial" w:cs="Arial"/>
          <w:b/>
          <w:bCs/>
        </w:rPr>
        <w:t>If the proposal differs from, or is in addition to</w:t>
      </w:r>
      <w:r w:rsidR="00D062F4" w:rsidRPr="00BC139B">
        <w:rPr>
          <w:rFonts w:ascii="Arial" w:hAnsi="Arial" w:cs="Arial"/>
          <w:b/>
          <w:bCs/>
        </w:rPr>
        <w:t>,</w:t>
      </w:r>
      <w:r w:rsidRPr="00BC139B">
        <w:rPr>
          <w:rFonts w:ascii="Arial" w:hAnsi="Arial" w:cs="Arial"/>
          <w:b/>
          <w:bCs/>
        </w:rPr>
        <w:t xml:space="preserve"> applicable federal requirements, explain the </w:t>
      </w:r>
      <w:r w:rsidR="00DA749A" w:rsidRPr="00BC139B">
        <w:rPr>
          <w:rFonts w:ascii="Arial" w:hAnsi="Arial" w:cs="Arial"/>
          <w:b/>
          <w:bCs/>
        </w:rPr>
        <w:t>reasons for the difference or addition (including as appropriate</w:t>
      </w:r>
      <w:r w:rsidR="004E72B3" w:rsidRPr="00BC139B">
        <w:rPr>
          <w:rFonts w:ascii="Arial" w:hAnsi="Arial" w:cs="Arial"/>
          <w:b/>
          <w:bCs/>
        </w:rPr>
        <w:t>,</w:t>
      </w:r>
      <w:r w:rsidR="00DA749A" w:rsidRPr="00BC139B">
        <w:rPr>
          <w:rFonts w:ascii="Arial" w:hAnsi="Arial" w:cs="Arial"/>
          <w:b/>
          <w:bCs/>
        </w:rPr>
        <w:t xml:space="preserve"> the</w:t>
      </w:r>
      <w:r w:rsidR="00563267" w:rsidRPr="00BC139B">
        <w:rPr>
          <w:rFonts w:ascii="Arial" w:hAnsi="Arial" w:cs="Arial"/>
          <w:b/>
          <w:bCs/>
        </w:rPr>
        <w:t xml:space="preserve"> public health, environmental,</w:t>
      </w:r>
      <w:r w:rsidR="00DA749A" w:rsidRPr="00BC139B">
        <w:rPr>
          <w:rFonts w:ascii="Arial" w:hAnsi="Arial" w:cs="Arial"/>
          <w:b/>
          <w:bCs/>
        </w:rPr>
        <w:t xml:space="preserve"> </w:t>
      </w:r>
      <w:r w:rsidRPr="00BC139B">
        <w:rPr>
          <w:rFonts w:ascii="Arial" w:hAnsi="Arial" w:cs="Arial"/>
          <w:b/>
          <w:bCs/>
        </w:rPr>
        <w:t>scientific, economic, technological, administrative or other reasons</w:t>
      </w:r>
      <w:r w:rsidR="00AE6465" w:rsidRPr="00BC139B">
        <w:rPr>
          <w:rFonts w:ascii="Arial" w:hAnsi="Arial" w:cs="Arial"/>
          <w:b/>
          <w:bCs/>
        </w:rPr>
        <w:t>)</w:t>
      </w:r>
      <w:r w:rsidR="004E72B3" w:rsidRPr="00BC139B">
        <w:rPr>
          <w:rFonts w:ascii="Arial" w:hAnsi="Arial" w:cs="Arial"/>
          <w:b/>
          <w:bCs/>
        </w:rPr>
        <w:t>.</w:t>
      </w:r>
    </w:p>
    <w:p w:rsidR="005852FA" w:rsidRDefault="005852FA" w:rsidP="0007409F">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b/>
          <w:bCs/>
        </w:rPr>
      </w:pPr>
    </w:p>
    <w:p w:rsidR="00A1207A" w:rsidRPr="00543B7A" w:rsidRDefault="00A1207A" w:rsidP="005852FA">
      <w:pPr>
        <w:autoSpaceDE w:val="0"/>
        <w:autoSpaceDN w:val="0"/>
        <w:adjustRightInd w:val="0"/>
        <w:rPr>
          <w:rFonts w:ascii="Arial" w:hAnsi="Arial" w:cs="Arial"/>
          <w:bCs/>
          <w:sz w:val="22"/>
          <w:szCs w:val="22"/>
        </w:rPr>
      </w:pPr>
      <w:r w:rsidRPr="00543B7A">
        <w:rPr>
          <w:rFonts w:ascii="Arial" w:hAnsi="Arial" w:cs="Arial"/>
          <w:bCs/>
          <w:sz w:val="22"/>
          <w:szCs w:val="22"/>
        </w:rPr>
        <w:t xml:space="preserve">Oregon’s proposed rules maintain </w:t>
      </w:r>
      <w:r w:rsidR="00B44610" w:rsidRPr="00543B7A">
        <w:rPr>
          <w:rFonts w:ascii="Arial" w:hAnsi="Arial" w:cs="Arial"/>
          <w:bCs/>
          <w:sz w:val="22"/>
          <w:szCs w:val="22"/>
        </w:rPr>
        <w:t xml:space="preserve">inherent </w:t>
      </w:r>
      <w:proofErr w:type="spellStart"/>
      <w:r w:rsidRPr="00543B7A">
        <w:rPr>
          <w:rFonts w:ascii="Arial" w:hAnsi="Arial" w:cs="Arial"/>
          <w:bCs/>
          <w:sz w:val="22"/>
          <w:szCs w:val="22"/>
        </w:rPr>
        <w:t>diffences</w:t>
      </w:r>
      <w:proofErr w:type="spellEnd"/>
      <w:r w:rsidRPr="00543B7A">
        <w:rPr>
          <w:rFonts w:ascii="Arial" w:hAnsi="Arial" w:cs="Arial"/>
          <w:bCs/>
          <w:sz w:val="22"/>
          <w:szCs w:val="22"/>
        </w:rPr>
        <w:t xml:space="preserve"> </w:t>
      </w:r>
      <w:r w:rsidR="00B44610" w:rsidRPr="00543B7A">
        <w:rPr>
          <w:rFonts w:ascii="Arial" w:hAnsi="Arial" w:cs="Arial"/>
          <w:bCs/>
          <w:sz w:val="22"/>
          <w:szCs w:val="22"/>
        </w:rPr>
        <w:t xml:space="preserve">between Oregon’s existing </w:t>
      </w:r>
      <w:proofErr w:type="spellStart"/>
      <w:r w:rsidR="00A54286" w:rsidRPr="00543B7A">
        <w:rPr>
          <w:rFonts w:ascii="Arial" w:hAnsi="Arial" w:cs="Arial"/>
          <w:bCs/>
          <w:sz w:val="22"/>
          <w:szCs w:val="22"/>
        </w:rPr>
        <w:t>permiting</w:t>
      </w:r>
      <w:proofErr w:type="spellEnd"/>
      <w:r w:rsidR="00A54286" w:rsidRPr="00543B7A">
        <w:rPr>
          <w:rFonts w:ascii="Arial" w:hAnsi="Arial" w:cs="Arial"/>
          <w:bCs/>
          <w:sz w:val="22"/>
          <w:szCs w:val="22"/>
        </w:rPr>
        <w:t xml:space="preserve"> program </w:t>
      </w:r>
      <w:r w:rsidR="00B44610" w:rsidRPr="00543B7A">
        <w:rPr>
          <w:rFonts w:ascii="Arial" w:hAnsi="Arial" w:cs="Arial"/>
          <w:bCs/>
          <w:sz w:val="22"/>
          <w:szCs w:val="22"/>
        </w:rPr>
        <w:t xml:space="preserve">rules and the federal rules for </w:t>
      </w:r>
      <w:r w:rsidR="00A54286" w:rsidRPr="00543B7A">
        <w:rPr>
          <w:rFonts w:ascii="Arial" w:hAnsi="Arial" w:cs="Arial"/>
          <w:bCs/>
          <w:sz w:val="22"/>
          <w:szCs w:val="22"/>
        </w:rPr>
        <w:t xml:space="preserve">the purpose of </w:t>
      </w:r>
      <w:r w:rsidR="00B44610" w:rsidRPr="00543B7A">
        <w:rPr>
          <w:rFonts w:ascii="Arial" w:hAnsi="Arial" w:cs="Arial"/>
          <w:bCs/>
          <w:sz w:val="22"/>
          <w:szCs w:val="22"/>
        </w:rPr>
        <w:t>administrative consistency</w:t>
      </w:r>
      <w:r w:rsidR="00B44610" w:rsidRPr="000E497D">
        <w:rPr>
          <w:rFonts w:ascii="Arial" w:hAnsi="Arial" w:cs="Arial"/>
          <w:bCs/>
          <w:sz w:val="22"/>
          <w:szCs w:val="22"/>
        </w:rPr>
        <w:t>.</w:t>
      </w:r>
      <w:r w:rsidR="00B44610" w:rsidRPr="00543B7A">
        <w:rPr>
          <w:rFonts w:ascii="Arial" w:hAnsi="Arial" w:cs="Arial"/>
          <w:bCs/>
          <w:sz w:val="22"/>
          <w:szCs w:val="22"/>
        </w:rPr>
        <w:t xml:space="preserve"> </w:t>
      </w:r>
      <w:r w:rsidR="009D3027" w:rsidRPr="00543B7A">
        <w:rPr>
          <w:rFonts w:ascii="Arial" w:hAnsi="Arial" w:cs="Arial"/>
          <w:bCs/>
          <w:sz w:val="22"/>
          <w:szCs w:val="22"/>
        </w:rPr>
        <w:t>However, there are also a number of other benefits to the Oregon program</w:t>
      </w:r>
      <w:r w:rsidR="00902D42" w:rsidRPr="00543B7A">
        <w:rPr>
          <w:rFonts w:ascii="Arial" w:hAnsi="Arial" w:cs="Arial"/>
          <w:bCs/>
          <w:sz w:val="22"/>
          <w:szCs w:val="22"/>
        </w:rPr>
        <w:t xml:space="preserve"> as described below</w:t>
      </w:r>
      <w:r w:rsidR="009D3027" w:rsidRPr="00543B7A">
        <w:rPr>
          <w:rFonts w:ascii="Arial" w:hAnsi="Arial" w:cs="Arial"/>
          <w:bCs/>
          <w:sz w:val="22"/>
          <w:szCs w:val="22"/>
        </w:rPr>
        <w:t>.</w:t>
      </w:r>
    </w:p>
    <w:p w:rsidR="00FA2334" w:rsidRPr="00A54286" w:rsidRDefault="00FA2334" w:rsidP="0007409F">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b/>
          <w:bCs/>
        </w:rPr>
      </w:pPr>
    </w:p>
    <w:p w:rsidR="005852FA" w:rsidRPr="00ED74FD" w:rsidRDefault="005852FA" w:rsidP="005852F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spacing w:val="-3"/>
          <w:sz w:val="22"/>
          <w:szCs w:val="22"/>
          <w:u w:val="single"/>
        </w:rPr>
      </w:pPr>
      <w:r>
        <w:rPr>
          <w:rStyle w:val="Emphasis"/>
          <w:rFonts w:ascii="Arial" w:hAnsi="Arial" w:cs="Arial"/>
          <w:i w:val="0"/>
          <w:sz w:val="22"/>
          <w:szCs w:val="22"/>
        </w:rPr>
        <w:lastRenderedPageBreak/>
        <w:t>Oregon NSR/PSD program</w:t>
      </w:r>
      <w:r w:rsidR="009D3027">
        <w:rPr>
          <w:rStyle w:val="Emphasis"/>
          <w:rFonts w:ascii="Arial" w:hAnsi="Arial" w:cs="Arial"/>
          <w:i w:val="0"/>
          <w:sz w:val="22"/>
          <w:szCs w:val="22"/>
        </w:rPr>
        <w:t xml:space="preserve"> </w:t>
      </w:r>
      <w:r>
        <w:rPr>
          <w:rStyle w:val="Emphasis"/>
          <w:rFonts w:ascii="Arial" w:hAnsi="Arial" w:cs="Arial"/>
          <w:i w:val="0"/>
          <w:sz w:val="22"/>
          <w:szCs w:val="22"/>
        </w:rPr>
        <w:t xml:space="preserve">was used as one of the models to support the development of the federal NSR reform rules.  In particular, Oregon’s Plant Site Emission Limit was a model for the federal Plantwide Applicability Limit (PAL).  The federal PAL is set by adding the Significant Emission Rate to the highest actual emissions over any two year period in the previous ten years.  </w:t>
      </w:r>
    </w:p>
    <w:p w:rsidR="005852FA" w:rsidRDefault="005852FA" w:rsidP="005852FA">
      <w:pPr>
        <w:pStyle w:val="PlainText"/>
        <w:rPr>
          <w:rFonts w:ascii="Arial" w:hAnsi="Arial" w:cs="Arial"/>
          <w:spacing w:val="-3"/>
          <w:sz w:val="22"/>
          <w:szCs w:val="22"/>
          <w:u w:val="single"/>
        </w:rPr>
      </w:pPr>
    </w:p>
    <w:p w:rsidR="005852FA" w:rsidRDefault="005852FA" w:rsidP="005852FA">
      <w:pPr>
        <w:pStyle w:val="PlainText"/>
        <w:rPr>
          <w:rFonts w:ascii="Arial" w:hAnsi="Arial" w:cs="Arial"/>
          <w:spacing w:val="-3"/>
          <w:sz w:val="22"/>
          <w:szCs w:val="22"/>
        </w:rPr>
      </w:pPr>
      <w:r>
        <w:rPr>
          <w:rFonts w:ascii="Arial" w:hAnsi="Arial" w:cs="Arial"/>
          <w:spacing w:val="-3"/>
          <w:sz w:val="22"/>
          <w:szCs w:val="22"/>
        </w:rPr>
        <w:t>The baseline for calculating net emission increases or decreases for determining applicability of the NSR/PSD prog</w:t>
      </w:r>
      <w:r w:rsidRPr="003B6836">
        <w:t>r</w:t>
      </w:r>
      <w:r>
        <w:rPr>
          <w:rFonts w:ascii="Arial" w:hAnsi="Arial" w:cs="Arial"/>
          <w:spacing w:val="-3"/>
          <w:sz w:val="22"/>
          <w:szCs w:val="22"/>
        </w:rPr>
        <w:t>am in the Oregon rules is the P</w:t>
      </w:r>
      <w:r w:rsidR="00005F8F">
        <w:rPr>
          <w:rFonts w:ascii="Arial" w:hAnsi="Arial" w:cs="Arial"/>
          <w:spacing w:val="-3"/>
          <w:sz w:val="22"/>
          <w:szCs w:val="22"/>
        </w:rPr>
        <w:t xml:space="preserve">lant </w:t>
      </w:r>
      <w:r>
        <w:rPr>
          <w:rFonts w:ascii="Arial" w:hAnsi="Arial" w:cs="Arial"/>
          <w:spacing w:val="-3"/>
          <w:sz w:val="22"/>
          <w:szCs w:val="22"/>
        </w:rPr>
        <w:t>S</w:t>
      </w:r>
      <w:r w:rsidR="00005F8F">
        <w:rPr>
          <w:rFonts w:ascii="Arial" w:hAnsi="Arial" w:cs="Arial"/>
          <w:spacing w:val="-3"/>
          <w:sz w:val="22"/>
          <w:szCs w:val="22"/>
        </w:rPr>
        <w:t xml:space="preserve">ite </w:t>
      </w:r>
      <w:r>
        <w:rPr>
          <w:rFonts w:ascii="Arial" w:hAnsi="Arial" w:cs="Arial"/>
          <w:spacing w:val="-3"/>
          <w:sz w:val="22"/>
          <w:szCs w:val="22"/>
        </w:rPr>
        <w:t>E</w:t>
      </w:r>
      <w:r w:rsidR="00005F8F">
        <w:rPr>
          <w:rFonts w:ascii="Arial" w:hAnsi="Arial" w:cs="Arial"/>
          <w:spacing w:val="-3"/>
          <w:sz w:val="22"/>
          <w:szCs w:val="22"/>
        </w:rPr>
        <w:t xml:space="preserve">mission </w:t>
      </w:r>
      <w:r>
        <w:rPr>
          <w:rFonts w:ascii="Arial" w:hAnsi="Arial" w:cs="Arial"/>
          <w:spacing w:val="-3"/>
          <w:sz w:val="22"/>
          <w:szCs w:val="22"/>
        </w:rPr>
        <w:t>L</w:t>
      </w:r>
      <w:r w:rsidR="00005F8F">
        <w:rPr>
          <w:rFonts w:ascii="Arial" w:hAnsi="Arial" w:cs="Arial"/>
          <w:spacing w:val="-3"/>
          <w:sz w:val="22"/>
          <w:szCs w:val="22"/>
        </w:rPr>
        <w:t>imit</w:t>
      </w:r>
      <w:r>
        <w:rPr>
          <w:rFonts w:ascii="Arial" w:hAnsi="Arial" w:cs="Arial"/>
          <w:spacing w:val="-3"/>
          <w:sz w:val="22"/>
          <w:szCs w:val="22"/>
        </w:rPr>
        <w:t xml:space="preserve"> established for each source.  PSELs manage airshed capacity and provide the basis for:  </w:t>
      </w:r>
    </w:p>
    <w:p w:rsidR="005852FA" w:rsidRDefault="005852FA" w:rsidP="005852FA">
      <w:pPr>
        <w:pStyle w:val="PlainText"/>
        <w:rPr>
          <w:rFonts w:ascii="Arial" w:hAnsi="Arial" w:cs="Arial"/>
          <w:spacing w:val="-3"/>
          <w:sz w:val="22"/>
          <w:szCs w:val="22"/>
        </w:rPr>
      </w:pPr>
    </w:p>
    <w:p w:rsidR="005852FA" w:rsidRPr="009140B6" w:rsidRDefault="005852FA" w:rsidP="005852FA">
      <w:pPr>
        <w:pStyle w:val="PlainText"/>
        <w:numPr>
          <w:ilvl w:val="0"/>
          <w:numId w:val="7"/>
        </w:numPr>
        <w:rPr>
          <w:rFonts w:ascii="Arial" w:hAnsi="Arial" w:cs="Arial"/>
          <w:spacing w:val="-3"/>
          <w:sz w:val="22"/>
          <w:szCs w:val="22"/>
        </w:rPr>
      </w:pPr>
      <w:r>
        <w:rPr>
          <w:rFonts w:ascii="Arial" w:hAnsi="Arial" w:cs="Arial"/>
          <w:spacing w:val="-3"/>
          <w:sz w:val="22"/>
          <w:szCs w:val="22"/>
        </w:rPr>
        <w:t xml:space="preserve">assuring reasonable further progress towards </w:t>
      </w:r>
      <w:r w:rsidRPr="009140B6">
        <w:rPr>
          <w:rFonts w:ascii="Arial" w:hAnsi="Arial" w:cs="Arial"/>
          <w:spacing w:val="-3"/>
          <w:sz w:val="22"/>
          <w:szCs w:val="22"/>
        </w:rPr>
        <w:t>attainment of ambient standards;</w:t>
      </w:r>
    </w:p>
    <w:p w:rsidR="005852FA" w:rsidRPr="009140B6" w:rsidRDefault="005852FA" w:rsidP="005852FA">
      <w:pPr>
        <w:pStyle w:val="PlainText"/>
        <w:numPr>
          <w:ilvl w:val="0"/>
          <w:numId w:val="7"/>
        </w:numPr>
        <w:rPr>
          <w:rFonts w:ascii="Arial" w:hAnsi="Arial" w:cs="Arial"/>
          <w:spacing w:val="-3"/>
          <w:sz w:val="22"/>
          <w:szCs w:val="22"/>
        </w:rPr>
      </w:pPr>
      <w:r w:rsidRPr="009140B6">
        <w:rPr>
          <w:rFonts w:ascii="Arial" w:hAnsi="Arial" w:cs="Arial"/>
          <w:spacing w:val="-3"/>
          <w:sz w:val="22"/>
          <w:szCs w:val="22"/>
        </w:rPr>
        <w:t>assuring compliance with ambient standards and PSD increments (</w:t>
      </w:r>
      <w:r w:rsidRPr="009140B6">
        <w:rPr>
          <w:rFonts w:ascii="Arial" w:hAnsi="Arial" w:cs="Arial"/>
          <w:sz w:val="22"/>
          <w:szCs w:val="22"/>
        </w:rPr>
        <w:t>the maximum concentration increase that is allowed to occur above a baseline concentration for a specific pollutant)</w:t>
      </w:r>
      <w:r w:rsidRPr="009140B6">
        <w:rPr>
          <w:rFonts w:ascii="Arial" w:hAnsi="Arial" w:cs="Arial"/>
          <w:spacing w:val="-3"/>
          <w:sz w:val="22"/>
          <w:szCs w:val="22"/>
        </w:rPr>
        <w:t xml:space="preserve">; </w:t>
      </w:r>
    </w:p>
    <w:p w:rsidR="005852FA" w:rsidRDefault="005852FA" w:rsidP="005852FA">
      <w:pPr>
        <w:pStyle w:val="PlainText"/>
        <w:numPr>
          <w:ilvl w:val="0"/>
          <w:numId w:val="7"/>
        </w:numPr>
        <w:rPr>
          <w:rFonts w:ascii="Arial" w:hAnsi="Arial" w:cs="Arial"/>
          <w:spacing w:val="-3"/>
          <w:sz w:val="22"/>
          <w:szCs w:val="22"/>
        </w:rPr>
      </w:pPr>
      <w:r>
        <w:rPr>
          <w:rFonts w:ascii="Arial" w:hAnsi="Arial" w:cs="Arial"/>
          <w:spacing w:val="-3"/>
          <w:sz w:val="22"/>
          <w:szCs w:val="22"/>
        </w:rPr>
        <w:t>administering the emissions trading program; and</w:t>
      </w:r>
    </w:p>
    <w:p w:rsidR="005852FA" w:rsidRPr="00735C1A" w:rsidRDefault="005852FA" w:rsidP="005852FA">
      <w:pPr>
        <w:pStyle w:val="PlainText"/>
        <w:numPr>
          <w:ilvl w:val="0"/>
          <w:numId w:val="7"/>
        </w:numPr>
        <w:rPr>
          <w:rFonts w:ascii="Arial" w:hAnsi="Arial" w:cs="Arial"/>
          <w:spacing w:val="-3"/>
          <w:sz w:val="22"/>
          <w:szCs w:val="22"/>
        </w:rPr>
      </w:pPr>
      <w:r>
        <w:rPr>
          <w:rFonts w:ascii="Arial" w:hAnsi="Arial" w:cs="Arial"/>
          <w:spacing w:val="-3"/>
          <w:sz w:val="22"/>
          <w:szCs w:val="22"/>
        </w:rPr>
        <w:t xml:space="preserve">tracking PSD increment </w:t>
      </w:r>
      <w:r w:rsidRPr="002C3E26">
        <w:rPr>
          <w:rFonts w:ascii="Arial" w:hAnsi="Arial" w:cs="Arial"/>
          <w:spacing w:val="-3"/>
          <w:sz w:val="22"/>
          <w:szCs w:val="22"/>
        </w:rPr>
        <w:t xml:space="preserve">consumption </w:t>
      </w:r>
      <w:r>
        <w:rPr>
          <w:rFonts w:ascii="Arial" w:hAnsi="Arial" w:cs="Arial"/>
          <w:spacing w:val="-3"/>
          <w:sz w:val="22"/>
          <w:szCs w:val="22"/>
        </w:rPr>
        <w:t xml:space="preserve">(the </w:t>
      </w:r>
      <w:r w:rsidRPr="002C3E26">
        <w:rPr>
          <w:rFonts w:ascii="Arial" w:hAnsi="Arial" w:cs="Arial"/>
          <w:sz w:val="22"/>
          <w:szCs w:val="22"/>
        </w:rPr>
        <w:t>cumulative impact of emissions growth in areas that meet air quality standards</w:t>
      </w:r>
      <w:r>
        <w:rPr>
          <w:rFonts w:ascii="Arial" w:hAnsi="Arial" w:cs="Arial"/>
          <w:sz w:val="22"/>
          <w:szCs w:val="22"/>
        </w:rPr>
        <w:t xml:space="preserve">).  </w:t>
      </w:r>
    </w:p>
    <w:p w:rsidR="005852FA" w:rsidRPr="002C3E26" w:rsidRDefault="005852FA" w:rsidP="005852FA">
      <w:pPr>
        <w:pStyle w:val="PlainText"/>
        <w:rPr>
          <w:rFonts w:ascii="Arial" w:hAnsi="Arial" w:cs="Arial"/>
          <w:spacing w:val="-3"/>
          <w:sz w:val="22"/>
          <w:szCs w:val="22"/>
        </w:rPr>
      </w:pPr>
    </w:p>
    <w:p w:rsidR="005852FA" w:rsidRDefault="005852FA" w:rsidP="005852FA">
      <w:pPr>
        <w:pStyle w:val="PlainText"/>
        <w:rPr>
          <w:rFonts w:ascii="Arial" w:hAnsi="Arial" w:cs="Arial"/>
          <w:spacing w:val="-3"/>
          <w:sz w:val="22"/>
          <w:szCs w:val="22"/>
        </w:rPr>
      </w:pPr>
      <w:r w:rsidRPr="00B82BAC">
        <w:rPr>
          <w:rFonts w:ascii="Arial" w:hAnsi="Arial" w:cs="Arial"/>
          <w:spacing w:val="-3"/>
          <w:sz w:val="22"/>
          <w:szCs w:val="22"/>
        </w:rPr>
        <w:t>It is also important to note that any increase in actual emissions above the PSEL, requires the source to apply for and DEQ to approve, a revision to the PSEL in the</w:t>
      </w:r>
      <w:r w:rsidR="009D3027">
        <w:rPr>
          <w:rFonts w:ascii="Arial" w:hAnsi="Arial" w:cs="Arial"/>
          <w:spacing w:val="-3"/>
          <w:sz w:val="22"/>
          <w:szCs w:val="22"/>
        </w:rPr>
        <w:t xml:space="preserve"> state air quality construction permit</w:t>
      </w:r>
      <w:r w:rsidRPr="00B82BAC">
        <w:rPr>
          <w:rFonts w:ascii="Arial" w:hAnsi="Arial" w:cs="Arial"/>
          <w:spacing w:val="-3"/>
          <w:sz w:val="22"/>
          <w:szCs w:val="22"/>
        </w:rPr>
        <w:t>.  The PSEL rules are consistent with the requirements of the Clean Air Act as they allow increases in actual emissions only if such increases would not exceed applicable emission limitations or cause ambient air quality standards, PSD increments or reasonable further progress to be violated.  The Oregon rules, therefore, have a more clearly established baseline than in the EPA rules.</w:t>
      </w:r>
      <w:r>
        <w:rPr>
          <w:rFonts w:ascii="Arial" w:hAnsi="Arial" w:cs="Arial"/>
          <w:spacing w:val="-3"/>
          <w:sz w:val="22"/>
          <w:szCs w:val="22"/>
        </w:rPr>
        <w:t xml:space="preserve">  </w:t>
      </w:r>
    </w:p>
    <w:p w:rsidR="005852FA" w:rsidRDefault="005852FA" w:rsidP="005852FA">
      <w:pPr>
        <w:pStyle w:val="NormalWeb"/>
        <w:spacing w:before="0" w:beforeAutospacing="0" w:after="0" w:afterAutospacing="0"/>
        <w:rPr>
          <w:rFonts w:ascii="Arial" w:hAnsi="Arial" w:cs="Arial"/>
          <w:spacing w:val="-3"/>
          <w:sz w:val="22"/>
          <w:szCs w:val="22"/>
        </w:rPr>
      </w:pPr>
    </w:p>
    <w:p w:rsidR="005852FA" w:rsidRDefault="005852FA" w:rsidP="00FA2334">
      <w:pPr>
        <w:autoSpaceDE w:val="0"/>
        <w:autoSpaceDN w:val="0"/>
        <w:adjustRightInd w:val="0"/>
        <w:rPr>
          <w:rFonts w:ascii="Arial" w:hAnsi="Arial" w:cs="Arial"/>
          <w:sz w:val="22"/>
          <w:szCs w:val="22"/>
        </w:rPr>
      </w:pPr>
      <w:r>
        <w:rPr>
          <w:rFonts w:ascii="Arial" w:hAnsi="Arial" w:cs="Arial"/>
          <w:spacing w:val="-3"/>
          <w:sz w:val="22"/>
          <w:szCs w:val="22"/>
        </w:rPr>
        <w:t xml:space="preserve">Because the PSEL is </w:t>
      </w:r>
      <w:r w:rsidR="009D3027">
        <w:rPr>
          <w:rFonts w:ascii="Arial" w:hAnsi="Arial" w:cs="Arial"/>
          <w:spacing w:val="-3"/>
          <w:sz w:val="22"/>
          <w:szCs w:val="22"/>
        </w:rPr>
        <w:t xml:space="preserve">typically </w:t>
      </w:r>
      <w:r>
        <w:rPr>
          <w:rFonts w:ascii="Arial" w:hAnsi="Arial" w:cs="Arial"/>
          <w:spacing w:val="-3"/>
          <w:sz w:val="22"/>
          <w:szCs w:val="22"/>
        </w:rPr>
        <w:t xml:space="preserve">based on actual emissions in the 1978 baseline year, the Oregon approach is equivalent to how EPA determines whether there is a net emissions increase.  Furthermore, DEQ accumulates </w:t>
      </w:r>
      <w:r w:rsidRPr="008F7D2B">
        <w:rPr>
          <w:rFonts w:ascii="Arial" w:hAnsi="Arial" w:cs="Arial"/>
          <w:b/>
          <w:spacing w:val="-3"/>
          <w:sz w:val="22"/>
          <w:szCs w:val="22"/>
        </w:rPr>
        <w:t>all</w:t>
      </w:r>
      <w:r>
        <w:rPr>
          <w:rFonts w:ascii="Arial" w:hAnsi="Arial" w:cs="Arial"/>
          <w:spacing w:val="-3"/>
          <w:sz w:val="22"/>
          <w:szCs w:val="22"/>
        </w:rPr>
        <w:t xml:space="preserve"> emissions increase and decreases from physical changes or changes in operation since the baseline year or last major source permit whichever is more recent, rather than just during a “contemporaneous” time period.  This aspect of DEQ’s program is similar to the federal PAL.  Both provide a net environmental benefit and flexibility because they create a large incentive for sources to voluntarily reduce emissions in order to avoid triggering NSR/PSD. The PSEL and PAL both have provisions to be reduced if emission reductions at the sources occur and</w:t>
      </w:r>
      <w:r w:rsidR="00B63442">
        <w:rPr>
          <w:rFonts w:ascii="Arial" w:hAnsi="Arial" w:cs="Arial"/>
          <w:spacing w:val="-3"/>
          <w:sz w:val="22"/>
          <w:szCs w:val="22"/>
        </w:rPr>
        <w:t xml:space="preserve"> </w:t>
      </w:r>
      <w:r>
        <w:rPr>
          <w:rFonts w:ascii="Arial" w:hAnsi="Arial" w:cs="Arial"/>
          <w:spacing w:val="-3"/>
          <w:sz w:val="22"/>
          <w:szCs w:val="22"/>
        </w:rPr>
        <w:t xml:space="preserve">make the caps excessively high.  The PSEL and PAL </w:t>
      </w:r>
      <w:r w:rsidRPr="004A35D3">
        <w:rPr>
          <w:rFonts w:ascii="Arial" w:hAnsi="Arial" w:cs="Arial"/>
          <w:spacing w:val="-3"/>
          <w:sz w:val="22"/>
          <w:szCs w:val="22"/>
        </w:rPr>
        <w:t>also eliminate the possibility of a gradual increase of emissions by piecemeal projects over time not triggering NSR/PSD.  Under federal rules where a PAL is not chosen, a</w:t>
      </w:r>
      <w:r w:rsidRPr="004A35D3">
        <w:rPr>
          <w:rFonts w:ascii="Arial" w:hAnsi="Arial" w:cs="Arial"/>
          <w:sz w:val="22"/>
          <w:szCs w:val="22"/>
        </w:rPr>
        <w:t xml:space="preserve">n increase or decrease in actual emissions is contemporaneous with the increase from the particular change only if it occurs between the date five </w:t>
      </w:r>
      <w:r w:rsidR="00B63442">
        <w:rPr>
          <w:rFonts w:ascii="Arial" w:hAnsi="Arial" w:cs="Arial"/>
          <w:sz w:val="22"/>
          <w:szCs w:val="22"/>
        </w:rPr>
        <w:t>(TEN?) y</w:t>
      </w:r>
      <w:r w:rsidRPr="004A35D3">
        <w:rPr>
          <w:rFonts w:ascii="Arial" w:hAnsi="Arial" w:cs="Arial"/>
          <w:sz w:val="22"/>
          <w:szCs w:val="22"/>
        </w:rPr>
        <w:t>ears before construction on the particular change commences and the date that the increase from the particular change occurs.</w:t>
      </w:r>
      <w:r>
        <w:rPr>
          <w:rFonts w:ascii="Arial" w:hAnsi="Arial" w:cs="Arial"/>
          <w:sz w:val="22"/>
          <w:szCs w:val="22"/>
        </w:rPr>
        <w:t xml:space="preserve">  </w:t>
      </w:r>
      <w:r w:rsidRPr="004A35D3">
        <w:rPr>
          <w:rFonts w:ascii="Arial" w:hAnsi="Arial" w:cs="Arial"/>
          <w:sz w:val="22"/>
          <w:szCs w:val="22"/>
          <w:highlight w:val="yellow"/>
        </w:rPr>
        <w:t>[IS THIS LAST STATEMENT TRUE?]</w:t>
      </w:r>
    </w:p>
    <w:p w:rsidR="005852FA" w:rsidRDefault="005852FA" w:rsidP="00FA2334">
      <w:pPr>
        <w:autoSpaceDE w:val="0"/>
        <w:autoSpaceDN w:val="0"/>
        <w:adjustRightInd w:val="0"/>
        <w:rPr>
          <w:rFonts w:ascii="Arial" w:hAnsi="Arial" w:cs="Arial"/>
          <w:sz w:val="22"/>
          <w:szCs w:val="22"/>
        </w:rPr>
      </w:pPr>
    </w:p>
    <w:p w:rsidR="005852FA" w:rsidRPr="00957F2A" w:rsidRDefault="005852FA" w:rsidP="00FA2334">
      <w:pPr>
        <w:autoSpaceDE w:val="0"/>
        <w:autoSpaceDN w:val="0"/>
        <w:adjustRightInd w:val="0"/>
        <w:rPr>
          <w:rFonts w:ascii="Arial" w:hAnsi="Arial" w:cs="Arial"/>
          <w:color w:val="000000"/>
          <w:sz w:val="22"/>
          <w:szCs w:val="22"/>
        </w:rPr>
      </w:pPr>
      <w:r>
        <w:rPr>
          <w:rFonts w:ascii="Arial" w:hAnsi="Arial" w:cs="Arial"/>
          <w:sz w:val="22"/>
          <w:szCs w:val="22"/>
        </w:rPr>
        <w:t xml:space="preserve">In Oregon all emissions units </w:t>
      </w:r>
      <w:r w:rsidRPr="00957F2A">
        <w:rPr>
          <w:rFonts w:ascii="Arial" w:hAnsi="Arial" w:cs="Arial"/>
          <w:sz w:val="22"/>
          <w:szCs w:val="22"/>
        </w:rPr>
        <w:t>that contribute to the emissions</w:t>
      </w:r>
      <w:r w:rsidRPr="00957F2A">
        <w:rPr>
          <w:rFonts w:ascii="Arial" w:hAnsi="Arial" w:cs="Arial"/>
          <w:spacing w:val="-3"/>
          <w:sz w:val="22"/>
          <w:szCs w:val="22"/>
        </w:rPr>
        <w:t xml:space="preserve"> increase a</w:t>
      </w:r>
      <w:r>
        <w:rPr>
          <w:rFonts w:ascii="Arial" w:hAnsi="Arial" w:cs="Arial"/>
          <w:spacing w:val="-3"/>
          <w:sz w:val="22"/>
          <w:szCs w:val="22"/>
        </w:rPr>
        <w:t xml:space="preserve">bove the SER </w:t>
      </w:r>
      <w:r w:rsidRPr="00957F2A">
        <w:rPr>
          <w:rFonts w:ascii="Arial" w:hAnsi="Arial" w:cs="Arial"/>
          <w:spacing w:val="-3"/>
          <w:sz w:val="22"/>
          <w:szCs w:val="22"/>
        </w:rPr>
        <w:t xml:space="preserve">are required to install </w:t>
      </w:r>
      <w:r w:rsidRPr="000646F1">
        <w:rPr>
          <w:rFonts w:ascii="Arial" w:hAnsi="Arial" w:cs="Arial"/>
          <w:spacing w:val="-3"/>
          <w:sz w:val="22"/>
          <w:szCs w:val="22"/>
        </w:rPr>
        <w:t>retrofit</w:t>
      </w:r>
      <w:r w:rsidRPr="00957F2A">
        <w:rPr>
          <w:rFonts w:ascii="Arial" w:hAnsi="Arial" w:cs="Arial"/>
          <w:spacing w:val="-3"/>
          <w:sz w:val="22"/>
          <w:szCs w:val="22"/>
        </w:rPr>
        <w:t xml:space="preserve"> Best Available Control Technology.  BACT, </w:t>
      </w:r>
      <w:r w:rsidRPr="00957F2A">
        <w:rPr>
          <w:rFonts w:ascii="Arial" w:hAnsi="Arial" w:cs="Arial"/>
          <w:sz w:val="22"/>
          <w:szCs w:val="22"/>
        </w:rPr>
        <w:t xml:space="preserve">an emission limitation based on the maximum degree of emission reduction by the most stringent technology available for controlling emissions, is required unless it can be demonstrated that it is not feasible for energy, environmental, or economic reasons.  </w:t>
      </w:r>
      <w:r w:rsidRPr="00957F2A">
        <w:rPr>
          <w:rFonts w:ascii="Arial" w:hAnsi="Arial" w:cs="Arial"/>
          <w:spacing w:val="-3"/>
          <w:sz w:val="22"/>
          <w:szCs w:val="22"/>
        </w:rPr>
        <w:t xml:space="preserve">Under the federal program, </w:t>
      </w:r>
      <w:r w:rsidRPr="000646F1">
        <w:rPr>
          <w:rFonts w:ascii="Arial" w:hAnsi="Arial" w:cs="Arial"/>
          <w:sz w:val="22"/>
          <w:szCs w:val="22"/>
        </w:rPr>
        <w:t>the BACT requirement applies to each individual new or modified affected emissions unit and pollutant emitting activity at which a net emissions increase would occur. Individual BACT determinations are performed for each pollutant subject to a PSD review emitted from the same emission unit. Consequently, the BACT determination must separately address, for each regulated pollutant with a significant emissions increase at the source, air pollution controls for each emissions unit or pollutant emitting activity subject to review.</w:t>
      </w:r>
      <w:r w:rsidRPr="00957F2A">
        <w:rPr>
          <w:rFonts w:ascii="Arial" w:hAnsi="Arial" w:cs="Arial"/>
          <w:sz w:val="22"/>
          <w:szCs w:val="22"/>
        </w:rPr>
        <w:t xml:space="preserve"> </w:t>
      </w:r>
    </w:p>
    <w:p w:rsidR="005852FA" w:rsidRPr="00957F2A" w:rsidRDefault="005852FA" w:rsidP="00A54286">
      <w:pPr>
        <w:pStyle w:val="Default"/>
        <w:ind w:left="720"/>
        <w:rPr>
          <w:rFonts w:ascii="Arial" w:hAnsi="Arial" w:cs="Arial"/>
          <w:sz w:val="22"/>
          <w:szCs w:val="22"/>
        </w:rPr>
      </w:pPr>
    </w:p>
    <w:p w:rsidR="005852FA" w:rsidRDefault="005852FA" w:rsidP="00A54286">
      <w:pPr>
        <w:pStyle w:val="PlainText"/>
        <w:rPr>
          <w:rFonts w:ascii="Arial" w:hAnsi="Arial" w:cs="Arial"/>
          <w:spacing w:val="-3"/>
          <w:sz w:val="22"/>
          <w:szCs w:val="22"/>
        </w:rPr>
      </w:pPr>
      <w:r>
        <w:rPr>
          <w:rFonts w:ascii="Arial" w:hAnsi="Arial" w:cs="Arial"/>
          <w:spacing w:val="-3"/>
          <w:sz w:val="22"/>
          <w:szCs w:val="22"/>
        </w:rPr>
        <w:t xml:space="preserve">The DEQ program, although substantially different from EPA’s regulations, provides a workable program which is equivalent to EPA’s and will accomplish the </w:t>
      </w:r>
      <w:r w:rsidR="00902D42">
        <w:rPr>
          <w:rFonts w:ascii="Arial" w:hAnsi="Arial" w:cs="Arial"/>
          <w:spacing w:val="-3"/>
          <w:sz w:val="22"/>
          <w:szCs w:val="22"/>
        </w:rPr>
        <w:t>Clean Air Act</w:t>
      </w:r>
      <w:r>
        <w:rPr>
          <w:rFonts w:ascii="Arial" w:hAnsi="Arial" w:cs="Arial"/>
          <w:spacing w:val="-3"/>
          <w:sz w:val="22"/>
          <w:szCs w:val="22"/>
        </w:rPr>
        <w:t xml:space="preserve"> goal of preventing significant deterioration of air quality.  </w:t>
      </w:r>
    </w:p>
    <w:p w:rsidR="003E5F64" w:rsidRDefault="003E5F64" w:rsidP="005852FA">
      <w:pPr>
        <w:autoSpaceDE w:val="0"/>
        <w:autoSpaceDN w:val="0"/>
        <w:adjustRightInd w:val="0"/>
        <w:rPr>
          <w:rFonts w:ascii="Arial" w:hAnsi="Arial" w:cs="Arial"/>
          <w:bCs/>
          <w:sz w:val="22"/>
          <w:szCs w:val="22"/>
        </w:rPr>
      </w:pPr>
    </w:p>
    <w:p w:rsidR="00425375" w:rsidRDefault="00425375" w:rsidP="0007409F">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b/>
          <w:spacing w:val="-3"/>
        </w:rPr>
      </w:pPr>
      <w:r w:rsidRPr="00BC139B">
        <w:rPr>
          <w:rFonts w:ascii="Arial" w:hAnsi="Arial" w:cs="Arial"/>
          <w:b/>
          <w:spacing w:val="-3"/>
        </w:rPr>
        <w:t>3.</w:t>
      </w:r>
      <w:r w:rsidR="004E72B3" w:rsidRPr="00BC139B" w:rsidDel="004E72B3">
        <w:rPr>
          <w:rFonts w:ascii="Arial" w:hAnsi="Arial" w:cs="Arial"/>
          <w:i/>
          <w:spacing w:val="-3"/>
        </w:rPr>
        <w:t xml:space="preserve"> </w:t>
      </w:r>
      <w:r w:rsidRPr="00BC139B">
        <w:rPr>
          <w:rFonts w:ascii="Arial" w:hAnsi="Arial" w:cs="Arial"/>
          <w:b/>
          <w:bCs/>
        </w:rPr>
        <w:t>If the proposal differs from, or is in addition to</w:t>
      </w:r>
      <w:r w:rsidR="00DA749A" w:rsidRPr="00BC139B">
        <w:rPr>
          <w:rFonts w:ascii="Arial" w:hAnsi="Arial" w:cs="Arial"/>
          <w:b/>
          <w:bCs/>
        </w:rPr>
        <w:t>,</w:t>
      </w:r>
      <w:r w:rsidRPr="00BC139B">
        <w:rPr>
          <w:rFonts w:ascii="Arial" w:hAnsi="Arial" w:cs="Arial"/>
          <w:b/>
          <w:bCs/>
        </w:rPr>
        <w:t xml:space="preserve"> applicable federal requirements, d</w:t>
      </w:r>
      <w:r w:rsidRPr="00BC139B">
        <w:rPr>
          <w:rFonts w:ascii="Arial" w:hAnsi="Arial" w:cs="Arial"/>
          <w:b/>
          <w:spacing w:val="-3"/>
        </w:rPr>
        <w:t xml:space="preserve">id </w:t>
      </w:r>
      <w:r w:rsidR="00BC139B">
        <w:rPr>
          <w:rFonts w:ascii="Arial" w:hAnsi="Arial" w:cs="Arial"/>
          <w:b/>
          <w:spacing w:val="-3"/>
        </w:rPr>
        <w:t>DEQ</w:t>
      </w:r>
      <w:r w:rsidRPr="00BC139B">
        <w:rPr>
          <w:rFonts w:ascii="Arial" w:hAnsi="Arial" w:cs="Arial"/>
          <w:b/>
          <w:spacing w:val="-3"/>
        </w:rPr>
        <w:t xml:space="preserve"> consider alternatives to the difference or addition?</w:t>
      </w:r>
      <w:r w:rsidR="009C264E" w:rsidRPr="00BC139B">
        <w:rPr>
          <w:rFonts w:ascii="Arial" w:hAnsi="Arial" w:cs="Arial"/>
          <w:b/>
          <w:spacing w:val="-3"/>
        </w:rPr>
        <w:t xml:space="preserve"> </w:t>
      </w:r>
      <w:r w:rsidRPr="00BC139B">
        <w:rPr>
          <w:rFonts w:ascii="Arial" w:hAnsi="Arial" w:cs="Arial"/>
          <w:spacing w:val="-3"/>
        </w:rPr>
        <w:t xml:space="preserve"> </w:t>
      </w:r>
      <w:r w:rsidRPr="00BC139B">
        <w:rPr>
          <w:rFonts w:ascii="Arial" w:hAnsi="Arial" w:cs="Arial"/>
          <w:b/>
          <w:spacing w:val="-3"/>
        </w:rPr>
        <w:t>If so, describe the alternatives and the reason(s) they were not pursued.</w:t>
      </w:r>
    </w:p>
    <w:p w:rsidR="00DC7E85" w:rsidRDefault="00DC7E85" w:rsidP="0007409F">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b/>
          <w:spacing w:val="-3"/>
        </w:rPr>
      </w:pPr>
    </w:p>
    <w:sectPr w:rsidR="00DC7E85" w:rsidSect="00FE79F2">
      <w:headerReference w:type="default" r:id="rId11"/>
      <w:footerReference w:type="default" r:id="rId12"/>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88E" w:rsidRDefault="0077588E">
      <w:r>
        <w:separator/>
      </w:r>
    </w:p>
  </w:endnote>
  <w:endnote w:type="continuationSeparator" w:id="0">
    <w:p w:rsidR="0077588E" w:rsidRDefault="007758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ANKL C+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etter Gothic">
    <w:altName w:val="Courier Ne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FD1" w:rsidRDefault="00587846">
    <w:pPr>
      <w:pStyle w:val="Footer"/>
      <w:jc w:val="right"/>
    </w:pPr>
    <w:fldSimple w:instr=" PAGE   \* MERGEFORMAT ">
      <w:r w:rsidR="000E497D">
        <w:rPr>
          <w:noProof/>
        </w:rPr>
        <w:t>1</w:t>
      </w:r>
    </w:fldSimple>
  </w:p>
  <w:p w:rsidR="00C65FD1" w:rsidRPr="00AF5C8D" w:rsidRDefault="00C65FD1">
    <w:pPr>
      <w:pStyle w:val="Footer"/>
      <w:rPr>
        <w:color w:val="80808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88E" w:rsidRDefault="0077588E">
      <w:r>
        <w:separator/>
      </w:r>
    </w:p>
  </w:footnote>
  <w:footnote w:type="continuationSeparator" w:id="0">
    <w:p w:rsidR="0077588E" w:rsidRDefault="007758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FD1" w:rsidRPr="007F081A" w:rsidRDefault="00C65FD1">
    <w:pPr>
      <w:pStyle w:val="Header"/>
      <w:rPr>
        <w:color w:val="808080"/>
      </w:rPr>
    </w:pPr>
    <w:r>
      <w:tab/>
    </w:r>
    <w:r>
      <w:tab/>
    </w:r>
  </w:p>
  <w:p w:rsidR="00C65FD1" w:rsidRPr="007F081A" w:rsidRDefault="00C65FD1" w:rsidP="00AF5C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50F0B2E"/>
    <w:multiLevelType w:val="hybridMultilevel"/>
    <w:tmpl w:val="977E32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DE1F9A"/>
    <w:multiLevelType w:val="multilevel"/>
    <w:tmpl w:val="345C2C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AD2020"/>
    <w:multiLevelType w:val="hybridMultilevel"/>
    <w:tmpl w:val="4510FA48"/>
    <w:lvl w:ilvl="0" w:tplc="21807C8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20426D"/>
    <w:multiLevelType w:val="hybridMultilevel"/>
    <w:tmpl w:val="E1FAF0EC"/>
    <w:lvl w:ilvl="0" w:tplc="368ADC16">
      <w:start w:val="1"/>
      <w:numFmt w:val="lowerLetter"/>
      <w:lvlText w:val="(%1)"/>
      <w:lvlJc w:val="left"/>
      <w:pPr>
        <w:tabs>
          <w:tab w:val="num" w:pos="360"/>
        </w:tabs>
        <w:ind w:left="360" w:firstLine="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3E61E5"/>
    <w:multiLevelType w:val="hybridMultilevel"/>
    <w:tmpl w:val="ABDCB4A6"/>
    <w:lvl w:ilvl="0" w:tplc="871246AE">
      <w:start w:val="1"/>
      <w:numFmt w:val="bullet"/>
      <w:lvlText w:val=""/>
      <w:lvlJc w:val="left"/>
      <w:pPr>
        <w:tabs>
          <w:tab w:val="num" w:pos="1980"/>
        </w:tabs>
        <w:ind w:left="1980" w:hanging="360"/>
      </w:pPr>
      <w:rPr>
        <w:rFonts w:ascii="Symbol" w:hAnsi="Symbol" w:hint="default"/>
        <w:color w:val="auto"/>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nsid w:val="5E313A48"/>
    <w:multiLevelType w:val="hybridMultilevel"/>
    <w:tmpl w:val="276474D0"/>
    <w:lvl w:ilvl="0" w:tplc="C34852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F20AE7"/>
    <w:multiLevelType w:val="hybridMultilevel"/>
    <w:tmpl w:val="E85EF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C6E094C"/>
    <w:multiLevelType w:val="hybridMultilevel"/>
    <w:tmpl w:val="97AC47D2"/>
    <w:lvl w:ilvl="0" w:tplc="912CD63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2"/>
  </w:num>
  <w:num w:numId="5">
    <w:abstractNumId w:val="0"/>
  </w:num>
  <w:num w:numId="6">
    <w:abstractNumId w:val="8"/>
  </w:num>
  <w:num w:numId="7">
    <w:abstractNumId w:val="1"/>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stylePaneFormatFilter w:val="3F01"/>
  <w:defaultTabStop w:val="720"/>
  <w:drawingGridHorizontalSpacing w:val="171"/>
  <w:displayVerticalDrawingGridEvery w:val="2"/>
  <w:noPunctuationKerning/>
  <w:characterSpacingControl w:val="doNotCompress"/>
  <w:footnotePr>
    <w:footnote w:id="-1"/>
    <w:footnote w:id="0"/>
  </w:footnotePr>
  <w:endnotePr>
    <w:endnote w:id="-1"/>
    <w:endnote w:id="0"/>
  </w:endnotePr>
  <w:compat/>
  <w:rsids>
    <w:rsidRoot w:val="00425375"/>
    <w:rsid w:val="00004ED1"/>
    <w:rsid w:val="00005296"/>
    <w:rsid w:val="00005F8F"/>
    <w:rsid w:val="00011F16"/>
    <w:rsid w:val="000138A6"/>
    <w:rsid w:val="0002348A"/>
    <w:rsid w:val="000238F2"/>
    <w:rsid w:val="0002684D"/>
    <w:rsid w:val="00040241"/>
    <w:rsid w:val="00041DB6"/>
    <w:rsid w:val="00043818"/>
    <w:rsid w:val="00044BB9"/>
    <w:rsid w:val="0005492D"/>
    <w:rsid w:val="000559E0"/>
    <w:rsid w:val="00056050"/>
    <w:rsid w:val="00063121"/>
    <w:rsid w:val="000646F1"/>
    <w:rsid w:val="00064853"/>
    <w:rsid w:val="0006789F"/>
    <w:rsid w:val="0007409F"/>
    <w:rsid w:val="000809A4"/>
    <w:rsid w:val="0008534E"/>
    <w:rsid w:val="00091273"/>
    <w:rsid w:val="00094534"/>
    <w:rsid w:val="00094A26"/>
    <w:rsid w:val="0009550B"/>
    <w:rsid w:val="000A2E1A"/>
    <w:rsid w:val="000A4CA3"/>
    <w:rsid w:val="000C1CB9"/>
    <w:rsid w:val="000C718C"/>
    <w:rsid w:val="000D0AB8"/>
    <w:rsid w:val="000E190B"/>
    <w:rsid w:val="000E497D"/>
    <w:rsid w:val="000E559E"/>
    <w:rsid w:val="000E6786"/>
    <w:rsid w:val="000F7C5F"/>
    <w:rsid w:val="00102096"/>
    <w:rsid w:val="001023C2"/>
    <w:rsid w:val="001113AF"/>
    <w:rsid w:val="00114C97"/>
    <w:rsid w:val="001158CE"/>
    <w:rsid w:val="00121FA3"/>
    <w:rsid w:val="001238AD"/>
    <w:rsid w:val="001366F5"/>
    <w:rsid w:val="00145A4B"/>
    <w:rsid w:val="00155A55"/>
    <w:rsid w:val="00164D84"/>
    <w:rsid w:val="00165C1D"/>
    <w:rsid w:val="001668E4"/>
    <w:rsid w:val="001B203A"/>
    <w:rsid w:val="001C1164"/>
    <w:rsid w:val="001C2225"/>
    <w:rsid w:val="001C47E1"/>
    <w:rsid w:val="001C4AA5"/>
    <w:rsid w:val="001D049B"/>
    <w:rsid w:val="001D2CCE"/>
    <w:rsid w:val="001E0B62"/>
    <w:rsid w:val="001E2B11"/>
    <w:rsid w:val="001E54B9"/>
    <w:rsid w:val="001E5952"/>
    <w:rsid w:val="001E742A"/>
    <w:rsid w:val="00200D68"/>
    <w:rsid w:val="00201C07"/>
    <w:rsid w:val="0021314E"/>
    <w:rsid w:val="0021342B"/>
    <w:rsid w:val="0021670E"/>
    <w:rsid w:val="0023732C"/>
    <w:rsid w:val="0024007D"/>
    <w:rsid w:val="00264497"/>
    <w:rsid w:val="00271EC6"/>
    <w:rsid w:val="00273375"/>
    <w:rsid w:val="00275D9E"/>
    <w:rsid w:val="00287006"/>
    <w:rsid w:val="00290D70"/>
    <w:rsid w:val="00293FD7"/>
    <w:rsid w:val="002A0714"/>
    <w:rsid w:val="002A38E2"/>
    <w:rsid w:val="002A4F1A"/>
    <w:rsid w:val="002A5459"/>
    <w:rsid w:val="002A590B"/>
    <w:rsid w:val="002C05C5"/>
    <w:rsid w:val="002C0EB4"/>
    <w:rsid w:val="002C3E26"/>
    <w:rsid w:val="002C657A"/>
    <w:rsid w:val="002D067A"/>
    <w:rsid w:val="002D53AF"/>
    <w:rsid w:val="002D668A"/>
    <w:rsid w:val="002D6C75"/>
    <w:rsid w:val="002E2FCF"/>
    <w:rsid w:val="002E4A14"/>
    <w:rsid w:val="002E65BF"/>
    <w:rsid w:val="002F0246"/>
    <w:rsid w:val="002F0FEF"/>
    <w:rsid w:val="00302200"/>
    <w:rsid w:val="0031325E"/>
    <w:rsid w:val="003249F3"/>
    <w:rsid w:val="0033140F"/>
    <w:rsid w:val="00333F61"/>
    <w:rsid w:val="003411D3"/>
    <w:rsid w:val="003414C3"/>
    <w:rsid w:val="003514AB"/>
    <w:rsid w:val="00355FCA"/>
    <w:rsid w:val="00367422"/>
    <w:rsid w:val="00371757"/>
    <w:rsid w:val="00372E88"/>
    <w:rsid w:val="0037588F"/>
    <w:rsid w:val="003906F5"/>
    <w:rsid w:val="003970B1"/>
    <w:rsid w:val="003A0592"/>
    <w:rsid w:val="003A10C0"/>
    <w:rsid w:val="003A4C22"/>
    <w:rsid w:val="003B6836"/>
    <w:rsid w:val="003C18E1"/>
    <w:rsid w:val="003C1BBD"/>
    <w:rsid w:val="003D2445"/>
    <w:rsid w:val="003E06B9"/>
    <w:rsid w:val="003E1360"/>
    <w:rsid w:val="003E5F64"/>
    <w:rsid w:val="00402B5A"/>
    <w:rsid w:val="004063F8"/>
    <w:rsid w:val="00410FA8"/>
    <w:rsid w:val="00417378"/>
    <w:rsid w:val="00423DA5"/>
    <w:rsid w:val="00425375"/>
    <w:rsid w:val="00431A37"/>
    <w:rsid w:val="00431AAE"/>
    <w:rsid w:val="00431F0F"/>
    <w:rsid w:val="00432A7A"/>
    <w:rsid w:val="004377E4"/>
    <w:rsid w:val="00441410"/>
    <w:rsid w:val="00447158"/>
    <w:rsid w:val="00447FF7"/>
    <w:rsid w:val="00451BF9"/>
    <w:rsid w:val="00467A6B"/>
    <w:rsid w:val="00470137"/>
    <w:rsid w:val="0047340A"/>
    <w:rsid w:val="00476E1C"/>
    <w:rsid w:val="00491CA8"/>
    <w:rsid w:val="004A1B92"/>
    <w:rsid w:val="004A35D3"/>
    <w:rsid w:val="004A4D7F"/>
    <w:rsid w:val="004A71A0"/>
    <w:rsid w:val="004B210E"/>
    <w:rsid w:val="004B5570"/>
    <w:rsid w:val="004B5C3E"/>
    <w:rsid w:val="004C4F8D"/>
    <w:rsid w:val="004C69EF"/>
    <w:rsid w:val="004E53A3"/>
    <w:rsid w:val="004E72B3"/>
    <w:rsid w:val="004F5451"/>
    <w:rsid w:val="004F6741"/>
    <w:rsid w:val="00501E6C"/>
    <w:rsid w:val="00515AA4"/>
    <w:rsid w:val="005322D7"/>
    <w:rsid w:val="005406CC"/>
    <w:rsid w:val="00543B7A"/>
    <w:rsid w:val="00554CC3"/>
    <w:rsid w:val="00563267"/>
    <w:rsid w:val="00563A1F"/>
    <w:rsid w:val="00565B93"/>
    <w:rsid w:val="00576AE6"/>
    <w:rsid w:val="0058377F"/>
    <w:rsid w:val="00584BE8"/>
    <w:rsid w:val="005852FA"/>
    <w:rsid w:val="00587846"/>
    <w:rsid w:val="00590C3A"/>
    <w:rsid w:val="005913A9"/>
    <w:rsid w:val="00592FE1"/>
    <w:rsid w:val="0059436B"/>
    <w:rsid w:val="005961C1"/>
    <w:rsid w:val="005C36D6"/>
    <w:rsid w:val="005C4AEB"/>
    <w:rsid w:val="005C62C1"/>
    <w:rsid w:val="005C75AC"/>
    <w:rsid w:val="005D182F"/>
    <w:rsid w:val="005D2011"/>
    <w:rsid w:val="005D2A92"/>
    <w:rsid w:val="005D39FF"/>
    <w:rsid w:val="005D6FE1"/>
    <w:rsid w:val="005E7CC4"/>
    <w:rsid w:val="005F6DCE"/>
    <w:rsid w:val="0060099D"/>
    <w:rsid w:val="006028ED"/>
    <w:rsid w:val="00603ED6"/>
    <w:rsid w:val="0061005B"/>
    <w:rsid w:val="006113A7"/>
    <w:rsid w:val="00622E80"/>
    <w:rsid w:val="00631762"/>
    <w:rsid w:val="006324B9"/>
    <w:rsid w:val="0063494F"/>
    <w:rsid w:val="00635170"/>
    <w:rsid w:val="00650005"/>
    <w:rsid w:val="00652C7E"/>
    <w:rsid w:val="00653AF5"/>
    <w:rsid w:val="00662942"/>
    <w:rsid w:val="0068175A"/>
    <w:rsid w:val="00686E60"/>
    <w:rsid w:val="0069387C"/>
    <w:rsid w:val="0069616F"/>
    <w:rsid w:val="00696740"/>
    <w:rsid w:val="006A3C60"/>
    <w:rsid w:val="006B70FE"/>
    <w:rsid w:val="006B75D3"/>
    <w:rsid w:val="006C3EEB"/>
    <w:rsid w:val="006D6B59"/>
    <w:rsid w:val="006E73B1"/>
    <w:rsid w:val="006F2F3E"/>
    <w:rsid w:val="006F34D1"/>
    <w:rsid w:val="006F4DBA"/>
    <w:rsid w:val="006F5C09"/>
    <w:rsid w:val="00700224"/>
    <w:rsid w:val="00703148"/>
    <w:rsid w:val="0070682F"/>
    <w:rsid w:val="00712B25"/>
    <w:rsid w:val="007157E7"/>
    <w:rsid w:val="00716074"/>
    <w:rsid w:val="00716DCF"/>
    <w:rsid w:val="00717817"/>
    <w:rsid w:val="00717FF6"/>
    <w:rsid w:val="00725EEA"/>
    <w:rsid w:val="00735C1A"/>
    <w:rsid w:val="00744A60"/>
    <w:rsid w:val="0074610C"/>
    <w:rsid w:val="00746F29"/>
    <w:rsid w:val="00751117"/>
    <w:rsid w:val="007555F2"/>
    <w:rsid w:val="0075629E"/>
    <w:rsid w:val="007600E0"/>
    <w:rsid w:val="007634A3"/>
    <w:rsid w:val="00766C92"/>
    <w:rsid w:val="0077588E"/>
    <w:rsid w:val="00781711"/>
    <w:rsid w:val="007832BA"/>
    <w:rsid w:val="00785A30"/>
    <w:rsid w:val="00790307"/>
    <w:rsid w:val="007A5B8F"/>
    <w:rsid w:val="007B2F4F"/>
    <w:rsid w:val="007B69C3"/>
    <w:rsid w:val="007B7741"/>
    <w:rsid w:val="007B7C8A"/>
    <w:rsid w:val="007C0C28"/>
    <w:rsid w:val="007E007C"/>
    <w:rsid w:val="007F081A"/>
    <w:rsid w:val="00800433"/>
    <w:rsid w:val="00803DFF"/>
    <w:rsid w:val="0081209A"/>
    <w:rsid w:val="0081364A"/>
    <w:rsid w:val="0081460B"/>
    <w:rsid w:val="00814A79"/>
    <w:rsid w:val="00816AF0"/>
    <w:rsid w:val="00817233"/>
    <w:rsid w:val="00820CDE"/>
    <w:rsid w:val="00822E64"/>
    <w:rsid w:val="00827AC5"/>
    <w:rsid w:val="008316F8"/>
    <w:rsid w:val="00837B9A"/>
    <w:rsid w:val="00846B1A"/>
    <w:rsid w:val="008511A8"/>
    <w:rsid w:val="00851BDA"/>
    <w:rsid w:val="00857458"/>
    <w:rsid w:val="0087116C"/>
    <w:rsid w:val="00875022"/>
    <w:rsid w:val="00882043"/>
    <w:rsid w:val="008837DD"/>
    <w:rsid w:val="00884410"/>
    <w:rsid w:val="00885E10"/>
    <w:rsid w:val="00886A42"/>
    <w:rsid w:val="00886B17"/>
    <w:rsid w:val="00892701"/>
    <w:rsid w:val="008A7F62"/>
    <w:rsid w:val="008C00C0"/>
    <w:rsid w:val="008C24A0"/>
    <w:rsid w:val="008C5A40"/>
    <w:rsid w:val="008C5CB0"/>
    <w:rsid w:val="008C73BA"/>
    <w:rsid w:val="008E08E0"/>
    <w:rsid w:val="008E3F7E"/>
    <w:rsid w:val="008E4E51"/>
    <w:rsid w:val="008E62FD"/>
    <w:rsid w:val="008F7D2B"/>
    <w:rsid w:val="00902D42"/>
    <w:rsid w:val="0090568F"/>
    <w:rsid w:val="009066CA"/>
    <w:rsid w:val="009126E5"/>
    <w:rsid w:val="009140B6"/>
    <w:rsid w:val="009222FB"/>
    <w:rsid w:val="0093236D"/>
    <w:rsid w:val="00934F3D"/>
    <w:rsid w:val="009356C7"/>
    <w:rsid w:val="00946FF4"/>
    <w:rsid w:val="00953538"/>
    <w:rsid w:val="00957F2A"/>
    <w:rsid w:val="00960FDD"/>
    <w:rsid w:val="009623C0"/>
    <w:rsid w:val="00965E84"/>
    <w:rsid w:val="00967AEC"/>
    <w:rsid w:val="009716E6"/>
    <w:rsid w:val="00975666"/>
    <w:rsid w:val="00990D3F"/>
    <w:rsid w:val="00994849"/>
    <w:rsid w:val="009A74DA"/>
    <w:rsid w:val="009B2B8A"/>
    <w:rsid w:val="009B42BB"/>
    <w:rsid w:val="009B461E"/>
    <w:rsid w:val="009B5F27"/>
    <w:rsid w:val="009C1628"/>
    <w:rsid w:val="009C264E"/>
    <w:rsid w:val="009C5A55"/>
    <w:rsid w:val="009C7195"/>
    <w:rsid w:val="009D3027"/>
    <w:rsid w:val="009D7B77"/>
    <w:rsid w:val="00A00506"/>
    <w:rsid w:val="00A02FFC"/>
    <w:rsid w:val="00A03986"/>
    <w:rsid w:val="00A0670E"/>
    <w:rsid w:val="00A06E4E"/>
    <w:rsid w:val="00A1207A"/>
    <w:rsid w:val="00A12E7E"/>
    <w:rsid w:val="00A14C68"/>
    <w:rsid w:val="00A24CC9"/>
    <w:rsid w:val="00A354D0"/>
    <w:rsid w:val="00A4192A"/>
    <w:rsid w:val="00A509BF"/>
    <w:rsid w:val="00A52105"/>
    <w:rsid w:val="00A52AE5"/>
    <w:rsid w:val="00A54286"/>
    <w:rsid w:val="00A5597A"/>
    <w:rsid w:val="00A61254"/>
    <w:rsid w:val="00A641E7"/>
    <w:rsid w:val="00A814E9"/>
    <w:rsid w:val="00A8306B"/>
    <w:rsid w:val="00A8407C"/>
    <w:rsid w:val="00A8701D"/>
    <w:rsid w:val="00A96C70"/>
    <w:rsid w:val="00AA16AF"/>
    <w:rsid w:val="00AA58E5"/>
    <w:rsid w:val="00AB07EF"/>
    <w:rsid w:val="00AB7091"/>
    <w:rsid w:val="00AC2013"/>
    <w:rsid w:val="00AC3786"/>
    <w:rsid w:val="00AE3071"/>
    <w:rsid w:val="00AE6465"/>
    <w:rsid w:val="00AE6675"/>
    <w:rsid w:val="00AF5C8D"/>
    <w:rsid w:val="00B04E47"/>
    <w:rsid w:val="00B05F8D"/>
    <w:rsid w:val="00B068A0"/>
    <w:rsid w:val="00B11B32"/>
    <w:rsid w:val="00B179EE"/>
    <w:rsid w:val="00B2777C"/>
    <w:rsid w:val="00B27CD1"/>
    <w:rsid w:val="00B31F5B"/>
    <w:rsid w:val="00B33013"/>
    <w:rsid w:val="00B34914"/>
    <w:rsid w:val="00B371D0"/>
    <w:rsid w:val="00B44610"/>
    <w:rsid w:val="00B56084"/>
    <w:rsid w:val="00B5616B"/>
    <w:rsid w:val="00B57673"/>
    <w:rsid w:val="00B57EE3"/>
    <w:rsid w:val="00B63442"/>
    <w:rsid w:val="00B7192A"/>
    <w:rsid w:val="00B71C6E"/>
    <w:rsid w:val="00B80991"/>
    <w:rsid w:val="00B82BAC"/>
    <w:rsid w:val="00B84AF8"/>
    <w:rsid w:val="00B87418"/>
    <w:rsid w:val="00B87CED"/>
    <w:rsid w:val="00B908E1"/>
    <w:rsid w:val="00B92319"/>
    <w:rsid w:val="00B93BE1"/>
    <w:rsid w:val="00B944CD"/>
    <w:rsid w:val="00B96D65"/>
    <w:rsid w:val="00BA1C4C"/>
    <w:rsid w:val="00BA3BF7"/>
    <w:rsid w:val="00BA594C"/>
    <w:rsid w:val="00BA6ABD"/>
    <w:rsid w:val="00BA7421"/>
    <w:rsid w:val="00BB0F07"/>
    <w:rsid w:val="00BB51C2"/>
    <w:rsid w:val="00BB7488"/>
    <w:rsid w:val="00BC139B"/>
    <w:rsid w:val="00BC6965"/>
    <w:rsid w:val="00BD0EF9"/>
    <w:rsid w:val="00BD5A68"/>
    <w:rsid w:val="00BD7869"/>
    <w:rsid w:val="00BE0D31"/>
    <w:rsid w:val="00BE5C67"/>
    <w:rsid w:val="00BE72D7"/>
    <w:rsid w:val="00BF710D"/>
    <w:rsid w:val="00C01102"/>
    <w:rsid w:val="00C01515"/>
    <w:rsid w:val="00C13165"/>
    <w:rsid w:val="00C132C4"/>
    <w:rsid w:val="00C13D1E"/>
    <w:rsid w:val="00C15B00"/>
    <w:rsid w:val="00C16B80"/>
    <w:rsid w:val="00C16F54"/>
    <w:rsid w:val="00C179E3"/>
    <w:rsid w:val="00C2021D"/>
    <w:rsid w:val="00C32462"/>
    <w:rsid w:val="00C32E3E"/>
    <w:rsid w:val="00C339DD"/>
    <w:rsid w:val="00C35B72"/>
    <w:rsid w:val="00C40557"/>
    <w:rsid w:val="00C462D0"/>
    <w:rsid w:val="00C61FE0"/>
    <w:rsid w:val="00C63510"/>
    <w:rsid w:val="00C6369C"/>
    <w:rsid w:val="00C65C93"/>
    <w:rsid w:val="00C65FD1"/>
    <w:rsid w:val="00C66A10"/>
    <w:rsid w:val="00C71991"/>
    <w:rsid w:val="00C730B9"/>
    <w:rsid w:val="00C74683"/>
    <w:rsid w:val="00C7745C"/>
    <w:rsid w:val="00C8022E"/>
    <w:rsid w:val="00C84815"/>
    <w:rsid w:val="00C84943"/>
    <w:rsid w:val="00C858CD"/>
    <w:rsid w:val="00C93AE0"/>
    <w:rsid w:val="00CA5E16"/>
    <w:rsid w:val="00CA7A9B"/>
    <w:rsid w:val="00CB3D70"/>
    <w:rsid w:val="00CB537F"/>
    <w:rsid w:val="00CC05FD"/>
    <w:rsid w:val="00CC7DF8"/>
    <w:rsid w:val="00CD1FA6"/>
    <w:rsid w:val="00CD204F"/>
    <w:rsid w:val="00CD3B82"/>
    <w:rsid w:val="00CD7C63"/>
    <w:rsid w:val="00CE114F"/>
    <w:rsid w:val="00CE2EC9"/>
    <w:rsid w:val="00CE37B5"/>
    <w:rsid w:val="00CE4126"/>
    <w:rsid w:val="00CE44A5"/>
    <w:rsid w:val="00CF75AF"/>
    <w:rsid w:val="00D062F4"/>
    <w:rsid w:val="00D069AC"/>
    <w:rsid w:val="00D1131C"/>
    <w:rsid w:val="00D11795"/>
    <w:rsid w:val="00D119D5"/>
    <w:rsid w:val="00D14F16"/>
    <w:rsid w:val="00D15272"/>
    <w:rsid w:val="00D163CA"/>
    <w:rsid w:val="00D21B45"/>
    <w:rsid w:val="00D235E0"/>
    <w:rsid w:val="00D273FB"/>
    <w:rsid w:val="00D30C5A"/>
    <w:rsid w:val="00D36FCC"/>
    <w:rsid w:val="00D411BC"/>
    <w:rsid w:val="00D50840"/>
    <w:rsid w:val="00D5367E"/>
    <w:rsid w:val="00D605C9"/>
    <w:rsid w:val="00D64419"/>
    <w:rsid w:val="00D6679A"/>
    <w:rsid w:val="00D85A80"/>
    <w:rsid w:val="00D85FA1"/>
    <w:rsid w:val="00D9252C"/>
    <w:rsid w:val="00D94FD3"/>
    <w:rsid w:val="00DA0971"/>
    <w:rsid w:val="00DA5A75"/>
    <w:rsid w:val="00DA749A"/>
    <w:rsid w:val="00DB1B6B"/>
    <w:rsid w:val="00DB1D14"/>
    <w:rsid w:val="00DB4F9B"/>
    <w:rsid w:val="00DB6146"/>
    <w:rsid w:val="00DB7FC7"/>
    <w:rsid w:val="00DC13D6"/>
    <w:rsid w:val="00DC35B5"/>
    <w:rsid w:val="00DC3CF2"/>
    <w:rsid w:val="00DC7CAF"/>
    <w:rsid w:val="00DC7E85"/>
    <w:rsid w:val="00DD71F4"/>
    <w:rsid w:val="00DF7FDC"/>
    <w:rsid w:val="00E00CDF"/>
    <w:rsid w:val="00E016CE"/>
    <w:rsid w:val="00E1286C"/>
    <w:rsid w:val="00E15D69"/>
    <w:rsid w:val="00E2389B"/>
    <w:rsid w:val="00E3299D"/>
    <w:rsid w:val="00E33E79"/>
    <w:rsid w:val="00E3666F"/>
    <w:rsid w:val="00E4382F"/>
    <w:rsid w:val="00E464D0"/>
    <w:rsid w:val="00E52EAB"/>
    <w:rsid w:val="00E53147"/>
    <w:rsid w:val="00E6523B"/>
    <w:rsid w:val="00E76478"/>
    <w:rsid w:val="00E81F24"/>
    <w:rsid w:val="00E90FDB"/>
    <w:rsid w:val="00E91F35"/>
    <w:rsid w:val="00E92CBC"/>
    <w:rsid w:val="00EA4916"/>
    <w:rsid w:val="00EA721C"/>
    <w:rsid w:val="00EB1106"/>
    <w:rsid w:val="00EC5EFF"/>
    <w:rsid w:val="00EC6BE1"/>
    <w:rsid w:val="00EC7BB0"/>
    <w:rsid w:val="00ED2FAC"/>
    <w:rsid w:val="00ED74FD"/>
    <w:rsid w:val="00EF3063"/>
    <w:rsid w:val="00F026D1"/>
    <w:rsid w:val="00F05204"/>
    <w:rsid w:val="00F117F7"/>
    <w:rsid w:val="00F2221D"/>
    <w:rsid w:val="00F247E0"/>
    <w:rsid w:val="00F24AA1"/>
    <w:rsid w:val="00F279E8"/>
    <w:rsid w:val="00F36D39"/>
    <w:rsid w:val="00F41758"/>
    <w:rsid w:val="00F41D3B"/>
    <w:rsid w:val="00F420C1"/>
    <w:rsid w:val="00F42715"/>
    <w:rsid w:val="00F44934"/>
    <w:rsid w:val="00F45C91"/>
    <w:rsid w:val="00F50530"/>
    <w:rsid w:val="00F5282D"/>
    <w:rsid w:val="00F545C3"/>
    <w:rsid w:val="00F614CC"/>
    <w:rsid w:val="00F702A8"/>
    <w:rsid w:val="00F74E92"/>
    <w:rsid w:val="00F75CA5"/>
    <w:rsid w:val="00F76032"/>
    <w:rsid w:val="00F77C72"/>
    <w:rsid w:val="00F840AA"/>
    <w:rsid w:val="00FA2334"/>
    <w:rsid w:val="00FB24EA"/>
    <w:rsid w:val="00FB660F"/>
    <w:rsid w:val="00FB6FA3"/>
    <w:rsid w:val="00FC5856"/>
    <w:rsid w:val="00FD15BE"/>
    <w:rsid w:val="00FD5985"/>
    <w:rsid w:val="00FD72EE"/>
    <w:rsid w:val="00FE03B4"/>
    <w:rsid w:val="00FE2FAF"/>
    <w:rsid w:val="00FE457B"/>
    <w:rsid w:val="00FE79F2"/>
    <w:rsid w:val="00FF3F32"/>
    <w:rsid w:val="00FF485A"/>
    <w:rsid w:val="00FF78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9F2"/>
    <w:rPr>
      <w:sz w:val="24"/>
      <w:szCs w:val="24"/>
    </w:rPr>
  </w:style>
  <w:style w:type="paragraph" w:styleId="Heading5">
    <w:name w:val="heading 5"/>
    <w:basedOn w:val="Normal"/>
    <w:link w:val="Heading5Char"/>
    <w:uiPriority w:val="9"/>
    <w:qFormat/>
    <w:rsid w:val="00EA721C"/>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79F2"/>
    <w:pPr>
      <w:spacing w:before="100" w:beforeAutospacing="1" w:after="100" w:afterAutospacing="1"/>
    </w:pPr>
  </w:style>
  <w:style w:type="character" w:styleId="CommentReference">
    <w:name w:val="annotation reference"/>
    <w:semiHidden/>
    <w:rsid w:val="00FE79F2"/>
    <w:rPr>
      <w:color w:val="FF0000"/>
      <w:sz w:val="16"/>
    </w:rPr>
  </w:style>
  <w:style w:type="paragraph" w:styleId="CommentText">
    <w:name w:val="annotation text"/>
    <w:basedOn w:val="Normal"/>
    <w:semiHidden/>
    <w:rsid w:val="00FE79F2"/>
    <w:pPr>
      <w:tabs>
        <w:tab w:val="left" w:pos="187"/>
      </w:tabs>
      <w:spacing w:after="120" w:line="220" w:lineRule="exact"/>
      <w:ind w:left="187" w:hanging="187"/>
    </w:pPr>
    <w:rPr>
      <w:color w:val="FF0000"/>
      <w:sz w:val="20"/>
      <w:szCs w:val="20"/>
    </w:rPr>
  </w:style>
  <w:style w:type="paragraph" w:styleId="BalloonText">
    <w:name w:val="Balloon Text"/>
    <w:basedOn w:val="Normal"/>
    <w:semiHidden/>
    <w:rsid w:val="00425375"/>
    <w:rPr>
      <w:rFonts w:ascii="Tahoma" w:hAnsi="Tahoma" w:cs="Tahoma"/>
      <w:sz w:val="16"/>
      <w:szCs w:val="16"/>
    </w:rPr>
  </w:style>
  <w:style w:type="paragraph" w:styleId="CommentSubject">
    <w:name w:val="annotation subject"/>
    <w:basedOn w:val="CommentText"/>
    <w:next w:val="CommentText"/>
    <w:semiHidden/>
    <w:rsid w:val="00FF485A"/>
    <w:pPr>
      <w:tabs>
        <w:tab w:val="clear" w:pos="187"/>
      </w:tabs>
      <w:spacing w:after="0" w:line="240" w:lineRule="auto"/>
      <w:ind w:left="0" w:firstLine="0"/>
    </w:pPr>
    <w:rPr>
      <w:b/>
      <w:bCs/>
      <w:color w:val="auto"/>
    </w:rPr>
  </w:style>
  <w:style w:type="paragraph" w:styleId="Header">
    <w:name w:val="header"/>
    <w:basedOn w:val="Normal"/>
    <w:rsid w:val="00E3299D"/>
    <w:pPr>
      <w:tabs>
        <w:tab w:val="center" w:pos="4320"/>
        <w:tab w:val="right" w:pos="8640"/>
      </w:tabs>
    </w:pPr>
  </w:style>
  <w:style w:type="paragraph" w:styleId="Footer">
    <w:name w:val="footer"/>
    <w:basedOn w:val="Normal"/>
    <w:link w:val="FooterChar"/>
    <w:uiPriority w:val="99"/>
    <w:rsid w:val="00E3299D"/>
    <w:pPr>
      <w:tabs>
        <w:tab w:val="center" w:pos="4320"/>
        <w:tab w:val="right" w:pos="8640"/>
      </w:tabs>
    </w:pPr>
  </w:style>
  <w:style w:type="paragraph" w:customStyle="1" w:styleId="Default">
    <w:name w:val="Default"/>
    <w:rsid w:val="00B34914"/>
    <w:pPr>
      <w:autoSpaceDE w:val="0"/>
      <w:autoSpaceDN w:val="0"/>
      <w:adjustRightInd w:val="0"/>
    </w:pPr>
    <w:rPr>
      <w:color w:val="000000"/>
      <w:sz w:val="24"/>
      <w:szCs w:val="24"/>
    </w:rPr>
  </w:style>
  <w:style w:type="paragraph" w:styleId="BlockText">
    <w:name w:val="Block Text"/>
    <w:basedOn w:val="Normal"/>
    <w:rsid w:val="00B34914"/>
    <w:rPr>
      <w:szCs w:val="20"/>
    </w:rPr>
  </w:style>
  <w:style w:type="paragraph" w:styleId="FootnoteText">
    <w:name w:val="footnote text"/>
    <w:basedOn w:val="Normal"/>
    <w:link w:val="FootnoteTextChar"/>
    <w:semiHidden/>
    <w:rsid w:val="00B34914"/>
    <w:rPr>
      <w:rFonts w:ascii="Arial" w:hAnsi="Arial"/>
      <w:sz w:val="20"/>
      <w:szCs w:val="20"/>
    </w:rPr>
  </w:style>
  <w:style w:type="character" w:customStyle="1" w:styleId="FootnoteTextChar">
    <w:name w:val="Footnote Text Char"/>
    <w:basedOn w:val="DefaultParagraphFont"/>
    <w:link w:val="FootnoteText"/>
    <w:semiHidden/>
    <w:rsid w:val="00B34914"/>
    <w:rPr>
      <w:rFonts w:ascii="Arial" w:hAnsi="Arial"/>
    </w:rPr>
  </w:style>
  <w:style w:type="character" w:styleId="FootnoteReference">
    <w:name w:val="footnote reference"/>
    <w:basedOn w:val="DefaultParagraphFont"/>
    <w:semiHidden/>
    <w:rsid w:val="00B34914"/>
    <w:rPr>
      <w:vertAlign w:val="superscript"/>
    </w:rPr>
  </w:style>
  <w:style w:type="paragraph" w:styleId="ListParagraph">
    <w:name w:val="List Paragraph"/>
    <w:basedOn w:val="Normal"/>
    <w:uiPriority w:val="34"/>
    <w:qFormat/>
    <w:rsid w:val="00273375"/>
    <w:pPr>
      <w:ind w:left="720"/>
      <w:contextualSpacing/>
    </w:pPr>
  </w:style>
  <w:style w:type="table" w:styleId="TableGrid">
    <w:name w:val="Table Grid"/>
    <w:basedOn w:val="TableNormal"/>
    <w:uiPriority w:val="59"/>
    <w:rsid w:val="00A24CC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57">
    <w:name w:val="CM57"/>
    <w:basedOn w:val="Default"/>
    <w:next w:val="Default"/>
    <w:uiPriority w:val="99"/>
    <w:rsid w:val="008316F8"/>
    <w:rPr>
      <w:rFonts w:ascii="HANKL C+ Melior" w:hAnsi="HANKL C+ Melior"/>
      <w:color w:val="auto"/>
    </w:rPr>
  </w:style>
  <w:style w:type="paragraph" w:styleId="HTMLPreformatted">
    <w:name w:val="HTML Preformatted"/>
    <w:basedOn w:val="Normal"/>
    <w:link w:val="HTMLPreformattedChar"/>
    <w:uiPriority w:val="99"/>
    <w:unhideWhenUsed/>
    <w:rsid w:val="00473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7340A"/>
    <w:rPr>
      <w:rFonts w:ascii="Courier New" w:hAnsi="Courier New" w:cs="Courier New"/>
    </w:rPr>
  </w:style>
  <w:style w:type="character" w:customStyle="1" w:styleId="Heading5Char">
    <w:name w:val="Heading 5 Char"/>
    <w:basedOn w:val="DefaultParagraphFont"/>
    <w:link w:val="Heading5"/>
    <w:uiPriority w:val="9"/>
    <w:rsid w:val="00EA721C"/>
    <w:rPr>
      <w:b/>
      <w:bCs/>
    </w:rPr>
  </w:style>
  <w:style w:type="paragraph" w:styleId="PlainText">
    <w:name w:val="Plain Text"/>
    <w:basedOn w:val="Normal"/>
    <w:link w:val="PlainTextChar"/>
    <w:uiPriority w:val="99"/>
    <w:unhideWhenUsed/>
    <w:rsid w:val="00990D3F"/>
    <w:rPr>
      <w:rFonts w:ascii="Consolas" w:eastAsia="Calibri" w:hAnsi="Consolas"/>
      <w:sz w:val="21"/>
      <w:szCs w:val="21"/>
    </w:rPr>
  </w:style>
  <w:style w:type="character" w:customStyle="1" w:styleId="PlainTextChar">
    <w:name w:val="Plain Text Char"/>
    <w:basedOn w:val="DefaultParagraphFont"/>
    <w:link w:val="PlainText"/>
    <w:uiPriority w:val="99"/>
    <w:rsid w:val="00990D3F"/>
    <w:rPr>
      <w:rFonts w:ascii="Consolas" w:eastAsia="Calibri" w:hAnsi="Consolas" w:cs="Times New Roman"/>
      <w:sz w:val="21"/>
      <w:szCs w:val="21"/>
    </w:rPr>
  </w:style>
  <w:style w:type="character" w:styleId="Emphasis">
    <w:name w:val="Emphasis"/>
    <w:basedOn w:val="DefaultParagraphFont"/>
    <w:uiPriority w:val="20"/>
    <w:qFormat/>
    <w:rsid w:val="009B42BB"/>
    <w:rPr>
      <w:i/>
      <w:iCs/>
    </w:rPr>
  </w:style>
  <w:style w:type="paragraph" w:customStyle="1" w:styleId="CM53">
    <w:name w:val="CM53"/>
    <w:basedOn w:val="Default"/>
    <w:next w:val="Default"/>
    <w:rsid w:val="00F41758"/>
    <w:pPr>
      <w:spacing w:line="371" w:lineRule="atLeast"/>
    </w:pPr>
    <w:rPr>
      <w:rFonts w:ascii="Letter Gothic" w:hAnsi="Letter Gothic"/>
      <w:color w:val="auto"/>
    </w:rPr>
  </w:style>
  <w:style w:type="character" w:customStyle="1" w:styleId="FooterChar">
    <w:name w:val="Footer Char"/>
    <w:basedOn w:val="DefaultParagraphFont"/>
    <w:link w:val="Footer"/>
    <w:uiPriority w:val="99"/>
    <w:rsid w:val="00E15D69"/>
    <w:rPr>
      <w:sz w:val="24"/>
      <w:szCs w:val="24"/>
    </w:rPr>
  </w:style>
</w:styles>
</file>

<file path=word/webSettings.xml><?xml version="1.0" encoding="utf-8"?>
<w:webSettings xmlns:r="http://schemas.openxmlformats.org/officeDocument/2006/relationships" xmlns:w="http://schemas.openxmlformats.org/wordprocessingml/2006/main">
  <w:divs>
    <w:div w:id="3944701">
      <w:bodyDiv w:val="1"/>
      <w:marLeft w:val="0"/>
      <w:marRight w:val="0"/>
      <w:marTop w:val="0"/>
      <w:marBottom w:val="0"/>
      <w:divBdr>
        <w:top w:val="none" w:sz="0" w:space="0" w:color="auto"/>
        <w:left w:val="none" w:sz="0" w:space="0" w:color="auto"/>
        <w:bottom w:val="none" w:sz="0" w:space="0" w:color="auto"/>
        <w:right w:val="none" w:sz="0" w:space="0" w:color="auto"/>
      </w:divBdr>
    </w:div>
    <w:div w:id="14503650">
      <w:bodyDiv w:val="1"/>
      <w:marLeft w:val="0"/>
      <w:marRight w:val="0"/>
      <w:marTop w:val="0"/>
      <w:marBottom w:val="0"/>
      <w:divBdr>
        <w:top w:val="none" w:sz="0" w:space="0" w:color="auto"/>
        <w:left w:val="none" w:sz="0" w:space="0" w:color="auto"/>
        <w:bottom w:val="none" w:sz="0" w:space="0" w:color="auto"/>
        <w:right w:val="none" w:sz="0" w:space="0" w:color="auto"/>
      </w:divBdr>
    </w:div>
    <w:div w:id="72703860">
      <w:bodyDiv w:val="1"/>
      <w:marLeft w:val="0"/>
      <w:marRight w:val="0"/>
      <w:marTop w:val="0"/>
      <w:marBottom w:val="0"/>
      <w:divBdr>
        <w:top w:val="none" w:sz="0" w:space="0" w:color="auto"/>
        <w:left w:val="none" w:sz="0" w:space="0" w:color="auto"/>
        <w:bottom w:val="none" w:sz="0" w:space="0" w:color="auto"/>
        <w:right w:val="none" w:sz="0" w:space="0" w:color="auto"/>
      </w:divBdr>
    </w:div>
    <w:div w:id="83386163">
      <w:bodyDiv w:val="1"/>
      <w:marLeft w:val="0"/>
      <w:marRight w:val="5"/>
      <w:marTop w:val="0"/>
      <w:marBottom w:val="600"/>
      <w:divBdr>
        <w:top w:val="none" w:sz="0" w:space="0" w:color="auto"/>
        <w:left w:val="none" w:sz="0" w:space="0" w:color="auto"/>
        <w:bottom w:val="none" w:sz="0" w:space="0" w:color="auto"/>
        <w:right w:val="none" w:sz="0" w:space="0" w:color="auto"/>
      </w:divBdr>
      <w:divsChild>
        <w:div w:id="2140032195">
          <w:marLeft w:val="2265"/>
          <w:marRight w:val="0"/>
          <w:marTop w:val="450"/>
          <w:marBottom w:val="300"/>
          <w:divBdr>
            <w:top w:val="none" w:sz="0" w:space="0" w:color="auto"/>
            <w:left w:val="none" w:sz="0" w:space="0" w:color="auto"/>
            <w:bottom w:val="none" w:sz="0" w:space="0" w:color="auto"/>
            <w:right w:val="none" w:sz="0" w:space="0" w:color="auto"/>
          </w:divBdr>
        </w:div>
      </w:divsChild>
    </w:div>
    <w:div w:id="153452051">
      <w:bodyDiv w:val="1"/>
      <w:marLeft w:val="0"/>
      <w:marRight w:val="0"/>
      <w:marTop w:val="0"/>
      <w:marBottom w:val="0"/>
      <w:divBdr>
        <w:top w:val="none" w:sz="0" w:space="0" w:color="auto"/>
        <w:left w:val="none" w:sz="0" w:space="0" w:color="auto"/>
        <w:bottom w:val="none" w:sz="0" w:space="0" w:color="auto"/>
        <w:right w:val="none" w:sz="0" w:space="0" w:color="auto"/>
      </w:divBdr>
    </w:div>
    <w:div w:id="182062955">
      <w:bodyDiv w:val="1"/>
      <w:marLeft w:val="0"/>
      <w:marRight w:val="0"/>
      <w:marTop w:val="0"/>
      <w:marBottom w:val="0"/>
      <w:divBdr>
        <w:top w:val="none" w:sz="0" w:space="0" w:color="auto"/>
        <w:left w:val="none" w:sz="0" w:space="0" w:color="auto"/>
        <w:bottom w:val="none" w:sz="0" w:space="0" w:color="auto"/>
        <w:right w:val="none" w:sz="0" w:space="0" w:color="auto"/>
      </w:divBdr>
    </w:div>
    <w:div w:id="214002973">
      <w:bodyDiv w:val="1"/>
      <w:marLeft w:val="0"/>
      <w:marRight w:val="0"/>
      <w:marTop w:val="0"/>
      <w:marBottom w:val="0"/>
      <w:divBdr>
        <w:top w:val="none" w:sz="0" w:space="0" w:color="auto"/>
        <w:left w:val="none" w:sz="0" w:space="0" w:color="auto"/>
        <w:bottom w:val="none" w:sz="0" w:space="0" w:color="auto"/>
        <w:right w:val="none" w:sz="0" w:space="0" w:color="auto"/>
      </w:divBdr>
    </w:div>
    <w:div w:id="286855857">
      <w:bodyDiv w:val="1"/>
      <w:marLeft w:val="0"/>
      <w:marRight w:val="0"/>
      <w:marTop w:val="0"/>
      <w:marBottom w:val="0"/>
      <w:divBdr>
        <w:top w:val="none" w:sz="0" w:space="0" w:color="auto"/>
        <w:left w:val="none" w:sz="0" w:space="0" w:color="auto"/>
        <w:bottom w:val="none" w:sz="0" w:space="0" w:color="auto"/>
        <w:right w:val="none" w:sz="0" w:space="0" w:color="auto"/>
      </w:divBdr>
    </w:div>
    <w:div w:id="296223157">
      <w:bodyDiv w:val="1"/>
      <w:marLeft w:val="0"/>
      <w:marRight w:val="0"/>
      <w:marTop w:val="0"/>
      <w:marBottom w:val="0"/>
      <w:divBdr>
        <w:top w:val="none" w:sz="0" w:space="0" w:color="auto"/>
        <w:left w:val="none" w:sz="0" w:space="0" w:color="auto"/>
        <w:bottom w:val="none" w:sz="0" w:space="0" w:color="auto"/>
        <w:right w:val="none" w:sz="0" w:space="0" w:color="auto"/>
      </w:divBdr>
    </w:div>
    <w:div w:id="322859415">
      <w:bodyDiv w:val="1"/>
      <w:marLeft w:val="0"/>
      <w:marRight w:val="0"/>
      <w:marTop w:val="0"/>
      <w:marBottom w:val="0"/>
      <w:divBdr>
        <w:top w:val="none" w:sz="0" w:space="0" w:color="auto"/>
        <w:left w:val="none" w:sz="0" w:space="0" w:color="auto"/>
        <w:bottom w:val="none" w:sz="0" w:space="0" w:color="auto"/>
        <w:right w:val="none" w:sz="0" w:space="0" w:color="auto"/>
      </w:divBdr>
    </w:div>
    <w:div w:id="365909127">
      <w:bodyDiv w:val="1"/>
      <w:marLeft w:val="0"/>
      <w:marRight w:val="0"/>
      <w:marTop w:val="0"/>
      <w:marBottom w:val="0"/>
      <w:divBdr>
        <w:top w:val="none" w:sz="0" w:space="0" w:color="auto"/>
        <w:left w:val="none" w:sz="0" w:space="0" w:color="auto"/>
        <w:bottom w:val="none" w:sz="0" w:space="0" w:color="auto"/>
        <w:right w:val="none" w:sz="0" w:space="0" w:color="auto"/>
      </w:divBdr>
    </w:div>
    <w:div w:id="410659324">
      <w:bodyDiv w:val="1"/>
      <w:marLeft w:val="0"/>
      <w:marRight w:val="0"/>
      <w:marTop w:val="0"/>
      <w:marBottom w:val="0"/>
      <w:divBdr>
        <w:top w:val="none" w:sz="0" w:space="0" w:color="auto"/>
        <w:left w:val="none" w:sz="0" w:space="0" w:color="auto"/>
        <w:bottom w:val="none" w:sz="0" w:space="0" w:color="auto"/>
        <w:right w:val="none" w:sz="0" w:space="0" w:color="auto"/>
      </w:divBdr>
    </w:div>
    <w:div w:id="455566027">
      <w:bodyDiv w:val="1"/>
      <w:marLeft w:val="0"/>
      <w:marRight w:val="0"/>
      <w:marTop w:val="0"/>
      <w:marBottom w:val="0"/>
      <w:divBdr>
        <w:top w:val="none" w:sz="0" w:space="0" w:color="auto"/>
        <w:left w:val="none" w:sz="0" w:space="0" w:color="auto"/>
        <w:bottom w:val="none" w:sz="0" w:space="0" w:color="auto"/>
        <w:right w:val="none" w:sz="0" w:space="0" w:color="auto"/>
      </w:divBdr>
    </w:div>
    <w:div w:id="513082255">
      <w:bodyDiv w:val="1"/>
      <w:marLeft w:val="0"/>
      <w:marRight w:val="0"/>
      <w:marTop w:val="0"/>
      <w:marBottom w:val="0"/>
      <w:divBdr>
        <w:top w:val="none" w:sz="0" w:space="0" w:color="auto"/>
        <w:left w:val="none" w:sz="0" w:space="0" w:color="auto"/>
        <w:bottom w:val="none" w:sz="0" w:space="0" w:color="auto"/>
        <w:right w:val="none" w:sz="0" w:space="0" w:color="auto"/>
      </w:divBdr>
      <w:divsChild>
        <w:div w:id="1989939866">
          <w:marLeft w:val="0"/>
          <w:marRight w:val="0"/>
          <w:marTop w:val="0"/>
          <w:marBottom w:val="0"/>
          <w:divBdr>
            <w:top w:val="none" w:sz="0" w:space="0" w:color="auto"/>
            <w:left w:val="none" w:sz="0" w:space="0" w:color="auto"/>
            <w:bottom w:val="none" w:sz="0" w:space="0" w:color="auto"/>
            <w:right w:val="none" w:sz="0" w:space="0" w:color="auto"/>
          </w:divBdr>
          <w:divsChild>
            <w:div w:id="1799296108">
              <w:marLeft w:val="0"/>
              <w:marRight w:val="0"/>
              <w:marTop w:val="0"/>
              <w:marBottom w:val="0"/>
              <w:divBdr>
                <w:top w:val="none" w:sz="0" w:space="0" w:color="auto"/>
                <w:left w:val="none" w:sz="0" w:space="0" w:color="auto"/>
                <w:bottom w:val="none" w:sz="0" w:space="0" w:color="auto"/>
                <w:right w:val="none" w:sz="0" w:space="0" w:color="auto"/>
              </w:divBdr>
              <w:divsChild>
                <w:div w:id="1002124428">
                  <w:marLeft w:val="0"/>
                  <w:marRight w:val="0"/>
                  <w:marTop w:val="0"/>
                  <w:marBottom w:val="0"/>
                  <w:divBdr>
                    <w:top w:val="none" w:sz="0" w:space="0" w:color="auto"/>
                    <w:left w:val="none" w:sz="0" w:space="0" w:color="auto"/>
                    <w:bottom w:val="none" w:sz="0" w:space="0" w:color="auto"/>
                    <w:right w:val="none" w:sz="0" w:space="0" w:color="auto"/>
                  </w:divBdr>
                  <w:divsChild>
                    <w:div w:id="9758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622315">
      <w:bodyDiv w:val="1"/>
      <w:marLeft w:val="0"/>
      <w:marRight w:val="0"/>
      <w:marTop w:val="0"/>
      <w:marBottom w:val="0"/>
      <w:divBdr>
        <w:top w:val="none" w:sz="0" w:space="0" w:color="auto"/>
        <w:left w:val="none" w:sz="0" w:space="0" w:color="auto"/>
        <w:bottom w:val="none" w:sz="0" w:space="0" w:color="auto"/>
        <w:right w:val="none" w:sz="0" w:space="0" w:color="auto"/>
      </w:divBdr>
    </w:div>
    <w:div w:id="676033004">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705300962">
      <w:bodyDiv w:val="1"/>
      <w:marLeft w:val="0"/>
      <w:marRight w:val="0"/>
      <w:marTop w:val="0"/>
      <w:marBottom w:val="0"/>
      <w:divBdr>
        <w:top w:val="none" w:sz="0" w:space="0" w:color="auto"/>
        <w:left w:val="none" w:sz="0" w:space="0" w:color="auto"/>
        <w:bottom w:val="none" w:sz="0" w:space="0" w:color="auto"/>
        <w:right w:val="none" w:sz="0" w:space="0" w:color="auto"/>
      </w:divBdr>
    </w:div>
    <w:div w:id="727849746">
      <w:bodyDiv w:val="1"/>
      <w:marLeft w:val="0"/>
      <w:marRight w:val="0"/>
      <w:marTop w:val="0"/>
      <w:marBottom w:val="0"/>
      <w:divBdr>
        <w:top w:val="none" w:sz="0" w:space="0" w:color="auto"/>
        <w:left w:val="none" w:sz="0" w:space="0" w:color="auto"/>
        <w:bottom w:val="none" w:sz="0" w:space="0" w:color="auto"/>
        <w:right w:val="none" w:sz="0" w:space="0" w:color="auto"/>
      </w:divBdr>
    </w:div>
    <w:div w:id="813331942">
      <w:bodyDiv w:val="1"/>
      <w:marLeft w:val="0"/>
      <w:marRight w:val="0"/>
      <w:marTop w:val="0"/>
      <w:marBottom w:val="0"/>
      <w:divBdr>
        <w:top w:val="none" w:sz="0" w:space="0" w:color="auto"/>
        <w:left w:val="none" w:sz="0" w:space="0" w:color="auto"/>
        <w:bottom w:val="none" w:sz="0" w:space="0" w:color="auto"/>
        <w:right w:val="none" w:sz="0" w:space="0" w:color="auto"/>
      </w:divBdr>
    </w:div>
    <w:div w:id="1055854414">
      <w:bodyDiv w:val="1"/>
      <w:marLeft w:val="0"/>
      <w:marRight w:val="0"/>
      <w:marTop w:val="0"/>
      <w:marBottom w:val="0"/>
      <w:divBdr>
        <w:top w:val="none" w:sz="0" w:space="0" w:color="auto"/>
        <w:left w:val="none" w:sz="0" w:space="0" w:color="auto"/>
        <w:bottom w:val="none" w:sz="0" w:space="0" w:color="auto"/>
        <w:right w:val="none" w:sz="0" w:space="0" w:color="auto"/>
      </w:divBdr>
    </w:div>
    <w:div w:id="1058289183">
      <w:bodyDiv w:val="1"/>
      <w:marLeft w:val="0"/>
      <w:marRight w:val="0"/>
      <w:marTop w:val="0"/>
      <w:marBottom w:val="0"/>
      <w:divBdr>
        <w:top w:val="none" w:sz="0" w:space="0" w:color="auto"/>
        <w:left w:val="none" w:sz="0" w:space="0" w:color="auto"/>
        <w:bottom w:val="none" w:sz="0" w:space="0" w:color="auto"/>
        <w:right w:val="none" w:sz="0" w:space="0" w:color="auto"/>
      </w:divBdr>
    </w:div>
    <w:div w:id="1152916625">
      <w:bodyDiv w:val="1"/>
      <w:marLeft w:val="0"/>
      <w:marRight w:val="0"/>
      <w:marTop w:val="0"/>
      <w:marBottom w:val="0"/>
      <w:divBdr>
        <w:top w:val="none" w:sz="0" w:space="0" w:color="auto"/>
        <w:left w:val="none" w:sz="0" w:space="0" w:color="auto"/>
        <w:bottom w:val="none" w:sz="0" w:space="0" w:color="auto"/>
        <w:right w:val="none" w:sz="0" w:space="0" w:color="auto"/>
      </w:divBdr>
    </w:div>
    <w:div w:id="1195458833">
      <w:bodyDiv w:val="1"/>
      <w:marLeft w:val="0"/>
      <w:marRight w:val="0"/>
      <w:marTop w:val="0"/>
      <w:marBottom w:val="0"/>
      <w:divBdr>
        <w:top w:val="none" w:sz="0" w:space="0" w:color="auto"/>
        <w:left w:val="none" w:sz="0" w:space="0" w:color="auto"/>
        <w:bottom w:val="none" w:sz="0" w:space="0" w:color="auto"/>
        <w:right w:val="none" w:sz="0" w:space="0" w:color="auto"/>
      </w:divBdr>
    </w:div>
    <w:div w:id="1224371726">
      <w:bodyDiv w:val="1"/>
      <w:marLeft w:val="0"/>
      <w:marRight w:val="0"/>
      <w:marTop w:val="0"/>
      <w:marBottom w:val="0"/>
      <w:divBdr>
        <w:top w:val="none" w:sz="0" w:space="0" w:color="auto"/>
        <w:left w:val="none" w:sz="0" w:space="0" w:color="auto"/>
        <w:bottom w:val="none" w:sz="0" w:space="0" w:color="auto"/>
        <w:right w:val="none" w:sz="0" w:space="0" w:color="auto"/>
      </w:divBdr>
    </w:div>
    <w:div w:id="1390375853">
      <w:bodyDiv w:val="1"/>
      <w:marLeft w:val="0"/>
      <w:marRight w:val="0"/>
      <w:marTop w:val="0"/>
      <w:marBottom w:val="0"/>
      <w:divBdr>
        <w:top w:val="none" w:sz="0" w:space="0" w:color="auto"/>
        <w:left w:val="none" w:sz="0" w:space="0" w:color="auto"/>
        <w:bottom w:val="none" w:sz="0" w:space="0" w:color="auto"/>
        <w:right w:val="none" w:sz="0" w:space="0" w:color="auto"/>
      </w:divBdr>
    </w:div>
    <w:div w:id="1406996900">
      <w:bodyDiv w:val="1"/>
      <w:marLeft w:val="0"/>
      <w:marRight w:val="0"/>
      <w:marTop w:val="0"/>
      <w:marBottom w:val="0"/>
      <w:divBdr>
        <w:top w:val="none" w:sz="0" w:space="0" w:color="auto"/>
        <w:left w:val="none" w:sz="0" w:space="0" w:color="auto"/>
        <w:bottom w:val="none" w:sz="0" w:space="0" w:color="auto"/>
        <w:right w:val="none" w:sz="0" w:space="0" w:color="auto"/>
      </w:divBdr>
    </w:div>
    <w:div w:id="1434007675">
      <w:bodyDiv w:val="1"/>
      <w:marLeft w:val="0"/>
      <w:marRight w:val="0"/>
      <w:marTop w:val="0"/>
      <w:marBottom w:val="0"/>
      <w:divBdr>
        <w:top w:val="none" w:sz="0" w:space="0" w:color="auto"/>
        <w:left w:val="none" w:sz="0" w:space="0" w:color="auto"/>
        <w:bottom w:val="none" w:sz="0" w:space="0" w:color="auto"/>
        <w:right w:val="none" w:sz="0" w:space="0" w:color="auto"/>
      </w:divBdr>
    </w:div>
    <w:div w:id="1477067236">
      <w:bodyDiv w:val="1"/>
      <w:marLeft w:val="0"/>
      <w:marRight w:val="0"/>
      <w:marTop w:val="0"/>
      <w:marBottom w:val="0"/>
      <w:divBdr>
        <w:top w:val="none" w:sz="0" w:space="0" w:color="auto"/>
        <w:left w:val="none" w:sz="0" w:space="0" w:color="auto"/>
        <w:bottom w:val="none" w:sz="0" w:space="0" w:color="auto"/>
        <w:right w:val="none" w:sz="0" w:space="0" w:color="auto"/>
      </w:divBdr>
    </w:div>
    <w:div w:id="1478112847">
      <w:bodyDiv w:val="1"/>
      <w:marLeft w:val="0"/>
      <w:marRight w:val="0"/>
      <w:marTop w:val="0"/>
      <w:marBottom w:val="0"/>
      <w:divBdr>
        <w:top w:val="none" w:sz="0" w:space="0" w:color="auto"/>
        <w:left w:val="none" w:sz="0" w:space="0" w:color="auto"/>
        <w:bottom w:val="none" w:sz="0" w:space="0" w:color="auto"/>
        <w:right w:val="none" w:sz="0" w:space="0" w:color="auto"/>
      </w:divBdr>
    </w:div>
    <w:div w:id="1502968328">
      <w:bodyDiv w:val="1"/>
      <w:marLeft w:val="0"/>
      <w:marRight w:val="0"/>
      <w:marTop w:val="0"/>
      <w:marBottom w:val="0"/>
      <w:divBdr>
        <w:top w:val="none" w:sz="0" w:space="0" w:color="auto"/>
        <w:left w:val="none" w:sz="0" w:space="0" w:color="auto"/>
        <w:bottom w:val="none" w:sz="0" w:space="0" w:color="auto"/>
        <w:right w:val="none" w:sz="0" w:space="0" w:color="auto"/>
      </w:divBdr>
    </w:div>
    <w:div w:id="1545368171">
      <w:bodyDiv w:val="1"/>
      <w:marLeft w:val="0"/>
      <w:marRight w:val="0"/>
      <w:marTop w:val="0"/>
      <w:marBottom w:val="0"/>
      <w:divBdr>
        <w:top w:val="none" w:sz="0" w:space="0" w:color="auto"/>
        <w:left w:val="none" w:sz="0" w:space="0" w:color="auto"/>
        <w:bottom w:val="none" w:sz="0" w:space="0" w:color="auto"/>
        <w:right w:val="none" w:sz="0" w:space="0" w:color="auto"/>
      </w:divBdr>
    </w:div>
    <w:div w:id="1570770070">
      <w:bodyDiv w:val="1"/>
      <w:marLeft w:val="0"/>
      <w:marRight w:val="0"/>
      <w:marTop w:val="0"/>
      <w:marBottom w:val="0"/>
      <w:divBdr>
        <w:top w:val="none" w:sz="0" w:space="0" w:color="auto"/>
        <w:left w:val="none" w:sz="0" w:space="0" w:color="auto"/>
        <w:bottom w:val="none" w:sz="0" w:space="0" w:color="auto"/>
        <w:right w:val="none" w:sz="0" w:space="0" w:color="auto"/>
      </w:divBdr>
    </w:div>
    <w:div w:id="1602952294">
      <w:bodyDiv w:val="1"/>
      <w:marLeft w:val="0"/>
      <w:marRight w:val="0"/>
      <w:marTop w:val="0"/>
      <w:marBottom w:val="0"/>
      <w:divBdr>
        <w:top w:val="none" w:sz="0" w:space="0" w:color="auto"/>
        <w:left w:val="none" w:sz="0" w:space="0" w:color="auto"/>
        <w:bottom w:val="none" w:sz="0" w:space="0" w:color="auto"/>
        <w:right w:val="none" w:sz="0" w:space="0" w:color="auto"/>
      </w:divBdr>
    </w:div>
    <w:div w:id="1625967389">
      <w:bodyDiv w:val="1"/>
      <w:marLeft w:val="0"/>
      <w:marRight w:val="0"/>
      <w:marTop w:val="0"/>
      <w:marBottom w:val="0"/>
      <w:divBdr>
        <w:top w:val="none" w:sz="0" w:space="0" w:color="auto"/>
        <w:left w:val="none" w:sz="0" w:space="0" w:color="auto"/>
        <w:bottom w:val="none" w:sz="0" w:space="0" w:color="auto"/>
        <w:right w:val="none" w:sz="0" w:space="0" w:color="auto"/>
      </w:divBdr>
    </w:div>
    <w:div w:id="1667706251">
      <w:bodyDiv w:val="1"/>
      <w:marLeft w:val="0"/>
      <w:marRight w:val="0"/>
      <w:marTop w:val="0"/>
      <w:marBottom w:val="0"/>
      <w:divBdr>
        <w:top w:val="none" w:sz="0" w:space="0" w:color="auto"/>
        <w:left w:val="none" w:sz="0" w:space="0" w:color="auto"/>
        <w:bottom w:val="none" w:sz="0" w:space="0" w:color="auto"/>
        <w:right w:val="none" w:sz="0" w:space="0" w:color="auto"/>
      </w:divBdr>
    </w:div>
    <w:div w:id="1669290819">
      <w:bodyDiv w:val="1"/>
      <w:marLeft w:val="0"/>
      <w:marRight w:val="0"/>
      <w:marTop w:val="0"/>
      <w:marBottom w:val="0"/>
      <w:divBdr>
        <w:top w:val="none" w:sz="0" w:space="0" w:color="auto"/>
        <w:left w:val="none" w:sz="0" w:space="0" w:color="auto"/>
        <w:bottom w:val="none" w:sz="0" w:space="0" w:color="auto"/>
        <w:right w:val="none" w:sz="0" w:space="0" w:color="auto"/>
      </w:divBdr>
    </w:div>
    <w:div w:id="1747611372">
      <w:bodyDiv w:val="1"/>
      <w:marLeft w:val="0"/>
      <w:marRight w:val="0"/>
      <w:marTop w:val="0"/>
      <w:marBottom w:val="0"/>
      <w:divBdr>
        <w:top w:val="none" w:sz="0" w:space="0" w:color="auto"/>
        <w:left w:val="none" w:sz="0" w:space="0" w:color="auto"/>
        <w:bottom w:val="none" w:sz="0" w:space="0" w:color="auto"/>
        <w:right w:val="none" w:sz="0" w:space="0" w:color="auto"/>
      </w:divBdr>
    </w:div>
    <w:div w:id="1877042181">
      <w:bodyDiv w:val="1"/>
      <w:marLeft w:val="0"/>
      <w:marRight w:val="0"/>
      <w:marTop w:val="0"/>
      <w:marBottom w:val="0"/>
      <w:divBdr>
        <w:top w:val="none" w:sz="0" w:space="0" w:color="auto"/>
        <w:left w:val="none" w:sz="0" w:space="0" w:color="auto"/>
        <w:bottom w:val="none" w:sz="0" w:space="0" w:color="auto"/>
        <w:right w:val="none" w:sz="0" w:space="0" w:color="auto"/>
      </w:divBdr>
    </w:div>
    <w:div w:id="1887059204">
      <w:bodyDiv w:val="1"/>
      <w:marLeft w:val="0"/>
      <w:marRight w:val="0"/>
      <w:marTop w:val="0"/>
      <w:marBottom w:val="0"/>
      <w:divBdr>
        <w:top w:val="none" w:sz="0" w:space="0" w:color="auto"/>
        <w:left w:val="none" w:sz="0" w:space="0" w:color="auto"/>
        <w:bottom w:val="none" w:sz="0" w:space="0" w:color="auto"/>
        <w:right w:val="none" w:sz="0" w:space="0" w:color="auto"/>
      </w:divBdr>
    </w:div>
    <w:div w:id="1895845846">
      <w:bodyDiv w:val="1"/>
      <w:marLeft w:val="0"/>
      <w:marRight w:val="0"/>
      <w:marTop w:val="0"/>
      <w:marBottom w:val="0"/>
      <w:divBdr>
        <w:top w:val="none" w:sz="0" w:space="0" w:color="auto"/>
        <w:left w:val="none" w:sz="0" w:space="0" w:color="auto"/>
        <w:bottom w:val="none" w:sz="0" w:space="0" w:color="auto"/>
        <w:right w:val="none" w:sz="0" w:space="0" w:color="auto"/>
      </w:divBdr>
    </w:div>
    <w:div w:id="1935478044">
      <w:bodyDiv w:val="1"/>
      <w:marLeft w:val="0"/>
      <w:marRight w:val="0"/>
      <w:marTop w:val="0"/>
      <w:marBottom w:val="0"/>
      <w:divBdr>
        <w:top w:val="none" w:sz="0" w:space="0" w:color="auto"/>
        <w:left w:val="none" w:sz="0" w:space="0" w:color="auto"/>
        <w:bottom w:val="none" w:sz="0" w:space="0" w:color="auto"/>
        <w:right w:val="none" w:sz="0" w:space="0" w:color="auto"/>
      </w:divBdr>
    </w:div>
    <w:div w:id="1958104405">
      <w:bodyDiv w:val="1"/>
      <w:marLeft w:val="0"/>
      <w:marRight w:val="0"/>
      <w:marTop w:val="0"/>
      <w:marBottom w:val="0"/>
      <w:divBdr>
        <w:top w:val="none" w:sz="0" w:space="0" w:color="auto"/>
        <w:left w:val="none" w:sz="0" w:space="0" w:color="auto"/>
        <w:bottom w:val="none" w:sz="0" w:space="0" w:color="auto"/>
        <w:right w:val="none" w:sz="0" w:space="0" w:color="auto"/>
      </w:divBdr>
    </w:div>
    <w:div w:id="210360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C8D3B-9000-46A3-A451-23A868DD9978}">
  <ds:schemaRefs>
    <ds:schemaRef ds:uri="http://schemas.microsoft.com/office/2006/metadata/properties"/>
  </ds:schemaRefs>
</ds:datastoreItem>
</file>

<file path=customXml/itemProps2.xml><?xml version="1.0" encoding="utf-8"?>
<ds:datastoreItem xmlns:ds="http://schemas.openxmlformats.org/officeDocument/2006/customXml" ds:itemID="{A89A4B31-C1C2-4B91-9A20-823F66997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2F02330-2229-47B6-8980-9F6B909A8CB5}">
  <ds:schemaRefs>
    <ds:schemaRef ds:uri="http://schemas.microsoft.com/sharepoint/v3/contenttype/forms"/>
  </ds:schemaRefs>
</ds:datastoreItem>
</file>

<file path=customXml/itemProps4.xml><?xml version="1.0" encoding="utf-8"?>
<ds:datastoreItem xmlns:ds="http://schemas.openxmlformats.org/officeDocument/2006/customXml" ds:itemID="{ED7EBEC6-F374-4AB3-ADD2-327ECB4B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1079</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Relationship to Federal Requirements</vt:lpstr>
    </vt:vector>
  </TitlesOfParts>
  <Company>Oregon Department of Environmental Quality</Company>
  <LinksUpToDate>false</LinksUpToDate>
  <CharactersWithSpaces>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Relationship to Federal Requirements</dc:title>
  <dc:subject/>
  <dc:creator>ekozlow</dc:creator>
  <cp:keywords/>
  <dc:description/>
  <cp:lastModifiedBy>jinahar</cp:lastModifiedBy>
  <cp:revision>3</cp:revision>
  <cp:lastPrinted>2010-09-27T18:45:00Z</cp:lastPrinted>
  <dcterms:created xsi:type="dcterms:W3CDTF">2010-10-04T16:48:00Z</dcterms:created>
  <dcterms:modified xsi:type="dcterms:W3CDTF">2011-09-28T21:40:00Z</dcterms:modified>
</cp:coreProperties>
</file>