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50" w:after="75" w:line="240" w:lineRule="auto"/>
        <w:jc w:val="center"/>
        <w:outlineLvl w:val="1"/>
        <w:rPr>
          <w:rFonts w:ascii="Times New Roman" w:eastAsia="Times New Roman" w:hAnsi="Times New Roman" w:cs="Times New Roman"/>
          <w:b/>
          <w:bCs/>
          <w:color w:val="916E33"/>
          <w:sz w:val="28"/>
          <w:szCs w:val="28"/>
        </w:rPr>
      </w:pPr>
      <w:r w:rsidRPr="00D4498B">
        <w:rPr>
          <w:rFonts w:ascii="Times New Roman" w:eastAsia="Times New Roman" w:hAnsi="Times New Roman" w:cs="Times New Roman"/>
          <w:b/>
          <w:bCs/>
          <w:color w:val="916E33"/>
          <w:sz w:val="28"/>
          <w:szCs w:val="28"/>
        </w:rPr>
        <w:t xml:space="preserve">DEPARTMENT OF ENVIRONMENTAL QUALITY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“AQCR” means Air Quality Control Region.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“AQMA” means Air Quality Maintenance Area.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“CO” means Carbon Monoxide.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(4) “CBD” means Central Business District.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(6)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D4498B">
        <w:rPr>
          <w:rFonts w:ascii="Times New Roman" w:eastAsia="Times New Roman" w:hAnsi="Times New Roman" w:cs="Times New Roman"/>
          <w:color w:val="000000"/>
          <w:sz w:val="28"/>
          <w:szCs w:val="28"/>
        </w:rPr>
        <w:t>Marcola</w:t>
      </w:r>
      <w:proofErr w:type="spellEnd"/>
      <w:r w:rsidRPr="00D4498B">
        <w:rPr>
          <w:rFonts w:ascii="Times New Roman" w:eastAsia="Times New Roman" w:hAnsi="Times New Roman" w:cs="Times New Roman"/>
          <w:color w:val="000000"/>
          <w:sz w:val="28"/>
          <w:szCs w:val="28"/>
        </w:rPr>
        <w:t xml:space="preserve"> Road; thence southwesterly along </w:t>
      </w:r>
      <w:proofErr w:type="spellStart"/>
      <w:r w:rsidRPr="00D4498B">
        <w:rPr>
          <w:rFonts w:ascii="Times New Roman" w:eastAsia="Times New Roman" w:hAnsi="Times New Roman" w:cs="Times New Roman"/>
          <w:color w:val="000000"/>
          <w:sz w:val="28"/>
          <w:szCs w:val="28"/>
        </w:rPr>
        <w:t>Marcola</w:t>
      </w:r>
      <w:proofErr w:type="spellEnd"/>
      <w:r w:rsidRPr="00D4498B">
        <w:rPr>
          <w:rFonts w:ascii="Times New Roman" w:eastAsia="Times New Roman" w:hAnsi="Times New Roman" w:cs="Times New Roman"/>
          <w:color w:val="000000"/>
          <w:sz w:val="28"/>
          <w:szCs w:val="28"/>
        </w:rPr>
        <w:t xml:space="preserve"> Road to the intersection with 42nd Street; thence southerly along 42nd Street to the intersection with the </w:t>
      </w:r>
      <w:r w:rsidRPr="00D4498B">
        <w:rPr>
          <w:rFonts w:ascii="Times New Roman" w:eastAsia="Times New Roman" w:hAnsi="Times New Roman" w:cs="Times New Roman"/>
          <w:color w:val="000000"/>
          <w:sz w:val="28"/>
          <w:szCs w:val="28"/>
        </w:rPr>
        <w:lastRenderedPageBreak/>
        <w:t xml:space="preserve">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D4498B">
        <w:rPr>
          <w:rFonts w:ascii="Times New Roman" w:eastAsia="Times New Roman" w:hAnsi="Times New Roman" w:cs="Times New Roman"/>
          <w:color w:val="000000"/>
          <w:sz w:val="28"/>
          <w:szCs w:val="28"/>
        </w:rPr>
        <w:t>Hyancinth</w:t>
      </w:r>
      <w:proofErr w:type="spellEnd"/>
      <w:r w:rsidRPr="00D4498B">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w:t>
      </w:r>
      <w:r w:rsidRPr="00D4498B">
        <w:rPr>
          <w:rFonts w:ascii="Times New Roman" w:eastAsia="Times New Roman" w:hAnsi="Times New Roman" w:cs="Times New Roman"/>
          <w:color w:val="000000"/>
          <w:sz w:val="28"/>
          <w:szCs w:val="28"/>
        </w:rPr>
        <w:lastRenderedPageBreak/>
        <w:t>Road to the intersection with East Beacon Drive; thence following East Beacon Drive first east then south then east to the intersection with River Loop No.1; thence on a line due east to the Willamette River and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(7) “Grants Pass CBD” means the area within the City of Grants Pass enclosed by “B” Street on the north, 8th Street to the east, “M” Street on the south, and 5th Street to the west.</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(8)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(9)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D4498B">
        <w:rPr>
          <w:rFonts w:ascii="Times New Roman" w:eastAsia="Times New Roman" w:hAnsi="Times New Roman" w:cs="Times New Roman"/>
          <w:color w:val="000000"/>
          <w:sz w:val="28"/>
          <w:szCs w:val="28"/>
        </w:rPr>
        <w:t>Roguela</w:t>
      </w:r>
      <w:proofErr w:type="spellEnd"/>
      <w:r w:rsidRPr="00D4498B">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D4498B">
        <w:rPr>
          <w:rFonts w:ascii="Times New Roman" w:eastAsia="Times New Roman" w:hAnsi="Times New Roman" w:cs="Times New Roman"/>
          <w:color w:val="000000"/>
          <w:sz w:val="28"/>
          <w:szCs w:val="28"/>
        </w:rPr>
        <w:t>Parkhill</w:t>
      </w:r>
      <w:proofErr w:type="spellEnd"/>
      <w:r w:rsidRPr="00D4498B">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D4498B">
        <w:rPr>
          <w:rFonts w:ascii="Times New Roman" w:eastAsia="Times New Roman" w:hAnsi="Times New Roman" w:cs="Times New Roman"/>
          <w:color w:val="000000"/>
          <w:sz w:val="28"/>
          <w:szCs w:val="28"/>
        </w:rPr>
        <w:t>Parkhill</w:t>
      </w:r>
      <w:proofErr w:type="spellEnd"/>
      <w:r w:rsidRPr="00D4498B">
        <w:rPr>
          <w:rFonts w:ascii="Times New Roman" w:eastAsia="Times New Roman" w:hAnsi="Times New Roman" w:cs="Times New Roman"/>
          <w:color w:val="000000"/>
          <w:sz w:val="28"/>
          <w:szCs w:val="28"/>
        </w:rPr>
        <w:t xml:space="preserve"> Place; thence southwesterly along </w:t>
      </w:r>
      <w:proofErr w:type="spellStart"/>
      <w:r w:rsidRPr="00D4498B">
        <w:rPr>
          <w:rFonts w:ascii="Times New Roman" w:eastAsia="Times New Roman" w:hAnsi="Times New Roman" w:cs="Times New Roman"/>
          <w:color w:val="000000"/>
          <w:sz w:val="28"/>
          <w:szCs w:val="28"/>
        </w:rPr>
        <w:t>Parkhill</w:t>
      </w:r>
      <w:proofErr w:type="spellEnd"/>
      <w:r w:rsidRPr="00D4498B">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w:t>
      </w:r>
      <w:r w:rsidRPr="00D4498B">
        <w:rPr>
          <w:rFonts w:ascii="Times New Roman" w:eastAsia="Times New Roman" w:hAnsi="Times New Roman" w:cs="Times New Roman"/>
          <w:color w:val="000000"/>
          <w:sz w:val="28"/>
          <w:szCs w:val="28"/>
        </w:rPr>
        <w:lastRenderedPageBreak/>
        <w:t xml:space="preserve">400 feet; thence west approx. 500 feet; thence south approx. 300 feet; thence west to the intersection with </w:t>
      </w:r>
      <w:proofErr w:type="spellStart"/>
      <w:r w:rsidRPr="00D4498B">
        <w:rPr>
          <w:rFonts w:ascii="Times New Roman" w:eastAsia="Times New Roman" w:hAnsi="Times New Roman" w:cs="Times New Roman"/>
          <w:color w:val="000000"/>
          <w:sz w:val="28"/>
          <w:szCs w:val="28"/>
        </w:rPr>
        <w:t>Coutant</w:t>
      </w:r>
      <w:proofErr w:type="spellEnd"/>
      <w:r w:rsidRPr="00D4498B">
        <w:rPr>
          <w:rFonts w:ascii="Times New Roman" w:eastAsia="Times New Roman" w:hAnsi="Times New Roman" w:cs="Times New Roman"/>
          <w:color w:val="000000"/>
          <w:sz w:val="28"/>
          <w:szCs w:val="28"/>
        </w:rPr>
        <w:t xml:space="preserve"> Lane; thence south along </w:t>
      </w:r>
      <w:proofErr w:type="spellStart"/>
      <w:r w:rsidRPr="00D4498B">
        <w:rPr>
          <w:rFonts w:ascii="Times New Roman" w:eastAsia="Times New Roman" w:hAnsi="Times New Roman" w:cs="Times New Roman"/>
          <w:color w:val="000000"/>
          <w:sz w:val="28"/>
          <w:szCs w:val="28"/>
        </w:rPr>
        <w:t>Coutant</w:t>
      </w:r>
      <w:proofErr w:type="spellEnd"/>
      <w:r w:rsidRPr="00D4498B">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D4498B">
        <w:rPr>
          <w:rFonts w:ascii="Times New Roman" w:eastAsia="Times New Roman" w:hAnsi="Times New Roman" w:cs="Times New Roman"/>
          <w:color w:val="000000"/>
          <w:sz w:val="28"/>
          <w:szCs w:val="28"/>
        </w:rPr>
        <w:t>Darneille</w:t>
      </w:r>
      <w:proofErr w:type="spellEnd"/>
      <w:r w:rsidRPr="00D4498B">
        <w:rPr>
          <w:rFonts w:ascii="Times New Roman" w:eastAsia="Times New Roman" w:hAnsi="Times New Roman" w:cs="Times New Roman"/>
          <w:color w:val="000000"/>
          <w:sz w:val="28"/>
          <w:szCs w:val="28"/>
        </w:rPr>
        <w:t xml:space="preserve"> Lane; thence northwesterly along </w:t>
      </w:r>
      <w:proofErr w:type="spellStart"/>
      <w:r w:rsidRPr="00D4498B">
        <w:rPr>
          <w:rFonts w:ascii="Times New Roman" w:eastAsia="Times New Roman" w:hAnsi="Times New Roman" w:cs="Times New Roman"/>
          <w:color w:val="000000"/>
          <w:sz w:val="28"/>
          <w:szCs w:val="28"/>
        </w:rPr>
        <w:t>Darneille</w:t>
      </w:r>
      <w:proofErr w:type="spellEnd"/>
      <w:r w:rsidRPr="00D4498B">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D4498B">
        <w:rPr>
          <w:rFonts w:ascii="Times New Roman" w:eastAsia="Times New Roman" w:hAnsi="Times New Roman" w:cs="Times New Roman"/>
          <w:color w:val="000000"/>
          <w:sz w:val="28"/>
          <w:szCs w:val="28"/>
        </w:rPr>
        <w:t>Darneille</w:t>
      </w:r>
      <w:proofErr w:type="spellEnd"/>
      <w:r w:rsidRPr="00D4498B">
        <w:rPr>
          <w:rFonts w:ascii="Times New Roman" w:eastAsia="Times New Roman" w:hAnsi="Times New Roman" w:cs="Times New Roman"/>
          <w:color w:val="000000"/>
          <w:sz w:val="28"/>
          <w:szCs w:val="28"/>
        </w:rPr>
        <w:t xml:space="preserve"> Lane; thence south along </w:t>
      </w:r>
      <w:proofErr w:type="spellStart"/>
      <w:r w:rsidRPr="00D4498B">
        <w:rPr>
          <w:rFonts w:ascii="Times New Roman" w:eastAsia="Times New Roman" w:hAnsi="Times New Roman" w:cs="Times New Roman"/>
          <w:color w:val="000000"/>
          <w:sz w:val="28"/>
          <w:szCs w:val="28"/>
        </w:rPr>
        <w:t>Darneille</w:t>
      </w:r>
      <w:proofErr w:type="spellEnd"/>
      <w:r w:rsidRPr="00D4498B">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D4498B">
        <w:rPr>
          <w:rFonts w:ascii="Times New Roman" w:eastAsia="Times New Roman" w:hAnsi="Times New Roman" w:cs="Times New Roman"/>
          <w:color w:val="000000"/>
          <w:sz w:val="28"/>
          <w:szCs w:val="28"/>
        </w:rPr>
        <w:t>Demaray</w:t>
      </w:r>
      <w:proofErr w:type="spellEnd"/>
      <w:r w:rsidRPr="00D4498B">
        <w:rPr>
          <w:rFonts w:ascii="Times New Roman" w:eastAsia="Times New Roman" w:hAnsi="Times New Roman" w:cs="Times New Roman"/>
          <w:color w:val="000000"/>
          <w:sz w:val="28"/>
          <w:szCs w:val="28"/>
        </w:rPr>
        <w:t xml:space="preserve"> Drive; thence easterly along </w:t>
      </w:r>
      <w:proofErr w:type="spellStart"/>
      <w:r w:rsidRPr="00D4498B">
        <w:rPr>
          <w:rFonts w:ascii="Times New Roman" w:eastAsia="Times New Roman" w:hAnsi="Times New Roman" w:cs="Times New Roman"/>
          <w:color w:val="000000"/>
          <w:sz w:val="28"/>
          <w:szCs w:val="28"/>
        </w:rPr>
        <w:t>Demaray</w:t>
      </w:r>
      <w:proofErr w:type="spellEnd"/>
      <w:r w:rsidRPr="00D4498B">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D4498B">
        <w:rPr>
          <w:rFonts w:ascii="Times New Roman" w:eastAsia="Times New Roman" w:hAnsi="Times New Roman" w:cs="Times New Roman"/>
          <w:color w:val="000000"/>
          <w:sz w:val="28"/>
          <w:szCs w:val="28"/>
        </w:rPr>
        <w:t>Schutzwohl</w:t>
      </w:r>
      <w:proofErr w:type="spellEnd"/>
      <w:r w:rsidRPr="00D4498B">
        <w:rPr>
          <w:rFonts w:ascii="Times New Roman" w:eastAsia="Times New Roman" w:hAnsi="Times New Roman" w:cs="Times New Roman"/>
          <w:color w:val="000000"/>
          <w:sz w:val="28"/>
          <w:szCs w:val="28"/>
        </w:rPr>
        <w:t xml:space="preserve"> Lane; thence south approx. 1300 feet to a point even with West </w:t>
      </w:r>
      <w:proofErr w:type="spellStart"/>
      <w:r w:rsidRPr="00D4498B">
        <w:rPr>
          <w:rFonts w:ascii="Times New Roman" w:eastAsia="Times New Roman" w:hAnsi="Times New Roman" w:cs="Times New Roman"/>
          <w:color w:val="000000"/>
          <w:sz w:val="28"/>
          <w:szCs w:val="28"/>
        </w:rPr>
        <w:t>Harbeck</w:t>
      </w:r>
      <w:proofErr w:type="spellEnd"/>
      <w:r w:rsidRPr="00D4498B">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w:t>
      </w:r>
      <w:r w:rsidRPr="00D4498B">
        <w:rPr>
          <w:rFonts w:ascii="Times New Roman" w:eastAsia="Times New Roman" w:hAnsi="Times New Roman" w:cs="Times New Roman"/>
          <w:color w:val="000000"/>
          <w:sz w:val="28"/>
          <w:szCs w:val="28"/>
        </w:rPr>
        <w:lastRenderedPageBreak/>
        <w:t xml:space="preserve">the intersection with Williams Highway; thence southeasterly along Williams Highway approx. 1300 feet; thence east approx. 200 feet; thence north approx. 400 feet; thence east approx. 700 feet; thence north to the intersection with </w:t>
      </w:r>
      <w:proofErr w:type="spellStart"/>
      <w:r w:rsidRPr="00D4498B">
        <w:rPr>
          <w:rFonts w:ascii="Times New Roman" w:eastAsia="Times New Roman" w:hAnsi="Times New Roman" w:cs="Times New Roman"/>
          <w:color w:val="000000"/>
          <w:sz w:val="28"/>
          <w:szCs w:val="28"/>
        </w:rPr>
        <w:t>Espey</w:t>
      </w:r>
      <w:proofErr w:type="spellEnd"/>
      <w:r w:rsidRPr="00D4498B">
        <w:rPr>
          <w:rFonts w:ascii="Times New Roman" w:eastAsia="Times New Roman" w:hAnsi="Times New Roman" w:cs="Times New Roman"/>
          <w:color w:val="000000"/>
          <w:sz w:val="28"/>
          <w:szCs w:val="28"/>
        </w:rPr>
        <w:t xml:space="preserve"> Road; thence west along </w:t>
      </w:r>
      <w:proofErr w:type="spellStart"/>
      <w:r w:rsidRPr="00D4498B">
        <w:rPr>
          <w:rFonts w:ascii="Times New Roman" w:eastAsia="Times New Roman" w:hAnsi="Times New Roman" w:cs="Times New Roman"/>
          <w:color w:val="000000"/>
          <w:sz w:val="28"/>
          <w:szCs w:val="28"/>
        </w:rPr>
        <w:t>Espey</w:t>
      </w:r>
      <w:proofErr w:type="spellEnd"/>
      <w:r w:rsidRPr="00D4498B">
        <w:rPr>
          <w:rFonts w:ascii="Times New Roman" w:eastAsia="Times New Roman" w:hAnsi="Times New Roman" w:cs="Times New Roman"/>
          <w:color w:val="000000"/>
          <w:sz w:val="28"/>
          <w:szCs w:val="2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D4498B">
        <w:rPr>
          <w:rFonts w:ascii="Times New Roman" w:eastAsia="Times New Roman" w:hAnsi="Times New Roman" w:cs="Times New Roman"/>
          <w:color w:val="000000"/>
          <w:sz w:val="28"/>
          <w:szCs w:val="28"/>
        </w:rPr>
        <w:t>Harbeck</w:t>
      </w:r>
      <w:proofErr w:type="spellEnd"/>
      <w:r w:rsidRPr="00D4498B">
        <w:rPr>
          <w:rFonts w:ascii="Times New Roman" w:eastAsia="Times New Roman" w:hAnsi="Times New Roman" w:cs="Times New Roman"/>
          <w:color w:val="000000"/>
          <w:sz w:val="28"/>
          <w:szCs w:val="28"/>
        </w:rPr>
        <w:t xml:space="preserve"> Road; thence north along </w:t>
      </w:r>
      <w:proofErr w:type="spellStart"/>
      <w:r w:rsidRPr="00D4498B">
        <w:rPr>
          <w:rFonts w:ascii="Times New Roman" w:eastAsia="Times New Roman" w:hAnsi="Times New Roman" w:cs="Times New Roman"/>
          <w:color w:val="000000"/>
          <w:sz w:val="28"/>
          <w:szCs w:val="28"/>
        </w:rPr>
        <w:t>Harbeck</w:t>
      </w:r>
      <w:proofErr w:type="spellEnd"/>
      <w:r w:rsidRPr="00D4498B">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D4498B">
        <w:rPr>
          <w:rFonts w:ascii="Times New Roman" w:eastAsia="Times New Roman" w:hAnsi="Times New Roman" w:cs="Times New Roman"/>
          <w:color w:val="000000"/>
          <w:sz w:val="28"/>
          <w:szCs w:val="28"/>
        </w:rPr>
        <w:t>Fruitdale</w:t>
      </w:r>
      <w:proofErr w:type="spellEnd"/>
      <w:r w:rsidRPr="00D4498B">
        <w:rPr>
          <w:rFonts w:ascii="Times New Roman" w:eastAsia="Times New Roman" w:hAnsi="Times New Roman" w:cs="Times New Roman"/>
          <w:color w:val="000000"/>
          <w:sz w:val="28"/>
          <w:szCs w:val="28"/>
        </w:rPr>
        <w:t xml:space="preserve"> Drive; thence southwesterly along </w:t>
      </w:r>
      <w:proofErr w:type="spellStart"/>
      <w:r w:rsidRPr="00D4498B">
        <w:rPr>
          <w:rFonts w:ascii="Times New Roman" w:eastAsia="Times New Roman" w:hAnsi="Times New Roman" w:cs="Times New Roman"/>
          <w:color w:val="000000"/>
          <w:sz w:val="28"/>
          <w:szCs w:val="28"/>
        </w:rPr>
        <w:t>Fruitdale</w:t>
      </w:r>
      <w:proofErr w:type="spellEnd"/>
      <w:r w:rsidRPr="00D4498B">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D4498B">
        <w:rPr>
          <w:rFonts w:ascii="Times New Roman" w:eastAsia="Times New Roman" w:hAnsi="Times New Roman" w:cs="Times New Roman"/>
          <w:color w:val="000000"/>
          <w:sz w:val="28"/>
          <w:szCs w:val="28"/>
        </w:rPr>
        <w:t>Ament</w:t>
      </w:r>
      <w:proofErr w:type="spellEnd"/>
      <w:r w:rsidRPr="00D4498B">
        <w:rPr>
          <w:rFonts w:ascii="Times New Roman" w:eastAsia="Times New Roman" w:hAnsi="Times New Roman" w:cs="Times New Roman"/>
          <w:color w:val="000000"/>
          <w:sz w:val="28"/>
          <w:szCs w:val="28"/>
        </w:rPr>
        <w:t xml:space="preserve"> Road; thence north to </w:t>
      </w:r>
      <w:proofErr w:type="spellStart"/>
      <w:r w:rsidRPr="00D4498B">
        <w:rPr>
          <w:rFonts w:ascii="Times New Roman" w:eastAsia="Times New Roman" w:hAnsi="Times New Roman" w:cs="Times New Roman"/>
          <w:color w:val="000000"/>
          <w:sz w:val="28"/>
          <w:szCs w:val="28"/>
        </w:rPr>
        <w:t>Ament</w:t>
      </w:r>
      <w:proofErr w:type="spellEnd"/>
      <w:r w:rsidRPr="00D4498B">
        <w:rPr>
          <w:rFonts w:ascii="Times New Roman" w:eastAsia="Times New Roman" w:hAnsi="Times New Roman" w:cs="Times New Roman"/>
          <w:color w:val="000000"/>
          <w:sz w:val="28"/>
          <w:szCs w:val="28"/>
        </w:rPr>
        <w:t xml:space="preserve"> Road and following </w:t>
      </w:r>
      <w:proofErr w:type="spellStart"/>
      <w:r w:rsidRPr="00D4498B">
        <w:rPr>
          <w:rFonts w:ascii="Times New Roman" w:eastAsia="Times New Roman" w:hAnsi="Times New Roman" w:cs="Times New Roman"/>
          <w:color w:val="000000"/>
          <w:sz w:val="28"/>
          <w:szCs w:val="28"/>
        </w:rPr>
        <w:t>Ament</w:t>
      </w:r>
      <w:proofErr w:type="spellEnd"/>
      <w:r w:rsidRPr="00D4498B">
        <w:rPr>
          <w:rFonts w:ascii="Times New Roman" w:eastAsia="Times New Roman" w:hAnsi="Times New Roman" w:cs="Times New Roman"/>
          <w:color w:val="000000"/>
          <w:sz w:val="28"/>
          <w:szCs w:val="28"/>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w:t>
      </w:r>
      <w:r w:rsidRPr="00D4498B">
        <w:rPr>
          <w:rFonts w:ascii="Times New Roman" w:eastAsia="Times New Roman" w:hAnsi="Times New Roman" w:cs="Times New Roman"/>
          <w:color w:val="000000"/>
          <w:sz w:val="28"/>
          <w:szCs w:val="28"/>
        </w:rPr>
        <w:lastRenderedPageBreak/>
        <w:t>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(10)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510605" w:rsidRPr="00D4498B" w:rsidRDefault="00510605"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(11) “Klamath Falls Nonattainment Area”</w:t>
      </w:r>
      <w:r w:rsidRPr="00D4498B">
        <w:rPr>
          <w:rFonts w:ascii="Times New Roman" w:eastAsia="Times New Roman" w:hAnsi="Times New Roman" w:cs="Times New Roman"/>
          <w:sz w:val="28"/>
          <w:szCs w:val="28"/>
        </w:rPr>
        <w:t xml:space="preserve">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w:t>
      </w:r>
      <w:r w:rsidRPr="00D4498B">
        <w:rPr>
          <w:rFonts w:ascii="Times New Roman" w:eastAsia="Times New Roman" w:hAnsi="Times New Roman" w:cs="Times New Roman"/>
          <w:sz w:val="28"/>
          <w:szCs w:val="28"/>
        </w:rPr>
        <w:lastRenderedPageBreak/>
        <w:t>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w:t>
      </w:r>
      <w:r w:rsidR="00510605" w:rsidRPr="00D4498B">
        <w:rPr>
          <w:rFonts w:ascii="Times New Roman" w:eastAsia="Times New Roman" w:hAnsi="Times New Roman" w:cs="Times New Roman"/>
          <w:color w:val="000000"/>
          <w:sz w:val="28"/>
          <w:szCs w:val="28"/>
        </w:rPr>
        <w:t>2</w:t>
      </w:r>
      <w:r w:rsidRPr="00D4498B">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w:t>
      </w:r>
      <w:r w:rsidRPr="00D4498B">
        <w:rPr>
          <w:rFonts w:ascii="Times New Roman" w:eastAsia="Times New Roman" w:hAnsi="Times New Roman" w:cs="Times New Roman"/>
          <w:color w:val="000000"/>
          <w:sz w:val="28"/>
          <w:szCs w:val="28"/>
        </w:rPr>
        <w:lastRenderedPageBreak/>
        <w:t xml:space="preserve">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D4498B">
        <w:rPr>
          <w:rFonts w:ascii="Times New Roman" w:eastAsia="Times New Roman" w:hAnsi="Times New Roman" w:cs="Times New Roman"/>
          <w:color w:val="000000"/>
          <w:sz w:val="28"/>
          <w:szCs w:val="28"/>
        </w:rPr>
        <w:t>Orindale</w:t>
      </w:r>
      <w:proofErr w:type="spellEnd"/>
      <w:r w:rsidRPr="00D4498B">
        <w:rPr>
          <w:rFonts w:ascii="Times New Roman" w:eastAsia="Times New Roman" w:hAnsi="Times New Roman" w:cs="Times New Roman"/>
          <w:color w:val="000000"/>
          <w:sz w:val="28"/>
          <w:szCs w:val="28"/>
        </w:rPr>
        <w:t xml:space="preserve"> Draw, thence southerly along the eastern boundary of </w:t>
      </w:r>
      <w:proofErr w:type="spellStart"/>
      <w:r w:rsidRPr="00D4498B">
        <w:rPr>
          <w:rFonts w:ascii="Times New Roman" w:eastAsia="Times New Roman" w:hAnsi="Times New Roman" w:cs="Times New Roman"/>
          <w:color w:val="000000"/>
          <w:sz w:val="28"/>
          <w:szCs w:val="28"/>
        </w:rPr>
        <w:t>Orindale</w:t>
      </w:r>
      <w:proofErr w:type="spellEnd"/>
      <w:r w:rsidRPr="00D4498B">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D4498B">
        <w:rPr>
          <w:rFonts w:ascii="Times New Roman" w:eastAsia="Times New Roman" w:hAnsi="Times New Roman" w:cs="Times New Roman"/>
          <w:color w:val="000000"/>
          <w:sz w:val="28"/>
          <w:szCs w:val="28"/>
        </w:rPr>
        <w:t>Orindale</w:t>
      </w:r>
      <w:proofErr w:type="spellEnd"/>
      <w:r w:rsidRPr="00D4498B">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D4498B">
        <w:rPr>
          <w:rFonts w:ascii="Times New Roman" w:eastAsia="Times New Roman" w:hAnsi="Times New Roman" w:cs="Times New Roman"/>
          <w:color w:val="000000"/>
          <w:sz w:val="28"/>
          <w:szCs w:val="28"/>
        </w:rPr>
        <w:t>Orindale</w:t>
      </w:r>
      <w:proofErr w:type="spellEnd"/>
      <w:r w:rsidRPr="00D4498B">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D4498B">
        <w:rPr>
          <w:rFonts w:ascii="Times New Roman" w:eastAsia="Times New Roman" w:hAnsi="Times New Roman" w:cs="Times New Roman"/>
          <w:color w:val="000000"/>
          <w:sz w:val="28"/>
          <w:szCs w:val="28"/>
        </w:rPr>
        <w:t>Orindale</w:t>
      </w:r>
      <w:proofErr w:type="spellEnd"/>
      <w:r w:rsidRPr="00D4498B">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w:t>
      </w:r>
      <w:r w:rsidRPr="00D4498B">
        <w:rPr>
          <w:rFonts w:ascii="Times New Roman" w:eastAsia="Times New Roman" w:hAnsi="Times New Roman" w:cs="Times New Roman"/>
          <w:color w:val="000000"/>
          <w:sz w:val="28"/>
          <w:szCs w:val="28"/>
        </w:rPr>
        <w:lastRenderedPageBreak/>
        <w:t xml:space="preserve">mile to </w:t>
      </w:r>
      <w:proofErr w:type="spellStart"/>
      <w:r w:rsidRPr="00D4498B">
        <w:rPr>
          <w:rFonts w:ascii="Times New Roman" w:eastAsia="Times New Roman" w:hAnsi="Times New Roman" w:cs="Times New Roman"/>
          <w:color w:val="000000"/>
          <w:sz w:val="28"/>
          <w:szCs w:val="28"/>
        </w:rPr>
        <w:t>Farrier</w:t>
      </w:r>
      <w:proofErr w:type="spellEnd"/>
      <w:r w:rsidRPr="00D4498B">
        <w:rPr>
          <w:rFonts w:ascii="Times New Roman" w:eastAsia="Times New Roman" w:hAnsi="Times New Roman" w:cs="Times New Roman"/>
          <w:color w:val="000000"/>
          <w:sz w:val="28"/>
          <w:szCs w:val="28"/>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w:t>
      </w:r>
      <w:r w:rsidRPr="00D4498B">
        <w:rPr>
          <w:rFonts w:ascii="Times New Roman" w:eastAsia="Times New Roman" w:hAnsi="Times New Roman" w:cs="Times New Roman"/>
          <w:color w:val="000000"/>
          <w:sz w:val="28"/>
          <w:szCs w:val="28"/>
        </w:rPr>
        <w:lastRenderedPageBreak/>
        <w:t>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w:t>
      </w:r>
      <w:r w:rsidR="00510605" w:rsidRPr="00D4498B">
        <w:rPr>
          <w:rFonts w:ascii="Times New Roman" w:eastAsia="Times New Roman" w:hAnsi="Times New Roman" w:cs="Times New Roman"/>
          <w:color w:val="000000"/>
          <w:sz w:val="28"/>
          <w:szCs w:val="28"/>
        </w:rPr>
        <w:t>3</w:t>
      </w:r>
      <w:r w:rsidRPr="00D4498B">
        <w:rPr>
          <w:rFonts w:ascii="Times New Roman" w:eastAsia="Times New Roman" w:hAnsi="Times New Roman" w:cs="Times New Roman"/>
          <w:color w:val="000000"/>
          <w:sz w:val="28"/>
          <w:szCs w:val="28"/>
        </w:rPr>
        <w:t>) “</w:t>
      </w:r>
      <w:proofErr w:type="spellStart"/>
      <w:r w:rsidRPr="00D4498B">
        <w:rPr>
          <w:rFonts w:ascii="Times New Roman" w:eastAsia="Times New Roman" w:hAnsi="Times New Roman" w:cs="Times New Roman"/>
          <w:color w:val="000000"/>
          <w:sz w:val="28"/>
          <w:szCs w:val="28"/>
        </w:rPr>
        <w:t>LaGrande</w:t>
      </w:r>
      <w:proofErr w:type="spellEnd"/>
      <w:r w:rsidRPr="00D4498B">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D4498B">
        <w:rPr>
          <w:rFonts w:ascii="Times New Roman" w:eastAsia="Times New Roman" w:hAnsi="Times New Roman" w:cs="Times New Roman"/>
          <w:color w:val="000000"/>
          <w:sz w:val="28"/>
          <w:szCs w:val="28"/>
        </w:rPr>
        <w:t>Ronde</w:t>
      </w:r>
      <w:proofErr w:type="spellEnd"/>
      <w:r w:rsidRPr="00D4498B">
        <w:rPr>
          <w:rFonts w:ascii="Times New Roman" w:eastAsia="Times New Roman" w:hAnsi="Times New Roman" w:cs="Times New Roman"/>
          <w:color w:val="000000"/>
          <w:sz w:val="28"/>
          <w:szCs w:val="28"/>
        </w:rPr>
        <w:t xml:space="preserve"> River; thence westerly along the northern bank of the Grande </w:t>
      </w:r>
      <w:proofErr w:type="spellStart"/>
      <w:r w:rsidRPr="00D4498B">
        <w:rPr>
          <w:rFonts w:ascii="Times New Roman" w:eastAsia="Times New Roman" w:hAnsi="Times New Roman" w:cs="Times New Roman"/>
          <w:color w:val="000000"/>
          <w:sz w:val="28"/>
          <w:szCs w:val="28"/>
        </w:rPr>
        <w:t>Ronde</w:t>
      </w:r>
      <w:proofErr w:type="spellEnd"/>
      <w:r w:rsidRPr="00D4498B">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D4498B">
        <w:rPr>
          <w:rFonts w:ascii="Times New Roman" w:eastAsia="Times New Roman" w:hAnsi="Times New Roman" w:cs="Times New Roman"/>
          <w:color w:val="000000"/>
          <w:sz w:val="28"/>
          <w:szCs w:val="28"/>
        </w:rPr>
        <w:t>Fruitdale</w:t>
      </w:r>
      <w:proofErr w:type="spellEnd"/>
      <w:r w:rsidRPr="00D4498B">
        <w:rPr>
          <w:rFonts w:ascii="Times New Roman" w:eastAsia="Times New Roman" w:hAnsi="Times New Roman" w:cs="Times New Roman"/>
          <w:color w:val="000000"/>
          <w:sz w:val="28"/>
          <w:szCs w:val="28"/>
        </w:rPr>
        <w:t xml:space="preserve"> Road; thence east along </w:t>
      </w:r>
      <w:proofErr w:type="spellStart"/>
      <w:r w:rsidRPr="00D4498B">
        <w:rPr>
          <w:rFonts w:ascii="Times New Roman" w:eastAsia="Times New Roman" w:hAnsi="Times New Roman" w:cs="Times New Roman"/>
          <w:color w:val="000000"/>
          <w:sz w:val="28"/>
          <w:szCs w:val="28"/>
        </w:rPr>
        <w:t>Fruitdale</w:t>
      </w:r>
      <w:proofErr w:type="spellEnd"/>
      <w:r w:rsidRPr="00D4498B">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D4498B">
        <w:rPr>
          <w:rFonts w:ascii="Times New Roman" w:eastAsia="Times New Roman" w:hAnsi="Times New Roman" w:cs="Times New Roman"/>
          <w:color w:val="000000"/>
          <w:sz w:val="28"/>
          <w:szCs w:val="28"/>
        </w:rPr>
        <w:t>Ronde</w:t>
      </w:r>
      <w:proofErr w:type="spellEnd"/>
      <w:r w:rsidRPr="00D4498B">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D4498B">
        <w:rPr>
          <w:rFonts w:ascii="Times New Roman" w:eastAsia="Times New Roman" w:hAnsi="Times New Roman" w:cs="Times New Roman"/>
          <w:color w:val="000000"/>
          <w:sz w:val="28"/>
          <w:szCs w:val="28"/>
        </w:rPr>
        <w:t>Gekeler</w:t>
      </w:r>
      <w:proofErr w:type="spellEnd"/>
      <w:r w:rsidRPr="00D4498B">
        <w:rPr>
          <w:rFonts w:ascii="Times New Roman" w:eastAsia="Times New Roman" w:hAnsi="Times New Roman" w:cs="Times New Roman"/>
          <w:color w:val="000000"/>
          <w:sz w:val="28"/>
          <w:szCs w:val="28"/>
        </w:rPr>
        <w:t xml:space="preserve"> Lane; thence west along </w:t>
      </w:r>
      <w:proofErr w:type="spellStart"/>
      <w:r w:rsidRPr="00D4498B">
        <w:rPr>
          <w:rFonts w:ascii="Times New Roman" w:eastAsia="Times New Roman" w:hAnsi="Times New Roman" w:cs="Times New Roman"/>
          <w:color w:val="000000"/>
          <w:sz w:val="28"/>
          <w:szCs w:val="28"/>
        </w:rPr>
        <w:t>Gekeler</w:t>
      </w:r>
      <w:proofErr w:type="spellEnd"/>
      <w:r w:rsidRPr="00D4498B">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D4498B">
        <w:rPr>
          <w:rFonts w:ascii="Times New Roman" w:eastAsia="Times New Roman" w:hAnsi="Times New Roman" w:cs="Times New Roman"/>
          <w:color w:val="000000"/>
          <w:sz w:val="28"/>
          <w:szCs w:val="28"/>
        </w:rPr>
        <w:t>Gekeler</w:t>
      </w:r>
      <w:proofErr w:type="spellEnd"/>
      <w:r w:rsidRPr="00D4498B">
        <w:rPr>
          <w:rFonts w:ascii="Times New Roman" w:eastAsia="Times New Roman" w:hAnsi="Times New Roman" w:cs="Times New Roman"/>
          <w:color w:val="000000"/>
          <w:sz w:val="28"/>
          <w:szCs w:val="28"/>
        </w:rPr>
        <w:t xml:space="preserve"> Lane; thence west along </w:t>
      </w:r>
      <w:proofErr w:type="spellStart"/>
      <w:r w:rsidRPr="00D4498B">
        <w:rPr>
          <w:rFonts w:ascii="Times New Roman" w:eastAsia="Times New Roman" w:hAnsi="Times New Roman" w:cs="Times New Roman"/>
          <w:color w:val="000000"/>
          <w:sz w:val="28"/>
          <w:szCs w:val="28"/>
        </w:rPr>
        <w:t>Gekeler</w:t>
      </w:r>
      <w:proofErr w:type="spellEnd"/>
      <w:r w:rsidRPr="00D4498B">
        <w:rPr>
          <w:rFonts w:ascii="Times New Roman" w:eastAsia="Times New Roman" w:hAnsi="Times New Roman" w:cs="Times New Roman"/>
          <w:color w:val="000000"/>
          <w:sz w:val="28"/>
          <w:szCs w:val="28"/>
        </w:rPr>
        <w:t xml:space="preserve"> Lane to </w:t>
      </w:r>
      <w:r w:rsidRPr="00D4498B">
        <w:rPr>
          <w:rFonts w:ascii="Times New Roman" w:eastAsia="Times New Roman" w:hAnsi="Times New Roman" w:cs="Times New Roman"/>
          <w:color w:val="000000"/>
          <w:sz w:val="28"/>
          <w:szCs w:val="28"/>
        </w:rPr>
        <w:lastRenderedPageBreak/>
        <w:t>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w:t>
      </w:r>
      <w:r w:rsidR="00510605" w:rsidRPr="00D4498B">
        <w:rPr>
          <w:rFonts w:ascii="Times New Roman" w:eastAsia="Times New Roman" w:hAnsi="Times New Roman" w:cs="Times New Roman"/>
          <w:color w:val="000000"/>
          <w:sz w:val="28"/>
          <w:szCs w:val="28"/>
        </w:rPr>
        <w:t>4</w:t>
      </w:r>
      <w:r w:rsidRPr="00D4498B">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w:t>
      </w:r>
      <w:r w:rsidRPr="00D4498B">
        <w:rPr>
          <w:rFonts w:ascii="Times New Roman" w:eastAsia="Times New Roman" w:hAnsi="Times New Roman" w:cs="Times New Roman"/>
          <w:color w:val="000000"/>
          <w:sz w:val="28"/>
          <w:szCs w:val="28"/>
        </w:rPr>
        <w:lastRenderedPageBreak/>
        <w:t xml:space="preserve">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w:t>
      </w:r>
      <w:r w:rsidRPr="00D4498B">
        <w:rPr>
          <w:rFonts w:ascii="Times New Roman" w:eastAsia="Times New Roman" w:hAnsi="Times New Roman" w:cs="Times New Roman"/>
          <w:color w:val="000000"/>
          <w:sz w:val="28"/>
          <w:szCs w:val="28"/>
        </w:rPr>
        <w:lastRenderedPageBreak/>
        <w:t>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w:t>
      </w:r>
      <w:r w:rsidR="00510605" w:rsidRPr="00D4498B">
        <w:rPr>
          <w:rFonts w:ascii="Times New Roman" w:eastAsia="Times New Roman" w:hAnsi="Times New Roman" w:cs="Times New Roman"/>
          <w:color w:val="000000"/>
          <w:sz w:val="28"/>
          <w:szCs w:val="28"/>
        </w:rPr>
        <w:t>5</w:t>
      </w:r>
      <w:r w:rsidRPr="00D4498B">
        <w:rPr>
          <w:rFonts w:ascii="Times New Roman" w:eastAsia="Times New Roman" w:hAnsi="Times New Roman" w:cs="Times New Roman"/>
          <w:color w:val="000000"/>
          <w:sz w:val="28"/>
          <w:szCs w:val="28"/>
        </w:rPr>
        <w:t>) “Maintenance Area” means any area that was formerly nonattainment for a criteria pollutant but has since met EPA promulgated standards and has had a maintenance plan to stay within the standards approved by the EPA pursuant to 40 CFR 51.110 (July, 1993).</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w:t>
      </w:r>
      <w:r w:rsidR="00510605" w:rsidRPr="00D4498B">
        <w:rPr>
          <w:rFonts w:ascii="Times New Roman" w:eastAsia="Times New Roman" w:hAnsi="Times New Roman" w:cs="Times New Roman"/>
          <w:color w:val="000000"/>
          <w:sz w:val="28"/>
          <w:szCs w:val="28"/>
        </w:rPr>
        <w:t>6</w:t>
      </w:r>
      <w:r w:rsidRPr="00D4498B">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w:t>
      </w:r>
      <w:r w:rsidR="00510605" w:rsidRPr="00D4498B">
        <w:rPr>
          <w:rFonts w:ascii="Times New Roman" w:eastAsia="Times New Roman" w:hAnsi="Times New Roman" w:cs="Times New Roman"/>
          <w:color w:val="000000"/>
          <w:sz w:val="28"/>
          <w:szCs w:val="28"/>
        </w:rPr>
        <w:t>7</w:t>
      </w:r>
      <w:r w:rsidRPr="00D4498B">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w:t>
      </w:r>
      <w:r w:rsidRPr="00D4498B">
        <w:rPr>
          <w:rFonts w:ascii="Times New Roman" w:eastAsia="Times New Roman" w:hAnsi="Times New Roman" w:cs="Times New Roman"/>
          <w:color w:val="000000"/>
          <w:sz w:val="28"/>
          <w:szCs w:val="28"/>
        </w:rPr>
        <w:lastRenderedPageBreak/>
        <w:t xml:space="preserve">extensions along </w:t>
      </w:r>
      <w:proofErr w:type="spellStart"/>
      <w:r w:rsidRPr="00D4498B">
        <w:rPr>
          <w:rFonts w:ascii="Times New Roman" w:eastAsia="Times New Roman" w:hAnsi="Times New Roman" w:cs="Times New Roman"/>
          <w:color w:val="000000"/>
          <w:sz w:val="28"/>
          <w:szCs w:val="28"/>
        </w:rPr>
        <w:t>McAndrews</w:t>
      </w:r>
      <w:proofErr w:type="spellEnd"/>
      <w:r w:rsidRPr="00D4498B">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w:t>
      </w:r>
      <w:r w:rsidR="00510605" w:rsidRPr="00D4498B">
        <w:rPr>
          <w:rFonts w:ascii="Times New Roman" w:eastAsia="Times New Roman" w:hAnsi="Times New Roman" w:cs="Times New Roman"/>
          <w:color w:val="000000"/>
          <w:sz w:val="28"/>
          <w:szCs w:val="28"/>
        </w:rPr>
        <w:t>8</w:t>
      </w:r>
      <w:r w:rsidRPr="00D4498B">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D4498B">
        <w:rPr>
          <w:rFonts w:ascii="Times New Roman" w:eastAsia="Times New Roman" w:hAnsi="Times New Roman" w:cs="Times New Roman"/>
          <w:color w:val="000000"/>
          <w:sz w:val="28"/>
          <w:szCs w:val="28"/>
        </w:rPr>
        <w:t>Rossanely</w:t>
      </w:r>
      <w:proofErr w:type="spellEnd"/>
      <w:r w:rsidRPr="00D4498B">
        <w:rPr>
          <w:rFonts w:ascii="Times New Roman" w:eastAsia="Times New Roman" w:hAnsi="Times New Roman" w:cs="Times New Roman"/>
          <w:color w:val="000000"/>
          <w:sz w:val="28"/>
          <w:szCs w:val="28"/>
        </w:rPr>
        <w:t xml:space="preserve"> Drive; thence east along </w:t>
      </w:r>
      <w:proofErr w:type="spellStart"/>
      <w:r w:rsidRPr="00D4498B">
        <w:rPr>
          <w:rFonts w:ascii="Times New Roman" w:eastAsia="Times New Roman" w:hAnsi="Times New Roman" w:cs="Times New Roman"/>
          <w:color w:val="000000"/>
          <w:sz w:val="28"/>
          <w:szCs w:val="28"/>
        </w:rPr>
        <w:t>Rossanley</w:t>
      </w:r>
      <w:proofErr w:type="spellEnd"/>
      <w:r w:rsidRPr="00D4498B">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D4498B">
        <w:rPr>
          <w:rFonts w:ascii="Times New Roman" w:eastAsia="Times New Roman" w:hAnsi="Times New Roman" w:cs="Times New Roman"/>
          <w:color w:val="000000"/>
          <w:sz w:val="28"/>
          <w:szCs w:val="28"/>
        </w:rPr>
        <w:t>Fairlane</w:t>
      </w:r>
      <w:proofErr w:type="spellEnd"/>
      <w:r w:rsidRPr="00D4498B">
        <w:rPr>
          <w:rFonts w:ascii="Times New Roman" w:eastAsia="Times New Roman" w:hAnsi="Times New Roman" w:cs="Times New Roman"/>
          <w:color w:val="000000"/>
          <w:sz w:val="28"/>
          <w:szCs w:val="28"/>
        </w:rPr>
        <w:t xml:space="preserve"> Road; thence south to the end of </w:t>
      </w:r>
      <w:proofErr w:type="spellStart"/>
      <w:r w:rsidRPr="00D4498B">
        <w:rPr>
          <w:rFonts w:ascii="Times New Roman" w:eastAsia="Times New Roman" w:hAnsi="Times New Roman" w:cs="Times New Roman"/>
          <w:color w:val="000000"/>
          <w:sz w:val="28"/>
          <w:szCs w:val="28"/>
        </w:rPr>
        <w:t>Fairlane</w:t>
      </w:r>
      <w:proofErr w:type="spellEnd"/>
      <w:r w:rsidRPr="00D4498B">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Way to Griffin Creek Road; thence north on Griffin Creek Road to South Stage </w:t>
      </w:r>
      <w:r w:rsidRPr="00D4498B">
        <w:rPr>
          <w:rFonts w:ascii="Times New Roman" w:eastAsia="Times New Roman" w:hAnsi="Times New Roman" w:cs="Times New Roman"/>
          <w:color w:val="000000"/>
          <w:sz w:val="28"/>
          <w:szCs w:val="28"/>
        </w:rPr>
        <w:lastRenderedPageBreak/>
        <w:t xml:space="preserve">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D4498B">
        <w:rPr>
          <w:rFonts w:ascii="Times New Roman" w:eastAsia="Times New Roman" w:hAnsi="Times New Roman" w:cs="Times New Roman"/>
          <w:color w:val="000000"/>
          <w:sz w:val="28"/>
          <w:szCs w:val="28"/>
        </w:rPr>
        <w:t>Sunnyview</w:t>
      </w:r>
      <w:proofErr w:type="spellEnd"/>
      <w:r w:rsidRPr="00D4498B">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w:t>
      </w:r>
      <w:r w:rsidRPr="00D4498B">
        <w:rPr>
          <w:rFonts w:ascii="Times New Roman" w:eastAsia="Times New Roman" w:hAnsi="Times New Roman" w:cs="Times New Roman"/>
          <w:color w:val="000000"/>
          <w:sz w:val="28"/>
          <w:szCs w:val="28"/>
        </w:rPr>
        <w:lastRenderedPageBreak/>
        <w:t>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(1</w:t>
      </w:r>
      <w:r w:rsidR="00510605" w:rsidRPr="00D4498B">
        <w:rPr>
          <w:rFonts w:ascii="Times New Roman" w:eastAsia="Times New Roman" w:hAnsi="Times New Roman" w:cs="Times New Roman"/>
          <w:color w:val="000000"/>
          <w:sz w:val="28"/>
          <w:szCs w:val="28"/>
        </w:rPr>
        <w:t>9</w:t>
      </w:r>
      <w:r w:rsidRPr="00D4498B">
        <w:rPr>
          <w:rFonts w:ascii="Times New Roman" w:eastAsia="Times New Roman" w:hAnsi="Times New Roman" w:cs="Times New Roman"/>
          <w:color w:val="000000"/>
          <w:sz w:val="28"/>
          <w:szCs w:val="28"/>
        </w:rPr>
        <w:t>) “Nonattainment Area” means any area that has been designated as not meeting the standards established by the U.S. Environmental Protection Agency (EPA) pursuant to 40 CFR 51.52 (July, 1993) for any criteria pollutant.</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w:t>
      </w:r>
      <w:r w:rsidR="00510605" w:rsidRPr="00D4498B">
        <w:rPr>
          <w:rFonts w:ascii="Times New Roman" w:eastAsia="Times New Roman" w:hAnsi="Times New Roman" w:cs="Times New Roman"/>
          <w:color w:val="000000"/>
          <w:sz w:val="28"/>
          <w:szCs w:val="28"/>
        </w:rPr>
        <w:t>20</w:t>
      </w:r>
      <w:r w:rsidRPr="00D4498B">
        <w:rPr>
          <w:rFonts w:ascii="Times New Roman" w:eastAsia="Times New Roman" w:hAnsi="Times New Roman" w:cs="Times New Roman"/>
          <w:color w:val="000000"/>
          <w:sz w:val="28"/>
          <w:szCs w:val="28"/>
        </w:rPr>
        <w:t xml:space="preserve">) “O3” means Ozone.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1</w:t>
      </w:r>
      <w:r w:rsidRPr="00D4498B">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w:t>
      </w:r>
      <w:r w:rsidRPr="00D4498B">
        <w:rPr>
          <w:rFonts w:ascii="Times New Roman" w:eastAsia="Times New Roman" w:hAnsi="Times New Roman" w:cs="Times New Roman"/>
          <w:color w:val="000000"/>
          <w:sz w:val="28"/>
          <w:szCs w:val="28"/>
        </w:rPr>
        <w:lastRenderedPageBreak/>
        <w:t xml:space="preserve">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2</w:t>
      </w:r>
      <w:r w:rsidRPr="00D4498B">
        <w:rPr>
          <w:rFonts w:ascii="Times New Roman" w:eastAsia="Times New Roman" w:hAnsi="Times New Roman" w:cs="Times New Roman"/>
          <w:color w:val="000000"/>
          <w:sz w:val="28"/>
          <w:szCs w:val="28"/>
        </w:rPr>
        <w:t>) “Particulate Matter” has the meaning given that term in OAR 340-200-0020(</w:t>
      </w:r>
      <w:r w:rsidRPr="00D4498B">
        <w:rPr>
          <w:rFonts w:ascii="Times New Roman" w:eastAsia="Times New Roman" w:hAnsi="Times New Roman" w:cs="Times New Roman"/>
          <w:color w:val="000000"/>
          <w:sz w:val="28"/>
          <w:szCs w:val="28"/>
          <w:highlight w:val="yellow"/>
        </w:rPr>
        <w:t>82</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3</w:t>
      </w:r>
      <w:r w:rsidRPr="00D4498B">
        <w:rPr>
          <w:rFonts w:ascii="Times New Roman" w:eastAsia="Times New Roman" w:hAnsi="Times New Roman" w:cs="Times New Roman"/>
          <w:color w:val="000000"/>
          <w:sz w:val="28"/>
          <w:szCs w:val="28"/>
        </w:rPr>
        <w:t>) PM10: has the meaning given that term in OAR 340-200-0020(</w:t>
      </w:r>
      <w:r w:rsidRPr="00D4498B">
        <w:rPr>
          <w:rFonts w:ascii="Times New Roman" w:eastAsia="Times New Roman" w:hAnsi="Times New Roman" w:cs="Times New Roman"/>
          <w:color w:val="000000"/>
          <w:sz w:val="28"/>
          <w:szCs w:val="28"/>
          <w:highlight w:val="yellow"/>
        </w:rPr>
        <w:t>90</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4</w:t>
      </w:r>
      <w:r w:rsidRPr="00D4498B">
        <w:rPr>
          <w:rFonts w:ascii="Times New Roman" w:eastAsia="Times New Roman" w:hAnsi="Times New Roman" w:cs="Times New Roman"/>
          <w:color w:val="000000"/>
          <w:sz w:val="28"/>
          <w:szCs w:val="28"/>
        </w:rPr>
        <w:t>) “PM2.5” has the meaning given that term in OAR 340-200-0020(</w:t>
      </w:r>
      <w:r w:rsidRPr="00D4498B">
        <w:rPr>
          <w:rFonts w:ascii="Times New Roman" w:eastAsia="Times New Roman" w:hAnsi="Times New Roman" w:cs="Times New Roman"/>
          <w:color w:val="000000"/>
          <w:sz w:val="28"/>
          <w:szCs w:val="28"/>
          <w:highlight w:val="yellow"/>
        </w:rPr>
        <w:t>91</w:t>
      </w:r>
      <w:r w:rsidRPr="00D4498B">
        <w:rPr>
          <w:rFonts w:ascii="Times New Roman" w:eastAsia="Times New Roman" w:hAnsi="Times New Roman" w:cs="Times New Roman"/>
          <w:color w:val="000000"/>
          <w:sz w:val="28"/>
          <w:szCs w:val="28"/>
        </w:rPr>
        <w:t>).</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5</w:t>
      </w:r>
      <w:r w:rsidRPr="00D4498B">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w:t>
      </w:r>
      <w:r w:rsidRPr="00D4498B">
        <w:rPr>
          <w:rFonts w:ascii="Times New Roman" w:eastAsia="Times New Roman" w:hAnsi="Times New Roman" w:cs="Times New Roman"/>
          <w:color w:val="000000"/>
          <w:sz w:val="28"/>
          <w:szCs w:val="28"/>
        </w:rPr>
        <w:lastRenderedPageBreak/>
        <w:t xml:space="preserve">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w:t>
      </w:r>
      <w:proofErr w:type="spellStart"/>
      <w:r w:rsidRPr="00D4498B">
        <w:rPr>
          <w:rFonts w:ascii="Times New Roman" w:eastAsia="Times New Roman" w:hAnsi="Times New Roman" w:cs="Times New Roman"/>
          <w:color w:val="000000"/>
          <w:sz w:val="28"/>
          <w:szCs w:val="28"/>
        </w:rPr>
        <w:t>Springwater</w:t>
      </w:r>
      <w:proofErr w:type="spellEnd"/>
      <w:r w:rsidRPr="00D4498B">
        <w:rPr>
          <w:rFonts w:ascii="Times New Roman" w:eastAsia="Times New Roman" w:hAnsi="Times New Roman" w:cs="Times New Roman"/>
          <w:color w:val="000000"/>
          <w:sz w:val="28"/>
          <w:szCs w:val="28"/>
        </w:rPr>
        <w:t xml:space="preserve">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D4498B">
        <w:rPr>
          <w:rFonts w:ascii="Times New Roman" w:eastAsia="Times New Roman" w:hAnsi="Times New Roman" w:cs="Times New Roman"/>
          <w:color w:val="000000"/>
          <w:sz w:val="28"/>
          <w:szCs w:val="28"/>
        </w:rPr>
        <w:t>Thayler</w:t>
      </w:r>
      <w:proofErr w:type="spellEnd"/>
      <w:r w:rsidRPr="00D4498B">
        <w:rPr>
          <w:rFonts w:ascii="Times New Roman" w:eastAsia="Times New Roman" w:hAnsi="Times New Roman" w:cs="Times New Roman"/>
          <w:color w:val="000000"/>
          <w:sz w:val="28"/>
          <w:szCs w:val="28"/>
        </w:rPr>
        <w:t xml:space="preserve"> Road, thence west along </w:t>
      </w:r>
      <w:proofErr w:type="spellStart"/>
      <w:r w:rsidRPr="00D4498B">
        <w:rPr>
          <w:rFonts w:ascii="Times New Roman" w:eastAsia="Times New Roman" w:hAnsi="Times New Roman" w:cs="Times New Roman"/>
          <w:color w:val="000000"/>
          <w:sz w:val="28"/>
          <w:szCs w:val="28"/>
        </w:rPr>
        <w:t>Thayler</w:t>
      </w:r>
      <w:proofErr w:type="spellEnd"/>
      <w:r w:rsidRPr="00D4498B">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D4498B">
        <w:rPr>
          <w:rFonts w:ascii="Times New Roman" w:eastAsia="Times New Roman" w:hAnsi="Times New Roman" w:cs="Times New Roman"/>
          <w:color w:val="000000"/>
          <w:sz w:val="28"/>
          <w:szCs w:val="28"/>
        </w:rPr>
        <w:t>Henrici</w:t>
      </w:r>
      <w:proofErr w:type="spellEnd"/>
      <w:r w:rsidRPr="00D4498B">
        <w:rPr>
          <w:rFonts w:ascii="Times New Roman" w:eastAsia="Times New Roman" w:hAnsi="Times New Roman" w:cs="Times New Roman"/>
          <w:color w:val="000000"/>
          <w:sz w:val="28"/>
          <w:szCs w:val="28"/>
        </w:rPr>
        <w:t xml:space="preserve"> Road, thence west along </w:t>
      </w:r>
      <w:proofErr w:type="spellStart"/>
      <w:r w:rsidRPr="00D4498B">
        <w:rPr>
          <w:rFonts w:ascii="Times New Roman" w:eastAsia="Times New Roman" w:hAnsi="Times New Roman" w:cs="Times New Roman"/>
          <w:color w:val="000000"/>
          <w:sz w:val="28"/>
          <w:szCs w:val="28"/>
        </w:rPr>
        <w:t>Henrici</w:t>
      </w:r>
      <w:proofErr w:type="spellEnd"/>
      <w:r w:rsidRPr="00D4498B">
        <w:rPr>
          <w:rFonts w:ascii="Times New Roman" w:eastAsia="Times New Roman" w:hAnsi="Times New Roman" w:cs="Times New Roman"/>
          <w:color w:val="000000"/>
          <w:sz w:val="28"/>
          <w:szCs w:val="28"/>
        </w:rPr>
        <w:t xml:space="preserve"> Road to the intersection with State Highway 213 (</w:t>
      </w:r>
      <w:proofErr w:type="spellStart"/>
      <w:r w:rsidRPr="00D4498B">
        <w:rPr>
          <w:rFonts w:ascii="Times New Roman" w:eastAsia="Times New Roman" w:hAnsi="Times New Roman" w:cs="Times New Roman"/>
          <w:color w:val="000000"/>
          <w:sz w:val="28"/>
          <w:szCs w:val="28"/>
        </w:rPr>
        <w:t>Mollala</w:t>
      </w:r>
      <w:proofErr w:type="spellEnd"/>
      <w:r w:rsidRPr="00D4498B">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D4498B">
        <w:rPr>
          <w:rFonts w:ascii="Times New Roman" w:eastAsia="Times New Roman" w:hAnsi="Times New Roman" w:cs="Times New Roman"/>
          <w:color w:val="000000"/>
          <w:sz w:val="28"/>
          <w:szCs w:val="28"/>
        </w:rPr>
        <w:t>Stringtown</w:t>
      </w:r>
      <w:proofErr w:type="spellEnd"/>
      <w:r w:rsidRPr="00D4498B">
        <w:rPr>
          <w:rFonts w:ascii="Times New Roman" w:eastAsia="Times New Roman" w:hAnsi="Times New Roman" w:cs="Times New Roman"/>
          <w:color w:val="000000"/>
          <w:sz w:val="28"/>
          <w:szCs w:val="28"/>
        </w:rPr>
        <w:t xml:space="preserve"> Road, thence westerly and northwesterly along </w:t>
      </w:r>
      <w:proofErr w:type="spellStart"/>
      <w:r w:rsidRPr="00D4498B">
        <w:rPr>
          <w:rFonts w:ascii="Times New Roman" w:eastAsia="Times New Roman" w:hAnsi="Times New Roman" w:cs="Times New Roman"/>
          <w:color w:val="000000"/>
          <w:sz w:val="28"/>
          <w:szCs w:val="28"/>
        </w:rPr>
        <w:t>Stringtown</w:t>
      </w:r>
      <w:proofErr w:type="spellEnd"/>
      <w:r w:rsidRPr="00D4498B">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D4498B">
        <w:rPr>
          <w:rFonts w:ascii="Times New Roman" w:eastAsia="Times New Roman" w:hAnsi="Times New Roman" w:cs="Times New Roman"/>
          <w:color w:val="000000"/>
          <w:sz w:val="28"/>
          <w:szCs w:val="28"/>
        </w:rPr>
        <w:t>Tinmmerman</w:t>
      </w:r>
      <w:proofErr w:type="spellEnd"/>
      <w:r w:rsidRPr="00D4498B">
        <w:rPr>
          <w:rFonts w:ascii="Times New Roman" w:eastAsia="Times New Roman" w:hAnsi="Times New Roman" w:cs="Times New Roman"/>
          <w:color w:val="000000"/>
          <w:sz w:val="28"/>
          <w:szCs w:val="28"/>
        </w:rPr>
        <w:t xml:space="preserve"> Road, thence northerly along </w:t>
      </w:r>
      <w:proofErr w:type="spellStart"/>
      <w:r w:rsidRPr="00D4498B">
        <w:rPr>
          <w:rFonts w:ascii="Times New Roman" w:eastAsia="Times New Roman" w:hAnsi="Times New Roman" w:cs="Times New Roman"/>
          <w:color w:val="000000"/>
          <w:sz w:val="28"/>
          <w:szCs w:val="28"/>
        </w:rPr>
        <w:t>Tinmmerman</w:t>
      </w:r>
      <w:proofErr w:type="spellEnd"/>
      <w:r w:rsidRPr="00D4498B">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D4498B">
        <w:rPr>
          <w:rFonts w:ascii="Times New Roman" w:eastAsia="Times New Roman" w:hAnsi="Times New Roman" w:cs="Times New Roman"/>
          <w:color w:val="000000"/>
          <w:sz w:val="28"/>
          <w:szCs w:val="28"/>
        </w:rPr>
        <w:t>Narup</w:t>
      </w:r>
      <w:proofErr w:type="spellEnd"/>
      <w:r w:rsidRPr="00D4498B">
        <w:rPr>
          <w:rFonts w:ascii="Times New Roman" w:eastAsia="Times New Roman" w:hAnsi="Times New Roman" w:cs="Times New Roman"/>
          <w:color w:val="000000"/>
          <w:sz w:val="28"/>
          <w:szCs w:val="28"/>
        </w:rPr>
        <w:t xml:space="preserve"> Road, thence north along </w:t>
      </w:r>
      <w:proofErr w:type="spellStart"/>
      <w:r w:rsidRPr="00D4498B">
        <w:rPr>
          <w:rFonts w:ascii="Times New Roman" w:eastAsia="Times New Roman" w:hAnsi="Times New Roman" w:cs="Times New Roman"/>
          <w:color w:val="000000"/>
          <w:sz w:val="28"/>
          <w:szCs w:val="28"/>
        </w:rPr>
        <w:t>Narup</w:t>
      </w:r>
      <w:proofErr w:type="spellEnd"/>
      <w:r w:rsidRPr="00D4498B">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with Hahn Road, thence northerly and westerly along Hahn Road to the intersection with </w:t>
      </w:r>
      <w:proofErr w:type="spellStart"/>
      <w:r w:rsidRPr="00D4498B">
        <w:rPr>
          <w:rFonts w:ascii="Times New Roman" w:eastAsia="Times New Roman" w:hAnsi="Times New Roman" w:cs="Times New Roman"/>
          <w:color w:val="000000"/>
          <w:sz w:val="28"/>
          <w:szCs w:val="28"/>
        </w:rPr>
        <w:t>Mountaindale</w:t>
      </w:r>
      <w:proofErr w:type="spellEnd"/>
      <w:r w:rsidRPr="00D4498B">
        <w:rPr>
          <w:rFonts w:ascii="Times New Roman" w:eastAsia="Times New Roman" w:hAnsi="Times New Roman" w:cs="Times New Roman"/>
          <w:color w:val="000000"/>
          <w:sz w:val="28"/>
          <w:szCs w:val="28"/>
        </w:rPr>
        <w:t xml:space="preserve"> Road, thence southeasterly along </w:t>
      </w:r>
      <w:proofErr w:type="spellStart"/>
      <w:r w:rsidRPr="00D4498B">
        <w:rPr>
          <w:rFonts w:ascii="Times New Roman" w:eastAsia="Times New Roman" w:hAnsi="Times New Roman" w:cs="Times New Roman"/>
          <w:color w:val="000000"/>
          <w:sz w:val="28"/>
          <w:szCs w:val="28"/>
        </w:rPr>
        <w:t>Mountaindale</w:t>
      </w:r>
      <w:proofErr w:type="spellEnd"/>
      <w:r w:rsidRPr="00D4498B">
        <w:rPr>
          <w:rFonts w:ascii="Times New Roman" w:eastAsia="Times New Roman" w:hAnsi="Times New Roman" w:cs="Times New Roman"/>
          <w:color w:val="000000"/>
          <w:sz w:val="28"/>
          <w:szCs w:val="28"/>
        </w:rPr>
        <w:t xml:space="preserve"> </w:t>
      </w:r>
      <w:r w:rsidRPr="00D4498B">
        <w:rPr>
          <w:rFonts w:ascii="Times New Roman" w:eastAsia="Times New Roman" w:hAnsi="Times New Roman" w:cs="Times New Roman"/>
          <w:color w:val="000000"/>
          <w:sz w:val="28"/>
          <w:szCs w:val="28"/>
        </w:rPr>
        <w:lastRenderedPageBreak/>
        <w:t xml:space="preserve">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D4498B">
        <w:rPr>
          <w:rFonts w:ascii="Times New Roman" w:eastAsia="Times New Roman" w:hAnsi="Times New Roman" w:cs="Times New Roman"/>
          <w:color w:val="000000"/>
          <w:sz w:val="28"/>
          <w:szCs w:val="28"/>
        </w:rPr>
        <w:t>diffluence</w:t>
      </w:r>
      <w:proofErr w:type="spellEnd"/>
      <w:r w:rsidRPr="00D4498B">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6</w:t>
      </w:r>
      <w:r w:rsidRPr="00D4498B">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7</w:t>
      </w:r>
      <w:r w:rsidRPr="00D4498B">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D4498B">
        <w:rPr>
          <w:rFonts w:ascii="Times New Roman" w:eastAsia="Times New Roman" w:hAnsi="Times New Roman" w:cs="Times New Roman"/>
          <w:color w:val="000000"/>
          <w:sz w:val="28"/>
          <w:szCs w:val="28"/>
        </w:rPr>
        <w:t>tracts,</w:t>
      </w:r>
      <w:proofErr w:type="gramEnd"/>
      <w:r w:rsidRPr="00D4498B">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w:t>
      </w:r>
      <w:r w:rsidRPr="00D4498B">
        <w:rPr>
          <w:rFonts w:ascii="Times New Roman" w:eastAsia="Times New Roman" w:hAnsi="Times New Roman" w:cs="Times New Roman"/>
          <w:color w:val="000000"/>
          <w:sz w:val="28"/>
          <w:szCs w:val="28"/>
        </w:rPr>
        <w:lastRenderedPageBreak/>
        <w:t xml:space="preserve">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8</w:t>
      </w:r>
      <w:r w:rsidRPr="00D4498B">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w:t>
      </w:r>
      <w:r w:rsidR="00510605" w:rsidRPr="00D4498B">
        <w:rPr>
          <w:rFonts w:ascii="Times New Roman" w:eastAsia="Times New Roman" w:hAnsi="Times New Roman" w:cs="Times New Roman"/>
          <w:color w:val="000000"/>
          <w:sz w:val="28"/>
          <w:szCs w:val="28"/>
        </w:rPr>
        <w:t>9</w:t>
      </w:r>
      <w:r w:rsidRPr="00D4498B">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D4498B">
        <w:rPr>
          <w:rFonts w:ascii="Times New Roman" w:eastAsia="Times New Roman" w:hAnsi="Times New Roman" w:cs="Times New Roman"/>
          <w:color w:val="000000"/>
          <w:sz w:val="28"/>
          <w:szCs w:val="28"/>
        </w:rPr>
        <w:t>Wiltsey</w:t>
      </w:r>
      <w:proofErr w:type="spellEnd"/>
      <w:r w:rsidRPr="00D4498B">
        <w:rPr>
          <w:rFonts w:ascii="Times New Roman" w:eastAsia="Times New Roman" w:hAnsi="Times New Roman" w:cs="Times New Roman"/>
          <w:color w:val="000000"/>
          <w:sz w:val="28"/>
          <w:szCs w:val="28"/>
        </w:rPr>
        <w:t xml:space="preserve"> Road, south along I-5 to the intersection </w:t>
      </w:r>
      <w:r w:rsidRPr="00D4498B">
        <w:rPr>
          <w:rFonts w:ascii="Times New Roman" w:eastAsia="Times New Roman" w:hAnsi="Times New Roman" w:cs="Times New Roman"/>
          <w:color w:val="000000"/>
          <w:sz w:val="28"/>
          <w:szCs w:val="28"/>
        </w:rPr>
        <w:lastRenderedPageBreak/>
        <w:t xml:space="preserve">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D4498B">
        <w:rPr>
          <w:rFonts w:ascii="Times New Roman" w:eastAsia="Times New Roman" w:hAnsi="Times New Roman" w:cs="Times New Roman"/>
          <w:color w:val="000000"/>
          <w:sz w:val="28"/>
          <w:szCs w:val="28"/>
        </w:rPr>
        <w:t>Hylo</w:t>
      </w:r>
      <w:proofErr w:type="spellEnd"/>
      <w:r w:rsidRPr="00D4498B">
        <w:rPr>
          <w:rFonts w:ascii="Times New Roman" w:eastAsia="Times New Roman" w:hAnsi="Times New Roman" w:cs="Times New Roman"/>
          <w:color w:val="000000"/>
          <w:sz w:val="28"/>
          <w:szCs w:val="28"/>
        </w:rPr>
        <w:t xml:space="preserve"> Road SE; thence west along </w:t>
      </w:r>
      <w:proofErr w:type="spellStart"/>
      <w:r w:rsidRPr="00D4498B">
        <w:rPr>
          <w:rFonts w:ascii="Times New Roman" w:eastAsia="Times New Roman" w:hAnsi="Times New Roman" w:cs="Times New Roman"/>
          <w:color w:val="000000"/>
          <w:sz w:val="28"/>
          <w:szCs w:val="28"/>
        </w:rPr>
        <w:t>Hylo</w:t>
      </w:r>
      <w:proofErr w:type="spellEnd"/>
      <w:r w:rsidRPr="00D4498B">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D4498B">
        <w:rPr>
          <w:rFonts w:ascii="Times New Roman" w:eastAsia="Times New Roman" w:hAnsi="Times New Roman" w:cs="Times New Roman"/>
          <w:color w:val="000000"/>
          <w:sz w:val="28"/>
          <w:szCs w:val="28"/>
        </w:rPr>
        <w:t>Jory</w:t>
      </w:r>
      <w:proofErr w:type="spellEnd"/>
      <w:r w:rsidRPr="00D4498B">
        <w:rPr>
          <w:rFonts w:ascii="Times New Roman" w:eastAsia="Times New Roman" w:hAnsi="Times New Roman" w:cs="Times New Roman"/>
          <w:color w:val="000000"/>
          <w:sz w:val="28"/>
          <w:szCs w:val="28"/>
        </w:rPr>
        <w:t xml:space="preserve"> Hill Road; thence west along </w:t>
      </w:r>
      <w:proofErr w:type="spellStart"/>
      <w:r w:rsidRPr="00D4498B">
        <w:rPr>
          <w:rFonts w:ascii="Times New Roman" w:eastAsia="Times New Roman" w:hAnsi="Times New Roman" w:cs="Times New Roman"/>
          <w:color w:val="000000"/>
          <w:sz w:val="28"/>
          <w:szCs w:val="28"/>
        </w:rPr>
        <w:t>Jory</w:t>
      </w:r>
      <w:proofErr w:type="spellEnd"/>
      <w:r w:rsidRPr="00D4498B">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D4498B">
        <w:rPr>
          <w:rFonts w:ascii="Times New Roman" w:eastAsia="Times New Roman" w:hAnsi="Times New Roman" w:cs="Times New Roman"/>
          <w:color w:val="000000"/>
          <w:sz w:val="28"/>
          <w:szCs w:val="28"/>
        </w:rPr>
        <w:t>Ravena</w:t>
      </w:r>
      <w:proofErr w:type="spellEnd"/>
      <w:r w:rsidRPr="00D4498B">
        <w:rPr>
          <w:rFonts w:ascii="Times New Roman" w:eastAsia="Times New Roman" w:hAnsi="Times New Roman" w:cs="Times New Roman"/>
          <w:color w:val="000000"/>
          <w:sz w:val="28"/>
          <w:szCs w:val="28"/>
        </w:rPr>
        <w:t xml:space="preserve"> Drive; thence southerly and easterly along </w:t>
      </w:r>
      <w:proofErr w:type="spellStart"/>
      <w:r w:rsidRPr="00D4498B">
        <w:rPr>
          <w:rFonts w:ascii="Times New Roman" w:eastAsia="Times New Roman" w:hAnsi="Times New Roman" w:cs="Times New Roman"/>
          <w:color w:val="000000"/>
          <w:sz w:val="28"/>
          <w:szCs w:val="28"/>
        </w:rPr>
        <w:t>Ravena</w:t>
      </w:r>
      <w:proofErr w:type="spellEnd"/>
      <w:r w:rsidRPr="00D4498B">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D4498B">
        <w:rPr>
          <w:rFonts w:ascii="Times New Roman" w:eastAsia="Times New Roman" w:hAnsi="Times New Roman" w:cs="Times New Roman"/>
          <w:color w:val="000000"/>
          <w:sz w:val="28"/>
          <w:szCs w:val="28"/>
        </w:rPr>
        <w:t>Brooklake</w:t>
      </w:r>
      <w:proofErr w:type="spellEnd"/>
      <w:r w:rsidRPr="00D4498B">
        <w:rPr>
          <w:rFonts w:ascii="Times New Roman" w:eastAsia="Times New Roman" w:hAnsi="Times New Roman" w:cs="Times New Roman"/>
          <w:color w:val="000000"/>
          <w:sz w:val="28"/>
          <w:szCs w:val="28"/>
        </w:rPr>
        <w:t xml:space="preserve"> Road; thence southeast along </w:t>
      </w:r>
      <w:proofErr w:type="spellStart"/>
      <w:r w:rsidRPr="00D4498B">
        <w:rPr>
          <w:rFonts w:ascii="Times New Roman" w:eastAsia="Times New Roman" w:hAnsi="Times New Roman" w:cs="Times New Roman"/>
          <w:color w:val="000000"/>
          <w:sz w:val="28"/>
          <w:szCs w:val="28"/>
        </w:rPr>
        <w:t>Brooklake</w:t>
      </w:r>
      <w:proofErr w:type="spellEnd"/>
      <w:r w:rsidRPr="00D4498B">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D4498B">
        <w:rPr>
          <w:rFonts w:ascii="Times New Roman" w:eastAsia="Times New Roman" w:hAnsi="Times New Roman" w:cs="Times New Roman"/>
          <w:color w:val="000000"/>
          <w:sz w:val="28"/>
          <w:szCs w:val="28"/>
        </w:rPr>
        <w:t>Labish</w:t>
      </w:r>
      <w:proofErr w:type="spellEnd"/>
      <w:r w:rsidRPr="00D4498B">
        <w:rPr>
          <w:rFonts w:ascii="Times New Roman" w:eastAsia="Times New Roman" w:hAnsi="Times New Roman" w:cs="Times New Roman"/>
          <w:color w:val="000000"/>
          <w:sz w:val="28"/>
          <w:szCs w:val="28"/>
        </w:rPr>
        <w:t xml:space="preserve"> Road; thence east along </w:t>
      </w:r>
      <w:proofErr w:type="spellStart"/>
      <w:r w:rsidRPr="00D4498B">
        <w:rPr>
          <w:rFonts w:ascii="Times New Roman" w:eastAsia="Times New Roman" w:hAnsi="Times New Roman" w:cs="Times New Roman"/>
          <w:color w:val="000000"/>
          <w:sz w:val="28"/>
          <w:szCs w:val="28"/>
        </w:rPr>
        <w:t>Labish</w:t>
      </w:r>
      <w:proofErr w:type="spellEnd"/>
      <w:r w:rsidRPr="00D4498B">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D4498B">
        <w:rPr>
          <w:rFonts w:ascii="Times New Roman" w:eastAsia="Times New Roman" w:hAnsi="Times New Roman" w:cs="Times New Roman"/>
          <w:color w:val="000000"/>
          <w:sz w:val="28"/>
          <w:szCs w:val="28"/>
        </w:rPr>
        <w:t>Sunnyview</w:t>
      </w:r>
      <w:proofErr w:type="spellEnd"/>
      <w:r w:rsidRPr="00D4498B">
        <w:rPr>
          <w:rFonts w:ascii="Times New Roman" w:eastAsia="Times New Roman" w:hAnsi="Times New Roman" w:cs="Times New Roman"/>
          <w:color w:val="000000"/>
          <w:sz w:val="28"/>
          <w:szCs w:val="28"/>
        </w:rPr>
        <w:t xml:space="preserve"> Road; thence east along </w:t>
      </w:r>
      <w:proofErr w:type="spellStart"/>
      <w:r w:rsidRPr="00D4498B">
        <w:rPr>
          <w:rFonts w:ascii="Times New Roman" w:eastAsia="Times New Roman" w:hAnsi="Times New Roman" w:cs="Times New Roman"/>
          <w:color w:val="000000"/>
          <w:sz w:val="28"/>
          <w:szCs w:val="28"/>
        </w:rPr>
        <w:t>Sunnyview</w:t>
      </w:r>
      <w:proofErr w:type="spellEnd"/>
      <w:r w:rsidRPr="00D4498B">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w:t>
      </w:r>
      <w:r w:rsidRPr="00D4498B">
        <w:rPr>
          <w:rFonts w:ascii="Times New Roman" w:eastAsia="Times New Roman" w:hAnsi="Times New Roman" w:cs="Times New Roman"/>
          <w:color w:val="000000"/>
          <w:sz w:val="28"/>
          <w:szCs w:val="28"/>
        </w:rPr>
        <w:lastRenderedPageBreak/>
        <w:t xml:space="preserve">southeast along Santiam Highway 22 to the point where it intersects the Salem Urban Growth Boundary (SUGB); thence following the southeast boundary of the SUGB generally southerly and westerly to the intersection with </w:t>
      </w:r>
      <w:proofErr w:type="spellStart"/>
      <w:r w:rsidRPr="00D4498B">
        <w:rPr>
          <w:rFonts w:ascii="Times New Roman" w:eastAsia="Times New Roman" w:hAnsi="Times New Roman" w:cs="Times New Roman"/>
          <w:color w:val="000000"/>
          <w:sz w:val="28"/>
          <w:szCs w:val="28"/>
        </w:rPr>
        <w:t>Wiltsey</w:t>
      </w:r>
      <w:proofErr w:type="spellEnd"/>
      <w:r w:rsidRPr="00D4498B">
        <w:rPr>
          <w:rFonts w:ascii="Times New Roman" w:eastAsia="Times New Roman" w:hAnsi="Times New Roman" w:cs="Times New Roman"/>
          <w:color w:val="000000"/>
          <w:sz w:val="28"/>
          <w:szCs w:val="28"/>
        </w:rPr>
        <w:t xml:space="preserve"> Road; thence west along </w:t>
      </w:r>
      <w:proofErr w:type="spellStart"/>
      <w:r w:rsidRPr="00D4498B">
        <w:rPr>
          <w:rFonts w:ascii="Times New Roman" w:eastAsia="Times New Roman" w:hAnsi="Times New Roman" w:cs="Times New Roman"/>
          <w:color w:val="000000"/>
          <w:sz w:val="28"/>
          <w:szCs w:val="28"/>
        </w:rPr>
        <w:t>Wiltsey</w:t>
      </w:r>
      <w:proofErr w:type="spellEnd"/>
      <w:r w:rsidRPr="00D4498B">
        <w:rPr>
          <w:rFonts w:ascii="Times New Roman" w:eastAsia="Times New Roman" w:hAnsi="Times New Roman" w:cs="Times New Roman"/>
          <w:color w:val="000000"/>
          <w:sz w:val="28"/>
          <w:szCs w:val="28"/>
        </w:rPr>
        <w:t xml:space="preserve"> Road to the intersection with I-5 (the point of beginning).</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w:t>
      </w:r>
      <w:r w:rsidR="00510605" w:rsidRPr="00D4498B">
        <w:rPr>
          <w:rFonts w:ascii="Times New Roman" w:eastAsia="Times New Roman" w:hAnsi="Times New Roman" w:cs="Times New Roman"/>
          <w:color w:val="000000"/>
          <w:sz w:val="28"/>
          <w:szCs w:val="28"/>
        </w:rPr>
        <w:t>30</w:t>
      </w:r>
      <w:r w:rsidRPr="00D4498B">
        <w:rPr>
          <w:rFonts w:ascii="Times New Roman" w:eastAsia="Times New Roman" w:hAnsi="Times New Roman" w:cs="Times New Roman"/>
          <w:color w:val="000000"/>
          <w:sz w:val="28"/>
          <w:szCs w:val="28"/>
        </w:rPr>
        <w:t>) “UGB” means Urban Growth Boundary.</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(3</w:t>
      </w:r>
      <w:r w:rsidR="00510605" w:rsidRPr="00D4498B">
        <w:rPr>
          <w:rFonts w:ascii="Times New Roman" w:eastAsia="Times New Roman" w:hAnsi="Times New Roman" w:cs="Times New Roman"/>
          <w:color w:val="000000"/>
          <w:sz w:val="28"/>
          <w:szCs w:val="28"/>
        </w:rPr>
        <w:t>1</w:t>
      </w:r>
      <w:r w:rsidRPr="00D4498B">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5-25-95; DEQ 18-1996,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8-19-96; DEQ 1-1999,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1-25-99; DEQ 14-1999,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10-14-99, Renumbered from 340-031-0500; DEQ 1-2005,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1-4-05; DEQ 3-2007,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4-12-07; DEQ 5-2010,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5-21-10; DEQ 18-2011,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Wheel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The AQCRs should not be confused with the recent DEQ reorganization that split the state into three DEQ regions: Northwest, West and East.</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w:t>
      </w:r>
      <w:proofErr w:type="spellStart"/>
      <w:r w:rsidRPr="00D4498B">
        <w:rPr>
          <w:rFonts w:ascii="Times New Roman" w:eastAsia="Times New Roman" w:hAnsi="Times New Roman" w:cs="Times New Roman"/>
          <w:bCs/>
          <w:color w:val="000000"/>
          <w:sz w:val="28"/>
          <w:szCs w:val="28"/>
        </w:rPr>
        <w:t>ef</w:t>
      </w:r>
      <w:proofErr w:type="spellEnd"/>
      <w:r w:rsidRPr="00D4498B">
        <w:rPr>
          <w:rFonts w:ascii="Times New Roman" w:eastAsia="Times New Roman" w:hAnsi="Times New Roman" w:cs="Times New Roman"/>
          <w:bCs/>
          <w:color w:val="000000"/>
          <w:sz w:val="28"/>
          <w:szCs w:val="28"/>
        </w:rPr>
        <w:t xml:space="preserve">. </w:t>
      </w:r>
      <w:proofErr w:type="gramStart"/>
      <w:r w:rsidRPr="00D4498B">
        <w:rPr>
          <w:rFonts w:ascii="Times New Roman" w:eastAsia="Times New Roman" w:hAnsi="Times New Roman" w:cs="Times New Roman"/>
          <w:bCs/>
          <w:color w:val="000000"/>
          <w:sz w:val="28"/>
          <w:szCs w:val="28"/>
        </w:rPr>
        <w:t xml:space="preserve">5-25-95; DEQ 14-1999, f. &amp; cert. </w:t>
      </w:r>
      <w:proofErr w:type="spellStart"/>
      <w:r w:rsidRPr="00D4498B">
        <w:rPr>
          <w:rFonts w:ascii="Times New Roman" w:eastAsia="Times New Roman" w:hAnsi="Times New Roman" w:cs="Times New Roman"/>
          <w:bCs/>
          <w:color w:val="000000"/>
          <w:sz w:val="28"/>
          <w:szCs w:val="28"/>
        </w:rPr>
        <w:t>ef</w:t>
      </w:r>
      <w:proofErr w:type="spellEnd"/>
      <w:r w:rsidRPr="00D4498B">
        <w:rPr>
          <w:rFonts w:ascii="Times New Roman" w:eastAsia="Times New Roman" w:hAnsi="Times New Roman" w:cs="Times New Roman"/>
          <w:bCs/>
          <w:color w:val="000000"/>
          <w:sz w:val="28"/>
          <w:szCs w:val="28"/>
        </w:rPr>
        <w:t>.</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(2) The Klamath Falls Nonattainment Area for PM2.5 is as follows: </w:t>
      </w:r>
      <w:r w:rsidRPr="00D4498B">
        <w:rPr>
          <w:rFonts w:ascii="Times New Roman" w:eastAsia="Times New Roman" w:hAnsi="Times New Roman" w:cs="Times New Roman"/>
          <w:color w:val="000000"/>
          <w:sz w:val="28"/>
          <w:szCs w:val="28"/>
          <w:highlight w:val="yellow"/>
        </w:rPr>
        <w:t xml:space="preserve">Townships and ranges defined by T37S R9E Sections 31-32. T38S R8E Sections 1-5, 8-16, 22-26, </w:t>
      </w:r>
      <w:proofErr w:type="gramStart"/>
      <w:r w:rsidRPr="00D4498B">
        <w:rPr>
          <w:rFonts w:ascii="Times New Roman" w:eastAsia="Times New Roman" w:hAnsi="Times New Roman" w:cs="Times New Roman"/>
          <w:color w:val="000000"/>
          <w:sz w:val="28"/>
          <w:szCs w:val="28"/>
          <w:highlight w:val="yellow"/>
        </w:rPr>
        <w:t>35</w:t>
      </w:r>
      <w:proofErr w:type="gramEnd"/>
      <w:r w:rsidRPr="00D4498B">
        <w:rPr>
          <w:rFonts w:ascii="Times New Roman" w:eastAsia="Times New Roman" w:hAnsi="Times New Roman" w:cs="Times New Roman"/>
          <w:color w:val="000000"/>
          <w:sz w:val="28"/>
          <w:szCs w:val="28"/>
          <w:highlight w:val="yellow"/>
        </w:rPr>
        <w:t>-36. T38S R9E Sections 5-8, 14-15, 17-36. T39S R8E Sections 1-2, 11-13, 24. T39S R9E Sections 1-27. T39S R10E Sections 3-10, 15-20, 29-30.</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5-25-95; DEQ 18-1996,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8-19-96; DEQ 15-1998,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9-23-98; DEQ 1-1999,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1-25-99; DEQ 14-1999,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10-14-99, Renumbered from 340-031-0520; DEQ 15-1999,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10-22-99; DEQ 16-2000,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10-25-00; DEQ 6-2001, f. 6-18-01,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7-1-01; DEQ 11-2002,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10-8-02; DEQ 1-2005,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w:t>
      </w:r>
      <w:r w:rsidRPr="00D4498B">
        <w:rPr>
          <w:rFonts w:ascii="Times New Roman" w:eastAsia="Times New Roman" w:hAnsi="Times New Roman" w:cs="Times New Roman"/>
          <w:color w:val="000000"/>
          <w:sz w:val="28"/>
          <w:szCs w:val="28"/>
        </w:rPr>
        <w:lastRenderedPageBreak/>
        <w:t xml:space="preserve">4-05; DEQ 9-2005,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9-9-05; DEQ 3-2007,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4-12-07; DEQ 4-2007,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6-28-07; DEQ 5-2010,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 xml:space="preserve">5-21-10; DEQ 18-2011, f. &amp; cert. </w:t>
      </w:r>
      <w:proofErr w:type="spellStart"/>
      <w:r w:rsidRPr="00D4498B">
        <w:rPr>
          <w:rFonts w:ascii="Times New Roman" w:eastAsia="Times New Roman" w:hAnsi="Times New Roman" w:cs="Times New Roman"/>
          <w:color w:val="000000"/>
          <w:sz w:val="28"/>
          <w:szCs w:val="28"/>
        </w:rPr>
        <w:t>ef</w:t>
      </w:r>
      <w:proofErr w:type="spellEnd"/>
      <w:r w:rsidRPr="00D4498B">
        <w:rPr>
          <w:rFonts w:ascii="Times New Roman" w:eastAsia="Times New Roman" w:hAnsi="Times New Roman" w:cs="Times New Roman"/>
          <w:color w:val="000000"/>
          <w:sz w:val="28"/>
          <w:szCs w:val="28"/>
        </w:rPr>
        <w:t>.</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 xml:space="preserve">340-204-0040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 Carbon Monoxide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Eugene Maintenance Area for Carbon Monoxide is the Eugene-Springfield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Portland Maintenance Area for Carbon Monoxide is the Portland Metropolitan Service District as referenced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 Carbon Monoxide Maintenance Area is the Medford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Grants Pass Carbon Monoxide Maintenance Area is the Grants Pass CBD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Klamath Falls Carbon Monoxide Maintenance Area is the Klamath Falls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Salem Carbon Monoxide Maintenance Area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Ozone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Medford Maintenance Area for Ozone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Oregon portion of the Portland-Vancouver Interstate Maintenance Area for Ozone is the Portland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Salem Maintenance Area for Ozone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(3) PM10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Grants Pass PM10 Maintenance Area is the Grants Pass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Klamath Falls PM10 Maintenance Area is the Klamath Falls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Medford-Ashland PM10 Maintenance Area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La Grande PM10 Maintenance Area is the La Grande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Lakeview PM10 Maintenance Area is the Lakeview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Eugene-Springfield PM10 Maintenance Area is the Eugene-Springfield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This rule is included in the State of Oregon Clean Air Act Implementation Plan as adopted by the Environmental Quality Commission under OAR 340-200-0040.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Stat. Auth.: ORS 468.020 </w:t>
      </w:r>
      <w:r w:rsidRPr="00D4498B">
        <w:rPr>
          <w:rFonts w:ascii="Times New Roman" w:hAnsi="Times New Roman" w:cs="Times New Roman"/>
          <w:sz w:val="28"/>
          <w:szCs w:val="28"/>
        </w:rPr>
        <w:br/>
        <w:t xml:space="preserve">Stats. Implemented: ORS 468A.025 </w:t>
      </w:r>
      <w:r w:rsidRPr="00D4498B">
        <w:rPr>
          <w:rFonts w:ascii="Times New Roman" w:hAnsi="Times New Roman" w:cs="Times New Roman"/>
          <w:sz w:val="28"/>
          <w:szCs w:val="28"/>
        </w:rPr>
        <w:br/>
        <w:t xml:space="preserve">Hist.: DEQ 14-1995,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5-25-95; DEQ 18-1996,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8-19-96; DEQ 15-1998,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9-23-98; DEQ 1-1999,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1-25-99; DEQ 14-1999,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10-14-99, Renumbered from 340-031-0530; DEQ 15-1999,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10-22-99; DEQ 16-2000,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10-25-00; DEQ 11-2002,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10-8-02; DEQ 1-2005,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1-4-05; DEQ 9-2005,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9-9-05; </w:t>
      </w:r>
      <w:r w:rsidRPr="00D4498B">
        <w:rPr>
          <w:rFonts w:ascii="Times New Roman" w:hAnsi="Times New Roman" w:cs="Times New Roman"/>
          <w:sz w:val="28"/>
          <w:szCs w:val="28"/>
        </w:rPr>
        <w:lastRenderedPageBreak/>
        <w:t xml:space="preserve">DEQ 3-2007,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4-12-07; DEQ 4-2007,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6-28-07; DEQ 18-2011,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12-21-11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340-204-0050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All of the following areas which were in existence on August 7, 1977, shall be Class I Areas and may not be redesignated: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Mt. Hood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Eagle Cap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gramStart"/>
      <w:r w:rsidRPr="00D4498B">
        <w:rPr>
          <w:rFonts w:ascii="Times New Roman" w:hAnsi="Times New Roman" w:cs="Times New Roman"/>
          <w:sz w:val="28"/>
          <w:szCs w:val="28"/>
        </w:rPr>
        <w:t>c</w:t>
      </w:r>
      <w:proofErr w:type="gramEnd"/>
      <w:r w:rsidRPr="00D4498B">
        <w:rPr>
          <w:rFonts w:ascii="Times New Roman" w:hAnsi="Times New Roman" w:cs="Times New Roman"/>
          <w:sz w:val="28"/>
          <w:szCs w:val="28"/>
        </w:rPr>
        <w:t>) Hells Canyon Wilderness, as established by Public Law 94-199;</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Mt. Jefferson Wilderness, as established by Public Law 90-548;</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(e) Mt. Washington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(f) Three Sisters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(g) Strawberry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(h) Diamond Peak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spellStart"/>
      <w:r w:rsidRPr="00D4498B">
        <w:rPr>
          <w:rFonts w:ascii="Times New Roman" w:hAnsi="Times New Roman" w:cs="Times New Roman"/>
          <w:sz w:val="28"/>
          <w:szCs w:val="28"/>
        </w:rPr>
        <w:t>i</w:t>
      </w:r>
      <w:proofErr w:type="spellEnd"/>
      <w:r w:rsidRPr="00D4498B">
        <w:rPr>
          <w:rFonts w:ascii="Times New Roman" w:hAnsi="Times New Roman" w:cs="Times New Roman"/>
          <w:sz w:val="28"/>
          <w:szCs w:val="28"/>
        </w:rPr>
        <w:t>) Crater Lake National Park, as established by Public Law 88-577 and expanded in the 1990 Clean Air Act Amendments;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(j) </w:t>
      </w:r>
      <w:proofErr w:type="spellStart"/>
      <w:r w:rsidRPr="00D4498B">
        <w:rPr>
          <w:rFonts w:ascii="Times New Roman" w:hAnsi="Times New Roman" w:cs="Times New Roman"/>
          <w:sz w:val="28"/>
          <w:szCs w:val="28"/>
        </w:rPr>
        <w:t>Kalmiopsis</w:t>
      </w:r>
      <w:proofErr w:type="spellEnd"/>
      <w:r w:rsidRPr="00D4498B">
        <w:rPr>
          <w:rFonts w:ascii="Times New Roman" w:hAnsi="Times New Roman" w:cs="Times New Roman"/>
          <w:sz w:val="28"/>
          <w:szCs w:val="28"/>
        </w:rPr>
        <w:t xml:space="preserv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(k) Mountain Lake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(l) Gearhart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All other areas, in Oregon are initially designated Class II, but may be redesignated as provided in OAR 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The following areas may be redesignated only as Class I or 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An area which as of August 7, 1977, exceeded 10,000 acres in size and was a national monument, a national primitive area, a national preserve, a national </w:t>
      </w:r>
      <w:r w:rsidRPr="00D4498B">
        <w:rPr>
          <w:rFonts w:ascii="Times New Roman" w:hAnsi="Times New Roman" w:cs="Times New Roman"/>
          <w:sz w:val="28"/>
          <w:szCs w:val="28"/>
        </w:rPr>
        <w:lastRenderedPageBreak/>
        <w:t>recreational area, a national wild and scenic river, a national wildlife refuge, a national lakeshore or seashore;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A national park or national wilderness area established after August 7, 1977, which exceeds 10,000 acres in size.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The extent of the areas referred to in section (1) and (3) of this rule shall conform to any changes in the boundaries of such areas which occurred between August 7, 1977, and November 15, 1990.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6-22-79; DEQ 4-1993,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3-10-93; DEQ 14-1995,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5-25-95; DEQ 17-1995,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7-12-95; DEQ 14-1999,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10-14-99, Renumbered from 340-031-0120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proofErr w:type="spellStart"/>
      <w:r w:rsidRPr="00D4498B">
        <w:rPr>
          <w:rFonts w:ascii="Times New Roman" w:hAnsi="Times New Roman" w:cs="Times New Roman"/>
          <w:b/>
          <w:bCs/>
          <w:sz w:val="28"/>
          <w:szCs w:val="28"/>
        </w:rPr>
        <w:t>Redesignation</w:t>
      </w:r>
      <w:proofErr w:type="spellEnd"/>
      <w:r w:rsidRPr="00D4498B">
        <w:rPr>
          <w:rFonts w:ascii="Times New Roman" w:hAnsi="Times New Roman" w:cs="Times New Roman"/>
          <w:b/>
          <w:bCs/>
          <w:sz w:val="28"/>
          <w:szCs w:val="28"/>
        </w:rPr>
        <w:t xml:space="preserve">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except as otherwise precluded by OAR 340-204-0050, may be proposed by the Department or Indian Governing Bodies,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The Department may submit to the EPA Administrator a proposal to </w:t>
      </w:r>
      <w:proofErr w:type="spellStart"/>
      <w:r w:rsidRPr="00D4498B">
        <w:rPr>
          <w:rFonts w:ascii="Times New Roman" w:hAnsi="Times New Roman" w:cs="Times New Roman"/>
          <w:sz w:val="28"/>
          <w:szCs w:val="28"/>
        </w:rPr>
        <w:t>redesignate</w:t>
      </w:r>
      <w:proofErr w:type="spellEnd"/>
      <w:r w:rsidRPr="00D4498B">
        <w:rPr>
          <w:rFonts w:ascii="Times New Roman" w:hAnsi="Times New Roman" w:cs="Times New Roman"/>
          <w:sz w:val="28"/>
          <w:szCs w:val="28"/>
        </w:rPr>
        <w:t xml:space="preserv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(b) Other States, Indian Governing Bodies, and Federal Land Managers whose lands may be affected by the proposed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A discussion of the reasons for the proposed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including a satisfactory description and analysis of the health, environmental, economic, social and energy effects of the proposed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Prior to the issuance of notice respecting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of an area that includes any Federal lands, the Department has provided written notice to the appropriate Federal Land Manager and afforded adequate opportunity, not in excess of 60 days to confer with the Department respecting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and to submit written comments and recommendations. In </w:t>
      </w:r>
      <w:proofErr w:type="spellStart"/>
      <w:r w:rsidRPr="00D4498B">
        <w:rPr>
          <w:rFonts w:ascii="Times New Roman" w:hAnsi="Times New Roman" w:cs="Times New Roman"/>
          <w:sz w:val="28"/>
          <w:szCs w:val="28"/>
        </w:rPr>
        <w:t>redesignating</w:t>
      </w:r>
      <w:proofErr w:type="spellEnd"/>
      <w:r w:rsidRPr="00D4498B">
        <w:rPr>
          <w:rFonts w:ascii="Times New Roman" w:hAnsi="Times New Roman" w:cs="Times New Roman"/>
          <w:sz w:val="28"/>
          <w:szCs w:val="28"/>
        </w:rPr>
        <w:t xml:space="preserve"> any area with respect to which any Federal Land Manager had submitted written comments and recommendations, the Department shall have published a list of any inconsistency between such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and such comments and recommendations together with the reasons for making such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Department has proposed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after consultation with the elected leadership of local general purpose governments in the area covered by the proposed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must be specifically approved by state legislation, and if general purpose units of </w:t>
      </w:r>
      <w:r w:rsidRPr="00D4498B">
        <w:rPr>
          <w:rFonts w:ascii="Times New Roman" w:hAnsi="Times New Roman" w:cs="Times New Roman"/>
          <w:sz w:val="28"/>
          <w:szCs w:val="28"/>
        </w:rPr>
        <w:lastRenderedPageBreak/>
        <w:t xml:space="preserve">local government representing a majority of the residents of the area to be redesignated enact legislation or pass resolutions concurring in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of the area as Class III.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(4) Lands within the exterior boundaries of Indian Reservations may be redesignated only by the appropriate Indian Governing Body. The appropriate Indian Governing Body may submit to the EPA Administrator a proposal to </w:t>
      </w:r>
      <w:proofErr w:type="spellStart"/>
      <w:r w:rsidRPr="00D4498B">
        <w:rPr>
          <w:rFonts w:ascii="Times New Roman" w:hAnsi="Times New Roman" w:cs="Times New Roman"/>
          <w:sz w:val="28"/>
          <w:szCs w:val="28"/>
        </w:rPr>
        <w:t>redesignate</w:t>
      </w:r>
      <w:proofErr w:type="spellEnd"/>
      <w:r w:rsidRPr="00D4498B">
        <w:rPr>
          <w:rFonts w:ascii="Times New Roman" w:hAnsi="Times New Roman" w:cs="Times New Roman"/>
          <w:sz w:val="28"/>
          <w:szCs w:val="28"/>
        </w:rPr>
        <w:t xml:space="preserve"> areas Class I, II, or III;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Indian Governing Body has followed procedures equivalent to those required of the Department under section (2) and subsections (3</w:t>
      </w:r>
      <w:proofErr w:type="gramStart"/>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c) and (d) of this rule;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Such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is proposed after consultation with the state(s) in which the Indian Reservation is located and which border the Indian Reservation.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(5) The EPA Administrator shall disapprove, within 90 days of submission, a proposed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of any area only if he finds, after notice and opportunity for public hearing, that such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does not meet the procedural requirements of this paragraph or is inconsistent with OAR 340-204-0050. If any such disapproval occurs, the classification of the area shall be that which was in effect prior to the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xml:space="preserve">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(6) If the EPA Administrator disapproves any proposed </w:t>
      </w:r>
      <w:proofErr w:type="spellStart"/>
      <w:r w:rsidRPr="00D4498B">
        <w:rPr>
          <w:rFonts w:ascii="Times New Roman" w:hAnsi="Times New Roman" w:cs="Times New Roman"/>
          <w:sz w:val="28"/>
          <w:szCs w:val="28"/>
        </w:rPr>
        <w:t>redesignation</w:t>
      </w:r>
      <w:proofErr w:type="spellEnd"/>
      <w:r w:rsidRPr="00D4498B">
        <w:rPr>
          <w:rFonts w:ascii="Times New Roman" w:hAnsi="Times New Roman" w:cs="Times New Roman"/>
          <w:sz w:val="28"/>
          <w:szCs w:val="28"/>
        </w:rPr>
        <w:t>, the Department or Indian Governing Body, as appropriate,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6-22-79; DEQ 4-1993,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3-10-93; DEQ 14-1999,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340-204-0070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The counties within the Willamette Valley, including Benton, Clackamas, Columbia, Lane, Linn, Marion, Multnomah, Polk,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Umpqua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Rogue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Within incorporated cities having a population of 4,000 or more, and within three miles of the corporate limits of any such city.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 xml:space="preserve">Stats. </w:t>
      </w:r>
      <w:proofErr w:type="spellStart"/>
      <w:r w:rsidRPr="00D4498B">
        <w:rPr>
          <w:rFonts w:ascii="Times New Roman" w:hAnsi="Times New Roman" w:cs="Times New Roman"/>
          <w:sz w:val="28"/>
          <w:szCs w:val="28"/>
        </w:rPr>
        <w:t>Implemented</w:t>
      </w:r>
      <w:proofErr w:type="gramStart"/>
      <w:r w:rsidRPr="00D4498B">
        <w:rPr>
          <w:rFonts w:ascii="Times New Roman" w:hAnsi="Times New Roman" w:cs="Times New Roman"/>
          <w:sz w:val="28"/>
          <w:szCs w:val="28"/>
        </w:rPr>
        <w:t>:ORS</w:t>
      </w:r>
      <w:proofErr w:type="spellEnd"/>
      <w:proofErr w:type="gramEnd"/>
      <w:r w:rsidRPr="00D4498B">
        <w:rPr>
          <w:rFonts w:ascii="Times New Roman" w:hAnsi="Times New Roman" w:cs="Times New Roman"/>
          <w:sz w:val="28"/>
          <w:szCs w:val="28"/>
        </w:rPr>
        <w:t xml:space="preserve"> 468A.025</w:t>
      </w:r>
      <w:r w:rsidRPr="00D4498B">
        <w:rPr>
          <w:rFonts w:ascii="Times New Roman" w:hAnsi="Times New Roman" w:cs="Times New Roman"/>
          <w:sz w:val="28"/>
          <w:szCs w:val="28"/>
        </w:rPr>
        <w:br/>
        <w:t xml:space="preserve">Hist.: DEQ 16, f. 6-12-70,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7-11-70; DEQ 4-1993,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3-10-93; DEQ 10-1995,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5-1-95; DEQ 14-1999,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10-14-99, Renumbered from 340-021-0010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340-204-0080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Motor Vehicle Inspection Boundary Designations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Portland Vehicle Inspection Area;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Medford-Ashland AQMA.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468.020</w:t>
      </w:r>
      <w:r w:rsidRPr="00D4498B">
        <w:rPr>
          <w:rFonts w:ascii="Times New Roman" w:hAnsi="Times New Roman" w:cs="Times New Roman"/>
          <w:sz w:val="28"/>
          <w:szCs w:val="28"/>
        </w:rPr>
        <w:br/>
        <w:t>Stats. Implemented: ORS 468A.390</w:t>
      </w:r>
      <w:r w:rsidRPr="00D4498B">
        <w:rPr>
          <w:rFonts w:ascii="Times New Roman" w:hAnsi="Times New Roman" w:cs="Times New Roman"/>
          <w:sz w:val="28"/>
          <w:szCs w:val="28"/>
        </w:rPr>
        <w:br/>
        <w:t xml:space="preserve">Hist.: DEQ 11-1985, f. 9-30-85,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1-1-86; DEQ 21-1988,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9-12-88; DEQ 4-1993,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3-10-93; DEQ 1-1995,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1-10-95; DEQ 13-1996,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8-12-96; DEQ 14-1999,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10-14-99, Renumbered from 340-024-0301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Oxygenated Gasoline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 oxygenated gasoline control areas until October 31, 2007: Clackamas, Multnomah,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AF5A86" w:rsidRPr="00D4498B" w:rsidRDefault="00D4498B">
      <w:pPr>
        <w:rPr>
          <w:rFonts w:ascii="Times New Roman" w:hAnsi="Times New Roman" w:cs="Times New Roman"/>
          <w:sz w:val="28"/>
          <w:szCs w:val="28"/>
        </w:rPr>
      </w:pPr>
      <w:r w:rsidRPr="00D4498B">
        <w:rPr>
          <w:rFonts w:ascii="Times New Roman" w:hAnsi="Times New Roman" w:cs="Times New Roman"/>
          <w:sz w:val="28"/>
          <w:szCs w:val="28"/>
        </w:rPr>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11-1-92; DEQ 4-1993,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3-10-93; DEQ 14-1999,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10-14-99, Renumbered from 340-022-0470; DEQ 15-1999,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10-22-99; DEQ 16-2000,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10-25-00; DEQ 4-2001,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 xml:space="preserve">3-27-01; DEQ 10-2004, f. &amp; cert. </w:t>
      </w:r>
      <w:proofErr w:type="spellStart"/>
      <w:r w:rsidRPr="00D4498B">
        <w:rPr>
          <w:rFonts w:ascii="Times New Roman" w:hAnsi="Times New Roman" w:cs="Times New Roman"/>
          <w:sz w:val="28"/>
          <w:szCs w:val="28"/>
        </w:rPr>
        <w:t>ef</w:t>
      </w:r>
      <w:proofErr w:type="spellEnd"/>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 xml:space="preserve"> 12-15-04</w:t>
      </w:r>
    </w:p>
    <w:sectPr w:rsidR="00AF5A86" w:rsidRPr="00D4498B" w:rsidSect="00AF5A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7438"/>
    <w:rsid w:val="0000230F"/>
    <w:rsid w:val="002738EE"/>
    <w:rsid w:val="003271AC"/>
    <w:rsid w:val="00510605"/>
    <w:rsid w:val="00635F59"/>
    <w:rsid w:val="00711BC7"/>
    <w:rsid w:val="00AE7438"/>
    <w:rsid w:val="00AF5A86"/>
    <w:rsid w:val="00C66AF9"/>
    <w:rsid w:val="00D4498B"/>
    <w:rsid w:val="00E71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rPr>
  </w:style>
</w:styles>
</file>

<file path=word/webSettings.xml><?xml version="1.0" encoding="utf-8"?>
<w:webSettings xmlns:r="http://schemas.openxmlformats.org/officeDocument/2006/relationships" xmlns:w="http://schemas.openxmlformats.org/wordprocessingml/2006/main">
  <w:divs>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11998</Words>
  <Characters>68394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Sakata</dc:creator>
  <cp:lastModifiedBy>Preferred Customer</cp:lastModifiedBy>
  <cp:revision>2</cp:revision>
  <dcterms:created xsi:type="dcterms:W3CDTF">2012-08-30T17:01:00Z</dcterms:created>
  <dcterms:modified xsi:type="dcterms:W3CDTF">2012-08-30T17:01:00Z</dcterms:modified>
</cp:coreProperties>
</file>