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BF" w:rsidRDefault="00BE15A5" w:rsidP="00BE15A5">
      <w:pPr>
        <w:spacing w:after="0" w:line="240" w:lineRule="auto"/>
        <w:jc w:val="center"/>
        <w:rPr>
          <w:b/>
        </w:rPr>
      </w:pPr>
      <w:r>
        <w:rPr>
          <w:b/>
        </w:rPr>
        <w:t>Issues</w:t>
      </w:r>
      <w:r w:rsidR="00F467F5">
        <w:rPr>
          <w:b/>
        </w:rPr>
        <w:t xml:space="preserve"> for Andy Meeting</w:t>
      </w:r>
    </w:p>
    <w:p w:rsidR="00BE15A5" w:rsidRDefault="00BE15A5" w:rsidP="00BE15A5">
      <w:pPr>
        <w:spacing w:after="0" w:line="240" w:lineRule="auto"/>
        <w:jc w:val="center"/>
      </w:pPr>
      <w:r>
        <w:t>09/17/12 Meeting</w:t>
      </w:r>
    </w:p>
    <w:tbl>
      <w:tblPr>
        <w:tblStyle w:val="TableGrid"/>
        <w:tblW w:w="0" w:type="auto"/>
        <w:tblInd w:w="720" w:type="dxa"/>
        <w:tblLook w:val="04A0"/>
      </w:tblPr>
      <w:tblGrid>
        <w:gridCol w:w="3798"/>
        <w:gridCol w:w="5716"/>
        <w:gridCol w:w="2178"/>
        <w:gridCol w:w="2178"/>
      </w:tblGrid>
      <w:tr w:rsidR="00BE15A5" w:rsidRPr="00115101" w:rsidTr="004409C3">
        <w:trPr>
          <w:tblHeader/>
        </w:trPr>
        <w:tc>
          <w:tcPr>
            <w:tcW w:w="3798" w:type="dxa"/>
          </w:tcPr>
          <w:p w:rsidR="00BE15A5" w:rsidRPr="00115101" w:rsidRDefault="00BE15A5" w:rsidP="00BE15A5">
            <w:pPr>
              <w:jc w:val="center"/>
              <w:rPr>
                <w:b/>
              </w:rPr>
            </w:pPr>
            <w:r w:rsidRPr="00115101">
              <w:rPr>
                <w:b/>
              </w:rPr>
              <w:t>Issue</w:t>
            </w:r>
          </w:p>
        </w:tc>
        <w:tc>
          <w:tcPr>
            <w:tcW w:w="5716" w:type="dxa"/>
          </w:tcPr>
          <w:p w:rsidR="00BE15A5" w:rsidRPr="00115101" w:rsidRDefault="00BE15A5" w:rsidP="00BE15A5">
            <w:pPr>
              <w:jc w:val="center"/>
              <w:rPr>
                <w:b/>
              </w:rPr>
            </w:pPr>
            <w:r w:rsidRPr="00115101">
              <w:rPr>
                <w:b/>
              </w:rPr>
              <w:t>Options</w:t>
            </w:r>
          </w:p>
        </w:tc>
        <w:tc>
          <w:tcPr>
            <w:tcW w:w="2178" w:type="dxa"/>
          </w:tcPr>
          <w:p w:rsidR="00BE15A5" w:rsidRPr="00115101" w:rsidRDefault="00BE15A5" w:rsidP="00BE15A5">
            <w:pPr>
              <w:jc w:val="center"/>
              <w:rPr>
                <w:b/>
              </w:rPr>
            </w:pPr>
            <w:r w:rsidRPr="00115101">
              <w:rPr>
                <w:b/>
              </w:rPr>
              <w:t>PROs</w:t>
            </w:r>
          </w:p>
        </w:tc>
        <w:tc>
          <w:tcPr>
            <w:tcW w:w="2178" w:type="dxa"/>
          </w:tcPr>
          <w:p w:rsidR="00BE15A5" w:rsidRPr="00115101" w:rsidRDefault="00BE15A5" w:rsidP="00BE15A5">
            <w:pPr>
              <w:jc w:val="center"/>
              <w:rPr>
                <w:b/>
              </w:rPr>
            </w:pPr>
            <w:r w:rsidRPr="00115101">
              <w:rPr>
                <w:b/>
              </w:rPr>
              <w:t>CONs</w:t>
            </w:r>
          </w:p>
        </w:tc>
      </w:tr>
      <w:tr w:rsidR="004409C3" w:rsidRPr="00115101" w:rsidTr="004409C3">
        <w:tc>
          <w:tcPr>
            <w:tcW w:w="3798" w:type="dxa"/>
          </w:tcPr>
          <w:p w:rsidR="004409C3" w:rsidRPr="00115101" w:rsidRDefault="004409C3" w:rsidP="00D16A6F">
            <w:r w:rsidRPr="00115101">
              <w:t>Net Air Quality Benefit</w:t>
            </w:r>
          </w:p>
        </w:tc>
        <w:tc>
          <w:tcPr>
            <w:tcW w:w="5716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 xml:space="preserve">Option 1A:  Define NAQB as 1:1 offset ratio for all sources based on CA rules 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Option 1B:  Define NAQB as greater than 1:1 offset ratio for all sources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Option 2:  1A or 1B for non-federal majors and retain current version of NAQB for federal majors sources but eliminate “less than a significant impact level increase at all modeled receptors”</w:t>
            </w:r>
          </w:p>
        </w:tc>
        <w:tc>
          <w:tcPr>
            <w:tcW w:w="2178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Eliminate “less than a significant impact level increase at all modeled receptors” problem</w:t>
            </w:r>
          </w:p>
        </w:tc>
        <w:tc>
          <w:tcPr>
            <w:tcW w:w="2178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Backsliding</w:t>
            </w:r>
          </w:p>
          <w:p w:rsidR="004409C3" w:rsidRPr="00115101" w:rsidRDefault="004409C3" w:rsidP="00D16A6F"/>
          <w:p w:rsidR="004409C3" w:rsidRPr="00115101" w:rsidRDefault="004409C3" w:rsidP="00D16A6F"/>
          <w:p w:rsidR="004409C3" w:rsidRPr="00115101" w:rsidRDefault="004409C3" w:rsidP="00D16A6F"/>
        </w:tc>
      </w:tr>
      <w:tr w:rsidR="00115101" w:rsidRPr="00115101" w:rsidTr="00D16A6F">
        <w:tc>
          <w:tcPr>
            <w:tcW w:w="3798" w:type="dxa"/>
          </w:tcPr>
          <w:p w:rsidR="00115101" w:rsidRPr="00115101" w:rsidRDefault="00115101" w:rsidP="00D16A6F">
            <w:r w:rsidRPr="00115101">
              <w:t>“Small” scale local energy project</w:t>
            </w:r>
            <w:r w:rsidR="00CF18B3">
              <w:t xml:space="preserve"> – what is “small?”</w:t>
            </w:r>
          </w:p>
        </w:tc>
        <w:tc>
          <w:tcPr>
            <w:tcW w:w="5716" w:type="dxa"/>
          </w:tcPr>
          <w:p w:rsidR="00115101" w:rsidRPr="00115101" w:rsidRDefault="00115101" w:rsidP="00D16A6F">
            <w:pPr>
              <w:pStyle w:val="ListParagraph"/>
              <w:numPr>
                <w:ilvl w:val="0"/>
                <w:numId w:val="11"/>
              </w:numPr>
            </w:pPr>
            <w:r w:rsidRPr="00115101">
              <w:t>Not needed if we eliminate NAQB</w:t>
            </w:r>
          </w:p>
          <w:p w:rsidR="00115101" w:rsidRPr="00115101" w:rsidRDefault="00115101" w:rsidP="00115101">
            <w:pPr>
              <w:pStyle w:val="ListParagraph"/>
              <w:numPr>
                <w:ilvl w:val="0"/>
                <w:numId w:val="11"/>
              </w:numPr>
            </w:pPr>
            <w:r w:rsidRPr="00115101">
              <w:t>Energy Facility Siting Council:</w:t>
            </w:r>
          </w:p>
          <w:p w:rsidR="00115101" w:rsidRPr="00115101" w:rsidRDefault="00115101" w:rsidP="00115101">
            <w:pPr>
              <w:ind w:left="360"/>
            </w:pPr>
            <w:r>
              <w:t>T</w:t>
            </w:r>
            <w:r w:rsidRPr="00115101">
              <w:t xml:space="preserve">he following types of energy facilities must have a site certificate from the Council before construction: </w:t>
            </w:r>
          </w:p>
          <w:p w:rsidR="00115101" w:rsidRPr="00115101" w:rsidRDefault="00115101" w:rsidP="00115101">
            <w:pPr>
              <w:pStyle w:val="ListParagraph"/>
              <w:numPr>
                <w:ilvl w:val="0"/>
                <w:numId w:val="14"/>
              </w:numPr>
            </w:pPr>
            <w:r w:rsidRPr="00115101">
              <w:t xml:space="preserve">Electric power plants with a </w:t>
            </w:r>
            <w:hyperlink r:id="rId6" w:anchor="nominal" w:history="1">
              <w:r w:rsidRPr="00CF18B3">
                <w:rPr>
                  <w:rStyle w:val="Hyperlink"/>
                  <w:color w:val="auto"/>
                  <w:u w:val="none"/>
                </w:rPr>
                <w:t>nominal electric generating capacity</w:t>
              </w:r>
            </w:hyperlink>
            <w:r w:rsidRPr="00CF18B3">
              <w:t xml:space="preserve"> </w:t>
            </w:r>
            <w:r w:rsidRPr="00115101">
              <w:t xml:space="preserve">of </w:t>
            </w:r>
            <w:r w:rsidRPr="00115101">
              <w:rPr>
                <w:highlight w:val="yellow"/>
              </w:rPr>
              <w:t>25 megawatts</w:t>
            </w:r>
            <w:r w:rsidRPr="00115101">
              <w:t xml:space="preserve"> or more from thermal power or combustion turbines. </w:t>
            </w:r>
          </w:p>
        </w:tc>
        <w:tc>
          <w:tcPr>
            <w:tcW w:w="2178" w:type="dxa"/>
          </w:tcPr>
          <w:p w:rsidR="00115101" w:rsidRPr="00115101" w:rsidRDefault="00115101" w:rsidP="00C7126B">
            <w:pPr>
              <w:pStyle w:val="ListParagraph"/>
              <w:numPr>
                <w:ilvl w:val="0"/>
                <w:numId w:val="5"/>
              </w:numPr>
            </w:pPr>
            <w:r w:rsidRPr="00115101">
              <w:t>Consistent with most other programs</w:t>
            </w:r>
          </w:p>
          <w:p w:rsidR="00115101" w:rsidRPr="00115101" w:rsidRDefault="00115101" w:rsidP="00C7126B">
            <w:pPr>
              <w:pStyle w:val="ListParagraph"/>
              <w:numPr>
                <w:ilvl w:val="0"/>
                <w:numId w:val="5"/>
              </w:numPr>
            </w:pPr>
            <w:r w:rsidRPr="00115101">
              <w:t>Emissions ~</w:t>
            </w:r>
            <w:r>
              <w:t>30 tpy PM</w:t>
            </w:r>
            <w:r w:rsidRPr="00115101">
              <w:rPr>
                <w:vertAlign w:val="subscript"/>
              </w:rPr>
              <w:t>2.5</w:t>
            </w:r>
          </w:p>
        </w:tc>
        <w:tc>
          <w:tcPr>
            <w:tcW w:w="2178" w:type="dxa"/>
          </w:tcPr>
          <w:p w:rsidR="00115101" w:rsidRPr="00115101" w:rsidRDefault="00115101" w:rsidP="00CF18B3"/>
        </w:tc>
      </w:tr>
      <w:tr w:rsidR="004409C3" w:rsidRPr="00115101" w:rsidTr="00D16A6F">
        <w:tc>
          <w:tcPr>
            <w:tcW w:w="3798" w:type="dxa"/>
          </w:tcPr>
          <w:p w:rsidR="004409C3" w:rsidRPr="00115101" w:rsidRDefault="004409C3" w:rsidP="00CF18B3">
            <w:r w:rsidRPr="00115101">
              <w:t>Areas violating NAAQS but not yet designated NAA – where DEQ has determine the background concentration levels are above the standard through monitoring</w:t>
            </w:r>
          </w:p>
        </w:tc>
        <w:tc>
          <w:tcPr>
            <w:tcW w:w="5716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Federal Major sources are excluded because that would change the federal PSD program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For non-federal major sources only in the PSEL rules: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12"/>
              </w:numPr>
            </w:pPr>
            <w:r w:rsidRPr="00115101">
              <w:t xml:space="preserve"> Modeling &lt; SIL – done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12"/>
              </w:numPr>
            </w:pPr>
            <w:r w:rsidRPr="00115101">
              <w:t>Modeling &gt; SIL:</w:t>
            </w:r>
          </w:p>
          <w:p w:rsidR="004409C3" w:rsidRPr="00115101" w:rsidRDefault="004409C3" w:rsidP="00D16A6F">
            <w:pPr>
              <w:pStyle w:val="ListParagraph"/>
              <w:numPr>
                <w:ilvl w:val="1"/>
                <w:numId w:val="12"/>
              </w:numPr>
            </w:pPr>
            <w:r w:rsidRPr="00115101">
              <w:t>Offsets ratio of greater than 1:1 (TBD) and at least X% of offsets from sources or activities that are known to contribute the most of the NAAQS exceedance</w:t>
            </w:r>
          </w:p>
          <w:p w:rsidR="004409C3" w:rsidRPr="00115101" w:rsidRDefault="004409C3" w:rsidP="00D16A6F">
            <w:pPr>
              <w:pStyle w:val="ListParagraph"/>
              <w:numPr>
                <w:ilvl w:val="1"/>
                <w:numId w:val="12"/>
              </w:numPr>
            </w:pPr>
            <w:r w:rsidRPr="00115101">
              <w:t xml:space="preserve">BACT </w:t>
            </w:r>
          </w:p>
          <w:p w:rsidR="004409C3" w:rsidRPr="00115101" w:rsidRDefault="004409C3" w:rsidP="00D16A6F">
            <w:pPr>
              <w:pStyle w:val="ListParagraph"/>
              <w:numPr>
                <w:ilvl w:val="1"/>
                <w:numId w:val="12"/>
              </w:numPr>
            </w:pPr>
            <w:r w:rsidRPr="00115101">
              <w:t>Modeling for increment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Request NAA designation after buy-off from community</w:t>
            </w:r>
          </w:p>
        </w:tc>
        <w:tc>
          <w:tcPr>
            <w:tcW w:w="2178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Could protect AQ in same way as if EPA had designated area NAA (need attainment plan)</w:t>
            </w:r>
          </w:p>
        </w:tc>
        <w:tc>
          <w:tcPr>
            <w:tcW w:w="2178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Woodstove problem</w:t>
            </w:r>
          </w:p>
          <w:p w:rsidR="004409C3" w:rsidRPr="00115101" w:rsidRDefault="004409C3" w:rsidP="00D16A6F"/>
          <w:p w:rsidR="004409C3" w:rsidRPr="00115101" w:rsidRDefault="004409C3" w:rsidP="00D16A6F"/>
          <w:p w:rsidR="004409C3" w:rsidRPr="00115101" w:rsidRDefault="004409C3" w:rsidP="00D16A6F"/>
          <w:p w:rsidR="004409C3" w:rsidRPr="00115101" w:rsidRDefault="004409C3" w:rsidP="00D16A6F">
            <w:pPr>
              <w:pStyle w:val="ListParagraph"/>
              <w:ind w:left="360"/>
            </w:pPr>
          </w:p>
        </w:tc>
      </w:tr>
      <w:tr w:rsidR="004409C3" w:rsidRPr="00115101" w:rsidTr="00D16A6F">
        <w:tc>
          <w:tcPr>
            <w:tcW w:w="3798" w:type="dxa"/>
          </w:tcPr>
          <w:p w:rsidR="004409C3" w:rsidRPr="00115101" w:rsidRDefault="004409C3" w:rsidP="00D16A6F">
            <w:r w:rsidRPr="00115101">
              <w:t>Attainment Plan/Maintenance Plan Bridge</w:t>
            </w:r>
            <w:r w:rsidR="00676838">
              <w:t xml:space="preserve"> </w:t>
            </w:r>
            <w:r w:rsidR="00676838" w:rsidRPr="00676838">
              <w:t>(COLLIER)</w:t>
            </w:r>
          </w:p>
        </w:tc>
        <w:tc>
          <w:tcPr>
            <w:tcW w:w="5716" w:type="dxa"/>
          </w:tcPr>
          <w:p w:rsidR="004409C3" w:rsidRPr="00115101" w:rsidRDefault="004409C3" w:rsidP="00D16A6F">
            <w:r w:rsidRPr="00115101">
              <w:t>After 3 years of monitoring showing attainment and continued monitored attainment: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 xml:space="preserve">Allow sources to construct under maintenance plan rule requirements before maintenance plan is approved 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Limit to nonattainment non-federal majors (&lt;100 tpy sources)</w:t>
            </w:r>
          </w:p>
        </w:tc>
        <w:tc>
          <w:tcPr>
            <w:tcW w:w="2178" w:type="dxa"/>
          </w:tcPr>
          <w:p w:rsidR="004409C3" w:rsidRPr="00115101" w:rsidRDefault="00676838" w:rsidP="00D16A6F">
            <w:pPr>
              <w:pStyle w:val="ListParagraph"/>
              <w:numPr>
                <w:ilvl w:val="0"/>
                <w:numId w:val="5"/>
              </w:numPr>
            </w:pPr>
            <w:r>
              <w:t>Promotes economic development</w:t>
            </w:r>
          </w:p>
        </w:tc>
        <w:tc>
          <w:tcPr>
            <w:tcW w:w="2178" w:type="dxa"/>
          </w:tcPr>
          <w:p w:rsidR="004409C3" w:rsidRPr="00115101" w:rsidRDefault="00115101" w:rsidP="00D16A6F">
            <w:pPr>
              <w:pStyle w:val="ListParagraph"/>
              <w:numPr>
                <w:ilvl w:val="0"/>
                <w:numId w:val="5"/>
              </w:numPr>
            </w:pPr>
            <w:r>
              <w:t>backsliding</w:t>
            </w:r>
          </w:p>
        </w:tc>
      </w:tr>
      <w:tr w:rsidR="00BE15A5" w:rsidRPr="00115101" w:rsidTr="004409C3">
        <w:tc>
          <w:tcPr>
            <w:tcW w:w="3798" w:type="dxa"/>
          </w:tcPr>
          <w:p w:rsidR="00BE15A5" w:rsidRPr="00115101" w:rsidRDefault="00F467F5" w:rsidP="00676838">
            <w:r w:rsidRPr="00115101">
              <w:lastRenderedPageBreak/>
              <w:t>Netting basis for sources that went through PSD before 2001</w:t>
            </w:r>
          </w:p>
        </w:tc>
        <w:tc>
          <w:tcPr>
            <w:tcW w:w="5716" w:type="dxa"/>
          </w:tcPr>
          <w:p w:rsidR="00505930" w:rsidRPr="00115101" w:rsidRDefault="00505930" w:rsidP="00505930">
            <w:pPr>
              <w:pStyle w:val="ListParagraph"/>
              <w:numPr>
                <w:ilvl w:val="0"/>
                <w:numId w:val="2"/>
              </w:numPr>
            </w:pPr>
            <w:r w:rsidRPr="00115101">
              <w:t>NB</w:t>
            </w:r>
          </w:p>
        </w:tc>
        <w:tc>
          <w:tcPr>
            <w:tcW w:w="2178" w:type="dxa"/>
          </w:tcPr>
          <w:p w:rsidR="003F6CEE" w:rsidRPr="00115101" w:rsidRDefault="00676838" w:rsidP="00676838">
            <w:pPr>
              <w:pStyle w:val="ListParagraph"/>
              <w:numPr>
                <w:ilvl w:val="0"/>
                <w:numId w:val="2"/>
              </w:numPr>
            </w:pPr>
            <w:r>
              <w:t>Consistent with intent</w:t>
            </w:r>
          </w:p>
        </w:tc>
        <w:tc>
          <w:tcPr>
            <w:tcW w:w="2178" w:type="dxa"/>
          </w:tcPr>
          <w:p w:rsidR="003F6CEE" w:rsidRPr="00115101" w:rsidRDefault="003F6CEE" w:rsidP="00FA563B">
            <w:pPr>
              <w:pStyle w:val="ListParagraph"/>
              <w:numPr>
                <w:ilvl w:val="0"/>
                <w:numId w:val="2"/>
              </w:numPr>
            </w:pPr>
            <w:r w:rsidRPr="00115101">
              <w:t>No BACT</w:t>
            </w:r>
          </w:p>
        </w:tc>
      </w:tr>
      <w:tr w:rsidR="00BE15A5" w:rsidRPr="00115101" w:rsidTr="004409C3">
        <w:tc>
          <w:tcPr>
            <w:tcW w:w="3798" w:type="dxa"/>
          </w:tcPr>
          <w:p w:rsidR="00BE15A5" w:rsidRPr="00115101" w:rsidRDefault="00294959" w:rsidP="004930D1">
            <w:r w:rsidRPr="00115101">
              <w:t xml:space="preserve">Change </w:t>
            </w:r>
            <w:r w:rsidR="00F467F5" w:rsidRPr="00115101">
              <w:t xml:space="preserve">40% opacity </w:t>
            </w:r>
            <w:r w:rsidR="009C199D" w:rsidRPr="00115101">
              <w:t xml:space="preserve">to 20% </w:t>
            </w:r>
            <w:r w:rsidR="004930D1" w:rsidRPr="00115101">
              <w:t xml:space="preserve">and require COMS </w:t>
            </w:r>
          </w:p>
        </w:tc>
        <w:tc>
          <w:tcPr>
            <w:tcW w:w="5716" w:type="dxa"/>
          </w:tcPr>
          <w:p w:rsidR="00FA563B" w:rsidRPr="00115101" w:rsidRDefault="00FA563B" w:rsidP="00505930">
            <w:pPr>
              <w:pStyle w:val="ListParagraph"/>
              <w:numPr>
                <w:ilvl w:val="0"/>
                <w:numId w:val="3"/>
              </w:numPr>
            </w:pPr>
            <w:r w:rsidRPr="00115101">
              <w:t>Leave as is</w:t>
            </w:r>
          </w:p>
          <w:p w:rsidR="00AA1ABD" w:rsidRPr="00115101" w:rsidRDefault="00AA1ABD" w:rsidP="00AA1ABD">
            <w:pPr>
              <w:pStyle w:val="ListParagraph"/>
              <w:ind w:left="360"/>
            </w:pPr>
          </w:p>
          <w:p w:rsidR="00BE15A5" w:rsidRPr="00115101" w:rsidRDefault="0052628D" w:rsidP="00D7377E">
            <w:pPr>
              <w:pStyle w:val="ListParagraph"/>
              <w:numPr>
                <w:ilvl w:val="0"/>
                <w:numId w:val="3"/>
              </w:numPr>
            </w:pPr>
            <w:r w:rsidRPr="00115101">
              <w:t xml:space="preserve">Visible emissions from the hog fuel boiler may exceed the general standard of 20% during periods of soot blowing and/or grate cleaning.  </w:t>
            </w:r>
            <w:r w:rsidR="00294959" w:rsidRPr="00115101">
              <w:t xml:space="preserve">Periods of excess emissions from soot blowing and/or grate cleaning </w:t>
            </w:r>
            <w:r w:rsidRPr="00115101">
              <w:t xml:space="preserve">are limited to not more than 15 minutes in any 8 consecutive hours.  </w:t>
            </w:r>
          </w:p>
        </w:tc>
        <w:tc>
          <w:tcPr>
            <w:tcW w:w="2178" w:type="dxa"/>
          </w:tcPr>
          <w:p w:rsidR="00FA563B" w:rsidRPr="00115101" w:rsidRDefault="00191D8C" w:rsidP="00FA563B">
            <w:pPr>
              <w:pStyle w:val="ListParagraph"/>
              <w:numPr>
                <w:ilvl w:val="0"/>
                <w:numId w:val="3"/>
              </w:numPr>
            </w:pPr>
            <w:r w:rsidRPr="00115101">
              <w:t>sources happy</w:t>
            </w:r>
          </w:p>
          <w:p w:rsidR="00AA1ABD" w:rsidRPr="00115101" w:rsidRDefault="00AA1ABD" w:rsidP="00AA1ABD">
            <w:pPr>
              <w:pStyle w:val="ListParagraph"/>
              <w:ind w:left="360"/>
            </w:pPr>
          </w:p>
          <w:p w:rsidR="00BE15A5" w:rsidRPr="00115101" w:rsidRDefault="00FA563B" w:rsidP="00FA563B">
            <w:pPr>
              <w:pStyle w:val="ListParagraph"/>
              <w:numPr>
                <w:ilvl w:val="0"/>
                <w:numId w:val="3"/>
              </w:numPr>
            </w:pPr>
            <w:r w:rsidRPr="00115101">
              <w:t>equity</w:t>
            </w:r>
          </w:p>
        </w:tc>
        <w:tc>
          <w:tcPr>
            <w:tcW w:w="2178" w:type="dxa"/>
          </w:tcPr>
          <w:p w:rsidR="00BE15A5" w:rsidRPr="00115101" w:rsidRDefault="00FA563B" w:rsidP="00FA563B">
            <w:pPr>
              <w:pStyle w:val="ListParagraph"/>
              <w:numPr>
                <w:ilvl w:val="0"/>
                <w:numId w:val="3"/>
              </w:numPr>
            </w:pPr>
            <w:r w:rsidRPr="00115101">
              <w:t>embarrassment</w:t>
            </w:r>
          </w:p>
          <w:p w:rsidR="00AA1ABD" w:rsidRPr="00115101" w:rsidRDefault="00AA1ABD" w:rsidP="00AA1ABD">
            <w:pPr>
              <w:pStyle w:val="ListParagraph"/>
              <w:ind w:left="360"/>
            </w:pPr>
          </w:p>
          <w:p w:rsidR="00191D8C" w:rsidRPr="00115101" w:rsidRDefault="00AA1ABD" w:rsidP="00FA563B">
            <w:pPr>
              <w:pStyle w:val="ListParagraph"/>
              <w:numPr>
                <w:ilvl w:val="0"/>
                <w:numId w:val="3"/>
              </w:numPr>
            </w:pPr>
            <w:r w:rsidRPr="00115101">
              <w:t>none</w:t>
            </w:r>
          </w:p>
        </w:tc>
      </w:tr>
      <w:tr w:rsidR="00D7377E" w:rsidRPr="00115101" w:rsidTr="004409C3">
        <w:tc>
          <w:tcPr>
            <w:tcW w:w="3798" w:type="dxa"/>
          </w:tcPr>
          <w:p w:rsidR="00D7377E" w:rsidRPr="00115101" w:rsidRDefault="00D7377E" w:rsidP="00676838">
            <w:r w:rsidRPr="00115101">
              <w:t xml:space="preserve">Delete 3  minute aggregate opacity limit and use 6-minute averages </w:t>
            </w:r>
            <w:r w:rsidR="00676838">
              <w:t>(</w:t>
            </w:r>
            <w:r w:rsidRPr="00115101">
              <w:t>EPA Method 9</w:t>
            </w:r>
            <w:r w:rsidR="00676838">
              <w:t>)</w:t>
            </w:r>
          </w:p>
        </w:tc>
        <w:tc>
          <w:tcPr>
            <w:tcW w:w="5716" w:type="dxa"/>
          </w:tcPr>
          <w:p w:rsidR="00085D3E" w:rsidRDefault="00085D3E" w:rsidP="00085D3E"/>
          <w:p w:rsidR="00085D3E" w:rsidRDefault="00085D3E" w:rsidP="00085D3E"/>
          <w:p w:rsidR="00085D3E" w:rsidRDefault="00085D3E" w:rsidP="00085D3E"/>
          <w:p w:rsidR="00085D3E" w:rsidRDefault="00085D3E" w:rsidP="00085D3E"/>
          <w:p w:rsidR="00085D3E" w:rsidRDefault="00085D3E" w:rsidP="00085D3E"/>
          <w:p w:rsidR="00085D3E" w:rsidRDefault="00085D3E" w:rsidP="00085D3E">
            <w:pPr>
              <w:pStyle w:val="ListParagraph"/>
              <w:ind w:left="360"/>
            </w:pPr>
          </w:p>
          <w:p w:rsidR="00D7377E" w:rsidRPr="00115101" w:rsidRDefault="00D7377E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Leave as is</w:t>
            </w:r>
          </w:p>
          <w:p w:rsidR="00D7377E" w:rsidRPr="00115101" w:rsidRDefault="00D7377E" w:rsidP="001F4C70">
            <w:pPr>
              <w:pStyle w:val="ListParagraph"/>
              <w:ind w:left="360"/>
            </w:pPr>
          </w:p>
        </w:tc>
        <w:tc>
          <w:tcPr>
            <w:tcW w:w="2178" w:type="dxa"/>
          </w:tcPr>
          <w:p w:rsidR="00D7377E" w:rsidRPr="00115101" w:rsidRDefault="001F4C70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Line up standard with reference test method</w:t>
            </w:r>
          </w:p>
          <w:p w:rsidR="001F4C70" w:rsidRPr="00115101" w:rsidRDefault="001F4C70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Simplifies monitoring conditions in TV permits</w:t>
            </w:r>
          </w:p>
        </w:tc>
        <w:tc>
          <w:tcPr>
            <w:tcW w:w="2178" w:type="dxa"/>
          </w:tcPr>
          <w:p w:rsidR="00D7377E" w:rsidRPr="00115101" w:rsidRDefault="001F4C70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Backsliding</w:t>
            </w:r>
          </w:p>
          <w:p w:rsidR="001F4C70" w:rsidRPr="00115101" w:rsidRDefault="001F4C70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EPA stringency demonstration</w:t>
            </w:r>
          </w:p>
        </w:tc>
      </w:tr>
      <w:tr w:rsidR="004930D1" w:rsidRPr="00115101" w:rsidTr="004409C3">
        <w:tc>
          <w:tcPr>
            <w:tcW w:w="3798" w:type="dxa"/>
          </w:tcPr>
          <w:p w:rsidR="004930D1" w:rsidRPr="00115101" w:rsidRDefault="004930D1" w:rsidP="009C199D">
            <w:r w:rsidRPr="00115101">
              <w:t>Change 0.2 gr</w:t>
            </w:r>
            <w:r w:rsidR="009C199D" w:rsidRPr="00115101">
              <w:t>/dscf</w:t>
            </w:r>
            <w:r w:rsidRPr="00115101">
              <w:t xml:space="preserve"> to 0.10 gr/dscf and add 3 year compliance schedule</w:t>
            </w:r>
          </w:p>
        </w:tc>
        <w:tc>
          <w:tcPr>
            <w:tcW w:w="5716" w:type="dxa"/>
          </w:tcPr>
          <w:p w:rsidR="004930D1" w:rsidRPr="00115101" w:rsidRDefault="004930D1" w:rsidP="00676838">
            <w:pPr>
              <w:pStyle w:val="ListParagraph"/>
              <w:numPr>
                <w:ilvl w:val="0"/>
                <w:numId w:val="3"/>
              </w:numPr>
            </w:pPr>
            <w:r w:rsidRPr="00115101">
              <w:t>Leave as is</w:t>
            </w:r>
          </w:p>
        </w:tc>
        <w:tc>
          <w:tcPr>
            <w:tcW w:w="2178" w:type="dxa"/>
          </w:tcPr>
          <w:p w:rsidR="004930D1" w:rsidRPr="00115101" w:rsidRDefault="004930D1" w:rsidP="00676838">
            <w:pPr>
              <w:pStyle w:val="ListParagraph"/>
              <w:numPr>
                <w:ilvl w:val="0"/>
                <w:numId w:val="3"/>
              </w:numPr>
            </w:pPr>
            <w:r w:rsidRPr="00115101">
              <w:t>sources happy</w:t>
            </w:r>
          </w:p>
        </w:tc>
        <w:tc>
          <w:tcPr>
            <w:tcW w:w="2178" w:type="dxa"/>
          </w:tcPr>
          <w:p w:rsidR="004930D1" w:rsidRPr="00115101" w:rsidRDefault="004930D1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embarrassment</w:t>
            </w:r>
          </w:p>
          <w:p w:rsidR="004930D1" w:rsidRPr="00115101" w:rsidRDefault="004930D1" w:rsidP="00676838"/>
        </w:tc>
      </w:tr>
      <w:tr w:rsidR="00085D3E" w:rsidRPr="00115101" w:rsidTr="004409C3">
        <w:tc>
          <w:tcPr>
            <w:tcW w:w="3798" w:type="dxa"/>
          </w:tcPr>
          <w:p w:rsidR="00085D3E" w:rsidRPr="00115101" w:rsidRDefault="00085D3E" w:rsidP="009C199D">
            <w:r w:rsidRPr="00115101">
              <w:t>Exempt sources with specific standards from general grain loading/opacity standards- (add more substantive provisions for O&amp;M during startup/shutdown and add provision for source to prove that emissions during startup/shutdown do not violate NAAQS through modeling if necessary to appease EPA)</w:t>
            </w:r>
          </w:p>
        </w:tc>
        <w:tc>
          <w:tcPr>
            <w:tcW w:w="5716" w:type="dxa"/>
          </w:tcPr>
          <w:p w:rsidR="00085D3E" w:rsidRDefault="00085D3E" w:rsidP="00C7126B"/>
          <w:p w:rsidR="00085D3E" w:rsidRDefault="00085D3E" w:rsidP="00C7126B"/>
          <w:p w:rsidR="00085D3E" w:rsidRDefault="00085D3E" w:rsidP="00C7126B"/>
          <w:p w:rsidR="00085D3E" w:rsidRDefault="00085D3E" w:rsidP="00C7126B"/>
          <w:p w:rsidR="00085D3E" w:rsidRDefault="00085D3E" w:rsidP="00C7126B"/>
          <w:p w:rsidR="00085D3E" w:rsidRDefault="00085D3E" w:rsidP="00C7126B">
            <w:pPr>
              <w:pStyle w:val="ListParagraph"/>
              <w:ind w:left="360"/>
            </w:pPr>
          </w:p>
          <w:p w:rsidR="00085D3E" w:rsidRDefault="00085D3E" w:rsidP="00C7126B">
            <w:pPr>
              <w:pStyle w:val="ListParagraph"/>
              <w:ind w:left="360"/>
            </w:pPr>
          </w:p>
          <w:p w:rsidR="00085D3E" w:rsidRDefault="00085D3E" w:rsidP="00C7126B">
            <w:pPr>
              <w:pStyle w:val="ListParagraph"/>
              <w:ind w:left="360"/>
            </w:pPr>
          </w:p>
          <w:p w:rsidR="00085D3E" w:rsidRPr="00115101" w:rsidRDefault="00085D3E" w:rsidP="00C7126B">
            <w:pPr>
              <w:pStyle w:val="ListParagraph"/>
              <w:numPr>
                <w:ilvl w:val="0"/>
                <w:numId w:val="3"/>
              </w:numPr>
            </w:pPr>
            <w:r w:rsidRPr="00115101">
              <w:t>Leave as is</w:t>
            </w:r>
          </w:p>
          <w:p w:rsidR="00085D3E" w:rsidRPr="00115101" w:rsidRDefault="00085D3E" w:rsidP="00C7126B">
            <w:pPr>
              <w:pStyle w:val="ListParagraph"/>
              <w:ind w:left="360"/>
            </w:pPr>
          </w:p>
        </w:tc>
        <w:tc>
          <w:tcPr>
            <w:tcW w:w="2178" w:type="dxa"/>
          </w:tcPr>
          <w:p w:rsidR="00085D3E" w:rsidRPr="00115101" w:rsidRDefault="00085D3E" w:rsidP="00826FD9">
            <w:pPr>
              <w:pStyle w:val="ListParagraph"/>
              <w:numPr>
                <w:ilvl w:val="0"/>
                <w:numId w:val="8"/>
              </w:numPr>
            </w:pPr>
            <w:r w:rsidRPr="00115101">
              <w:t>Simplifies monitoring conditions in TV permits</w:t>
            </w:r>
          </w:p>
          <w:p w:rsidR="00085D3E" w:rsidRPr="00115101" w:rsidRDefault="00085D3E" w:rsidP="00826FD9">
            <w:pPr>
              <w:pStyle w:val="ListParagraph"/>
              <w:numPr>
                <w:ilvl w:val="0"/>
                <w:numId w:val="8"/>
              </w:numPr>
            </w:pPr>
            <w:r w:rsidRPr="00115101">
              <w:t>Reduces DEQ workload regarding unavoidable excess emissions</w:t>
            </w:r>
          </w:p>
        </w:tc>
        <w:tc>
          <w:tcPr>
            <w:tcW w:w="2178" w:type="dxa"/>
          </w:tcPr>
          <w:p w:rsidR="00085D3E" w:rsidRPr="00115101" w:rsidRDefault="00085D3E" w:rsidP="00516687">
            <w:pPr>
              <w:pStyle w:val="ListParagraph"/>
              <w:numPr>
                <w:ilvl w:val="0"/>
                <w:numId w:val="8"/>
              </w:numPr>
            </w:pPr>
            <w:r w:rsidRPr="00115101">
              <w:t>Backsliding</w:t>
            </w:r>
          </w:p>
          <w:p w:rsidR="00085D3E" w:rsidRPr="00115101" w:rsidRDefault="00085D3E" w:rsidP="00516687">
            <w:pPr>
              <w:pStyle w:val="ListParagraph"/>
              <w:numPr>
                <w:ilvl w:val="0"/>
                <w:numId w:val="8"/>
              </w:numPr>
            </w:pPr>
            <w:r w:rsidRPr="00115101">
              <w:t>EPA stringency demonstration (during startup/</w:t>
            </w:r>
          </w:p>
          <w:p w:rsidR="00085D3E" w:rsidRPr="00115101" w:rsidRDefault="00085D3E" w:rsidP="005B3B7D">
            <w:pPr>
              <w:pStyle w:val="ListParagraph"/>
              <w:ind w:left="360"/>
            </w:pPr>
            <w:r w:rsidRPr="00115101">
              <w:t>shutdown)</w:t>
            </w:r>
          </w:p>
        </w:tc>
      </w:tr>
      <w:tr w:rsidR="00CF1B10" w:rsidRPr="00115101" w:rsidTr="004409C3">
        <w:tc>
          <w:tcPr>
            <w:tcW w:w="3798" w:type="dxa"/>
          </w:tcPr>
          <w:p w:rsidR="00CF1B10" w:rsidRPr="00115101" w:rsidRDefault="004B4891" w:rsidP="00826FD9">
            <w:r w:rsidRPr="00115101">
              <w:br w:type="page"/>
            </w:r>
            <w:r w:rsidR="00113E6C" w:rsidRPr="00115101">
              <w:t>Splitting Sources</w:t>
            </w:r>
            <w:r w:rsidR="00826FD9" w:rsidRPr="00115101">
              <w:t xml:space="preserve"> </w:t>
            </w:r>
            <w:r w:rsidR="005F6E6B" w:rsidRPr="00115101">
              <w:t>– not retroactive</w:t>
            </w:r>
          </w:p>
        </w:tc>
        <w:tc>
          <w:tcPr>
            <w:tcW w:w="5716" w:type="dxa"/>
          </w:tcPr>
          <w:p w:rsidR="00826FD9" w:rsidRPr="00115101" w:rsidRDefault="00826FD9" w:rsidP="00826FD9">
            <w:pPr>
              <w:pStyle w:val="ListParagraph"/>
              <w:numPr>
                <w:ilvl w:val="0"/>
                <w:numId w:val="7"/>
              </w:numPr>
            </w:pPr>
            <w:r w:rsidRPr="00115101">
              <w:t xml:space="preserve">Same SIC – split NB evenly or </w:t>
            </w:r>
            <w:r w:rsidR="005F6E6B" w:rsidRPr="00115101">
              <w:t>proportionately</w:t>
            </w:r>
          </w:p>
          <w:p w:rsidR="00826FD9" w:rsidRPr="00115101" w:rsidRDefault="00826FD9" w:rsidP="00826FD9">
            <w:pPr>
              <w:pStyle w:val="ListParagraph"/>
              <w:ind w:left="360"/>
            </w:pPr>
          </w:p>
          <w:p w:rsidR="003A5449" w:rsidRPr="00115101" w:rsidRDefault="00826FD9" w:rsidP="003A5449">
            <w:pPr>
              <w:pStyle w:val="ListParagraph"/>
              <w:numPr>
                <w:ilvl w:val="0"/>
                <w:numId w:val="7"/>
              </w:numPr>
            </w:pPr>
            <w:r w:rsidRPr="00115101">
              <w:t>2 different SICs</w:t>
            </w:r>
            <w:r w:rsidR="003A5449" w:rsidRPr="00115101">
              <w:t xml:space="preserve"> – NB stays with original SIC and </w:t>
            </w:r>
            <w:r w:rsidR="00565F07" w:rsidRPr="00115101">
              <w:t xml:space="preserve">cannot be split and the </w:t>
            </w:r>
            <w:r w:rsidR="003A5449" w:rsidRPr="00115101">
              <w:t>new SIC</w:t>
            </w:r>
            <w:r w:rsidR="00765127" w:rsidRPr="00115101">
              <w:t xml:space="preserve"> </w:t>
            </w:r>
            <w:r w:rsidR="00565F07" w:rsidRPr="00115101">
              <w:t>is a new source</w:t>
            </w:r>
          </w:p>
          <w:p w:rsidR="00CF1B10" w:rsidRPr="00115101" w:rsidRDefault="00CF1B10" w:rsidP="001D0A75"/>
        </w:tc>
        <w:tc>
          <w:tcPr>
            <w:tcW w:w="2178" w:type="dxa"/>
          </w:tcPr>
          <w:p w:rsidR="00CF1B10" w:rsidRPr="00115101" w:rsidRDefault="00565F07" w:rsidP="00565F07">
            <w:pPr>
              <w:pStyle w:val="ListParagraph"/>
              <w:numPr>
                <w:ilvl w:val="0"/>
                <w:numId w:val="7"/>
              </w:numPr>
            </w:pPr>
            <w:r w:rsidRPr="00115101">
              <w:t>Aligns with majority of past guidance given to sources</w:t>
            </w:r>
          </w:p>
          <w:p w:rsidR="00565F07" w:rsidRPr="00115101" w:rsidRDefault="00565F07" w:rsidP="00565F07">
            <w:pPr>
              <w:pStyle w:val="ListParagraph"/>
              <w:numPr>
                <w:ilvl w:val="0"/>
                <w:numId w:val="7"/>
              </w:numPr>
            </w:pPr>
            <w:r w:rsidRPr="00115101">
              <w:t>PSD is not avoided</w:t>
            </w:r>
          </w:p>
        </w:tc>
        <w:tc>
          <w:tcPr>
            <w:tcW w:w="2178" w:type="dxa"/>
          </w:tcPr>
          <w:p w:rsidR="00CF1B10" w:rsidRPr="00115101" w:rsidRDefault="00767D3A" w:rsidP="002B7607">
            <w:pPr>
              <w:pStyle w:val="ListParagraph"/>
              <w:numPr>
                <w:ilvl w:val="0"/>
                <w:numId w:val="8"/>
              </w:numPr>
            </w:pPr>
            <w:r w:rsidRPr="00115101">
              <w:t xml:space="preserve">Perceived as detriment to </w:t>
            </w:r>
            <w:r w:rsidR="002B7607">
              <w:t>economic development</w:t>
            </w:r>
          </w:p>
        </w:tc>
      </w:tr>
    </w:tbl>
    <w:p w:rsidR="00E933F7" w:rsidRDefault="00E933F7" w:rsidP="00085D3E">
      <w:pPr>
        <w:spacing w:after="0" w:line="240" w:lineRule="auto"/>
      </w:pPr>
    </w:p>
    <w:sectPr w:rsidR="00E933F7" w:rsidSect="00085D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272B"/>
    <w:multiLevelType w:val="hybridMultilevel"/>
    <w:tmpl w:val="03A8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136A5"/>
    <w:multiLevelType w:val="hybridMultilevel"/>
    <w:tmpl w:val="584E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85E3A"/>
    <w:multiLevelType w:val="hybridMultilevel"/>
    <w:tmpl w:val="B5C86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8B1EA1"/>
    <w:multiLevelType w:val="hybridMultilevel"/>
    <w:tmpl w:val="79807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03197F"/>
    <w:multiLevelType w:val="multilevel"/>
    <w:tmpl w:val="A79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6">
    <w:nsid w:val="49BB4F99"/>
    <w:multiLevelType w:val="hybridMultilevel"/>
    <w:tmpl w:val="DEAE4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33492B"/>
    <w:multiLevelType w:val="hybridMultilevel"/>
    <w:tmpl w:val="E278B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619FB"/>
    <w:multiLevelType w:val="hybridMultilevel"/>
    <w:tmpl w:val="6472D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9C16F9"/>
    <w:multiLevelType w:val="hybridMultilevel"/>
    <w:tmpl w:val="24005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E6792"/>
    <w:multiLevelType w:val="hybridMultilevel"/>
    <w:tmpl w:val="852C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464599"/>
    <w:multiLevelType w:val="multilevel"/>
    <w:tmpl w:val="53566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D308A"/>
    <w:multiLevelType w:val="hybridMultilevel"/>
    <w:tmpl w:val="3D0A0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AC0324"/>
    <w:multiLevelType w:val="hybridMultilevel"/>
    <w:tmpl w:val="4460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13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E15A5"/>
    <w:rsid w:val="00072A11"/>
    <w:rsid w:val="00085D3E"/>
    <w:rsid w:val="000D5BAE"/>
    <w:rsid w:val="000F3751"/>
    <w:rsid w:val="00113E6C"/>
    <w:rsid w:val="00115101"/>
    <w:rsid w:val="00122EC2"/>
    <w:rsid w:val="00135512"/>
    <w:rsid w:val="00191D8C"/>
    <w:rsid w:val="001C47C5"/>
    <w:rsid w:val="001D0A75"/>
    <w:rsid w:val="001D16ED"/>
    <w:rsid w:val="001F4C70"/>
    <w:rsid w:val="00205C1A"/>
    <w:rsid w:val="00243475"/>
    <w:rsid w:val="002475D4"/>
    <w:rsid w:val="00294959"/>
    <w:rsid w:val="00295CF1"/>
    <w:rsid w:val="002B7607"/>
    <w:rsid w:val="002F0E8A"/>
    <w:rsid w:val="00316DBF"/>
    <w:rsid w:val="00321EBC"/>
    <w:rsid w:val="00343D63"/>
    <w:rsid w:val="003A3770"/>
    <w:rsid w:val="003A5449"/>
    <w:rsid w:val="003C4A1B"/>
    <w:rsid w:val="003D077F"/>
    <w:rsid w:val="003E38C4"/>
    <w:rsid w:val="003F547E"/>
    <w:rsid w:val="003F6CEE"/>
    <w:rsid w:val="003F7668"/>
    <w:rsid w:val="003F76CA"/>
    <w:rsid w:val="004208BF"/>
    <w:rsid w:val="004409C3"/>
    <w:rsid w:val="004930D1"/>
    <w:rsid w:val="00496BCA"/>
    <w:rsid w:val="004B4891"/>
    <w:rsid w:val="004F0254"/>
    <w:rsid w:val="00505930"/>
    <w:rsid w:val="00516687"/>
    <w:rsid w:val="0052628D"/>
    <w:rsid w:val="005407C1"/>
    <w:rsid w:val="00565F07"/>
    <w:rsid w:val="005B3B7D"/>
    <w:rsid w:val="005E2DAC"/>
    <w:rsid w:val="005E54FF"/>
    <w:rsid w:val="005F0F8B"/>
    <w:rsid w:val="005F6E6B"/>
    <w:rsid w:val="0060648B"/>
    <w:rsid w:val="0061148D"/>
    <w:rsid w:val="00612F95"/>
    <w:rsid w:val="006205B8"/>
    <w:rsid w:val="006315A1"/>
    <w:rsid w:val="0066769A"/>
    <w:rsid w:val="00676838"/>
    <w:rsid w:val="006B2994"/>
    <w:rsid w:val="006B2B63"/>
    <w:rsid w:val="006B6B78"/>
    <w:rsid w:val="006F26E2"/>
    <w:rsid w:val="00710C6C"/>
    <w:rsid w:val="0071560D"/>
    <w:rsid w:val="00762EFD"/>
    <w:rsid w:val="00765127"/>
    <w:rsid w:val="00767D3A"/>
    <w:rsid w:val="007817AD"/>
    <w:rsid w:val="00783C3A"/>
    <w:rsid w:val="00801138"/>
    <w:rsid w:val="00826FD9"/>
    <w:rsid w:val="008B5DE7"/>
    <w:rsid w:val="008C114F"/>
    <w:rsid w:val="008C6F06"/>
    <w:rsid w:val="008E2E23"/>
    <w:rsid w:val="008E3B4D"/>
    <w:rsid w:val="0093259B"/>
    <w:rsid w:val="00942B26"/>
    <w:rsid w:val="00954490"/>
    <w:rsid w:val="009C199D"/>
    <w:rsid w:val="00A02D53"/>
    <w:rsid w:val="00A44811"/>
    <w:rsid w:val="00AA1ABD"/>
    <w:rsid w:val="00AE0857"/>
    <w:rsid w:val="00B25EB2"/>
    <w:rsid w:val="00B352FD"/>
    <w:rsid w:val="00B716A3"/>
    <w:rsid w:val="00BA45FA"/>
    <w:rsid w:val="00BD25D5"/>
    <w:rsid w:val="00BE15A5"/>
    <w:rsid w:val="00C1188D"/>
    <w:rsid w:val="00CD518E"/>
    <w:rsid w:val="00CF18B3"/>
    <w:rsid w:val="00CF1B10"/>
    <w:rsid w:val="00CF2105"/>
    <w:rsid w:val="00D16BE6"/>
    <w:rsid w:val="00D7377E"/>
    <w:rsid w:val="00DD5205"/>
    <w:rsid w:val="00E87E4D"/>
    <w:rsid w:val="00E933F7"/>
    <w:rsid w:val="00E94329"/>
    <w:rsid w:val="00EA7F79"/>
    <w:rsid w:val="00EE3AEA"/>
    <w:rsid w:val="00EF45C4"/>
    <w:rsid w:val="00F457F4"/>
    <w:rsid w:val="00F467F5"/>
    <w:rsid w:val="00F763D3"/>
    <w:rsid w:val="00FA563B"/>
    <w:rsid w:val="00FC2968"/>
    <w:rsid w:val="00FF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4F"/>
  </w:style>
  <w:style w:type="paragraph" w:styleId="Heading1">
    <w:name w:val="heading 1"/>
    <w:basedOn w:val="Normal"/>
    <w:next w:val="Normal"/>
    <w:link w:val="Heading1Char"/>
    <w:qFormat/>
    <w:rsid w:val="00496BCA"/>
    <w:pPr>
      <w:numPr>
        <w:numId w:val="10"/>
      </w:numPr>
      <w:spacing w:after="0" w:line="240" w:lineRule="auto"/>
      <w:outlineLvl w:val="0"/>
    </w:pPr>
    <w:rPr>
      <w:rFonts w:eastAsia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96BCA"/>
    <w:pPr>
      <w:numPr>
        <w:ilvl w:val="1"/>
        <w:numId w:val="10"/>
      </w:numPr>
      <w:spacing w:after="0" w:line="240" w:lineRule="auto"/>
      <w:outlineLvl w:val="1"/>
    </w:pPr>
    <w:rPr>
      <w:rFonts w:eastAsia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96BCA"/>
    <w:pPr>
      <w:numPr>
        <w:ilvl w:val="2"/>
        <w:numId w:val="10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spacing w:after="0" w:line="240" w:lineRule="auto"/>
      <w:outlineLvl w:val="2"/>
    </w:pPr>
    <w:rPr>
      <w:rFonts w:ascii="CG Times" w:eastAsia="Times New Roman" w:hAnsi="CG Times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96BCA"/>
    <w:pPr>
      <w:numPr>
        <w:ilvl w:val="3"/>
        <w:numId w:val="10"/>
      </w:numPr>
      <w:spacing w:after="0" w:line="240" w:lineRule="auto"/>
      <w:outlineLvl w:val="3"/>
    </w:pPr>
    <w:rPr>
      <w:rFonts w:ascii="CG Times (W1)" w:eastAsia="Times New Roman" w:hAnsi="CG Times (W1)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96BCA"/>
    <w:pPr>
      <w:numPr>
        <w:ilvl w:val="4"/>
        <w:numId w:val="10"/>
      </w:numPr>
      <w:spacing w:after="0" w:line="240" w:lineRule="auto"/>
      <w:outlineLvl w:val="4"/>
    </w:pPr>
    <w:rPr>
      <w:rFonts w:ascii="CG Times (W1)" w:eastAsia="Times New Roman" w:hAnsi="CG Times (W1)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496BCA"/>
    <w:pPr>
      <w:numPr>
        <w:ilvl w:val="5"/>
        <w:numId w:val="10"/>
      </w:numPr>
      <w:spacing w:after="0" w:line="240" w:lineRule="auto"/>
      <w:outlineLvl w:val="5"/>
    </w:pPr>
    <w:rPr>
      <w:rFonts w:ascii="CG Times (W1)" w:eastAsia="Times New Roman" w:hAnsi="CG Times (W1)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6BCA"/>
    <w:pPr>
      <w:numPr>
        <w:ilvl w:val="6"/>
        <w:numId w:val="10"/>
      </w:numPr>
      <w:spacing w:after="0" w:line="240" w:lineRule="auto"/>
      <w:outlineLvl w:val="6"/>
    </w:pPr>
    <w:rPr>
      <w:rFonts w:ascii="CG Times (W1)" w:eastAsia="Times New Roman" w:hAnsi="CG Times (W1)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96BCA"/>
    <w:pPr>
      <w:numPr>
        <w:ilvl w:val="7"/>
        <w:numId w:val="10"/>
      </w:numPr>
      <w:spacing w:after="0" w:line="240" w:lineRule="auto"/>
      <w:outlineLvl w:val="7"/>
    </w:pPr>
    <w:rPr>
      <w:rFonts w:ascii="CG Times (W1)" w:eastAsia="Times New Roman" w:hAnsi="CG Times (W1)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96BCA"/>
    <w:pPr>
      <w:numPr>
        <w:ilvl w:val="8"/>
        <w:numId w:val="10"/>
      </w:numPr>
      <w:spacing w:before="240" w:after="60" w:line="240" w:lineRule="auto"/>
      <w:outlineLvl w:val="8"/>
    </w:pPr>
    <w:rPr>
      <w:rFonts w:ascii="CG Times (W1)" w:eastAsia="Times New Roman" w:hAnsi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5A5"/>
    <w:pPr>
      <w:ind w:left="720"/>
      <w:contextualSpacing/>
    </w:pPr>
  </w:style>
  <w:style w:type="table" w:styleId="TableGrid">
    <w:name w:val="Table Grid"/>
    <w:basedOn w:val="TableNormal"/>
    <w:uiPriority w:val="59"/>
    <w:rsid w:val="00BE1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0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7C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6BC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96BCA"/>
    <w:rPr>
      <w:rFonts w:eastAsia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96BCA"/>
    <w:rPr>
      <w:rFonts w:eastAsia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96BCA"/>
    <w:rPr>
      <w:rFonts w:ascii="CG Times" w:eastAsia="Times New Roman" w:hAnsi="CG Times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96BCA"/>
    <w:rPr>
      <w:rFonts w:ascii="CG Times (W1)" w:eastAsia="Times New Roman" w:hAnsi="CG Times (W1)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gon.gov/energy/Siting/Pages/juri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7E547-65C0-447B-ABB3-38F2C6E0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jinahar</cp:lastModifiedBy>
  <cp:revision>2</cp:revision>
  <cp:lastPrinted>2012-09-06T17:11:00Z</cp:lastPrinted>
  <dcterms:created xsi:type="dcterms:W3CDTF">2012-09-17T21:18:00Z</dcterms:created>
  <dcterms:modified xsi:type="dcterms:W3CDTF">2012-09-17T21:18:00Z</dcterms:modified>
</cp:coreProperties>
</file>