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7F" w:rsidRDefault="00D5537F" w:rsidP="00D5537F">
      <w:pPr>
        <w:jc w:val="center"/>
      </w:pPr>
      <w:r>
        <w:t>Major Source “Story”</w:t>
      </w:r>
    </w:p>
    <w:p w:rsidR="00AB32BF" w:rsidRDefault="00634DED">
      <w:r>
        <w:t xml:space="preserve">DEQ is changing the definition of a major source </w:t>
      </w:r>
      <w:r w:rsidR="0034230B">
        <w:t xml:space="preserve">from one that has a potential to emit at the </w:t>
      </w:r>
      <w:r w:rsidR="0034230B">
        <w:rPr>
          <w:u w:val="single"/>
        </w:rPr>
        <w:t>significant emission rate</w:t>
      </w:r>
      <w:r w:rsidR="0034230B">
        <w:t xml:space="preserve"> to one that has the potential to emit at </w:t>
      </w:r>
      <w:r w:rsidR="0034230B">
        <w:rPr>
          <w:u w:val="single"/>
        </w:rPr>
        <w:t>100 tons per year</w:t>
      </w:r>
      <w:r w:rsidR="009B76AD">
        <w:t xml:space="preserve"> except as used in </w:t>
      </w:r>
      <w:r w:rsidR="009B76AD" w:rsidRPr="0034230B">
        <w:t>OAR 340 division 210, Stationary Source Notification Requirements, OAR 340 division 218, rules applicable to sources required to have Oregon Title V Operating Permits, OAR 340 division 220, Oregon Title V Operating Permit Fees, and 340-216-0066 Standard ACDPs</w:t>
      </w:r>
      <w:r w:rsidR="0034230B">
        <w:t xml:space="preserve">.  </w:t>
      </w:r>
    </w:p>
    <w:p w:rsidR="00D5537F" w:rsidRDefault="00D5537F">
      <w:r>
        <w:t xml:space="preserve">This change is being </w:t>
      </w:r>
      <w:r w:rsidR="006A35AA">
        <w:t>proposed</w:t>
      </w:r>
      <w:r>
        <w:t xml:space="preserve"> to provide more flexibility in how sources with the PTE in the range of the SER to 100 tons/year are permitted</w:t>
      </w:r>
      <w:r w:rsidR="006A35AA">
        <w:t xml:space="preserve"> and also reduce emissions from “priority” sources, those that are the major contributors to the nonattainment area problem</w:t>
      </w:r>
      <w:r>
        <w:t xml:space="preserve">.  Currently, major sources (PTE at the SERs) are subject to nonattainment and maintenance NSR </w:t>
      </w:r>
      <w:r w:rsidR="00302362">
        <w:t>and must meet the following requirements:</w:t>
      </w:r>
    </w:p>
    <w:p w:rsidR="00302362" w:rsidRPr="007A75DD" w:rsidRDefault="00302362" w:rsidP="00D74E26">
      <w:pPr>
        <w:spacing w:after="0"/>
        <w:jc w:val="center"/>
        <w:rPr>
          <w:b/>
        </w:rPr>
      </w:pPr>
      <w:r w:rsidRPr="007A75DD">
        <w:rPr>
          <w:b/>
        </w:rPr>
        <w:t>Current Requirements</w:t>
      </w:r>
    </w:p>
    <w:tbl>
      <w:tblPr>
        <w:tblStyle w:val="TableGrid"/>
        <w:tblW w:w="13395" w:type="dxa"/>
        <w:tblLayout w:type="fixed"/>
        <w:tblLook w:val="04A0"/>
      </w:tblPr>
      <w:tblGrid>
        <w:gridCol w:w="1688"/>
        <w:gridCol w:w="4517"/>
        <w:gridCol w:w="1438"/>
        <w:gridCol w:w="1438"/>
        <w:gridCol w:w="1438"/>
        <w:gridCol w:w="1438"/>
        <w:gridCol w:w="1438"/>
      </w:tblGrid>
      <w:tr w:rsidR="00302362" w:rsidRPr="00303336" w:rsidTr="00DA51C8">
        <w:tc>
          <w:tcPr>
            <w:tcW w:w="16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2362" w:rsidRDefault="00302362" w:rsidP="00DA51C8">
            <w:pPr>
              <w:jc w:val="both"/>
            </w:pPr>
            <w:r>
              <w:t xml:space="preserve">Source </w:t>
            </w:r>
            <w:proofErr w:type="spellStart"/>
            <w:r>
              <w:t>Classif</w:t>
            </w:r>
            <w:proofErr w:type="spellEnd"/>
            <w:r>
              <w:t>.</w:t>
            </w:r>
          </w:p>
        </w:tc>
        <w:tc>
          <w:tcPr>
            <w:tcW w:w="45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2362" w:rsidRDefault="00302362" w:rsidP="00DA51C8">
            <w:pPr>
              <w:jc w:val="center"/>
              <w:rPr>
                <w:b/>
              </w:rPr>
            </w:pPr>
            <w:r>
              <w:rPr>
                <w:b/>
              </w:rPr>
              <w:t>Sources subject to NSR PSD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2362" w:rsidRPr="00303336" w:rsidRDefault="00302362" w:rsidP="00DA51C8">
            <w:pPr>
              <w:jc w:val="center"/>
              <w:rPr>
                <w:b/>
              </w:rPr>
            </w:pPr>
            <w:r w:rsidRPr="00303336">
              <w:rPr>
                <w:b/>
              </w:rPr>
              <w:t>Attainment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2362" w:rsidRPr="00303336" w:rsidRDefault="00302362" w:rsidP="00DA51C8">
            <w:pPr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2362" w:rsidRPr="00303336" w:rsidRDefault="00302362" w:rsidP="00DA51C8">
            <w:pPr>
              <w:jc w:val="center"/>
              <w:rPr>
                <w:b/>
              </w:rPr>
            </w:pPr>
            <w:r w:rsidRPr="00303336">
              <w:rPr>
                <w:b/>
              </w:rPr>
              <w:t>Non</w:t>
            </w:r>
            <w:r>
              <w:rPr>
                <w:b/>
              </w:rPr>
              <w:t>-attain.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2362" w:rsidRPr="00303336" w:rsidRDefault="00302362" w:rsidP="00DA51C8">
            <w:pPr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2362" w:rsidRPr="00303336" w:rsidRDefault="00302362" w:rsidP="00DA51C8">
            <w:pPr>
              <w:jc w:val="center"/>
              <w:rPr>
                <w:b/>
              </w:rPr>
            </w:pPr>
            <w:r w:rsidRPr="00303336">
              <w:rPr>
                <w:b/>
              </w:rPr>
              <w:t>Maintenance</w:t>
            </w:r>
          </w:p>
        </w:tc>
      </w:tr>
      <w:tr w:rsidR="00302362" w:rsidTr="00DA51C8">
        <w:tc>
          <w:tcPr>
            <w:tcW w:w="1688" w:type="dxa"/>
            <w:vMerge w:val="restart"/>
            <w:tcBorders>
              <w:top w:val="thinThickSmallGap" w:sz="24" w:space="0" w:color="auto"/>
            </w:tcBorders>
          </w:tcPr>
          <w:p w:rsidR="00D74E26" w:rsidRDefault="00D74E26" w:rsidP="00D74E26">
            <w:r>
              <w:t>Major</w:t>
            </w:r>
          </w:p>
          <w:p w:rsidR="00302362" w:rsidRDefault="00D74E26" w:rsidP="00D74E26">
            <w:r>
              <w:t>(SER to Federal Major)</w:t>
            </w:r>
          </w:p>
        </w:tc>
        <w:tc>
          <w:tcPr>
            <w:tcW w:w="45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Pr="00043EB9" w:rsidRDefault="00302362" w:rsidP="00DA51C8">
            <w:r w:rsidRPr="00043EB9">
              <w:t>BACT or LAER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Pr="00043EB9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Pr="00043EB9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Pr="00043EB9" w:rsidRDefault="00302362" w:rsidP="00DA51C8">
            <w:pPr>
              <w:jc w:val="center"/>
            </w:pPr>
            <w:r w:rsidRPr="00043EB9">
              <w:t>LAER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Pr="00043EB9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Pr="00043EB9" w:rsidRDefault="00302362" w:rsidP="00DA51C8">
            <w:pPr>
              <w:jc w:val="center"/>
            </w:pPr>
            <w:r w:rsidRPr="00043EB9">
              <w:t>BACT</w:t>
            </w:r>
          </w:p>
        </w:tc>
      </w:tr>
      <w:tr w:rsidR="00302362" w:rsidTr="00DA51C8">
        <w:tc>
          <w:tcPr>
            <w:tcW w:w="1688" w:type="dxa"/>
            <w:vMerge/>
          </w:tcPr>
          <w:p w:rsidR="00302362" w:rsidRDefault="00302362" w:rsidP="00DA51C8"/>
        </w:tc>
        <w:tc>
          <w:tcPr>
            <w:tcW w:w="4517" w:type="dxa"/>
            <w:tcBorders>
              <w:bottom w:val="single" w:sz="4" w:space="0" w:color="auto"/>
            </w:tcBorders>
          </w:tcPr>
          <w:p w:rsidR="00302362" w:rsidRDefault="00302362" w:rsidP="00DA51C8">
            <w:r>
              <w:t>Offsets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02362" w:rsidRDefault="00302362" w:rsidP="00DA51C8">
            <w:pPr>
              <w:jc w:val="center"/>
            </w:pPr>
            <w:r>
              <w:t>yes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02362" w:rsidRDefault="00302362" w:rsidP="00DA51C8">
            <w:pPr>
              <w:jc w:val="center"/>
            </w:pPr>
            <w:r>
              <w:t>yes *</w:t>
            </w:r>
          </w:p>
        </w:tc>
      </w:tr>
      <w:tr w:rsidR="00302362" w:rsidTr="00DA51C8">
        <w:tc>
          <w:tcPr>
            <w:tcW w:w="1688" w:type="dxa"/>
            <w:vMerge/>
          </w:tcPr>
          <w:p w:rsidR="00302362" w:rsidRDefault="00302362" w:rsidP="00DA51C8"/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Default="00302362" w:rsidP="00DA51C8">
            <w:r>
              <w:t>NAQB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Default="00302362" w:rsidP="00DA51C8">
            <w:pPr>
              <w:jc w:val="center"/>
            </w:pPr>
            <w:r>
              <w:t>yes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Default="00302362" w:rsidP="00DA51C8">
            <w:pPr>
              <w:jc w:val="center"/>
            </w:pPr>
            <w:r>
              <w:t>yes *</w:t>
            </w:r>
          </w:p>
        </w:tc>
      </w:tr>
      <w:tr w:rsidR="00302362" w:rsidTr="00DA51C8">
        <w:tc>
          <w:tcPr>
            <w:tcW w:w="1688" w:type="dxa"/>
            <w:vMerge/>
          </w:tcPr>
          <w:p w:rsidR="00302362" w:rsidRDefault="00302362" w:rsidP="00DA51C8"/>
        </w:tc>
        <w:tc>
          <w:tcPr>
            <w:tcW w:w="4517" w:type="dxa"/>
            <w:tcBorders>
              <w:bottom w:val="single" w:sz="4" w:space="0" w:color="auto"/>
            </w:tcBorders>
          </w:tcPr>
          <w:p w:rsidR="00302362" w:rsidRDefault="00302362" w:rsidP="00DA51C8">
            <w:r>
              <w:t>AQ Anal.:  Class II/III NAAQS and Increments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02362" w:rsidRDefault="00302362" w:rsidP="00DA51C8">
            <w:pPr>
              <w:jc w:val="center"/>
            </w:pPr>
            <w:r>
              <w:t>yes</w:t>
            </w:r>
          </w:p>
        </w:tc>
      </w:tr>
      <w:tr w:rsidR="00302362" w:rsidTr="00DA51C8">
        <w:tc>
          <w:tcPr>
            <w:tcW w:w="1688" w:type="dxa"/>
            <w:vMerge/>
          </w:tcPr>
          <w:p w:rsidR="00302362" w:rsidRDefault="00302362" w:rsidP="00DA51C8"/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Default="00302362" w:rsidP="00DA51C8">
            <w:r>
              <w:t>AQ Anal.:  Class I NAAQS and Increments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02362" w:rsidRDefault="00302362" w:rsidP="00DA51C8">
            <w:pPr>
              <w:jc w:val="center"/>
            </w:pPr>
            <w:r>
              <w:t>yes</w:t>
            </w:r>
          </w:p>
        </w:tc>
      </w:tr>
      <w:tr w:rsidR="00302362" w:rsidTr="00DA51C8">
        <w:tc>
          <w:tcPr>
            <w:tcW w:w="1688" w:type="dxa"/>
            <w:vMerge/>
            <w:tcBorders>
              <w:bottom w:val="thinThickSmallGap" w:sz="24" w:space="0" w:color="auto"/>
            </w:tcBorders>
          </w:tcPr>
          <w:p w:rsidR="00302362" w:rsidRDefault="00302362" w:rsidP="00DA51C8"/>
        </w:tc>
        <w:tc>
          <w:tcPr>
            <w:tcW w:w="4517" w:type="dxa"/>
            <w:tcBorders>
              <w:bottom w:val="thinThickSmallGap" w:sz="24" w:space="0" w:color="auto"/>
            </w:tcBorders>
          </w:tcPr>
          <w:p w:rsidR="00302362" w:rsidRDefault="00302362" w:rsidP="00DA51C8">
            <w:r>
              <w:t xml:space="preserve">AQ Anal.:  </w:t>
            </w:r>
            <w:proofErr w:type="spellStart"/>
            <w:r>
              <w:t>Eval</w:t>
            </w:r>
            <w:proofErr w:type="spellEnd"/>
            <w:r>
              <w:t>. alternative sites, processes, etc.</w:t>
            </w: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302362" w:rsidRDefault="00302362" w:rsidP="00DA51C8">
            <w:pPr>
              <w:jc w:val="center"/>
            </w:pPr>
            <w:r>
              <w:t>yes if &gt;100 tpy</w:t>
            </w: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302362" w:rsidRDefault="00302362" w:rsidP="00DA51C8">
            <w:pPr>
              <w:jc w:val="center"/>
            </w:pP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302362" w:rsidRDefault="00302362" w:rsidP="00DA51C8">
            <w:pPr>
              <w:jc w:val="center"/>
            </w:pPr>
          </w:p>
        </w:tc>
      </w:tr>
      <w:tr w:rsidR="00FC0D69" w:rsidTr="00FC0D69">
        <w:tc>
          <w:tcPr>
            <w:tcW w:w="1688" w:type="dxa"/>
            <w:tcBorders>
              <w:bottom w:val="thinThickSmallGap" w:sz="24" w:space="0" w:color="auto"/>
            </w:tcBorders>
          </w:tcPr>
          <w:p w:rsidR="00FC0D69" w:rsidRDefault="00FC0D69" w:rsidP="00DA51C8">
            <w:r>
              <w:t xml:space="preserve">Source </w:t>
            </w:r>
            <w:proofErr w:type="spellStart"/>
            <w:r>
              <w:t>Classif</w:t>
            </w:r>
            <w:proofErr w:type="spellEnd"/>
            <w:r>
              <w:t>.</w:t>
            </w:r>
          </w:p>
        </w:tc>
        <w:tc>
          <w:tcPr>
            <w:tcW w:w="4517" w:type="dxa"/>
            <w:tcBorders>
              <w:bottom w:val="thinThickSmallGap" w:sz="24" w:space="0" w:color="auto"/>
            </w:tcBorders>
          </w:tcPr>
          <w:p w:rsidR="00FC0D69" w:rsidRDefault="00FC0D69" w:rsidP="00DA51C8">
            <w:pPr>
              <w:jc w:val="center"/>
            </w:pPr>
            <w:r>
              <w:rPr>
                <w:b/>
              </w:rPr>
              <w:t>Sources not subject to NSR PSD</w:t>
            </w: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FC0D69" w:rsidRDefault="00FC0D69" w:rsidP="00DA51C8">
            <w:pPr>
              <w:jc w:val="center"/>
            </w:pP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FC0D69" w:rsidRDefault="00FC0D69" w:rsidP="00DA51C8">
            <w:pPr>
              <w:jc w:val="center"/>
            </w:pP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FC0D69" w:rsidRDefault="00FC0D69" w:rsidP="00DA51C8">
            <w:pPr>
              <w:jc w:val="center"/>
            </w:pP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FC0D69" w:rsidRDefault="00FC0D69" w:rsidP="00DA51C8">
            <w:pPr>
              <w:jc w:val="center"/>
            </w:pP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FC0D69" w:rsidRDefault="00FC0D69" w:rsidP="00DA51C8">
            <w:pPr>
              <w:jc w:val="center"/>
            </w:pPr>
          </w:p>
        </w:tc>
      </w:tr>
      <w:tr w:rsidR="00FC0D69" w:rsidRPr="00303336" w:rsidTr="00FC0D69">
        <w:tc>
          <w:tcPr>
            <w:tcW w:w="1688" w:type="dxa"/>
            <w:vMerge w:val="restar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0D69" w:rsidRDefault="00FC0D69" w:rsidP="00DA51C8">
            <w:r>
              <w:t>Major</w:t>
            </w:r>
          </w:p>
          <w:p w:rsidR="00FC0D69" w:rsidRDefault="00FC0D69" w:rsidP="00DA51C8">
            <w:r>
              <w:t>(SER to Federal Major)</w:t>
            </w:r>
          </w:p>
        </w:tc>
        <w:tc>
          <w:tcPr>
            <w:tcW w:w="451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0D69" w:rsidRDefault="00FC0D69" w:rsidP="00DA51C8">
            <w:r>
              <w:t xml:space="preserve">Offsets </w:t>
            </w:r>
          </w:p>
        </w:tc>
        <w:tc>
          <w:tcPr>
            <w:tcW w:w="143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0D69" w:rsidRDefault="00FC0D69" w:rsidP="00DA51C8">
            <w:pPr>
              <w:jc w:val="center"/>
            </w:pPr>
          </w:p>
        </w:tc>
        <w:tc>
          <w:tcPr>
            <w:tcW w:w="143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0D69" w:rsidRDefault="00FC0D69" w:rsidP="00DA51C8">
            <w:pPr>
              <w:jc w:val="center"/>
            </w:pPr>
          </w:p>
        </w:tc>
        <w:tc>
          <w:tcPr>
            <w:tcW w:w="143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0D69" w:rsidRDefault="00FC0D69" w:rsidP="00DA51C8">
            <w:pPr>
              <w:jc w:val="center"/>
            </w:pPr>
            <w:r>
              <w:t>yes</w:t>
            </w:r>
          </w:p>
        </w:tc>
        <w:tc>
          <w:tcPr>
            <w:tcW w:w="143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0D69" w:rsidRDefault="00FC0D69" w:rsidP="00DA51C8">
            <w:pPr>
              <w:jc w:val="center"/>
            </w:pPr>
          </w:p>
        </w:tc>
        <w:tc>
          <w:tcPr>
            <w:tcW w:w="143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0D69" w:rsidRDefault="00FC0D69" w:rsidP="00DA51C8">
            <w:pPr>
              <w:jc w:val="center"/>
            </w:pPr>
            <w:r>
              <w:t>yes *</w:t>
            </w:r>
          </w:p>
        </w:tc>
      </w:tr>
      <w:tr w:rsidR="00FC0D69" w:rsidRPr="00303336" w:rsidTr="00FC0D69">
        <w:tc>
          <w:tcPr>
            <w:tcW w:w="16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D69" w:rsidRDefault="00FC0D69" w:rsidP="00DA51C8"/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FC0D69" w:rsidRDefault="00FC0D69" w:rsidP="00DA51C8">
            <w:r>
              <w:t xml:space="preserve">NAQB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C0D69" w:rsidRDefault="00FC0D69" w:rsidP="00DA51C8">
            <w:pPr>
              <w:jc w:val="center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C0D69" w:rsidRDefault="00FC0D69" w:rsidP="00DA51C8">
            <w:pPr>
              <w:jc w:val="center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C0D69" w:rsidRDefault="00FC0D69" w:rsidP="00DA51C8">
            <w:pPr>
              <w:jc w:val="center"/>
            </w:pPr>
            <w:r>
              <w:t>yes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C0D69" w:rsidRDefault="00FC0D69" w:rsidP="00DA51C8">
            <w:pPr>
              <w:jc w:val="center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C0D69" w:rsidRDefault="00FC0D69" w:rsidP="00DA51C8">
            <w:pPr>
              <w:jc w:val="center"/>
            </w:pPr>
            <w:r>
              <w:t>yes *</w:t>
            </w:r>
          </w:p>
        </w:tc>
      </w:tr>
      <w:tr w:rsidR="00FC0D69" w:rsidRPr="00303336" w:rsidTr="00FC0D69">
        <w:tc>
          <w:tcPr>
            <w:tcW w:w="16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D69" w:rsidRDefault="00FC0D69" w:rsidP="00DA51C8"/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FC0D69" w:rsidRDefault="00FC0D69" w:rsidP="00DA51C8">
            <w:r>
              <w:t>AQ Anal.:  Class II/III NAAQS and Increments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C0D69" w:rsidRDefault="00FC0D69" w:rsidP="00DA51C8">
            <w:pPr>
              <w:jc w:val="center"/>
            </w:pPr>
            <w:r>
              <w:t>yes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C0D69" w:rsidRDefault="00FC0D69" w:rsidP="00DA51C8">
            <w:pPr>
              <w:jc w:val="center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C0D69" w:rsidRDefault="00FC0D69" w:rsidP="00DA51C8">
            <w:pPr>
              <w:jc w:val="center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C0D69" w:rsidRDefault="00FC0D69" w:rsidP="00DA51C8">
            <w:pPr>
              <w:jc w:val="center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C0D69" w:rsidRDefault="00FC0D69" w:rsidP="00DA51C8">
            <w:pPr>
              <w:jc w:val="center"/>
            </w:pPr>
            <w:r>
              <w:t>yes</w:t>
            </w:r>
          </w:p>
        </w:tc>
      </w:tr>
      <w:tr w:rsidR="00FC0D69" w:rsidRPr="00303336" w:rsidTr="00FC0D69">
        <w:tc>
          <w:tcPr>
            <w:tcW w:w="1688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C0D69" w:rsidRDefault="00FC0D69" w:rsidP="00DA51C8"/>
        </w:tc>
        <w:tc>
          <w:tcPr>
            <w:tcW w:w="45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C0D69" w:rsidRPr="003F2BE3" w:rsidRDefault="00FC0D69" w:rsidP="00DA51C8">
            <w:r>
              <w:t>AQ Anal.:  Class I NAAQS and Increments</w:t>
            </w:r>
          </w:p>
        </w:tc>
        <w:tc>
          <w:tcPr>
            <w:tcW w:w="143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C0D69" w:rsidRPr="00132DA3" w:rsidRDefault="00FC0D69" w:rsidP="00DA51C8">
            <w:pPr>
              <w:jc w:val="center"/>
            </w:pPr>
            <w:r w:rsidRPr="00132DA3">
              <w:t>yes</w:t>
            </w:r>
          </w:p>
        </w:tc>
        <w:tc>
          <w:tcPr>
            <w:tcW w:w="143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C0D69" w:rsidRPr="00132DA3" w:rsidRDefault="00FC0D69" w:rsidP="00DA51C8">
            <w:pPr>
              <w:jc w:val="center"/>
            </w:pPr>
          </w:p>
        </w:tc>
        <w:tc>
          <w:tcPr>
            <w:tcW w:w="143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C0D69" w:rsidRPr="00132DA3" w:rsidRDefault="00FC0D69" w:rsidP="00DA51C8">
            <w:pPr>
              <w:jc w:val="center"/>
            </w:pPr>
          </w:p>
        </w:tc>
        <w:tc>
          <w:tcPr>
            <w:tcW w:w="143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C0D69" w:rsidRPr="00132DA3" w:rsidRDefault="00FC0D69" w:rsidP="00DA51C8">
            <w:pPr>
              <w:jc w:val="center"/>
            </w:pPr>
          </w:p>
        </w:tc>
        <w:tc>
          <w:tcPr>
            <w:tcW w:w="143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C0D69" w:rsidRPr="00132DA3" w:rsidRDefault="00FC0D69" w:rsidP="00DA51C8">
            <w:pPr>
              <w:jc w:val="center"/>
            </w:pPr>
            <w:r>
              <w:t>yes</w:t>
            </w:r>
          </w:p>
        </w:tc>
      </w:tr>
    </w:tbl>
    <w:p w:rsidR="00D74E26" w:rsidRDefault="00D74E26"/>
    <w:p w:rsidR="006A35AA" w:rsidRDefault="006A35AA"/>
    <w:p w:rsidR="006A35AA" w:rsidRDefault="006A35AA">
      <w:r>
        <w:t>Proposed requirements for sources with PTE less than 100 tons/year are as follows:</w:t>
      </w:r>
    </w:p>
    <w:p w:rsidR="00D74E26" w:rsidRDefault="00D74E26" w:rsidP="00D74E26">
      <w:pPr>
        <w:spacing w:after="0"/>
        <w:jc w:val="center"/>
      </w:pPr>
      <w:r w:rsidRPr="00D74E26">
        <w:rPr>
          <w:b/>
        </w:rPr>
        <w:t>Proposed Requirements</w:t>
      </w:r>
    </w:p>
    <w:tbl>
      <w:tblPr>
        <w:tblStyle w:val="TableGrid"/>
        <w:tblW w:w="13395" w:type="dxa"/>
        <w:tblLayout w:type="fixed"/>
        <w:tblLook w:val="04A0"/>
      </w:tblPr>
      <w:tblGrid>
        <w:gridCol w:w="1688"/>
        <w:gridCol w:w="4517"/>
        <w:gridCol w:w="1438"/>
        <w:gridCol w:w="1438"/>
        <w:gridCol w:w="1438"/>
        <w:gridCol w:w="1438"/>
        <w:gridCol w:w="1438"/>
      </w:tblGrid>
      <w:tr w:rsidR="00D74E26" w:rsidRPr="00303336" w:rsidTr="00DA51C8">
        <w:tc>
          <w:tcPr>
            <w:tcW w:w="16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4E26" w:rsidRDefault="00D74E26" w:rsidP="00DA51C8">
            <w:pPr>
              <w:jc w:val="both"/>
            </w:pPr>
            <w:r>
              <w:t xml:space="preserve">Source </w:t>
            </w:r>
            <w:proofErr w:type="spellStart"/>
            <w:r>
              <w:t>Classif</w:t>
            </w:r>
            <w:proofErr w:type="spellEnd"/>
            <w:r>
              <w:t>.</w:t>
            </w:r>
          </w:p>
        </w:tc>
        <w:tc>
          <w:tcPr>
            <w:tcW w:w="45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4E26" w:rsidRDefault="00D74E26" w:rsidP="00DA51C8">
            <w:pPr>
              <w:jc w:val="center"/>
              <w:rPr>
                <w:b/>
              </w:rPr>
            </w:pPr>
            <w:r>
              <w:rPr>
                <w:b/>
              </w:rPr>
              <w:t>Sources subject to NSR PSD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4E26" w:rsidRPr="00303336" w:rsidRDefault="00D74E26" w:rsidP="00DA51C8">
            <w:pPr>
              <w:jc w:val="center"/>
              <w:rPr>
                <w:b/>
              </w:rPr>
            </w:pPr>
            <w:r w:rsidRPr="00303336">
              <w:rPr>
                <w:b/>
              </w:rPr>
              <w:t>Attainment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4E26" w:rsidRPr="00303336" w:rsidRDefault="00D74E26" w:rsidP="00DA51C8">
            <w:pPr>
              <w:jc w:val="center"/>
              <w:rPr>
                <w:b/>
              </w:rPr>
            </w:pPr>
            <w:r>
              <w:rPr>
                <w:b/>
              </w:rPr>
              <w:t>Potential NA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4E26" w:rsidRPr="00303336" w:rsidRDefault="00D74E26" w:rsidP="00DA51C8">
            <w:pPr>
              <w:jc w:val="center"/>
              <w:rPr>
                <w:b/>
              </w:rPr>
            </w:pPr>
            <w:r w:rsidRPr="00303336">
              <w:rPr>
                <w:b/>
              </w:rPr>
              <w:t>Non</w:t>
            </w:r>
            <w:r>
              <w:rPr>
                <w:b/>
              </w:rPr>
              <w:t>-attain.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4E26" w:rsidRPr="00303336" w:rsidRDefault="00D74E26" w:rsidP="00DA51C8">
            <w:pPr>
              <w:jc w:val="center"/>
              <w:rPr>
                <w:b/>
              </w:rPr>
            </w:pPr>
            <w:r>
              <w:rPr>
                <w:b/>
              </w:rPr>
              <w:t>Transitional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4E26" w:rsidRPr="00303336" w:rsidRDefault="00D74E26" w:rsidP="00DA51C8">
            <w:pPr>
              <w:jc w:val="center"/>
              <w:rPr>
                <w:b/>
              </w:rPr>
            </w:pPr>
            <w:r w:rsidRPr="00303336">
              <w:rPr>
                <w:b/>
              </w:rPr>
              <w:t>Maintenance</w:t>
            </w:r>
          </w:p>
        </w:tc>
      </w:tr>
      <w:tr w:rsidR="00D74E26" w:rsidTr="00DA51C8">
        <w:tc>
          <w:tcPr>
            <w:tcW w:w="1688" w:type="dxa"/>
            <w:vMerge w:val="restart"/>
            <w:tcBorders>
              <w:top w:val="thinThickSmallGap" w:sz="24" w:space="0" w:color="auto"/>
            </w:tcBorders>
          </w:tcPr>
          <w:p w:rsidR="00D74E26" w:rsidRPr="00364C25" w:rsidRDefault="00D74E26" w:rsidP="00DA51C8">
            <w:pPr>
              <w:rPr>
                <w:highlight w:val="yellow"/>
              </w:rPr>
            </w:pPr>
            <w:r w:rsidRPr="00364C25">
              <w:rPr>
                <w:highlight w:val="yellow"/>
              </w:rPr>
              <w:t xml:space="preserve">???? </w:t>
            </w:r>
            <w:proofErr w:type="gramStart"/>
            <w:r w:rsidRPr="00364C25">
              <w:rPr>
                <w:highlight w:val="yellow"/>
              </w:rPr>
              <w:t>did</w:t>
            </w:r>
            <w:proofErr w:type="gramEnd"/>
            <w:r w:rsidRPr="00364C25">
              <w:rPr>
                <w:highlight w:val="yellow"/>
              </w:rPr>
              <w:t xml:space="preserve"> we redefine minor to &lt;100 tpy?</w:t>
            </w:r>
            <w:r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lastRenderedPageBreak/>
              <w:t>YES</w:t>
            </w:r>
          </w:p>
        </w:tc>
        <w:tc>
          <w:tcPr>
            <w:tcW w:w="45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Pr="00043EB9" w:rsidRDefault="00D74E26" w:rsidP="00DA51C8">
            <w:r w:rsidRPr="00043EB9">
              <w:lastRenderedPageBreak/>
              <w:t>BACT or LAER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Pr="00043EB9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Pr="00043EB9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Pr="00043EB9" w:rsidRDefault="00D74E26" w:rsidP="00DA51C8">
            <w:pPr>
              <w:jc w:val="center"/>
            </w:pPr>
            <w:r w:rsidRPr="00043EB9">
              <w:t>LAER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Pr="00043EB9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Pr="00043EB9" w:rsidRDefault="00D74E26" w:rsidP="00DA51C8">
            <w:pPr>
              <w:jc w:val="center"/>
            </w:pPr>
            <w:r w:rsidRPr="00043EB9">
              <w:t>BACT</w:t>
            </w:r>
          </w:p>
        </w:tc>
      </w:tr>
      <w:tr w:rsidR="00D74E26" w:rsidTr="00DA51C8">
        <w:tc>
          <w:tcPr>
            <w:tcW w:w="1688" w:type="dxa"/>
            <w:vMerge/>
          </w:tcPr>
          <w:p w:rsidR="00D74E26" w:rsidRDefault="00D74E26" w:rsidP="00DA51C8"/>
        </w:tc>
        <w:tc>
          <w:tcPr>
            <w:tcW w:w="4517" w:type="dxa"/>
            <w:tcBorders>
              <w:bottom w:val="single" w:sz="4" w:space="0" w:color="auto"/>
            </w:tcBorders>
          </w:tcPr>
          <w:p w:rsidR="00D74E26" w:rsidRDefault="00D74E26" w:rsidP="00DA51C8">
            <w:r>
              <w:t>Offsets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74E26" w:rsidRDefault="00D74E26" w:rsidP="00DA51C8">
            <w:pPr>
              <w:jc w:val="center"/>
            </w:pPr>
            <w:r>
              <w:t>yes, 1.2-1.0:1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74E26" w:rsidRDefault="00D74E26" w:rsidP="00DA51C8">
            <w:pPr>
              <w:jc w:val="center"/>
            </w:pPr>
            <w:r>
              <w:t>yes *</w:t>
            </w:r>
          </w:p>
        </w:tc>
      </w:tr>
      <w:tr w:rsidR="00D74E26" w:rsidTr="00DA51C8">
        <w:tc>
          <w:tcPr>
            <w:tcW w:w="1688" w:type="dxa"/>
            <w:vMerge/>
          </w:tcPr>
          <w:p w:rsidR="00D74E26" w:rsidRDefault="00D74E26" w:rsidP="00DA51C8"/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r>
              <w:t>NAQB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  <w:r>
              <w:t>yes, =offsets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  <w:r>
              <w:t xml:space="preserve">yes, = offsets </w:t>
            </w:r>
            <w:r>
              <w:lastRenderedPageBreak/>
              <w:t>*</w:t>
            </w:r>
          </w:p>
        </w:tc>
      </w:tr>
      <w:tr w:rsidR="00D74E26" w:rsidTr="00DA51C8">
        <w:tc>
          <w:tcPr>
            <w:tcW w:w="1688" w:type="dxa"/>
            <w:vMerge/>
          </w:tcPr>
          <w:p w:rsidR="00D74E26" w:rsidRDefault="00D74E26" w:rsidP="00DA51C8"/>
        </w:tc>
        <w:tc>
          <w:tcPr>
            <w:tcW w:w="4517" w:type="dxa"/>
            <w:tcBorders>
              <w:bottom w:val="single" w:sz="4" w:space="0" w:color="auto"/>
            </w:tcBorders>
          </w:tcPr>
          <w:p w:rsidR="00D74E26" w:rsidRDefault="00D74E26" w:rsidP="00DA51C8">
            <w:r>
              <w:t>AQ Anal.:  Class II/III NAAQS and Increments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74E26" w:rsidRDefault="00D74E26" w:rsidP="00DA51C8">
            <w:pPr>
              <w:jc w:val="center"/>
            </w:pPr>
            <w:r>
              <w:t>yes</w:t>
            </w:r>
          </w:p>
        </w:tc>
      </w:tr>
      <w:tr w:rsidR="00D74E26" w:rsidTr="00DA51C8">
        <w:tc>
          <w:tcPr>
            <w:tcW w:w="1688" w:type="dxa"/>
            <w:vMerge/>
          </w:tcPr>
          <w:p w:rsidR="00D74E26" w:rsidRDefault="00D74E26" w:rsidP="00DA51C8"/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r>
              <w:t>AQ Anal.:  Class I NAAQS and Increments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  <w:r>
              <w:t>yes</w:t>
            </w:r>
          </w:p>
        </w:tc>
      </w:tr>
      <w:tr w:rsidR="00D74E26" w:rsidTr="00DA51C8">
        <w:tc>
          <w:tcPr>
            <w:tcW w:w="1688" w:type="dxa"/>
            <w:vMerge/>
            <w:tcBorders>
              <w:bottom w:val="thinThickSmallGap" w:sz="24" w:space="0" w:color="auto"/>
            </w:tcBorders>
          </w:tcPr>
          <w:p w:rsidR="00D74E26" w:rsidRDefault="00D74E26" w:rsidP="00DA51C8"/>
        </w:tc>
        <w:tc>
          <w:tcPr>
            <w:tcW w:w="4517" w:type="dxa"/>
            <w:tcBorders>
              <w:bottom w:val="thinThickSmallGap" w:sz="24" w:space="0" w:color="auto"/>
            </w:tcBorders>
          </w:tcPr>
          <w:p w:rsidR="00D74E26" w:rsidRDefault="00D74E26" w:rsidP="00DA51C8">
            <w:r>
              <w:t xml:space="preserve">AQ Anal.:  </w:t>
            </w:r>
            <w:proofErr w:type="spellStart"/>
            <w:r>
              <w:t>Eval</w:t>
            </w:r>
            <w:proofErr w:type="spellEnd"/>
            <w:r>
              <w:t>. alternative sites, processes, etc.</w:t>
            </w: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D74E26" w:rsidRDefault="00D74E26" w:rsidP="00DA51C8">
            <w:pPr>
              <w:jc w:val="center"/>
            </w:pPr>
            <w:r>
              <w:t>yes if &gt;100 tpy</w:t>
            </w: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D74E26" w:rsidRDefault="00D74E26" w:rsidP="00DA51C8">
            <w:pPr>
              <w:jc w:val="center"/>
            </w:pPr>
          </w:p>
        </w:tc>
      </w:tr>
      <w:tr w:rsidR="00D74E26" w:rsidTr="00DA51C8">
        <w:tc>
          <w:tcPr>
            <w:tcW w:w="16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4E26" w:rsidRDefault="00D74E26" w:rsidP="00DA51C8">
            <w:r>
              <w:t xml:space="preserve">Source </w:t>
            </w:r>
            <w:proofErr w:type="spellStart"/>
            <w:r>
              <w:t>Classif</w:t>
            </w:r>
            <w:proofErr w:type="spellEnd"/>
            <w:r>
              <w:t>.</w:t>
            </w:r>
          </w:p>
        </w:tc>
        <w:tc>
          <w:tcPr>
            <w:tcW w:w="45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4E26" w:rsidRDefault="00D74E26" w:rsidP="00DA51C8">
            <w:pPr>
              <w:jc w:val="center"/>
            </w:pPr>
            <w:r>
              <w:rPr>
                <w:b/>
              </w:rPr>
              <w:t>Sources not subject to NSR PSD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4E26" w:rsidRDefault="00D74E26" w:rsidP="00DA51C8">
            <w:pPr>
              <w:jc w:val="center"/>
            </w:pPr>
          </w:p>
        </w:tc>
      </w:tr>
      <w:tr w:rsidR="00D74E26" w:rsidRPr="00303336" w:rsidTr="00DA51C8">
        <w:tc>
          <w:tcPr>
            <w:tcW w:w="1688" w:type="dxa"/>
            <w:vMerge w:val="restart"/>
            <w:tcBorders>
              <w:top w:val="thinThickSmallGap" w:sz="24" w:space="0" w:color="auto"/>
            </w:tcBorders>
          </w:tcPr>
          <w:p w:rsidR="00D74E26" w:rsidRDefault="00D74E26" w:rsidP="00DA51C8">
            <w:r w:rsidRPr="00364C25">
              <w:rPr>
                <w:highlight w:val="yellow"/>
              </w:rPr>
              <w:t xml:space="preserve">???? </w:t>
            </w:r>
            <w:proofErr w:type="gramStart"/>
            <w:r w:rsidRPr="00364C25">
              <w:rPr>
                <w:highlight w:val="yellow"/>
              </w:rPr>
              <w:t>did</w:t>
            </w:r>
            <w:proofErr w:type="gramEnd"/>
            <w:r w:rsidRPr="00364C25">
              <w:rPr>
                <w:highlight w:val="yellow"/>
              </w:rPr>
              <w:t xml:space="preserve"> we redefine minor to &lt;100 tpy?</w:t>
            </w:r>
          </w:p>
        </w:tc>
        <w:tc>
          <w:tcPr>
            <w:tcW w:w="45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r>
              <w:t xml:space="preserve">Offsets 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  <w:r>
              <w:t>yes, ≤1.0:1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  <w:r>
              <w:t>yes, ≤1.0:1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Pr="00105EDD" w:rsidRDefault="00D74E26" w:rsidP="00DA51C8">
            <w:pPr>
              <w:jc w:val="center"/>
              <w:rPr>
                <w:highlight w:val="yellow"/>
              </w:rPr>
            </w:pPr>
            <w:r w:rsidRPr="00105EDD">
              <w:rPr>
                <w:highlight w:val="yellow"/>
              </w:rPr>
              <w:t>yes *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Pr="00105EDD" w:rsidRDefault="00D74E26" w:rsidP="00DA51C8">
            <w:pPr>
              <w:jc w:val="center"/>
              <w:rPr>
                <w:highlight w:val="yellow"/>
              </w:rPr>
            </w:pPr>
            <w:r w:rsidRPr="00105EDD">
              <w:rPr>
                <w:highlight w:val="yellow"/>
              </w:rPr>
              <w:t>yes *</w:t>
            </w:r>
          </w:p>
        </w:tc>
      </w:tr>
      <w:tr w:rsidR="00D74E26" w:rsidRPr="00303336" w:rsidTr="00DA51C8">
        <w:tc>
          <w:tcPr>
            <w:tcW w:w="1688" w:type="dxa"/>
            <w:vMerge/>
          </w:tcPr>
          <w:p w:rsidR="00D74E26" w:rsidRDefault="00D74E26" w:rsidP="00DA51C8"/>
        </w:tc>
        <w:tc>
          <w:tcPr>
            <w:tcW w:w="4517" w:type="dxa"/>
            <w:tcBorders>
              <w:bottom w:val="single" w:sz="4" w:space="0" w:color="auto"/>
            </w:tcBorders>
          </w:tcPr>
          <w:p w:rsidR="00D74E26" w:rsidRDefault="00D74E26" w:rsidP="00DA51C8">
            <w:r>
              <w:t xml:space="preserve">NAQB 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74E26" w:rsidRDefault="00D74E26" w:rsidP="00DA51C8">
            <w:pPr>
              <w:jc w:val="center"/>
            </w:pPr>
            <w:r>
              <w:t>=offsets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74E26" w:rsidRDefault="00D74E26" w:rsidP="00DA51C8">
            <w:pPr>
              <w:jc w:val="center"/>
            </w:pPr>
            <w:r>
              <w:t>=offsets *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74E26" w:rsidRDefault="00D74E26" w:rsidP="00DA51C8">
            <w:pPr>
              <w:jc w:val="center"/>
            </w:pPr>
            <w:r>
              <w:t>=offsets *</w:t>
            </w:r>
          </w:p>
        </w:tc>
      </w:tr>
      <w:tr w:rsidR="00D74E26" w:rsidRPr="00303336" w:rsidTr="00DA51C8">
        <w:tc>
          <w:tcPr>
            <w:tcW w:w="1688" w:type="dxa"/>
            <w:vMerge/>
          </w:tcPr>
          <w:p w:rsidR="00D74E26" w:rsidRDefault="00D74E26" w:rsidP="00DA51C8"/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r>
              <w:t>AQ Anal.:  Class II/III NAAQS and Increments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  <w:r>
              <w:t>yes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  <w:r>
              <w:t>yes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  <w:r>
              <w:t>yes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74E26" w:rsidRDefault="00D74E26" w:rsidP="00DA51C8">
            <w:pPr>
              <w:jc w:val="center"/>
            </w:pPr>
            <w:r>
              <w:t>yes</w:t>
            </w:r>
          </w:p>
        </w:tc>
      </w:tr>
      <w:tr w:rsidR="00D74E26" w:rsidRPr="00303336" w:rsidTr="00DA51C8">
        <w:tc>
          <w:tcPr>
            <w:tcW w:w="1688" w:type="dxa"/>
            <w:vMerge/>
            <w:tcBorders>
              <w:bottom w:val="thinThickSmallGap" w:sz="24" w:space="0" w:color="auto"/>
            </w:tcBorders>
          </w:tcPr>
          <w:p w:rsidR="00D74E26" w:rsidRDefault="00D74E26" w:rsidP="00DA51C8"/>
        </w:tc>
        <w:tc>
          <w:tcPr>
            <w:tcW w:w="4517" w:type="dxa"/>
            <w:tcBorders>
              <w:bottom w:val="thinThickSmallGap" w:sz="24" w:space="0" w:color="auto"/>
            </w:tcBorders>
          </w:tcPr>
          <w:p w:rsidR="00D74E26" w:rsidRPr="003F2BE3" w:rsidRDefault="00D74E26" w:rsidP="00DA51C8">
            <w:r>
              <w:t>AQ Anal.:  Class I NAAQS and Increments</w:t>
            </w: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D74E26" w:rsidRPr="00B74F64" w:rsidRDefault="00D74E26" w:rsidP="00DA51C8">
            <w:pPr>
              <w:jc w:val="center"/>
              <w:rPr>
                <w:highlight w:val="yellow"/>
              </w:rPr>
            </w:pPr>
            <w:r w:rsidRPr="00B74F64">
              <w:rPr>
                <w:highlight w:val="yellow"/>
              </w:rPr>
              <w:t>???</w:t>
            </w: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D74E26" w:rsidRPr="00132DA3" w:rsidRDefault="00D74E26" w:rsidP="00DA51C8">
            <w:pPr>
              <w:jc w:val="center"/>
            </w:pPr>
            <w:r w:rsidRPr="00B74F64">
              <w:rPr>
                <w:highlight w:val="yellow"/>
              </w:rPr>
              <w:t>???</w:t>
            </w: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D74E26" w:rsidRPr="00132DA3" w:rsidRDefault="00D74E26" w:rsidP="00DA51C8">
            <w:pPr>
              <w:jc w:val="center"/>
            </w:pP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D74E26" w:rsidRPr="00105EDD" w:rsidRDefault="00D74E26" w:rsidP="00DA51C8">
            <w:pPr>
              <w:jc w:val="center"/>
              <w:rPr>
                <w:highlight w:val="yellow"/>
              </w:rPr>
            </w:pPr>
            <w:r w:rsidRPr="00105EDD">
              <w:rPr>
                <w:highlight w:val="yellow"/>
              </w:rPr>
              <w:t>???</w:t>
            </w:r>
          </w:p>
        </w:tc>
        <w:tc>
          <w:tcPr>
            <w:tcW w:w="1438" w:type="dxa"/>
            <w:tcBorders>
              <w:bottom w:val="thinThickSmallGap" w:sz="24" w:space="0" w:color="auto"/>
            </w:tcBorders>
          </w:tcPr>
          <w:p w:rsidR="00D74E26" w:rsidRPr="00105EDD" w:rsidRDefault="00D74E26" w:rsidP="00DA51C8">
            <w:pPr>
              <w:jc w:val="center"/>
              <w:rPr>
                <w:highlight w:val="yellow"/>
              </w:rPr>
            </w:pPr>
            <w:r w:rsidRPr="00105EDD">
              <w:rPr>
                <w:highlight w:val="yellow"/>
              </w:rPr>
              <w:t>???</w:t>
            </w:r>
          </w:p>
        </w:tc>
      </w:tr>
    </w:tbl>
    <w:p w:rsidR="00302362" w:rsidRDefault="00302362"/>
    <w:p w:rsidR="002070A0" w:rsidRDefault="002070A0"/>
    <w:p w:rsidR="002070A0" w:rsidRPr="0034230B" w:rsidRDefault="002070A0"/>
    <w:sectPr w:rsidR="002070A0" w:rsidRPr="0034230B" w:rsidSect="00302362">
      <w:pgSz w:w="15840" w:h="12240" w:orient="landscape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34DED"/>
    <w:rsid w:val="00091984"/>
    <w:rsid w:val="00122EC2"/>
    <w:rsid w:val="00135512"/>
    <w:rsid w:val="002070A0"/>
    <w:rsid w:val="002F0E8A"/>
    <w:rsid w:val="00302362"/>
    <w:rsid w:val="0034230B"/>
    <w:rsid w:val="0061148D"/>
    <w:rsid w:val="006205B8"/>
    <w:rsid w:val="00634DED"/>
    <w:rsid w:val="0066769A"/>
    <w:rsid w:val="006A35AA"/>
    <w:rsid w:val="007F1F75"/>
    <w:rsid w:val="00825748"/>
    <w:rsid w:val="00827A45"/>
    <w:rsid w:val="008C114F"/>
    <w:rsid w:val="00942B26"/>
    <w:rsid w:val="009B76AD"/>
    <w:rsid w:val="00CD518E"/>
    <w:rsid w:val="00D5537F"/>
    <w:rsid w:val="00D74E26"/>
    <w:rsid w:val="00EA7F79"/>
    <w:rsid w:val="00FC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362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4</cp:revision>
  <dcterms:created xsi:type="dcterms:W3CDTF">2013-01-07T19:01:00Z</dcterms:created>
  <dcterms:modified xsi:type="dcterms:W3CDTF">2013-01-07T23:08:00Z</dcterms:modified>
</cp:coreProperties>
</file>