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E7438" w:rsidRPr="00D4498B" w:rsidRDefault="00AE7438" w:rsidP="00AE7438">
      <w:pPr>
        <w:shd w:val="clear" w:color="auto" w:fill="FFFFFF"/>
        <w:spacing w:before="150" w:after="75" w:line="240" w:lineRule="auto"/>
        <w:jc w:val="center"/>
        <w:outlineLvl w:val="1"/>
        <w:rPr>
          <w:rFonts w:ascii="Times New Roman" w:eastAsia="Times New Roman" w:hAnsi="Times New Roman" w:cs="Times New Roman"/>
          <w:b/>
          <w:bCs/>
          <w:color w:val="916E33"/>
          <w:sz w:val="28"/>
          <w:szCs w:val="28"/>
        </w:rPr>
      </w:pPr>
      <w:r w:rsidRPr="00D4498B">
        <w:rPr>
          <w:rFonts w:ascii="Times New Roman" w:eastAsia="Times New Roman" w:hAnsi="Times New Roman" w:cs="Times New Roman"/>
          <w:b/>
          <w:bCs/>
          <w:color w:val="916E33"/>
          <w:sz w:val="28"/>
          <w:szCs w:val="28"/>
        </w:rPr>
        <w:t xml:space="preserve">DEPARTMENT OF ENVIRONMENTAL QUALITY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 </w:t>
      </w:r>
    </w:p>
    <w:p w:rsidR="00AE7438" w:rsidRPr="00D4498B" w:rsidRDefault="00AE7438" w:rsidP="00AE743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DIVISION 204</w:t>
      </w:r>
    </w:p>
    <w:p w:rsidR="00AE7438" w:rsidRPr="00D4498B" w:rsidRDefault="00AE7438" w:rsidP="00AE7438">
      <w:pPr>
        <w:shd w:val="clear" w:color="auto" w:fill="FFFFFF"/>
        <w:spacing w:before="100" w:beforeAutospacing="1" w:after="100" w:afterAutospacing="1" w:line="240" w:lineRule="auto"/>
        <w:jc w:val="center"/>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DESIGNATION OF AIR QUALITY AREAS</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340-204-0010</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Definitions</w:t>
      </w:r>
    </w:p>
    <w:p w:rsidR="00AE7438"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The definitions in OAR 340-200-0020 and this rule apply to this division. If the same term is defined in this rule and 340-200-0020, the definition in this rule applies to this division. Definitions of boundaries in this rule also apply to OAR 340 division 200 through 268 and throughout the State of Oregon Clean Air Act Implementation Plan adopted under 340-200-0040.</w:t>
      </w:r>
    </w:p>
    <w:p w:rsidR="00B912D3" w:rsidRPr="00B912D3" w:rsidDel="00417BC4" w:rsidRDefault="00B912D3" w:rsidP="00B912D3">
      <w:pPr>
        <w:shd w:val="clear" w:color="auto" w:fill="FFFFFF"/>
        <w:spacing w:before="100" w:beforeAutospacing="1" w:after="100" w:afterAutospacing="1" w:line="240" w:lineRule="auto"/>
        <w:rPr>
          <w:del w:id="0" w:author="jinahar" w:date="2012-12-20T16:34:00Z"/>
          <w:rFonts w:ascii="Times New Roman" w:eastAsia="Times New Roman" w:hAnsi="Times New Roman" w:cs="Times New Roman"/>
          <w:color w:val="000000"/>
          <w:sz w:val="28"/>
          <w:szCs w:val="28"/>
        </w:rPr>
      </w:pPr>
      <w:del w:id="1" w:author="jinahar" w:date="2012-12-20T16:34:00Z">
        <w:r w:rsidRPr="00B912D3" w:rsidDel="00417BC4">
          <w:rPr>
            <w:rFonts w:ascii="Times New Roman" w:eastAsia="Times New Roman" w:hAnsi="Times New Roman" w:cs="Times New Roman"/>
            <w:color w:val="000000"/>
            <w:sz w:val="28"/>
            <w:szCs w:val="28"/>
          </w:rPr>
          <w:delText xml:space="preserve">(1) “AQCR” means Air Quality Control Region. </w:delText>
        </w:r>
      </w:del>
    </w:p>
    <w:p w:rsidR="00B912D3" w:rsidRPr="00B912D3" w:rsidDel="00417BC4" w:rsidRDefault="00B912D3" w:rsidP="00B912D3">
      <w:pPr>
        <w:shd w:val="clear" w:color="auto" w:fill="FFFFFF"/>
        <w:spacing w:before="100" w:beforeAutospacing="1" w:after="100" w:afterAutospacing="1" w:line="240" w:lineRule="auto"/>
        <w:rPr>
          <w:del w:id="2" w:author="jinahar" w:date="2012-12-20T16:34:00Z"/>
          <w:rFonts w:ascii="Times New Roman" w:eastAsia="Times New Roman" w:hAnsi="Times New Roman" w:cs="Times New Roman"/>
          <w:color w:val="000000"/>
          <w:sz w:val="28"/>
          <w:szCs w:val="28"/>
        </w:rPr>
      </w:pPr>
      <w:del w:id="3" w:author="jinahar" w:date="2012-12-20T16:34:00Z">
        <w:r w:rsidRPr="00B912D3" w:rsidDel="00417BC4">
          <w:rPr>
            <w:rFonts w:ascii="Times New Roman" w:eastAsia="Times New Roman" w:hAnsi="Times New Roman" w:cs="Times New Roman"/>
            <w:color w:val="000000"/>
            <w:sz w:val="28"/>
            <w:szCs w:val="28"/>
          </w:rPr>
          <w:delText xml:space="preserve">(2) “AQMA” means Air Quality Maintenance Area. </w:delText>
        </w:r>
      </w:del>
    </w:p>
    <w:p w:rsidR="00B912D3" w:rsidRPr="00B912D3" w:rsidDel="00417BC4" w:rsidRDefault="00417BC4" w:rsidP="00B912D3">
      <w:pPr>
        <w:shd w:val="clear" w:color="auto" w:fill="FFFFFF"/>
        <w:spacing w:before="100" w:beforeAutospacing="1" w:after="100" w:afterAutospacing="1" w:line="240" w:lineRule="auto"/>
        <w:rPr>
          <w:del w:id="4" w:author="jinahar" w:date="2012-12-20T16:34:00Z"/>
          <w:rFonts w:ascii="Times New Roman" w:eastAsia="Times New Roman" w:hAnsi="Times New Roman" w:cs="Times New Roman"/>
          <w:color w:val="000000"/>
          <w:sz w:val="28"/>
          <w:szCs w:val="28"/>
        </w:rPr>
      </w:pPr>
      <w:ins w:id="5" w:author="jinahar" w:date="2012-12-20T16:34:00Z">
        <w:r w:rsidRPr="00B912D3" w:rsidDel="00417BC4">
          <w:rPr>
            <w:rFonts w:ascii="Times New Roman" w:eastAsia="Times New Roman" w:hAnsi="Times New Roman" w:cs="Times New Roman"/>
            <w:color w:val="000000"/>
            <w:sz w:val="28"/>
            <w:szCs w:val="28"/>
          </w:rPr>
          <w:t xml:space="preserve"> </w:t>
        </w:r>
      </w:ins>
      <w:del w:id="6" w:author="jinahar" w:date="2012-12-20T16:34:00Z">
        <w:r w:rsidR="00B912D3" w:rsidRPr="00B912D3" w:rsidDel="00417BC4">
          <w:rPr>
            <w:rFonts w:ascii="Times New Roman" w:eastAsia="Times New Roman" w:hAnsi="Times New Roman" w:cs="Times New Roman"/>
            <w:color w:val="000000"/>
            <w:sz w:val="28"/>
            <w:szCs w:val="28"/>
          </w:rPr>
          <w:delText xml:space="preserve">(3) “CO” means Carbon Monoxide. </w:delText>
        </w:r>
      </w:del>
    </w:p>
    <w:p w:rsidR="00B912D3" w:rsidRPr="00B912D3" w:rsidDel="00417BC4" w:rsidRDefault="00B912D3" w:rsidP="00B912D3">
      <w:pPr>
        <w:shd w:val="clear" w:color="auto" w:fill="FFFFFF"/>
        <w:spacing w:before="100" w:beforeAutospacing="1" w:after="100" w:afterAutospacing="1" w:line="240" w:lineRule="auto"/>
        <w:rPr>
          <w:del w:id="7" w:author="jinahar" w:date="2012-12-20T16:34:00Z"/>
          <w:rFonts w:ascii="Times New Roman" w:eastAsia="Times New Roman" w:hAnsi="Times New Roman" w:cs="Times New Roman"/>
          <w:color w:val="000000"/>
          <w:sz w:val="28"/>
          <w:szCs w:val="28"/>
        </w:rPr>
      </w:pPr>
      <w:del w:id="8" w:author="jinahar" w:date="2012-12-20T16:34:00Z">
        <w:r w:rsidRPr="00B912D3" w:rsidDel="00417BC4">
          <w:rPr>
            <w:rFonts w:ascii="Times New Roman" w:eastAsia="Times New Roman" w:hAnsi="Times New Roman" w:cs="Times New Roman"/>
            <w:color w:val="000000"/>
            <w:sz w:val="28"/>
            <w:szCs w:val="28"/>
          </w:rPr>
          <w:delText xml:space="preserve">(4) “CBD” means Central Business District. </w:delText>
        </w:r>
      </w:del>
    </w:p>
    <w:p w:rsidR="00B912D3" w:rsidRPr="00B912D3" w:rsidDel="00B912D3" w:rsidRDefault="00B912D3" w:rsidP="00B912D3">
      <w:pPr>
        <w:shd w:val="clear" w:color="auto" w:fill="FFFFFF"/>
        <w:spacing w:before="100" w:beforeAutospacing="1" w:after="100" w:afterAutospacing="1" w:line="240" w:lineRule="auto"/>
        <w:rPr>
          <w:del w:id="9" w:author="jinahar" w:date="2012-12-17T09:40:00Z"/>
          <w:rFonts w:ascii="Times New Roman" w:eastAsia="Times New Roman" w:hAnsi="Times New Roman" w:cs="Times New Roman"/>
          <w:color w:val="000000"/>
          <w:sz w:val="28"/>
          <w:szCs w:val="28"/>
        </w:rPr>
      </w:pPr>
      <w:del w:id="10" w:author="jinahar" w:date="2012-12-17T09:40:00Z">
        <w:r w:rsidRPr="00B912D3" w:rsidDel="00B912D3">
          <w:rPr>
            <w:rFonts w:ascii="Times New Roman" w:eastAsia="Times New Roman" w:hAnsi="Times New Roman" w:cs="Times New Roman"/>
            <w:color w:val="000000"/>
            <w:sz w:val="28"/>
            <w:szCs w:val="28"/>
          </w:rPr>
          <w:delText xml:space="preserve">(5) “Criteria Pollutant” means any of the six pollutants set out by the Clean Air Act (sulfur oxides, particulate matter, ozone, carbon monoxide, nitrogen dioxide, and lead) for which the EPA has promulgated standards in 40 CFR 50.4 through 50.12 (July, 1993). </w:delText>
        </w:r>
      </w:del>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11" w:author="jinahar" w:date="2012-12-20T16:35:00Z">
        <w:r w:rsidR="00417BC4">
          <w:rPr>
            <w:rFonts w:ascii="Times New Roman" w:eastAsia="Times New Roman" w:hAnsi="Times New Roman" w:cs="Times New Roman"/>
            <w:color w:val="000000"/>
            <w:sz w:val="28"/>
            <w:szCs w:val="28"/>
          </w:rPr>
          <w:t>1</w:t>
        </w:r>
      </w:ins>
      <w:del w:id="12" w:author="jinahar" w:date="2012-12-20T16:35:00Z">
        <w:r w:rsidRPr="00B912D3" w:rsidDel="00417BC4">
          <w:rPr>
            <w:rFonts w:ascii="Times New Roman" w:eastAsia="Times New Roman" w:hAnsi="Times New Roman" w:cs="Times New Roman"/>
            <w:color w:val="000000"/>
            <w:sz w:val="28"/>
            <w:szCs w:val="28"/>
          </w:rPr>
          <w:delText>6</w:delText>
        </w:r>
      </w:del>
      <w:r w:rsidRPr="00B912D3">
        <w:rPr>
          <w:rFonts w:ascii="Times New Roman" w:eastAsia="Times New Roman" w:hAnsi="Times New Roman" w:cs="Times New Roman"/>
          <w:color w:val="000000"/>
          <w:sz w:val="28"/>
          <w:szCs w:val="28"/>
        </w:rPr>
        <w:t xml:space="preserve">) “Eugene-Springfield UGB” means the area within the bounds beginning at the Willamette River at a point due east from the intersection of East Beacon Road and River Loop No.1; thence southerly along the Willamette River to the intersection with Belt Line Road; thence easterly along Belt Line Road approximately one-half mile to the intersection with Delta Highway; thence northwesterly and then northerly along Delta Highway and on a line north from the Delta Highway to the intersection with the McKenzie River; thence generally southerly and easterly along the McKenzie River approximately eleven miles to the intersection with </w:t>
      </w:r>
      <w:proofErr w:type="spellStart"/>
      <w:r w:rsidRPr="00B912D3">
        <w:rPr>
          <w:rFonts w:ascii="Times New Roman" w:eastAsia="Times New Roman" w:hAnsi="Times New Roman" w:cs="Times New Roman"/>
          <w:color w:val="000000"/>
          <w:sz w:val="28"/>
          <w:szCs w:val="28"/>
        </w:rPr>
        <w:t>Marcola</w:t>
      </w:r>
      <w:proofErr w:type="spellEnd"/>
      <w:r w:rsidRPr="00B912D3">
        <w:rPr>
          <w:rFonts w:ascii="Times New Roman" w:eastAsia="Times New Roman" w:hAnsi="Times New Roman" w:cs="Times New Roman"/>
          <w:color w:val="000000"/>
          <w:sz w:val="28"/>
          <w:szCs w:val="28"/>
        </w:rPr>
        <w:t xml:space="preserve"> Road; thence southwesterly along </w:t>
      </w:r>
      <w:proofErr w:type="spellStart"/>
      <w:r w:rsidRPr="00B912D3">
        <w:rPr>
          <w:rFonts w:ascii="Times New Roman" w:eastAsia="Times New Roman" w:hAnsi="Times New Roman" w:cs="Times New Roman"/>
          <w:color w:val="000000"/>
          <w:sz w:val="28"/>
          <w:szCs w:val="28"/>
        </w:rPr>
        <w:t>Marcola</w:t>
      </w:r>
      <w:proofErr w:type="spellEnd"/>
      <w:r w:rsidRPr="00B912D3">
        <w:rPr>
          <w:rFonts w:ascii="Times New Roman" w:eastAsia="Times New Roman" w:hAnsi="Times New Roman" w:cs="Times New Roman"/>
          <w:color w:val="000000"/>
          <w:sz w:val="28"/>
          <w:szCs w:val="28"/>
        </w:rPr>
        <w:t xml:space="preserve"> Road to the intersection with 42nd Street; thence southerly along 42nd Street to the intersection with the </w:t>
      </w:r>
      <w:r w:rsidRPr="00B912D3">
        <w:rPr>
          <w:rFonts w:ascii="Times New Roman" w:eastAsia="Times New Roman" w:hAnsi="Times New Roman" w:cs="Times New Roman"/>
          <w:color w:val="000000"/>
          <w:sz w:val="28"/>
          <w:szCs w:val="28"/>
        </w:rPr>
        <w:lastRenderedPageBreak/>
        <w:t xml:space="preserve">northern branch of US Highway 126; thence easterly along US Highway 126 to the intersection with 52nd Street; thence north along 52nd Street to the intersection with High Banks Road; thence easterly along High Banks Road to the intersection with 58th Street; thence south along 58th Street to the intersection with Thurston Road; thence easterly along Thurston Road to the intersection with the western boundary of Section 36, T17S, R2W; thence south to the southwest corner of Section 36, T17S, R2W; thence west to the Springfield City Limits; thence following the Springfield City Limits southwesterly to the intersection with the western boundary of Section 2, T18S, R2W; thence on a line southwest to the Private Logging Road approximately one-half mile away; thence southeasterly along the Private Logging Road to the intersection with Wallace Creek; thence southwesterly along Wallace Creek to the confluence with the Middle Fork of the Willamette River; thence generally northwesterly along the Middle Fork of the Willamette River approximately seven and one-half miles to the intersection with the northern boundary of Section 11, T18S, R3W; thence west to the northwest corner of Section 10, T18S, R3W; thence south to the intersection with 30th Avenue; thence westerly along 30th Avenue to the intersection with the Eugene City Limits; thence following the Eugene City Limits first southerly then westerly then northerly and finally westerly to the intersection with the northern boundary of Section 5, T18S, R4W; thence west to the intersection with Greenhill Road; thence north along Greenhill Road to the intersection with Barger Drive; thence east along Barger Drive to the intersection with the Eugene City Limits (Ohio Street); thence following the Eugene City Limits first north then east then north then east then south then east to the intersection with Jansen Drive; thence east along Jansen Drive to the intersection with Belt Line Road; thence northeasterly along Belt Line Road to the intersection with Highway 99; thence northwesterly along Highway 99 to the intersection with Clear Lake Road; thence west along Clear Lake Road to the intersection with the western boundary of Section 9, T17S, R4W; thence north to the intersection with Airport Road; thence east along Airport Road to the intersection with Highway 99; thence northwesterly along Highway 99 to the intersection East Enid Road; thence east along East Enid Road to the intersection with Prairie Road; thence southerly along Prairie Road to the intersection with Irvington Road; thence east along Irvington Road to the intersection with the Southern Pacific Railroad Line; thence southeasterly along the Southern Pacific Railroad Line to the intersection with Irving Road; thence east along Irving Road to the intersection with Kalmia Road; thence northerly along Kalmia Road to the intersection with Hyacinth Road; thence northerly along </w:t>
      </w:r>
      <w:proofErr w:type="spellStart"/>
      <w:r w:rsidRPr="00B912D3">
        <w:rPr>
          <w:rFonts w:ascii="Times New Roman" w:eastAsia="Times New Roman" w:hAnsi="Times New Roman" w:cs="Times New Roman"/>
          <w:color w:val="000000"/>
          <w:sz w:val="28"/>
          <w:szCs w:val="28"/>
        </w:rPr>
        <w:t>Hyancinth</w:t>
      </w:r>
      <w:proofErr w:type="spellEnd"/>
      <w:r w:rsidRPr="00B912D3">
        <w:rPr>
          <w:rFonts w:ascii="Times New Roman" w:eastAsia="Times New Roman" w:hAnsi="Times New Roman" w:cs="Times New Roman"/>
          <w:color w:val="000000"/>
          <w:sz w:val="28"/>
          <w:szCs w:val="28"/>
        </w:rPr>
        <w:t xml:space="preserve"> Road to the intersection with Irvington Road; thence east along Irvington Road to the intersection with Spring Creek; thence northerly along Spring Creek to the intersection with River Road; thence northerly along River </w:t>
      </w:r>
      <w:r w:rsidRPr="00B912D3">
        <w:rPr>
          <w:rFonts w:ascii="Times New Roman" w:eastAsia="Times New Roman" w:hAnsi="Times New Roman" w:cs="Times New Roman"/>
          <w:color w:val="000000"/>
          <w:sz w:val="28"/>
          <w:szCs w:val="28"/>
        </w:rPr>
        <w:lastRenderedPageBreak/>
        <w:t>Road to the intersection with East Beacon Drive; thence following East Beacon Drive first east then south then east to the intersection with River Loop No.1; thence on a line due east to the Willamette River and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13" w:author="jinahar" w:date="2012-12-20T16:35:00Z">
        <w:r w:rsidR="00417BC4">
          <w:rPr>
            <w:rFonts w:ascii="Times New Roman" w:eastAsia="Times New Roman" w:hAnsi="Times New Roman" w:cs="Times New Roman"/>
            <w:color w:val="000000"/>
            <w:sz w:val="28"/>
            <w:szCs w:val="28"/>
          </w:rPr>
          <w:t>2</w:t>
        </w:r>
      </w:ins>
      <w:del w:id="14" w:author="jinahar" w:date="2012-12-20T16:35:00Z">
        <w:r w:rsidRPr="00B912D3" w:rsidDel="00417BC4">
          <w:rPr>
            <w:rFonts w:ascii="Times New Roman" w:eastAsia="Times New Roman" w:hAnsi="Times New Roman" w:cs="Times New Roman"/>
            <w:color w:val="000000"/>
            <w:sz w:val="28"/>
            <w:szCs w:val="28"/>
          </w:rPr>
          <w:delText>7</w:delText>
        </w:r>
      </w:del>
      <w:r w:rsidRPr="00B912D3">
        <w:rPr>
          <w:rFonts w:ascii="Times New Roman" w:eastAsia="Times New Roman" w:hAnsi="Times New Roman" w:cs="Times New Roman"/>
          <w:color w:val="000000"/>
          <w:sz w:val="28"/>
          <w:szCs w:val="28"/>
        </w:rPr>
        <w:t>) “Grants Pass CBD” means the area within the City of Grants Pass enclosed by “B” Street on the north, 8th Street to the east, “M” Street on the south, and 5th Street to the west.</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15" w:author="jinahar" w:date="2012-12-20T16:35:00Z">
        <w:r w:rsidR="00417BC4">
          <w:rPr>
            <w:rFonts w:ascii="Times New Roman" w:eastAsia="Times New Roman" w:hAnsi="Times New Roman" w:cs="Times New Roman"/>
            <w:color w:val="000000"/>
            <w:sz w:val="28"/>
            <w:szCs w:val="28"/>
          </w:rPr>
          <w:t>3</w:t>
        </w:r>
      </w:ins>
      <w:del w:id="16" w:author="jinahar" w:date="2012-12-20T16:35:00Z">
        <w:r w:rsidRPr="00B912D3" w:rsidDel="00417BC4">
          <w:rPr>
            <w:rFonts w:ascii="Times New Roman" w:eastAsia="Times New Roman" w:hAnsi="Times New Roman" w:cs="Times New Roman"/>
            <w:color w:val="000000"/>
            <w:sz w:val="28"/>
            <w:szCs w:val="28"/>
          </w:rPr>
          <w:delText>8</w:delText>
        </w:r>
      </w:del>
      <w:r w:rsidRPr="00B912D3">
        <w:rPr>
          <w:rFonts w:ascii="Times New Roman" w:eastAsia="Times New Roman" w:hAnsi="Times New Roman" w:cs="Times New Roman"/>
          <w:color w:val="000000"/>
          <w:sz w:val="28"/>
          <w:szCs w:val="28"/>
        </w:rPr>
        <w:t xml:space="preserve">) Grants Pass Control Area means the area of the state beginning at the northeast corner of Section 35, T35S, R5W; thence south to the southeast corner of Section 11, T37S, R5W; thence west to the southwest corner of Section 9, T37S, R6W; thence north to the northwest corner of Section 33, T35S, R6W; thence east to the point of beginning. </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17" w:author="jinahar" w:date="2012-12-20T16:35:00Z">
        <w:r w:rsidR="00417BC4">
          <w:rPr>
            <w:rFonts w:ascii="Times New Roman" w:eastAsia="Times New Roman" w:hAnsi="Times New Roman" w:cs="Times New Roman"/>
            <w:color w:val="000000"/>
            <w:sz w:val="28"/>
            <w:szCs w:val="28"/>
          </w:rPr>
          <w:t>4</w:t>
        </w:r>
      </w:ins>
      <w:del w:id="18" w:author="jinahar" w:date="2012-12-20T16:35:00Z">
        <w:r w:rsidRPr="00B912D3" w:rsidDel="00417BC4">
          <w:rPr>
            <w:rFonts w:ascii="Times New Roman" w:eastAsia="Times New Roman" w:hAnsi="Times New Roman" w:cs="Times New Roman"/>
            <w:color w:val="000000"/>
            <w:sz w:val="28"/>
            <w:szCs w:val="28"/>
          </w:rPr>
          <w:delText>9</w:delText>
        </w:r>
      </w:del>
      <w:r w:rsidRPr="00B912D3">
        <w:rPr>
          <w:rFonts w:ascii="Times New Roman" w:eastAsia="Times New Roman" w:hAnsi="Times New Roman" w:cs="Times New Roman"/>
          <w:color w:val="000000"/>
          <w:sz w:val="28"/>
          <w:szCs w:val="28"/>
        </w:rPr>
        <w:t xml:space="preserve">) “Grants Pass UGB” as shown on the Plan and Zoning maps for the City of Grants Pass as of Feb. 1, 1988 is the area within the bounds beginning at the NW corner of Sec. 7, T36S, R5W; thence south to the SW corner of Sec. 7; thence west along the southern boundary of Sec. 12, T36S, R5W approx. 2000 feet; thence south approx. 100 feet to the northern right of way of the Southern Pacific Railroad Line (SPRR Line); thence southeasterly along said right of way approx. 800 feet; thence south approx. 400 feet; thence west approx. 1100 feet; thence south approx. 700 feet to the intersection with the Hillside Canal; thence west approx. 100 feet; thence south approx. 550 feet to the intersection with Upper River Road; thence southeasterly along Upper River Road and continuing east along Old Upper River Road approx. 700 feet; thence south approx. 1550 feet; thence west approx. 350 feet; thence south approx. 250 feet; thence west approx. 1000 feet; thence south approx. 600 feet to the north end of </w:t>
      </w:r>
      <w:proofErr w:type="spellStart"/>
      <w:r w:rsidRPr="00B912D3">
        <w:rPr>
          <w:rFonts w:ascii="Times New Roman" w:eastAsia="Times New Roman" w:hAnsi="Times New Roman" w:cs="Times New Roman"/>
          <w:color w:val="000000"/>
          <w:sz w:val="28"/>
          <w:szCs w:val="28"/>
        </w:rPr>
        <w:t>Roguela</w:t>
      </w:r>
      <w:proofErr w:type="spellEnd"/>
      <w:r w:rsidRPr="00B912D3">
        <w:rPr>
          <w:rFonts w:ascii="Times New Roman" w:eastAsia="Times New Roman" w:hAnsi="Times New Roman" w:cs="Times New Roman"/>
          <w:color w:val="000000"/>
          <w:sz w:val="28"/>
          <w:szCs w:val="28"/>
        </w:rPr>
        <w:t xml:space="preserve"> Lane; thence east approx. 400 feet; thence south approx. 1400 feet to the intersection with Lower River Road; thence west along Lower River Road approx. 1400 feet; thence south approx. 1350 feet; thence west approx. 25 feet; thence south approx. 1200 feet to the south bank of the Rogue River; thence northwesterly along said bank approx. 2800 feet; thence on a line southwesterly and parallel to </w:t>
      </w:r>
      <w:proofErr w:type="spellStart"/>
      <w:r w:rsidRPr="00B912D3">
        <w:rPr>
          <w:rFonts w:ascii="Times New Roman" w:eastAsia="Times New Roman" w:hAnsi="Times New Roman" w:cs="Times New Roman"/>
          <w:color w:val="000000"/>
          <w:sz w:val="28"/>
          <w:szCs w:val="28"/>
        </w:rPr>
        <w:t>Parkhill</w:t>
      </w:r>
      <w:proofErr w:type="spellEnd"/>
      <w:r w:rsidRPr="00B912D3">
        <w:rPr>
          <w:rFonts w:ascii="Times New Roman" w:eastAsia="Times New Roman" w:hAnsi="Times New Roman" w:cs="Times New Roman"/>
          <w:color w:val="000000"/>
          <w:sz w:val="28"/>
          <w:szCs w:val="28"/>
        </w:rPr>
        <w:t xml:space="preserve"> Place approx. 600 feet; thence northwesterly at a 90 degree angle approximately 300 feet to the intersection with </w:t>
      </w:r>
      <w:proofErr w:type="spellStart"/>
      <w:r w:rsidRPr="00B912D3">
        <w:rPr>
          <w:rFonts w:ascii="Times New Roman" w:eastAsia="Times New Roman" w:hAnsi="Times New Roman" w:cs="Times New Roman"/>
          <w:color w:val="000000"/>
          <w:sz w:val="28"/>
          <w:szCs w:val="28"/>
        </w:rPr>
        <w:t>Parkhill</w:t>
      </w:r>
      <w:proofErr w:type="spellEnd"/>
      <w:r w:rsidRPr="00B912D3">
        <w:rPr>
          <w:rFonts w:ascii="Times New Roman" w:eastAsia="Times New Roman" w:hAnsi="Times New Roman" w:cs="Times New Roman"/>
          <w:color w:val="000000"/>
          <w:sz w:val="28"/>
          <w:szCs w:val="28"/>
        </w:rPr>
        <w:t xml:space="preserve"> Place; thence southwesterly along </w:t>
      </w:r>
      <w:proofErr w:type="spellStart"/>
      <w:r w:rsidRPr="00B912D3">
        <w:rPr>
          <w:rFonts w:ascii="Times New Roman" w:eastAsia="Times New Roman" w:hAnsi="Times New Roman" w:cs="Times New Roman"/>
          <w:color w:val="000000"/>
          <w:sz w:val="28"/>
          <w:szCs w:val="28"/>
        </w:rPr>
        <w:t>Parkhill</w:t>
      </w:r>
      <w:proofErr w:type="spellEnd"/>
      <w:r w:rsidRPr="00B912D3">
        <w:rPr>
          <w:rFonts w:ascii="Times New Roman" w:eastAsia="Times New Roman" w:hAnsi="Times New Roman" w:cs="Times New Roman"/>
          <w:color w:val="000000"/>
          <w:sz w:val="28"/>
          <w:szCs w:val="28"/>
        </w:rPr>
        <w:t xml:space="preserve"> Place approx. 250 feet; thence on a line southeasterly forming a 90 degree angle approximately 300 feet to a point even with Leonard Road; thence west approx. 1500 feet along Leonard Road; thence north approx. 200 feet; thence west to the west side of Schroeder Lane; thence north approx. 150 feet; thence west approx. 200 feet; thence south to the intersection with Leonard Road; thence west along Leonard Road approx. 450 feet; thence north approx. 300 feet; thence east approx. 150 feet; thence north approx. </w:t>
      </w:r>
      <w:r w:rsidRPr="00B912D3">
        <w:rPr>
          <w:rFonts w:ascii="Times New Roman" w:eastAsia="Times New Roman" w:hAnsi="Times New Roman" w:cs="Times New Roman"/>
          <w:color w:val="000000"/>
          <w:sz w:val="28"/>
          <w:szCs w:val="28"/>
        </w:rPr>
        <w:lastRenderedPageBreak/>
        <w:t xml:space="preserve">400 feet; thence west approx. 500 feet; thence south approx. 300 feet; thence west to the intersection with </w:t>
      </w:r>
      <w:proofErr w:type="spellStart"/>
      <w:r w:rsidRPr="00B912D3">
        <w:rPr>
          <w:rFonts w:ascii="Times New Roman" w:eastAsia="Times New Roman" w:hAnsi="Times New Roman" w:cs="Times New Roman"/>
          <w:color w:val="000000"/>
          <w:sz w:val="28"/>
          <w:szCs w:val="28"/>
        </w:rPr>
        <w:t>Coutant</w:t>
      </w:r>
      <w:proofErr w:type="spellEnd"/>
      <w:r w:rsidRPr="00B912D3">
        <w:rPr>
          <w:rFonts w:ascii="Times New Roman" w:eastAsia="Times New Roman" w:hAnsi="Times New Roman" w:cs="Times New Roman"/>
          <w:color w:val="000000"/>
          <w:sz w:val="28"/>
          <w:szCs w:val="28"/>
        </w:rPr>
        <w:t xml:space="preserve"> Lane; thence south along </w:t>
      </w:r>
      <w:proofErr w:type="spellStart"/>
      <w:r w:rsidRPr="00B912D3">
        <w:rPr>
          <w:rFonts w:ascii="Times New Roman" w:eastAsia="Times New Roman" w:hAnsi="Times New Roman" w:cs="Times New Roman"/>
          <w:color w:val="000000"/>
          <w:sz w:val="28"/>
          <w:szCs w:val="28"/>
        </w:rPr>
        <w:t>Coutant</w:t>
      </w:r>
      <w:proofErr w:type="spellEnd"/>
      <w:r w:rsidRPr="00B912D3">
        <w:rPr>
          <w:rFonts w:ascii="Times New Roman" w:eastAsia="Times New Roman" w:hAnsi="Times New Roman" w:cs="Times New Roman"/>
          <w:color w:val="000000"/>
          <w:sz w:val="28"/>
          <w:szCs w:val="28"/>
        </w:rPr>
        <w:t xml:space="preserve"> Lane to the intersection with Leonard Road; thence west along Leonard Road to the intersection with Buena Vista Lane; thence north along the west side of Buena Vista Lane approx. 200 feet; thence west approx. 150 feet; thence north approx. 150 feet; thence west approx. 200 feet; thence north approx. 400 feet; thence west approx. 600 feet to the intersection with the western boundary of Sec. 23, T36S, R6W; thence south to the intersection with Leonard Road; thence west along Leonard Road approx. 300 feet; thence north approx. 600 feet to the intersection with </w:t>
      </w:r>
      <w:proofErr w:type="spellStart"/>
      <w:r w:rsidRPr="00B912D3">
        <w:rPr>
          <w:rFonts w:ascii="Times New Roman" w:eastAsia="Times New Roman" w:hAnsi="Times New Roman" w:cs="Times New Roman"/>
          <w:color w:val="000000"/>
          <w:sz w:val="28"/>
          <w:szCs w:val="28"/>
        </w:rPr>
        <w:t>Darneille</w:t>
      </w:r>
      <w:proofErr w:type="spellEnd"/>
      <w:r w:rsidRPr="00B912D3">
        <w:rPr>
          <w:rFonts w:ascii="Times New Roman" w:eastAsia="Times New Roman" w:hAnsi="Times New Roman" w:cs="Times New Roman"/>
          <w:color w:val="000000"/>
          <w:sz w:val="28"/>
          <w:szCs w:val="28"/>
        </w:rPr>
        <w:t xml:space="preserve"> Lane; thence northwesterly along </w:t>
      </w:r>
      <w:proofErr w:type="spellStart"/>
      <w:r w:rsidRPr="00B912D3">
        <w:rPr>
          <w:rFonts w:ascii="Times New Roman" w:eastAsia="Times New Roman" w:hAnsi="Times New Roman" w:cs="Times New Roman"/>
          <w:color w:val="000000"/>
          <w:sz w:val="28"/>
          <w:szCs w:val="28"/>
        </w:rPr>
        <w:t>Darneille</w:t>
      </w:r>
      <w:proofErr w:type="spellEnd"/>
      <w:r w:rsidRPr="00B912D3">
        <w:rPr>
          <w:rFonts w:ascii="Times New Roman" w:eastAsia="Times New Roman" w:hAnsi="Times New Roman" w:cs="Times New Roman"/>
          <w:color w:val="000000"/>
          <w:sz w:val="28"/>
          <w:szCs w:val="28"/>
        </w:rPr>
        <w:t xml:space="preserve"> Lane approx. 200 feet; thence west approx. 300 feet; thence south approx. 600 feet to the intersection with Leonard Road; thence west along Leonard Road approx. 700 feet; thence south approx. 1350 feet; thence east approx. 1400 feet to the intersection with </w:t>
      </w:r>
      <w:proofErr w:type="spellStart"/>
      <w:r w:rsidRPr="00B912D3">
        <w:rPr>
          <w:rFonts w:ascii="Times New Roman" w:eastAsia="Times New Roman" w:hAnsi="Times New Roman" w:cs="Times New Roman"/>
          <w:color w:val="000000"/>
          <w:sz w:val="28"/>
          <w:szCs w:val="28"/>
        </w:rPr>
        <w:t>Darneille</w:t>
      </w:r>
      <w:proofErr w:type="spellEnd"/>
      <w:r w:rsidRPr="00B912D3">
        <w:rPr>
          <w:rFonts w:ascii="Times New Roman" w:eastAsia="Times New Roman" w:hAnsi="Times New Roman" w:cs="Times New Roman"/>
          <w:color w:val="000000"/>
          <w:sz w:val="28"/>
          <w:szCs w:val="28"/>
        </w:rPr>
        <w:t xml:space="preserve"> Lane; thence south along </w:t>
      </w:r>
      <w:proofErr w:type="spellStart"/>
      <w:r w:rsidRPr="00B912D3">
        <w:rPr>
          <w:rFonts w:ascii="Times New Roman" w:eastAsia="Times New Roman" w:hAnsi="Times New Roman" w:cs="Times New Roman"/>
          <w:color w:val="000000"/>
          <w:sz w:val="28"/>
          <w:szCs w:val="28"/>
        </w:rPr>
        <w:t>Darneille</w:t>
      </w:r>
      <w:proofErr w:type="spellEnd"/>
      <w:r w:rsidRPr="00B912D3">
        <w:rPr>
          <w:rFonts w:ascii="Times New Roman" w:eastAsia="Times New Roman" w:hAnsi="Times New Roman" w:cs="Times New Roman"/>
          <w:color w:val="000000"/>
          <w:sz w:val="28"/>
          <w:szCs w:val="28"/>
        </w:rPr>
        <w:t xml:space="preserve"> Lane approx. 600 feet; thence west approx. 300 feet; thence south to the intersection with Redwood Avenue; thence east along Redwood Avenue to the intersection with Hubbard Lane and the western boundary of Sec. 23, T36S, R6W; thence south along Hubbard Lane approx. 1850 feet; thence west approx. 1350 feet ; thence south to the south side of U.S. Highway 199; thence westerly along U.S. 199 approx. 1600 feet to the intersection with the north-south midpoint of Sec. 27, T36S, R6W; thence south approx. 2200 feet; thence east approx. 1400 feet; thence north approx. 1000 feet; thence east approx. 300 feet; thence north approx. 250 feet to the intersection with the Highline Canal; thence northerly along the Highline Canal approx. 900 feet; thence east to the intersection with Hubbard Lane; thence north along Hubbard Lane approximately 600 feet; thence east approx. 200 feet; thence north approx. 400 feet to a point even with Canal Avenue; thence east approx. 550 feet; thence north to the south side of U.S. 199; thence easterly along the southern edge of U.S. 199 to the intersection with Willow Lane; thence south along Willow Lane to the intersection with </w:t>
      </w:r>
      <w:proofErr w:type="spellStart"/>
      <w:r w:rsidRPr="00B912D3">
        <w:rPr>
          <w:rFonts w:ascii="Times New Roman" w:eastAsia="Times New Roman" w:hAnsi="Times New Roman" w:cs="Times New Roman"/>
          <w:color w:val="000000"/>
          <w:sz w:val="28"/>
          <w:szCs w:val="28"/>
        </w:rPr>
        <w:t>Demaray</w:t>
      </w:r>
      <w:proofErr w:type="spellEnd"/>
      <w:r w:rsidRPr="00B912D3">
        <w:rPr>
          <w:rFonts w:ascii="Times New Roman" w:eastAsia="Times New Roman" w:hAnsi="Times New Roman" w:cs="Times New Roman"/>
          <w:color w:val="000000"/>
          <w:sz w:val="28"/>
          <w:szCs w:val="28"/>
        </w:rPr>
        <w:t xml:space="preserve"> Drive; thence easterly along </w:t>
      </w:r>
      <w:proofErr w:type="spellStart"/>
      <w:r w:rsidRPr="00B912D3">
        <w:rPr>
          <w:rFonts w:ascii="Times New Roman" w:eastAsia="Times New Roman" w:hAnsi="Times New Roman" w:cs="Times New Roman"/>
          <w:color w:val="000000"/>
          <w:sz w:val="28"/>
          <w:szCs w:val="28"/>
        </w:rPr>
        <w:t>Demaray</w:t>
      </w:r>
      <w:proofErr w:type="spellEnd"/>
      <w:r w:rsidRPr="00B912D3">
        <w:rPr>
          <w:rFonts w:ascii="Times New Roman" w:eastAsia="Times New Roman" w:hAnsi="Times New Roman" w:cs="Times New Roman"/>
          <w:color w:val="000000"/>
          <w:sz w:val="28"/>
          <w:szCs w:val="28"/>
        </w:rPr>
        <w:t xml:space="preserve"> Drive and continuing along the southern edge of U.S. 199 to the intersection with Dowell Road; thence south along Dowell Road approx. 550 feet; thence easterly approx. 750 feet; thence north to the intersection with the South Canal; thence easterly along the South Canal to the intersection with </w:t>
      </w:r>
      <w:proofErr w:type="spellStart"/>
      <w:r w:rsidRPr="00B912D3">
        <w:rPr>
          <w:rFonts w:ascii="Times New Roman" w:eastAsia="Times New Roman" w:hAnsi="Times New Roman" w:cs="Times New Roman"/>
          <w:color w:val="000000"/>
          <w:sz w:val="28"/>
          <w:szCs w:val="28"/>
        </w:rPr>
        <w:t>Schutzwohl</w:t>
      </w:r>
      <w:proofErr w:type="spellEnd"/>
      <w:r w:rsidRPr="00B912D3">
        <w:rPr>
          <w:rFonts w:ascii="Times New Roman" w:eastAsia="Times New Roman" w:hAnsi="Times New Roman" w:cs="Times New Roman"/>
          <w:color w:val="000000"/>
          <w:sz w:val="28"/>
          <w:szCs w:val="28"/>
        </w:rPr>
        <w:t xml:space="preserve"> Lane; thence south approx. 1300 feet to a point even with West </w:t>
      </w:r>
      <w:proofErr w:type="spellStart"/>
      <w:r w:rsidRPr="00B912D3">
        <w:rPr>
          <w:rFonts w:ascii="Times New Roman" w:eastAsia="Times New Roman" w:hAnsi="Times New Roman" w:cs="Times New Roman"/>
          <w:color w:val="000000"/>
          <w:sz w:val="28"/>
          <w:szCs w:val="28"/>
        </w:rPr>
        <w:t>Harbeck</w:t>
      </w:r>
      <w:proofErr w:type="spellEnd"/>
      <w:r w:rsidRPr="00B912D3">
        <w:rPr>
          <w:rFonts w:ascii="Times New Roman" w:eastAsia="Times New Roman" w:hAnsi="Times New Roman" w:cs="Times New Roman"/>
          <w:color w:val="000000"/>
          <w:sz w:val="28"/>
          <w:szCs w:val="28"/>
        </w:rPr>
        <w:t xml:space="preserve"> Road; thence east approx. 2000 feet to the intersection with Allen Creek; thence southerly along Allen Creek approx. 1400 feet to a point even with Denton Trail to the west; thence west to the intersection with Highline Canal; thence southerly along Highline Canal to the intersection with the southern boundary of Sec. 25, T36S, R6W; thence east to the intersection with Allen Creek; thence southerly along Allen Creek to the intersection with the western boundary of Sec. 31, T36S, R5W; thence south to the SW corner of Sec. 31; thence east to </w:t>
      </w:r>
      <w:r w:rsidRPr="00B912D3">
        <w:rPr>
          <w:rFonts w:ascii="Times New Roman" w:eastAsia="Times New Roman" w:hAnsi="Times New Roman" w:cs="Times New Roman"/>
          <w:color w:val="000000"/>
          <w:sz w:val="28"/>
          <w:szCs w:val="28"/>
        </w:rPr>
        <w:lastRenderedPageBreak/>
        <w:t xml:space="preserve">the intersection with Williams Highway; thence southeasterly along Williams Highway approx. 1300 feet; thence east approx. 200 feet; thence north approx. 400 feet; thence east approx. 700 feet; thence north to the intersection with </w:t>
      </w:r>
      <w:proofErr w:type="spellStart"/>
      <w:r w:rsidRPr="00B912D3">
        <w:rPr>
          <w:rFonts w:ascii="Times New Roman" w:eastAsia="Times New Roman" w:hAnsi="Times New Roman" w:cs="Times New Roman"/>
          <w:color w:val="000000"/>
          <w:sz w:val="28"/>
          <w:szCs w:val="28"/>
        </w:rPr>
        <w:t>Espey</w:t>
      </w:r>
      <w:proofErr w:type="spellEnd"/>
      <w:r w:rsidRPr="00B912D3">
        <w:rPr>
          <w:rFonts w:ascii="Times New Roman" w:eastAsia="Times New Roman" w:hAnsi="Times New Roman" w:cs="Times New Roman"/>
          <w:color w:val="000000"/>
          <w:sz w:val="28"/>
          <w:szCs w:val="28"/>
        </w:rPr>
        <w:t xml:space="preserve"> Road; thence west along </w:t>
      </w:r>
      <w:proofErr w:type="spellStart"/>
      <w:r w:rsidRPr="00B912D3">
        <w:rPr>
          <w:rFonts w:ascii="Times New Roman" w:eastAsia="Times New Roman" w:hAnsi="Times New Roman" w:cs="Times New Roman"/>
          <w:color w:val="000000"/>
          <w:sz w:val="28"/>
          <w:szCs w:val="28"/>
        </w:rPr>
        <w:t>Espey</w:t>
      </w:r>
      <w:proofErr w:type="spellEnd"/>
      <w:r w:rsidRPr="00B912D3">
        <w:rPr>
          <w:rFonts w:ascii="Times New Roman" w:eastAsia="Times New Roman" w:hAnsi="Times New Roman" w:cs="Times New Roman"/>
          <w:color w:val="000000"/>
          <w:sz w:val="28"/>
          <w:szCs w:val="28"/>
        </w:rPr>
        <w:t xml:space="preserve"> Road approx. 150 feet; thence north approx. 600 feet; thence east approx. 300 feet; thence north approx. 2000 feet; thence west approx. 2100 feet; thence north approx. 1350 feet; thence east approx. 800 feet; thence north approx. 2800 feet to the east-west midline of Sec. 30, T36S, R5W; thence on a line due NE approx. 600 feet; thence north approx. 100 feet; thence east approx. 600 feet; thence north approx. 100 feet to the intersection with Highline Canal; thence easterly along Highline Canal approx. 1300 feet; thence south approx. 100 feet; thence east to the intersection with </w:t>
      </w:r>
      <w:proofErr w:type="spellStart"/>
      <w:r w:rsidRPr="00B912D3">
        <w:rPr>
          <w:rFonts w:ascii="Times New Roman" w:eastAsia="Times New Roman" w:hAnsi="Times New Roman" w:cs="Times New Roman"/>
          <w:color w:val="000000"/>
          <w:sz w:val="28"/>
          <w:szCs w:val="28"/>
        </w:rPr>
        <w:t>Harbeck</w:t>
      </w:r>
      <w:proofErr w:type="spellEnd"/>
      <w:r w:rsidRPr="00B912D3">
        <w:rPr>
          <w:rFonts w:ascii="Times New Roman" w:eastAsia="Times New Roman" w:hAnsi="Times New Roman" w:cs="Times New Roman"/>
          <w:color w:val="000000"/>
          <w:sz w:val="28"/>
          <w:szCs w:val="28"/>
        </w:rPr>
        <w:t xml:space="preserve"> Road; thence north along </w:t>
      </w:r>
      <w:proofErr w:type="spellStart"/>
      <w:r w:rsidRPr="00B912D3">
        <w:rPr>
          <w:rFonts w:ascii="Times New Roman" w:eastAsia="Times New Roman" w:hAnsi="Times New Roman" w:cs="Times New Roman"/>
          <w:color w:val="000000"/>
          <w:sz w:val="28"/>
          <w:szCs w:val="28"/>
        </w:rPr>
        <w:t>Harbeck</w:t>
      </w:r>
      <w:proofErr w:type="spellEnd"/>
      <w:r w:rsidRPr="00B912D3">
        <w:rPr>
          <w:rFonts w:ascii="Times New Roman" w:eastAsia="Times New Roman" w:hAnsi="Times New Roman" w:cs="Times New Roman"/>
          <w:color w:val="000000"/>
          <w:sz w:val="28"/>
          <w:szCs w:val="28"/>
        </w:rPr>
        <w:t xml:space="preserve"> Road to the intersection with Highline Canal; thence easterly along Highline Canal to a point approx. 250 feet beyond Skyway Road; thence south to the intersection with Skyway Road; thence east to the intersection with Highline Canal; thence southeasterly along Highline Canal approx. 1200 feet; thence on a line due SW to the intersection with Bluebell Lane; thence southerly along Bluebell Lane approx. 150 feet; thence east to the intersection with Sky Crest Drive; thence southerly along Sky Crest Drive to the intersection with Harper Loop; thence southeasterly along Harper Loop to the intersection with the east-west midline of Sec. 29, T36S, R5W; thence east approx. 400 feet; thence south approx. 1300 feet to a point even with Troll View Road to the east; thence east to the intersection with Hamilton Lane; thence north along Hamilton Lane to the intersection with the Highline Canal; thence northeasterly along the Highline Canal to the northern boundary of Sec. 28, T36S, R5W; thence east approx. 1350 feet to the transmission line; thence north to the intersection with </w:t>
      </w:r>
      <w:proofErr w:type="spellStart"/>
      <w:r w:rsidRPr="00B912D3">
        <w:rPr>
          <w:rFonts w:ascii="Times New Roman" w:eastAsia="Times New Roman" w:hAnsi="Times New Roman" w:cs="Times New Roman"/>
          <w:color w:val="000000"/>
          <w:sz w:val="28"/>
          <w:szCs w:val="28"/>
        </w:rPr>
        <w:t>Fruitdale</w:t>
      </w:r>
      <w:proofErr w:type="spellEnd"/>
      <w:r w:rsidRPr="00B912D3">
        <w:rPr>
          <w:rFonts w:ascii="Times New Roman" w:eastAsia="Times New Roman" w:hAnsi="Times New Roman" w:cs="Times New Roman"/>
          <w:color w:val="000000"/>
          <w:sz w:val="28"/>
          <w:szCs w:val="28"/>
        </w:rPr>
        <w:t xml:space="preserve"> Drive; thence southwesterly along </w:t>
      </w:r>
      <w:proofErr w:type="spellStart"/>
      <w:r w:rsidRPr="00B912D3">
        <w:rPr>
          <w:rFonts w:ascii="Times New Roman" w:eastAsia="Times New Roman" w:hAnsi="Times New Roman" w:cs="Times New Roman"/>
          <w:color w:val="000000"/>
          <w:sz w:val="28"/>
          <w:szCs w:val="28"/>
        </w:rPr>
        <w:t>Fruitdale</w:t>
      </w:r>
      <w:proofErr w:type="spellEnd"/>
      <w:r w:rsidRPr="00B912D3">
        <w:rPr>
          <w:rFonts w:ascii="Times New Roman" w:eastAsia="Times New Roman" w:hAnsi="Times New Roman" w:cs="Times New Roman"/>
          <w:color w:val="000000"/>
          <w:sz w:val="28"/>
          <w:szCs w:val="28"/>
        </w:rPr>
        <w:t xml:space="preserve"> Drive approx. 700 feet; thence north to the northern edge of U.S. 199; thence easterly along the northern edge of U.S. 199 approx. 50 feet; thence north to the north bank of the Rogue River; thence northeasterly along the north bank of the Rogue River approx. 2100 feet to a point even with </w:t>
      </w:r>
      <w:proofErr w:type="spellStart"/>
      <w:r w:rsidRPr="00B912D3">
        <w:rPr>
          <w:rFonts w:ascii="Times New Roman" w:eastAsia="Times New Roman" w:hAnsi="Times New Roman" w:cs="Times New Roman"/>
          <w:color w:val="000000"/>
          <w:sz w:val="28"/>
          <w:szCs w:val="28"/>
        </w:rPr>
        <w:t>Ament</w:t>
      </w:r>
      <w:proofErr w:type="spellEnd"/>
      <w:r w:rsidRPr="00B912D3">
        <w:rPr>
          <w:rFonts w:ascii="Times New Roman" w:eastAsia="Times New Roman" w:hAnsi="Times New Roman" w:cs="Times New Roman"/>
          <w:color w:val="000000"/>
          <w:sz w:val="28"/>
          <w:szCs w:val="28"/>
        </w:rPr>
        <w:t xml:space="preserve"> Road; thence north to </w:t>
      </w:r>
      <w:proofErr w:type="spellStart"/>
      <w:r w:rsidRPr="00B912D3">
        <w:rPr>
          <w:rFonts w:ascii="Times New Roman" w:eastAsia="Times New Roman" w:hAnsi="Times New Roman" w:cs="Times New Roman"/>
          <w:color w:val="000000"/>
          <w:sz w:val="28"/>
          <w:szCs w:val="28"/>
        </w:rPr>
        <w:t>Ament</w:t>
      </w:r>
      <w:proofErr w:type="spellEnd"/>
      <w:r w:rsidRPr="00B912D3">
        <w:rPr>
          <w:rFonts w:ascii="Times New Roman" w:eastAsia="Times New Roman" w:hAnsi="Times New Roman" w:cs="Times New Roman"/>
          <w:color w:val="000000"/>
          <w:sz w:val="28"/>
          <w:szCs w:val="28"/>
        </w:rPr>
        <w:t xml:space="preserve"> Road and following </w:t>
      </w:r>
      <w:proofErr w:type="spellStart"/>
      <w:r w:rsidRPr="00B912D3">
        <w:rPr>
          <w:rFonts w:ascii="Times New Roman" w:eastAsia="Times New Roman" w:hAnsi="Times New Roman" w:cs="Times New Roman"/>
          <w:color w:val="000000"/>
          <w:sz w:val="28"/>
          <w:szCs w:val="28"/>
        </w:rPr>
        <w:t>Ament</w:t>
      </w:r>
      <w:proofErr w:type="spellEnd"/>
      <w:r w:rsidRPr="00B912D3">
        <w:rPr>
          <w:rFonts w:ascii="Times New Roman" w:eastAsia="Times New Roman" w:hAnsi="Times New Roman" w:cs="Times New Roman"/>
          <w:color w:val="000000"/>
          <w:sz w:val="28"/>
          <w:szCs w:val="28"/>
        </w:rPr>
        <w:t xml:space="preserve"> Road to U.S. Interstate Highway 5 (U.S. I-5); thence continuing north to the 1200 foot contour line; thence following the 1200 foot contour line northwesterly approx. 7100 feet to the city limits and a point even with Savage Street to the west; thence north following the city limits approx. 400 feet; thence west to the intersection with Beacon Street; thence north along Beacon Street and the city limits approx. 250 feet; thence east along the city limits approx. 700 feet; thence north along the city limits approx. 2200 feet; thence southwesterly along the city limits approximately 800 feet to the intersection with the 1400 foot contour line; thence northerly and northwesterly along the 1400 foot contour line approx. 900 feet to the intersection with the northern boundary of Sec. 9, T36S, R5W; thence west along said boundary approx. </w:t>
      </w:r>
      <w:r w:rsidRPr="00B912D3">
        <w:rPr>
          <w:rFonts w:ascii="Times New Roman" w:eastAsia="Times New Roman" w:hAnsi="Times New Roman" w:cs="Times New Roman"/>
          <w:color w:val="000000"/>
          <w:sz w:val="28"/>
          <w:szCs w:val="28"/>
        </w:rPr>
        <w:lastRenderedPageBreak/>
        <w:t>100 feet to the NW corner of Sec. 9; thence south along the western boundary of Sec. 9 approx. 700 feet; thence west approx. 1400 feet; thence north approx. 2400 feet; thence west approx. 1350 feet; thence north approx. 1100 feet to the city limits; thence following the city limits first west approx. 1550 feet, then south approx. 800 feet, then west approx. 200 feet, then south approx. 200 feet, then east approx. 200 feet, then south approx. 300 feet, and finally westerly approx. 1200 feet to the intersection with the western boundary of Sec. 5, T36S, R5W; thence south along said boundary to the northern side of Vine Avenue; thence northwesterly along the northern side of Vine Avenue approx. 3150 feet to the intersection with the west fork of Gilbert Creek; thence north to the intersection with the southern right of way of U.S. I-5; thence northwesterly along said right of way approx. 1600 feet; thence south to the intersection with Old Highland Avenue; thence northwesterly along Highland Avenue approx. 650 feet; thence west approx. 350 feet; thence south approx. 1400 feet; thence east approx. 700 feet; thence south approx. 1000 feet; thence on a line SW approx. 800 feet; thence south approx. 1400 feet to the intersection with the northern boundary of Sec. 7, T36S, R5W; thence west to the NW corner of Sec. 7,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19" w:author="jinahar" w:date="2012-12-20T16:35:00Z">
        <w:r w:rsidR="00417BC4">
          <w:rPr>
            <w:rFonts w:ascii="Times New Roman" w:eastAsia="Times New Roman" w:hAnsi="Times New Roman" w:cs="Times New Roman"/>
            <w:color w:val="000000"/>
            <w:sz w:val="28"/>
            <w:szCs w:val="28"/>
          </w:rPr>
          <w:t>5</w:t>
        </w:r>
      </w:ins>
      <w:del w:id="20" w:author="jinahar" w:date="2012-12-20T16:35:00Z">
        <w:r w:rsidRPr="00B912D3" w:rsidDel="00417BC4">
          <w:rPr>
            <w:rFonts w:ascii="Times New Roman" w:eastAsia="Times New Roman" w:hAnsi="Times New Roman" w:cs="Times New Roman"/>
            <w:color w:val="000000"/>
            <w:sz w:val="28"/>
            <w:szCs w:val="28"/>
          </w:rPr>
          <w:delText>10</w:delText>
        </w:r>
      </w:del>
      <w:r w:rsidRPr="00B912D3">
        <w:rPr>
          <w:rFonts w:ascii="Times New Roman" w:eastAsia="Times New Roman" w:hAnsi="Times New Roman" w:cs="Times New Roman"/>
          <w:color w:val="000000"/>
          <w:sz w:val="28"/>
          <w:szCs w:val="28"/>
        </w:rPr>
        <w:t>) Klamath Falls Control Area means the area of the state beginning at the northeast corner of Section 8, T38S, R10E, thence south to the southeast corner of Section 5, T40S, R10E; thence west to the southwest corner of Section 3, T40S, R8E; thence north to the northwest corner of Section 10, T38S, R8E; thence east to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21" w:author="jinahar" w:date="2012-12-20T16:35:00Z">
        <w:r w:rsidR="00417BC4">
          <w:rPr>
            <w:rFonts w:ascii="Times New Roman" w:eastAsia="Times New Roman" w:hAnsi="Times New Roman" w:cs="Times New Roman"/>
            <w:color w:val="000000"/>
            <w:sz w:val="28"/>
            <w:szCs w:val="28"/>
          </w:rPr>
          <w:t>6</w:t>
        </w:r>
      </w:ins>
      <w:del w:id="22" w:author="jinahar" w:date="2012-12-20T16:35:00Z">
        <w:r w:rsidRPr="00B912D3" w:rsidDel="00417BC4">
          <w:rPr>
            <w:rFonts w:ascii="Times New Roman" w:eastAsia="Times New Roman" w:hAnsi="Times New Roman" w:cs="Times New Roman"/>
            <w:color w:val="000000"/>
            <w:sz w:val="28"/>
            <w:szCs w:val="28"/>
          </w:rPr>
          <w:delText>11</w:delText>
        </w:r>
      </w:del>
      <w:r w:rsidRPr="00B912D3">
        <w:rPr>
          <w:rFonts w:ascii="Times New Roman" w:eastAsia="Times New Roman" w:hAnsi="Times New Roman" w:cs="Times New Roman"/>
          <w:color w:val="000000"/>
          <w:sz w:val="28"/>
          <w:szCs w:val="28"/>
        </w:rPr>
        <w:t xml:space="preserve">) “Klamath Falls Nonattainment Area” means the area of the state beginning at the northwest corner of Section 31, T37S, R9E; thence east approximately two  miles to the northeast corner of Section 32; thence south approximately four miles to the southeast corner of Section 17, T38S, R9E; thence east approximately one mile to the southwest corner of Section 15,; thence north approximately one mile to the northwest corner of Section 15; thence east approximately 2 miles to the northeast corner of Section 14; thence south approximately one mile to the northwest corner of section 24; thence east approximately one mile to the northeast corner of Section 24; thence south approximately three miles to the southeast corner of Section 36; thence east approximately four miles to the northeast corner of Section 3, T39S, R10E; thence south approximately three miles to the southeast corner of Section 15; thence west approximately two miles to the southwest corner of Section16; thence south approximately two miles to the southeast corner of Section 29; thence west approximately five miles to the southwest corner of Section 27, T39S, R9E; thence north approximately one mile to the northeast corner of Section 27; thence west approximately four miles to the southwest corner </w:t>
      </w:r>
      <w:r w:rsidRPr="00B912D3">
        <w:rPr>
          <w:rFonts w:ascii="Times New Roman" w:eastAsia="Times New Roman" w:hAnsi="Times New Roman" w:cs="Times New Roman"/>
          <w:color w:val="000000"/>
          <w:sz w:val="28"/>
          <w:szCs w:val="28"/>
        </w:rPr>
        <w:lastRenderedPageBreak/>
        <w:t>of Section 24, T39S R8E; thence north approximately two miles to the northeast corner of Section 13; thence west approximately one mile to the southwest corner of Section 11;  thence north approximately four miles to the northwest corner of Section 26 T38S, R8E; thence west one mile to the southwest corner of Section 22; thence north approximately one mile to the northwest corner of Section 22; thence west approximately one mile to the southwest corner of Section 16; thence north approximately one mile to the northeast corner of Section 16; thence west approximately one mile to the southwest corner of Section 8; thence north approximately two miles to the northwest corner of Section 5; thence east to the northeast corner of Section 1; thence north approximately one mile to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23" w:author="jinahar" w:date="2012-12-20T16:35:00Z">
        <w:r w:rsidR="00417BC4">
          <w:rPr>
            <w:rFonts w:ascii="Times New Roman" w:eastAsia="Times New Roman" w:hAnsi="Times New Roman" w:cs="Times New Roman"/>
            <w:color w:val="000000"/>
            <w:sz w:val="28"/>
            <w:szCs w:val="28"/>
          </w:rPr>
          <w:t>7</w:t>
        </w:r>
      </w:ins>
      <w:del w:id="24" w:author="jinahar" w:date="2012-12-20T16:35:00Z">
        <w:r w:rsidRPr="00B912D3" w:rsidDel="00417BC4">
          <w:rPr>
            <w:rFonts w:ascii="Times New Roman" w:eastAsia="Times New Roman" w:hAnsi="Times New Roman" w:cs="Times New Roman"/>
            <w:color w:val="000000"/>
            <w:sz w:val="28"/>
            <w:szCs w:val="28"/>
          </w:rPr>
          <w:delText>12</w:delText>
        </w:r>
      </w:del>
      <w:r w:rsidRPr="00B912D3">
        <w:rPr>
          <w:rFonts w:ascii="Times New Roman" w:eastAsia="Times New Roman" w:hAnsi="Times New Roman" w:cs="Times New Roman"/>
          <w:color w:val="000000"/>
          <w:sz w:val="28"/>
          <w:szCs w:val="28"/>
        </w:rPr>
        <w:t xml:space="preserve">) “Klamath Falls UGB” means the area within the bounds beginning at the southeast corner of Section 36, Township 38 South, Range 9 East; thence northerly approximately 4500 feet; thence westerly approximately 1/4 mile; thence northerly approximately 3/4 mile into Section 25, T38S, R9E; thence westerly approximately 1/4 mile; thence northerly approximately 1/2 mile to the southern boundary of Section 24, T38S, R9E; thence westerly approximately 1/2 mile to the southeast corner of Section 23, T38S, R9E; thence northerly approximately 1/2 mile; thence westerly approximately 1/4 mile; thence northerly approximately 1/2 mile to the southern boundary of Section 14, T38S, R9E; thence generally northwesterly along the 5000 foot elevation contour line approximately 3/4 mile; thence westerly 1 mile; thence north to the intersection with the northern boundary of Section 15, T38S, R9E; thence west 1/4 mile along the northern boundary of Section 15, T38S, R9E; thence generally southeasterly following the 4800 foot elevation contour line around the old Oregon Institute of Technology Campus to meet with the westerly line of Old Fort Road in Section 22, T38S, R9E; thence southwesterly along the westerly line of Old Fort Road approximately 1 and 1/4 miles to Section 27, T38S, R9E; thence west approximately 1/4 mile; thence southwesterly approximately 1/2 mile to the intersection with Section 27, T38S, R9E; thence westerly approximately 1/2 mile to intersect with the Klamath Falls City Limits at the northerly line of Loma Linda Drive in Section 28, T38S, R9E; thence northwesterly along Loma Linda Drive approximately 1/4 mile; thence southwesterly approximately 1/8 mile to the Klamath Falls City Limits; thence northerly along the Klamath Falls City Limits approximately 1 mile into Section 21, T38S, R9E; thence westerly approximately 1/4 mile; thence northerly approximately 1 mile into Section 17, T38S, R9E; thence westerly approximately 3/4 mile into Section 17, T38S, R9E; thence northerly approximately 1/4 mile; thence westerly approximately 1 mile to the west boundary of Highway 97 in Section 18, T38S, R9E; thence southeasterly along the western boundary of </w:t>
      </w:r>
      <w:r w:rsidRPr="00B912D3">
        <w:rPr>
          <w:rFonts w:ascii="Times New Roman" w:eastAsia="Times New Roman" w:hAnsi="Times New Roman" w:cs="Times New Roman"/>
          <w:color w:val="000000"/>
          <w:sz w:val="28"/>
          <w:szCs w:val="28"/>
        </w:rPr>
        <w:lastRenderedPageBreak/>
        <w:t xml:space="preserve">Highway 97 approximately 1/2 mile; thence southwesterly away from Highway 97; thence southeasterly to the intersection with Klamath Falls City Limits at Front Street; thence westerly approximately 1/4 mile to the western boundary of Section 19, T38S, R9E; thence southerly approximately 1 and 1/4 miles along the western boundary of Section 19, T38S, R9E and the Klamath Falls City Limits to the south shore line of Klamath Lake; thence northwesterly along the south shore line of Klamath Lake approximately 1 and 1/4 miles across Section 25, T38S, R9E and Section 26, T38S, R9E; thence westerly approximately 1/2 mile along Section 26, T38S, R9E; thence southerly approximately 1/2 mile to Section 27, T38S, R9E to the intersection with eastern boundary of </w:t>
      </w:r>
      <w:proofErr w:type="spellStart"/>
      <w:r w:rsidRPr="00B912D3">
        <w:rPr>
          <w:rFonts w:ascii="Times New Roman" w:eastAsia="Times New Roman" w:hAnsi="Times New Roman" w:cs="Times New Roman"/>
          <w:color w:val="000000"/>
          <w:sz w:val="28"/>
          <w:szCs w:val="28"/>
        </w:rPr>
        <w:t>Orindale</w:t>
      </w:r>
      <w:proofErr w:type="spellEnd"/>
      <w:r w:rsidRPr="00B912D3">
        <w:rPr>
          <w:rFonts w:ascii="Times New Roman" w:eastAsia="Times New Roman" w:hAnsi="Times New Roman" w:cs="Times New Roman"/>
          <w:color w:val="000000"/>
          <w:sz w:val="28"/>
          <w:szCs w:val="28"/>
        </w:rPr>
        <w:t xml:space="preserve"> Draw, thence southerly along the eastern boundary of </w:t>
      </w:r>
      <w:proofErr w:type="spellStart"/>
      <w:r w:rsidRPr="00B912D3">
        <w:rPr>
          <w:rFonts w:ascii="Times New Roman" w:eastAsia="Times New Roman" w:hAnsi="Times New Roman" w:cs="Times New Roman"/>
          <w:color w:val="000000"/>
          <w:sz w:val="28"/>
          <w:szCs w:val="28"/>
        </w:rPr>
        <w:t>Orindale</w:t>
      </w:r>
      <w:proofErr w:type="spellEnd"/>
      <w:r w:rsidRPr="00B912D3">
        <w:rPr>
          <w:rFonts w:ascii="Times New Roman" w:eastAsia="Times New Roman" w:hAnsi="Times New Roman" w:cs="Times New Roman"/>
          <w:color w:val="000000"/>
          <w:sz w:val="28"/>
          <w:szCs w:val="28"/>
        </w:rPr>
        <w:t xml:space="preserve"> Draw approximately 1 and 1/4 miles into Section 35, T38S, R9E; thence southerly approximately 1/2 mile into Section 2, T39S, R8E; thence easterly approximately 1/4 mile; thence northerly approximately 1/4 mile to the southeast corner of Section 35, T38S, R8E and the Klamath Falls City Limits; thence easterly approximately 1/2 mile to the northern boundary of Section 1, T38S, R8E; thence southeasterly approximately 1/2 mile to </w:t>
      </w:r>
      <w:proofErr w:type="spellStart"/>
      <w:r w:rsidRPr="00B912D3">
        <w:rPr>
          <w:rFonts w:ascii="Times New Roman" w:eastAsia="Times New Roman" w:hAnsi="Times New Roman" w:cs="Times New Roman"/>
          <w:color w:val="000000"/>
          <w:sz w:val="28"/>
          <w:szCs w:val="28"/>
        </w:rPr>
        <w:t>Orindale</w:t>
      </w:r>
      <w:proofErr w:type="spellEnd"/>
      <w:r w:rsidRPr="00B912D3">
        <w:rPr>
          <w:rFonts w:ascii="Times New Roman" w:eastAsia="Times New Roman" w:hAnsi="Times New Roman" w:cs="Times New Roman"/>
          <w:color w:val="000000"/>
          <w:sz w:val="28"/>
          <w:szCs w:val="28"/>
        </w:rPr>
        <w:t xml:space="preserve"> Road; thence north 500 feet along the west side of an easement; thence easterly approximately 1 and 1/4 miles through Section 1, T38S, R8E to the western boundary of Section 6, T39S, R9E; thence southerly approximately 3/4 mile to the southwest corner of Section 6, T39S, R9E; thence easterly approximately 1/8 mile to the western boundary of Highway 97; thence southwesterly along the Highway 97 right-of-way approximately 1/4 mile; thence westerly approximately 1/2 mile to Agate Street in Section 7, T39S, R8E; thence northerly approximately 1/4 mile; thence westerly approximately 3/4 mile to </w:t>
      </w:r>
      <w:proofErr w:type="spellStart"/>
      <w:r w:rsidRPr="00B912D3">
        <w:rPr>
          <w:rFonts w:ascii="Times New Roman" w:eastAsia="Times New Roman" w:hAnsi="Times New Roman" w:cs="Times New Roman"/>
          <w:color w:val="000000"/>
          <w:sz w:val="28"/>
          <w:szCs w:val="28"/>
        </w:rPr>
        <w:t>Orindale</w:t>
      </w:r>
      <w:proofErr w:type="spellEnd"/>
      <w:r w:rsidRPr="00B912D3">
        <w:rPr>
          <w:rFonts w:ascii="Times New Roman" w:eastAsia="Times New Roman" w:hAnsi="Times New Roman" w:cs="Times New Roman"/>
          <w:color w:val="000000"/>
          <w:sz w:val="28"/>
          <w:szCs w:val="28"/>
        </w:rPr>
        <w:t xml:space="preserve"> Road in Section 12, T39S, R8E; thence northerly approximately 1/4 mile into Section 1, T39S, R8E; thence westerly approximately 3/4 mile to the Section 2, T39S, R8E boundary line; thence southerly approximately 3/4 mile along the Section 2, T39S, R8E boundary line to the northwest corner of Section 12, T39S, R8E; thence westerly approximately 1/8 mile into Section 11, T39S, R8E; thence southerly approximately 1/8 mile; thence northeasterly approximately 3/4 mile to the southern boundary of Section 12, T39S, R8E at Balsam Drive; thence southerly approximately 1/4 mile into Section 12, T39S, R8E; thence easterly approximately 1/4 mile to </w:t>
      </w:r>
      <w:proofErr w:type="spellStart"/>
      <w:r w:rsidRPr="00B912D3">
        <w:rPr>
          <w:rFonts w:ascii="Times New Roman" w:eastAsia="Times New Roman" w:hAnsi="Times New Roman" w:cs="Times New Roman"/>
          <w:color w:val="000000"/>
          <w:sz w:val="28"/>
          <w:szCs w:val="28"/>
        </w:rPr>
        <w:t>Orindale</w:t>
      </w:r>
      <w:proofErr w:type="spellEnd"/>
      <w:r w:rsidRPr="00B912D3">
        <w:rPr>
          <w:rFonts w:ascii="Times New Roman" w:eastAsia="Times New Roman" w:hAnsi="Times New Roman" w:cs="Times New Roman"/>
          <w:color w:val="000000"/>
          <w:sz w:val="28"/>
          <w:szCs w:val="28"/>
        </w:rPr>
        <w:t xml:space="preserve"> Road; thence southeasterly approximately 500 feet to Highway 66; thence southwesterly approximately 1/2 mile along the boundary of Highway 66 to Holiday Road; thence southerly approximately 1/2 mile into Section 13, T39S, R8E; thence northeasterly approximately 1/4 mile to the eastern boundary of Section 13, T39S, R8E; thence northerly approximately 1/4 mile along the eastern boundary of Section 13, T39S, R8E; thence westerly approximately 1/4 mile to Weyerhaeuser Road; thence northerly approximately 1/8 mile; thence easterly approximately 1/8 mile; thence northerly approximately 1/8 mile; thence westerly approximately 1/8 </w:t>
      </w:r>
      <w:r w:rsidRPr="00B912D3">
        <w:rPr>
          <w:rFonts w:ascii="Times New Roman" w:eastAsia="Times New Roman" w:hAnsi="Times New Roman" w:cs="Times New Roman"/>
          <w:color w:val="000000"/>
          <w:sz w:val="28"/>
          <w:szCs w:val="28"/>
        </w:rPr>
        <w:lastRenderedPageBreak/>
        <w:t xml:space="preserve">mile to </w:t>
      </w:r>
      <w:proofErr w:type="spellStart"/>
      <w:r w:rsidRPr="00B912D3">
        <w:rPr>
          <w:rFonts w:ascii="Times New Roman" w:eastAsia="Times New Roman" w:hAnsi="Times New Roman" w:cs="Times New Roman"/>
          <w:color w:val="000000"/>
          <w:sz w:val="28"/>
          <w:szCs w:val="28"/>
        </w:rPr>
        <w:t>Farrier</w:t>
      </w:r>
      <w:proofErr w:type="spellEnd"/>
      <w:r w:rsidRPr="00B912D3">
        <w:rPr>
          <w:rFonts w:ascii="Times New Roman" w:eastAsia="Times New Roman" w:hAnsi="Times New Roman" w:cs="Times New Roman"/>
          <w:color w:val="000000"/>
          <w:sz w:val="28"/>
          <w:szCs w:val="28"/>
        </w:rPr>
        <w:t xml:space="preserve"> Avenue; thence northerly approximately 1/4 mile; thence easterly approximately 1/4 mile to the eastern boundary of Section 13, T39S, R8E; thence northerly approximately 1/8 mile along the eastern boundary of Section 13, T39S, R8E; thence easterly approximately 1/4 mile along the northern section line of Section 18, T39S, R8E; thence southerly approximately 1/4 mile; thence easterly approximately 1/2 mile to the boundary of Highway 97; thence southerly approximately 1/3 mile to the Burlington Northern Right-of-Way; thence northeasterly approximately 1 and 1/3 miles along the high water line of the Klamath River to the Southside Bypass in Section 8, T39S, R9E; thence southeasterly along the Southside Bypass to the Southern Pacific Right-of-Way in Section 9, T39S, R9E; thence southerly approximately 1/2 mile along the Southern Pacific Right-of-Way; thence southwesterly approximately 1/4 mile along the Midland Highway; thence southeasterly approximately 1/4 mile to the old railroad spur; thence easterly 1/4 mile along the old railroad spur; thence southerly approximately 1/4 mile in Section 16, T39S, R9E; thence westerly approximately 1/3 mile; thence southerly approximately 1/4 mile; thence easterly approximately 1/16 mile in Section 21, T39S, R9E; thence southerly approximately 1/8 mile to the Lost River Diversion Channel; thence southeasterly approximately 1/4 mile along the northern boundary of the Lost River Diversion Channel; thence easterly approximately 3/4 mile along Joe Wright Road into Section 22, T39S, R9E; thence southeasterly approximately 1/8 mile on the eastern boundary of the Southern Pacific Right-of-Way; thence southeasterly approximately 1 mile along the western boundary of the Southern Pacific Right-of-Way across Section 22, T39S, R9E and Section 27, T39S, R9E to a point 440 yards south of the northern boundary of Section 27, T39S, R9E; thence easterly to Kingsley Field; thence southeasterly approximately 3/4 mile to the southern boundary of Section 26, T39S, R9E; thence east approximately 1/2 mile along the southern boundary of Section 26, T39S, R9E to a pond; thence north-northwesterly for 1/2 mile following the Klamath Falls City Limits; thence north 840 feet; thence east 1155 feet to Homedale Road; thence north along Homedale Road to a point 1/4 mile north of the southern boundary of Section 23, T39S, R9E; thence west 1/4 mile; thence north 1 mile to the Southside Bypass in Section 14, T39S, R9E; thence east 1/2 mile along the Southside Bypass to the eastern boundary of Section 14, T39S, R9E; thence north 1/2 mile; thence east 900 feet into Section 13, T39S, R9E; thence north 1320 feet along the USBR 1-C 1-A to the southern boundary of Section 12, T39S, R9E; thence north 500 feet to the USBR A Canal; thence southeasterly 700 feet along the southern border of the USBR A Canal back into Section 13, T39S, R9E; thence southeast 1600 feet to the northwest parcel corner of an easement for the Enterprise Irrigation District; thence east-northeast 2200 feet to the eastern boundary of Section 13, T39S, R9E; thence north to the southeast corner of Section 12, T39S, R9E; thence along the </w:t>
      </w:r>
      <w:r w:rsidRPr="00B912D3">
        <w:rPr>
          <w:rFonts w:ascii="Times New Roman" w:eastAsia="Times New Roman" w:hAnsi="Times New Roman" w:cs="Times New Roman"/>
          <w:color w:val="000000"/>
          <w:sz w:val="28"/>
          <w:szCs w:val="28"/>
        </w:rPr>
        <w:lastRenderedPageBreak/>
        <w:t>Enterprise Irrigation Canal approximately 1/2 mile to Booth Road; thence east 1/2 mile to Vale Road; thence north 1 mile to a point in Section 6, T39S, R10E that is approximately 1700 feet north of the southern boundary of Section 6, T39S, R10E; thence west approximately 500 feet; thence south approximately 850 feet; thence west approximately 200 feet; thence north approximately 900 feet; thence west approximately1600 feet to the western boundary of Section 6, T39S, R10E; thence north approximately 1/2 mile to the southeast corner of Section 36, T38S, R9E,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25" w:author="jinahar" w:date="2012-12-20T16:35:00Z">
        <w:r w:rsidR="00417BC4">
          <w:rPr>
            <w:rFonts w:ascii="Times New Roman" w:eastAsia="Times New Roman" w:hAnsi="Times New Roman" w:cs="Times New Roman"/>
            <w:color w:val="000000"/>
            <w:sz w:val="28"/>
            <w:szCs w:val="28"/>
          </w:rPr>
          <w:t>8</w:t>
        </w:r>
      </w:ins>
      <w:del w:id="26" w:author="jinahar" w:date="2012-12-20T16:35:00Z">
        <w:r w:rsidRPr="00B912D3" w:rsidDel="00417BC4">
          <w:rPr>
            <w:rFonts w:ascii="Times New Roman" w:eastAsia="Times New Roman" w:hAnsi="Times New Roman" w:cs="Times New Roman"/>
            <w:color w:val="000000"/>
            <w:sz w:val="28"/>
            <w:szCs w:val="28"/>
          </w:rPr>
          <w:delText>13</w:delText>
        </w:r>
      </w:del>
      <w:r w:rsidRPr="00B912D3">
        <w:rPr>
          <w:rFonts w:ascii="Times New Roman" w:eastAsia="Times New Roman" w:hAnsi="Times New Roman" w:cs="Times New Roman"/>
          <w:color w:val="000000"/>
          <w:sz w:val="28"/>
          <w:szCs w:val="28"/>
        </w:rPr>
        <w:t>) “</w:t>
      </w:r>
      <w:proofErr w:type="spellStart"/>
      <w:r w:rsidRPr="00B912D3">
        <w:rPr>
          <w:rFonts w:ascii="Times New Roman" w:eastAsia="Times New Roman" w:hAnsi="Times New Roman" w:cs="Times New Roman"/>
          <w:color w:val="000000"/>
          <w:sz w:val="28"/>
          <w:szCs w:val="28"/>
        </w:rPr>
        <w:t>LaGrande</w:t>
      </w:r>
      <w:proofErr w:type="spellEnd"/>
      <w:r w:rsidRPr="00B912D3">
        <w:rPr>
          <w:rFonts w:ascii="Times New Roman" w:eastAsia="Times New Roman" w:hAnsi="Times New Roman" w:cs="Times New Roman"/>
          <w:color w:val="000000"/>
          <w:sz w:val="28"/>
          <w:szCs w:val="28"/>
        </w:rPr>
        <w:t xml:space="preserve"> UGB” means the area within the bounds beginning at the point where U.S. Interstate 84 (I-84) intersects Section 31, Township 2 South, Range 38 East; thence east along I-84 to the Union County Fairgrounds; thence north and then east on a line encompassing the Union County Fairgrounds to the intersection with Cedar Street; thence further east approximately 500 feet, encompassing two (2) residential properties; thence on a line south to the intersection with the northern bank of the Grande </w:t>
      </w:r>
      <w:proofErr w:type="spellStart"/>
      <w:r w:rsidRPr="00B912D3">
        <w:rPr>
          <w:rFonts w:ascii="Times New Roman" w:eastAsia="Times New Roman" w:hAnsi="Times New Roman" w:cs="Times New Roman"/>
          <w:color w:val="000000"/>
          <w:sz w:val="28"/>
          <w:szCs w:val="28"/>
        </w:rPr>
        <w:t>Ronde</w:t>
      </w:r>
      <w:proofErr w:type="spellEnd"/>
      <w:r w:rsidRPr="00B912D3">
        <w:rPr>
          <w:rFonts w:ascii="Times New Roman" w:eastAsia="Times New Roman" w:hAnsi="Times New Roman" w:cs="Times New Roman"/>
          <w:color w:val="000000"/>
          <w:sz w:val="28"/>
          <w:szCs w:val="28"/>
        </w:rPr>
        <w:t xml:space="preserve"> River; thence westerly along the northern bank of the Grande </w:t>
      </w:r>
      <w:proofErr w:type="spellStart"/>
      <w:r w:rsidRPr="00B912D3">
        <w:rPr>
          <w:rFonts w:ascii="Times New Roman" w:eastAsia="Times New Roman" w:hAnsi="Times New Roman" w:cs="Times New Roman"/>
          <w:color w:val="000000"/>
          <w:sz w:val="28"/>
          <w:szCs w:val="28"/>
        </w:rPr>
        <w:t>Ronde</w:t>
      </w:r>
      <w:proofErr w:type="spellEnd"/>
      <w:r w:rsidRPr="00B912D3">
        <w:rPr>
          <w:rFonts w:ascii="Times New Roman" w:eastAsia="Times New Roman" w:hAnsi="Times New Roman" w:cs="Times New Roman"/>
          <w:color w:val="000000"/>
          <w:sz w:val="28"/>
          <w:szCs w:val="28"/>
        </w:rPr>
        <w:t xml:space="preserve"> River to the intersection with the western edge of Mount Glenn Road and Riverside Park; thence north along the western edge of Mount Glenn Road and Riverside Park to the intersection with </w:t>
      </w:r>
      <w:proofErr w:type="spellStart"/>
      <w:r w:rsidRPr="00B912D3">
        <w:rPr>
          <w:rFonts w:ascii="Times New Roman" w:eastAsia="Times New Roman" w:hAnsi="Times New Roman" w:cs="Times New Roman"/>
          <w:color w:val="000000"/>
          <w:sz w:val="28"/>
          <w:szCs w:val="28"/>
        </w:rPr>
        <w:t>Fruitdale</w:t>
      </w:r>
      <w:proofErr w:type="spellEnd"/>
      <w:r w:rsidRPr="00B912D3">
        <w:rPr>
          <w:rFonts w:ascii="Times New Roman" w:eastAsia="Times New Roman" w:hAnsi="Times New Roman" w:cs="Times New Roman"/>
          <w:color w:val="000000"/>
          <w:sz w:val="28"/>
          <w:szCs w:val="28"/>
        </w:rPr>
        <w:t xml:space="preserve"> Road; thence east along </w:t>
      </w:r>
      <w:proofErr w:type="spellStart"/>
      <w:r w:rsidRPr="00B912D3">
        <w:rPr>
          <w:rFonts w:ascii="Times New Roman" w:eastAsia="Times New Roman" w:hAnsi="Times New Roman" w:cs="Times New Roman"/>
          <w:color w:val="000000"/>
          <w:sz w:val="28"/>
          <w:szCs w:val="28"/>
        </w:rPr>
        <w:t>Fruitdale</w:t>
      </w:r>
      <w:proofErr w:type="spellEnd"/>
      <w:r w:rsidRPr="00B912D3">
        <w:rPr>
          <w:rFonts w:ascii="Times New Roman" w:eastAsia="Times New Roman" w:hAnsi="Times New Roman" w:cs="Times New Roman"/>
          <w:color w:val="000000"/>
          <w:sz w:val="28"/>
          <w:szCs w:val="28"/>
        </w:rPr>
        <w:t xml:space="preserve"> Road and the northern boundary of Riverside Park to the eastern boundary of Riverside Park; thence south along the eastern boundary of Riverside Park to the north bank of the Grande </w:t>
      </w:r>
      <w:proofErr w:type="spellStart"/>
      <w:r w:rsidRPr="00B912D3">
        <w:rPr>
          <w:rFonts w:ascii="Times New Roman" w:eastAsia="Times New Roman" w:hAnsi="Times New Roman" w:cs="Times New Roman"/>
          <w:color w:val="000000"/>
          <w:sz w:val="28"/>
          <w:szCs w:val="28"/>
        </w:rPr>
        <w:t>Ronde</w:t>
      </w:r>
      <w:proofErr w:type="spellEnd"/>
      <w:r w:rsidRPr="00B912D3">
        <w:rPr>
          <w:rFonts w:ascii="Times New Roman" w:eastAsia="Times New Roman" w:hAnsi="Times New Roman" w:cs="Times New Roman"/>
          <w:color w:val="000000"/>
          <w:sz w:val="28"/>
          <w:szCs w:val="28"/>
        </w:rPr>
        <w:t xml:space="preserve"> River; thence on a line southeast to the intersection with the northern edge of I-84; thence easterly along the northern edge of I-84 to May Street; thence easterly along May Street to the intersection with State Highway 82; thence northeasterly along State Highway 82 to the a point approximately 1/4 mile from the eastern edge of Section 4, T3S, R38E; thence south to the intersection with Section 9, T3S, R38E, and the southern edge of Buchanan Avenue; thence west along the southern edge of Buchanan Avenue to the intersection with the northern edge of I-84; thence on a line south to the southern edge of I-84; thence southeasterly along the southern edge of I-84 approximately 2500 feet; thence on a line due west approximately 1400 feet; thence on a line due south to the intersection with the Union Pacific Railroad Line; thence southeasterly along the Union Pacific Railroad Line to the intersection with </w:t>
      </w:r>
      <w:proofErr w:type="spellStart"/>
      <w:r w:rsidRPr="00B912D3">
        <w:rPr>
          <w:rFonts w:ascii="Times New Roman" w:eastAsia="Times New Roman" w:hAnsi="Times New Roman" w:cs="Times New Roman"/>
          <w:color w:val="000000"/>
          <w:sz w:val="28"/>
          <w:szCs w:val="28"/>
        </w:rPr>
        <w:t>Gekeler</w:t>
      </w:r>
      <w:proofErr w:type="spellEnd"/>
      <w:r w:rsidRPr="00B912D3">
        <w:rPr>
          <w:rFonts w:ascii="Times New Roman" w:eastAsia="Times New Roman" w:hAnsi="Times New Roman" w:cs="Times New Roman"/>
          <w:color w:val="000000"/>
          <w:sz w:val="28"/>
          <w:szCs w:val="28"/>
        </w:rPr>
        <w:t xml:space="preserve"> Lane; thence west along </w:t>
      </w:r>
      <w:proofErr w:type="spellStart"/>
      <w:r w:rsidRPr="00B912D3">
        <w:rPr>
          <w:rFonts w:ascii="Times New Roman" w:eastAsia="Times New Roman" w:hAnsi="Times New Roman" w:cs="Times New Roman"/>
          <w:color w:val="000000"/>
          <w:sz w:val="28"/>
          <w:szCs w:val="28"/>
        </w:rPr>
        <w:t>Gekeler</w:t>
      </w:r>
      <w:proofErr w:type="spellEnd"/>
      <w:r w:rsidRPr="00B912D3">
        <w:rPr>
          <w:rFonts w:ascii="Times New Roman" w:eastAsia="Times New Roman" w:hAnsi="Times New Roman" w:cs="Times New Roman"/>
          <w:color w:val="000000"/>
          <w:sz w:val="28"/>
          <w:szCs w:val="28"/>
        </w:rPr>
        <w:t xml:space="preserve"> Lane to the intersection with U.S. Highway 30; thence southeast along U.S. Highway 30 to the intersection with the western boundary of Section 15, T3S, R38E; thence on a line west following existing property boundaries approximately 2900 feet; thence on a line north following existing property boundaries approximately 250 feet; thence on a line east following existing property boundaries approximately 650 feet; thence north on a line to the intersection with </w:t>
      </w:r>
      <w:proofErr w:type="spellStart"/>
      <w:r w:rsidRPr="00B912D3">
        <w:rPr>
          <w:rFonts w:ascii="Times New Roman" w:eastAsia="Times New Roman" w:hAnsi="Times New Roman" w:cs="Times New Roman"/>
          <w:color w:val="000000"/>
          <w:sz w:val="28"/>
          <w:szCs w:val="28"/>
        </w:rPr>
        <w:t>Gekeler</w:t>
      </w:r>
      <w:proofErr w:type="spellEnd"/>
      <w:r w:rsidRPr="00B912D3">
        <w:rPr>
          <w:rFonts w:ascii="Times New Roman" w:eastAsia="Times New Roman" w:hAnsi="Times New Roman" w:cs="Times New Roman"/>
          <w:color w:val="000000"/>
          <w:sz w:val="28"/>
          <w:szCs w:val="28"/>
        </w:rPr>
        <w:t xml:space="preserve"> Lane; thence west along </w:t>
      </w:r>
      <w:proofErr w:type="spellStart"/>
      <w:r w:rsidRPr="00B912D3">
        <w:rPr>
          <w:rFonts w:ascii="Times New Roman" w:eastAsia="Times New Roman" w:hAnsi="Times New Roman" w:cs="Times New Roman"/>
          <w:color w:val="000000"/>
          <w:sz w:val="28"/>
          <w:szCs w:val="28"/>
        </w:rPr>
        <w:t>Gekeler</w:t>
      </w:r>
      <w:proofErr w:type="spellEnd"/>
      <w:r w:rsidRPr="00B912D3">
        <w:rPr>
          <w:rFonts w:ascii="Times New Roman" w:eastAsia="Times New Roman" w:hAnsi="Times New Roman" w:cs="Times New Roman"/>
          <w:color w:val="000000"/>
          <w:sz w:val="28"/>
          <w:szCs w:val="28"/>
        </w:rPr>
        <w:t xml:space="preserve"> Lane to </w:t>
      </w:r>
      <w:r w:rsidRPr="00B912D3">
        <w:rPr>
          <w:rFonts w:ascii="Times New Roman" w:eastAsia="Times New Roman" w:hAnsi="Times New Roman" w:cs="Times New Roman"/>
          <w:color w:val="000000"/>
          <w:sz w:val="28"/>
          <w:szCs w:val="28"/>
        </w:rPr>
        <w:lastRenderedPageBreak/>
        <w:t>the intersection with 20th Avenue; thence south along 20th Avenue to the intersection with Foothill Road; thence southeasterly along Foothill Road approximately 2900 feet; thence on a line west following existing property boundaries approximately 1250 feet; thence on a line south following existing property boundaries approximately 1250 feet; thence on a line west following existing property boundaries approximately 1250 feet; thence on a line north following existing property boundaries approximately 450 feet to the intersection with the southernmost part of the La Grande City Limits; thence westerly and northwesterly along the southernmost part of the La Grande City Limits approximately 1100 feet to the intersection with the 3000 foot elevation contour line; thence westerly following the 3000 foot elevation contour line and existing property boundaries approximately 2200 feet; thence on a line north following existing property boundaries approximately 1900 feet; thence on a line west following existing property boundaries approximately 500 feet; thence on a line north to the La Grande City Limits; thence west along the La Grande City Limits and following existing property boundaries approximately 650 feet; thence on a line south following existing property boundaries approximately 900 feet; thence on a line west following existing property boundaries approximately 1250 feet; thence on a line north to the intersection with the La Grande City Limits; thence west along the southern boundary of the La Grande City Limits to the intersection with the western boundary of the La Grande City Limits; thence north along the western boundary of the La Grande City Limits and following existing property lines approximately 500 feet; thence on a line west following existing property boundaries approximately 200 feet; thence on a line north following existing property boundaries approximately 700 feet; thence east to the first 3000 foot elevation contour line west of the La Grande City Limits; thence northerly following that 3000 foot elevation contour line to the intersection with Deal Canyon Road; thence easterly along Deal Canyon Road to the intersection with the western boundary of the La Grande City Limits; thence northerly along the western boundary of the La Grande City Limits to the intersection with U.S. Highway 30; thence northwesterly along U.S. Highway 30 and following existing property boundaries approximately 1400 feet; thence on a line west to the intersection with the western boundary of Section 6, T3S, R38E; thence north along the western boundaries of Section 6, T3S, R38E and Section 31, T2S, R38E to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27" w:author="jinahar" w:date="2012-12-20T16:36:00Z">
        <w:r w:rsidR="00417BC4">
          <w:rPr>
            <w:rFonts w:ascii="Times New Roman" w:eastAsia="Times New Roman" w:hAnsi="Times New Roman" w:cs="Times New Roman"/>
            <w:color w:val="000000"/>
            <w:sz w:val="28"/>
            <w:szCs w:val="28"/>
          </w:rPr>
          <w:t>9</w:t>
        </w:r>
      </w:ins>
      <w:del w:id="28" w:author="jinahar" w:date="2012-12-20T16:36:00Z">
        <w:r w:rsidRPr="00B912D3" w:rsidDel="00417BC4">
          <w:rPr>
            <w:rFonts w:ascii="Times New Roman" w:eastAsia="Times New Roman" w:hAnsi="Times New Roman" w:cs="Times New Roman"/>
            <w:color w:val="000000"/>
            <w:sz w:val="28"/>
            <w:szCs w:val="28"/>
          </w:rPr>
          <w:delText>14</w:delText>
        </w:r>
      </w:del>
      <w:r w:rsidRPr="00B912D3">
        <w:rPr>
          <w:rFonts w:ascii="Times New Roman" w:eastAsia="Times New Roman" w:hAnsi="Times New Roman" w:cs="Times New Roman"/>
          <w:color w:val="000000"/>
          <w:sz w:val="28"/>
          <w:szCs w:val="28"/>
        </w:rPr>
        <w:t xml:space="preserve">) “Lakeview UGB” means the area beginning at the corner common to sections 21, 22, 27, and 28, T39S, R20E; thence north on the section line between section 21 and 22 to the section corner common to section 15, 16, 21, and 22; thence west along the section line between section 21 and 16 to the section corner </w:t>
      </w:r>
      <w:r w:rsidRPr="00B912D3">
        <w:rPr>
          <w:rFonts w:ascii="Times New Roman" w:eastAsia="Times New Roman" w:hAnsi="Times New Roman" w:cs="Times New Roman"/>
          <w:color w:val="000000"/>
          <w:sz w:val="28"/>
          <w:szCs w:val="28"/>
        </w:rPr>
        <w:lastRenderedPageBreak/>
        <w:t xml:space="preserve">common to sections 16, 17, 20, and 21; thence north along the section line between section 16 and 17 approximately 3550 feet to the east branch of Thomas Creek; thence northwesterly along the east branch of Thomas Creek to the center line of Highway 140; thence east along the center line of Highway 140 to the section corner common to sections 8, 9, 16, and 17, T39S, R20E; thence north along the section line between sections 8 and 9 to the section corner common to sections 4, 5, 8, and 9, T39S, R20E; thence north along the section line between section 4 and 5 to the section corner common to section 4 and 5, T39S, R20E and sections 32 and 33, T38S, R20E; thence east along the section line between sections 4 and 33 to the section corner common to sections 3 and 4, T39S, R20E and sections 33 and 34, T38S, R20E; thence south along the eastern boundary of section 4 approximately 4,1318.6 feet; thence S 89 degrees, 11 minutes W 288.28 feet to the east right of way line of the old Paisley/Lakeview Highway; thence S 21 degrees, 53 minutes E along the eastern right of way of the old Paisley/Lakeview Highway 288.4 feet; thence S 78 degrees, 45 minutes W 1375 feet; thence S 3 degrees, 6 minutes, and 30 seconds W 200 feet; thence S 77 degrees, 45 minutes W 136 feet to the east right of way line of U.S. Highway 395; thence southeasterly along the east right of way line of U.S. Highway 395 53.5 feet; thence N 77 degrees, 45 minutes E 195.6 feet; thence S 38 degrees, 45 minutes E 56.8 feet; thence S 51 degrees, 15 minutes W 186.1 feet to the east right of way of U.S. Highway 395; thence southeast along the eastern right of way line of U.S. Highway 395 2310 feet; thence N 76 degrees, 19 minutes 544.7 feet; thence S 13 degrees, 23 minutes, 21 seconds E 400 feet; thence N 63 degrees, 13 minutes E 243.6 feet to the western line of the old American Forest Products Logging Road; thence southeast along the old American Forest Products Logging Road to the western line of the northeast quadrant of the northwest quadrant of section 10, T39S, R20E; thence southeast to a point on the south line of the northeast quadrant of the northwest quadrant of Section 10, T39S, R20E (this point also bears N 89 degrees, 33 minutes E 230 feet from the center line of U.S. Highway 395); thence south on a line parallel to the east right of way line of U.S. Highway 395 to the south line of the northwest quadrant of section 10, T39S, R20E; thence south 491 feet to the east right of way of U.S. Highway 395; thence southeasterly following the east right of way of U.S. Highway 395 255 feet to the south line of the northeast quadrant of the northeast quadrant of the southwest quadrant of section 10, T39S, R20E; thence east along that south line to the center line of section 10, T39S, R20E; thence continuing east along the same south line to the eastern boundary of section 10, T39S, R20E; thence south along the eastern boundary of section 10 to the section corner common to sections 10, 11, 14, and 15, T39S, R20E; thence south along the section line between section 14 and 15 to the section corner common to sections 14, 15, 22, and 23, T39S, R20E; thence west along the section line between </w:t>
      </w:r>
      <w:r w:rsidRPr="00B912D3">
        <w:rPr>
          <w:rFonts w:ascii="Times New Roman" w:eastAsia="Times New Roman" w:hAnsi="Times New Roman" w:cs="Times New Roman"/>
          <w:color w:val="000000"/>
          <w:sz w:val="28"/>
          <w:szCs w:val="28"/>
        </w:rPr>
        <w:lastRenderedPageBreak/>
        <w:t>sections 15 and 22 to the northwest corner of the northeast quadrant of the northeast quadrant of section 22, T39S, R20E; thence south along the eastern line of the western half of the eastern half of section 22 to the southern boundary of section 22, T39S, R20E; thence west along the southern boundary of section 22 to the point of beginning.</w:t>
      </w:r>
    </w:p>
    <w:p w:rsidR="00B912D3" w:rsidRPr="00B912D3" w:rsidDel="006F1B02" w:rsidRDefault="006F1B02" w:rsidP="00B912D3">
      <w:pPr>
        <w:shd w:val="clear" w:color="auto" w:fill="FFFFFF"/>
        <w:spacing w:before="100" w:beforeAutospacing="1" w:after="100" w:afterAutospacing="1" w:line="240" w:lineRule="auto"/>
        <w:rPr>
          <w:del w:id="29" w:author="jinahar" w:date="2013-01-14T09:20:00Z"/>
          <w:rFonts w:ascii="Times New Roman" w:eastAsia="Times New Roman" w:hAnsi="Times New Roman" w:cs="Times New Roman"/>
          <w:color w:val="000000"/>
          <w:sz w:val="28"/>
          <w:szCs w:val="28"/>
        </w:rPr>
      </w:pPr>
      <w:ins w:id="30" w:author="jinahar" w:date="2013-01-14T09:20:00Z">
        <w:r w:rsidRPr="00B912D3" w:rsidDel="006F1B02">
          <w:rPr>
            <w:rFonts w:ascii="Times New Roman" w:eastAsia="Times New Roman" w:hAnsi="Times New Roman" w:cs="Times New Roman"/>
            <w:color w:val="000000"/>
            <w:sz w:val="28"/>
            <w:szCs w:val="28"/>
          </w:rPr>
          <w:t xml:space="preserve"> </w:t>
        </w:r>
      </w:ins>
      <w:del w:id="31" w:author="jinahar" w:date="2013-01-14T09:20:00Z">
        <w:r w:rsidR="00B912D3" w:rsidRPr="00B912D3" w:rsidDel="006F1B02">
          <w:rPr>
            <w:rFonts w:ascii="Times New Roman" w:eastAsia="Times New Roman" w:hAnsi="Times New Roman" w:cs="Times New Roman"/>
            <w:color w:val="000000"/>
            <w:sz w:val="28"/>
            <w:szCs w:val="28"/>
          </w:rPr>
          <w:delText>(15) “Maintenance Area” means any area that was formerly nonattainment for a criteria pollutant but has since met EPA promulgated standards and has had a maintenance plan to stay within the standards approved by the EPA pursuant to 40 CFR 51.110 (July, 1993).</w:delText>
        </w:r>
      </w:del>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(1</w:t>
      </w:r>
      <w:ins w:id="32" w:author="jinahar" w:date="2013-01-14T09:20:00Z">
        <w:r w:rsidR="006F1B02">
          <w:rPr>
            <w:rFonts w:ascii="Times New Roman" w:eastAsia="Times New Roman" w:hAnsi="Times New Roman" w:cs="Times New Roman"/>
            <w:color w:val="000000"/>
            <w:sz w:val="28"/>
            <w:szCs w:val="28"/>
          </w:rPr>
          <w:t>5</w:t>
        </w:r>
      </w:ins>
      <w:del w:id="33" w:author="jinahar" w:date="2013-01-14T09:20:00Z">
        <w:r w:rsidRPr="00B912D3" w:rsidDel="006F1B02">
          <w:rPr>
            <w:rFonts w:ascii="Times New Roman" w:eastAsia="Times New Roman" w:hAnsi="Times New Roman" w:cs="Times New Roman"/>
            <w:color w:val="000000"/>
            <w:sz w:val="28"/>
            <w:szCs w:val="28"/>
          </w:rPr>
          <w:delText>6</w:delText>
        </w:r>
      </w:del>
      <w:r w:rsidRPr="00B912D3">
        <w:rPr>
          <w:rFonts w:ascii="Times New Roman" w:eastAsia="Times New Roman" w:hAnsi="Times New Roman" w:cs="Times New Roman"/>
          <w:color w:val="000000"/>
          <w:sz w:val="28"/>
          <w:szCs w:val="28"/>
        </w:rPr>
        <w:t xml:space="preserve">) “Medford-Ashland Air Quality Maintenance Area” (AQMA) means the area defined as beginning at a point approximately two and quarter miles northeast of the town of Eagle Point, Jackson County, Oregon at the northeast corner of Section 36, Township 35 South, Range 1 West (T35S, R1W); thence South along the Willamette Meridian to the southeast corner of Section 25, T37S, R1W; thence southeast along a line to the southeast corner of Section 9, T39S, R2E; thence south-southeast along line to the southeast corner of Section 22, T39S, R2E; thence South to the southeast corner of Section 27, T39S, R2E; thence southwest along a line to the southeast corner of Section 33, T39S, R2E; thence West to the southwest corner of Section 31, T39S, R2E; thence northwest along a line to the northwest corner of Section 36, T39S, R1E; thence West to the southwest corner of Section 26, T39S, R1E; thence northwest along a line to the southeast corner of Section 7, T39S, R1E; thence West to the southwest corner of Section 12, T39S, R1W, T39S, R1W; thence northwest along a line to southwest corner of Section 20, T38S, R1W; thence West to the southwest corner of Section 24, T38S, R2W; thence northwest along a line to the southwest corner of Section 4, T38S, R2W; thence West to the southwest corner of Section 6, T38S, R2W; thence northwest along a line to the southwest corner of Section 31, T37S, R2W; thence North and East along the Rogue River to the north boundary of Section 32, T35S, R1W; thence East along a line to the point of beginning. </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(1</w:t>
      </w:r>
      <w:ins w:id="34" w:author="jinahar" w:date="2013-01-14T09:21:00Z">
        <w:r w:rsidR="006F1B02">
          <w:rPr>
            <w:rFonts w:ascii="Times New Roman" w:eastAsia="Times New Roman" w:hAnsi="Times New Roman" w:cs="Times New Roman"/>
            <w:color w:val="000000"/>
            <w:sz w:val="28"/>
            <w:szCs w:val="28"/>
          </w:rPr>
          <w:t>6</w:t>
        </w:r>
      </w:ins>
      <w:del w:id="35" w:author="jinahar" w:date="2013-01-14T09:21:00Z">
        <w:r w:rsidRPr="00B912D3" w:rsidDel="006F1B02">
          <w:rPr>
            <w:rFonts w:ascii="Times New Roman" w:eastAsia="Times New Roman" w:hAnsi="Times New Roman" w:cs="Times New Roman"/>
            <w:color w:val="000000"/>
            <w:sz w:val="28"/>
            <w:szCs w:val="28"/>
          </w:rPr>
          <w:delText>7</w:delText>
        </w:r>
      </w:del>
      <w:r w:rsidRPr="00B912D3">
        <w:rPr>
          <w:rFonts w:ascii="Times New Roman" w:eastAsia="Times New Roman" w:hAnsi="Times New Roman" w:cs="Times New Roman"/>
          <w:color w:val="000000"/>
          <w:sz w:val="28"/>
          <w:szCs w:val="28"/>
        </w:rPr>
        <w:t xml:space="preserve">) “Medford-Ashland CBD” means the area beginning at the intersection of Crater Lake Highway (Highway 62) south on Biddle Road to the intersection of Fourth Street, west on Fourth Street to the intersection with Riverside Avenue (Highway 99), south on Riverside Avenue to the intersection with Tenth Street, west on Tenth Street to the intersection with Oakdale Avenue, north on Oakdale Avenue to the intersection with Fourth Street, east on Fourth Street to the intersection with Central Avenue, north on Central Avenue to the intersection with Court Street, north on Court Street to the intersection with Crater Lake Highway </w:t>
      </w:r>
      <w:r w:rsidRPr="00B912D3">
        <w:rPr>
          <w:rFonts w:ascii="Times New Roman" w:eastAsia="Times New Roman" w:hAnsi="Times New Roman" w:cs="Times New Roman"/>
          <w:color w:val="000000"/>
          <w:sz w:val="28"/>
          <w:szCs w:val="28"/>
        </w:rPr>
        <w:lastRenderedPageBreak/>
        <w:t xml:space="preserve">(Highway 62) and east on Crater Lake Highway to the point of beginning, with extensions along </w:t>
      </w:r>
      <w:proofErr w:type="spellStart"/>
      <w:r w:rsidRPr="00B912D3">
        <w:rPr>
          <w:rFonts w:ascii="Times New Roman" w:eastAsia="Times New Roman" w:hAnsi="Times New Roman" w:cs="Times New Roman"/>
          <w:color w:val="000000"/>
          <w:sz w:val="28"/>
          <w:szCs w:val="28"/>
        </w:rPr>
        <w:t>McAndrews</w:t>
      </w:r>
      <w:proofErr w:type="spellEnd"/>
      <w:r w:rsidRPr="00B912D3">
        <w:rPr>
          <w:rFonts w:ascii="Times New Roman" w:eastAsia="Times New Roman" w:hAnsi="Times New Roman" w:cs="Times New Roman"/>
          <w:color w:val="000000"/>
          <w:sz w:val="28"/>
          <w:szCs w:val="28"/>
        </w:rPr>
        <w:t xml:space="preserve"> Road east from Biddle Road to Crater Lake Avenue, and along Jackson Street east from Biddle Road to Crater Lake Avenue. </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b/>
          <w:bCs/>
          <w:color w:val="000000"/>
          <w:sz w:val="28"/>
          <w:szCs w:val="28"/>
        </w:rPr>
        <w:t>NOTE</w:t>
      </w:r>
      <w:r w:rsidRPr="00B912D3">
        <w:rPr>
          <w:rFonts w:ascii="Times New Roman" w:eastAsia="Times New Roman" w:hAnsi="Times New Roman" w:cs="Times New Roman"/>
          <w:color w:val="000000"/>
          <w:sz w:val="28"/>
          <w:szCs w:val="28"/>
        </w:rPr>
        <w:t xml:space="preserve">: This definition also marks the area where indirect sources are required to have indirect source construction permits in the Medford area. See OAR 340-254-0040. </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(1</w:t>
      </w:r>
      <w:ins w:id="36" w:author="jinahar" w:date="2013-01-14T09:22:00Z">
        <w:r w:rsidR="006F1B02">
          <w:rPr>
            <w:rFonts w:ascii="Times New Roman" w:eastAsia="Times New Roman" w:hAnsi="Times New Roman" w:cs="Times New Roman"/>
            <w:color w:val="000000"/>
            <w:sz w:val="28"/>
            <w:szCs w:val="28"/>
          </w:rPr>
          <w:t>7</w:t>
        </w:r>
      </w:ins>
      <w:del w:id="37" w:author="jinahar" w:date="2013-01-14T09:22:00Z">
        <w:r w:rsidRPr="00B912D3" w:rsidDel="006F1B02">
          <w:rPr>
            <w:rFonts w:ascii="Times New Roman" w:eastAsia="Times New Roman" w:hAnsi="Times New Roman" w:cs="Times New Roman"/>
            <w:color w:val="000000"/>
            <w:sz w:val="28"/>
            <w:szCs w:val="28"/>
          </w:rPr>
          <w:delText>8</w:delText>
        </w:r>
      </w:del>
      <w:r w:rsidRPr="00B912D3">
        <w:rPr>
          <w:rFonts w:ascii="Times New Roman" w:eastAsia="Times New Roman" w:hAnsi="Times New Roman" w:cs="Times New Roman"/>
          <w:color w:val="000000"/>
          <w:sz w:val="28"/>
          <w:szCs w:val="28"/>
        </w:rPr>
        <w:t xml:space="preserve">) “Medford UGB” means the area beginning at the line separating Range 1 West and Range 2 West at a point approximately 1/4 mile south of the northwest corner of Section 31, T36S, R1W; thence west approximately 1/2 mile; thence south to the north bank of Bear Creek; thence west to the south bank of Bear Creek; thence south to the intersection with the Medford Corporate Boundary; thence following the Medford Corporate Boundary west and southwesterly to the intersection with Merriman Road; thence northwesterly along Merriman Road to the intersection with the eastern boundary of Section 10, T36S, R2W; thence south along said boundary line approximately 3/4 mile; thence west approximately 1/3 mile; thence south to the intersection with the Hopkins Canal; thence east along the Hopkins Canal approximately 200 feet; thence south to </w:t>
      </w:r>
      <w:proofErr w:type="spellStart"/>
      <w:r w:rsidRPr="00B912D3">
        <w:rPr>
          <w:rFonts w:ascii="Times New Roman" w:eastAsia="Times New Roman" w:hAnsi="Times New Roman" w:cs="Times New Roman"/>
          <w:color w:val="000000"/>
          <w:sz w:val="28"/>
          <w:szCs w:val="28"/>
        </w:rPr>
        <w:t>Rossanely</w:t>
      </w:r>
      <w:proofErr w:type="spellEnd"/>
      <w:r w:rsidRPr="00B912D3">
        <w:rPr>
          <w:rFonts w:ascii="Times New Roman" w:eastAsia="Times New Roman" w:hAnsi="Times New Roman" w:cs="Times New Roman"/>
          <w:color w:val="000000"/>
          <w:sz w:val="28"/>
          <w:szCs w:val="28"/>
        </w:rPr>
        <w:t xml:space="preserve"> Drive; thence east along </w:t>
      </w:r>
      <w:proofErr w:type="spellStart"/>
      <w:r w:rsidRPr="00B912D3">
        <w:rPr>
          <w:rFonts w:ascii="Times New Roman" w:eastAsia="Times New Roman" w:hAnsi="Times New Roman" w:cs="Times New Roman"/>
          <w:color w:val="000000"/>
          <w:sz w:val="28"/>
          <w:szCs w:val="28"/>
        </w:rPr>
        <w:t>Rossanley</w:t>
      </w:r>
      <w:proofErr w:type="spellEnd"/>
      <w:r w:rsidRPr="00B912D3">
        <w:rPr>
          <w:rFonts w:ascii="Times New Roman" w:eastAsia="Times New Roman" w:hAnsi="Times New Roman" w:cs="Times New Roman"/>
          <w:color w:val="000000"/>
          <w:sz w:val="28"/>
          <w:szCs w:val="28"/>
        </w:rPr>
        <w:t xml:space="preserve"> Drive approximately 200 feet; thence south approximately 1200 feet; thence west approximately 700 feet; thence south approximately 1400 feet; thence east approximately 1400 feet; thence north approximately 100 feet; thence east approximately 700 feet; thence south to Finley Lane; thence west to the end of Finley Lane; thence approximately 1200 feet; thence west approximately 1300 feet; thence north approximately 150 feet; thence west approximately 500 feet; thence south to Highway 238; thence west along Highway 238 approximately 250 feet; thence south approximately 1250 feet to a point even with the end of Renault Avenue to the east; thence east approximately 2200 feet; thence south approximately 1100 feet to a point even with Sunset Court to the east; thence east to and along Sunset Court to the first (nameless) road to the south; thence approximately 850 feet; thence west approximately 600 feet; thence south to Stewart Avenue; thence west along Stewart Avenue approximately 750 feet; thence south approximately 1100 feet; thence west approximately 100 feet; thence south approximately 800 feet; thence east approximately 800 feet; thence south approximately 1000 feet; thence west approximately 350 feet to a point even with the north-south connector street between Sunset Drive and South Stage Road; thence south to and along said connecting road and continuing along South Stage Road to </w:t>
      </w:r>
      <w:proofErr w:type="spellStart"/>
      <w:r w:rsidRPr="00B912D3">
        <w:rPr>
          <w:rFonts w:ascii="Times New Roman" w:eastAsia="Times New Roman" w:hAnsi="Times New Roman" w:cs="Times New Roman"/>
          <w:color w:val="000000"/>
          <w:sz w:val="28"/>
          <w:szCs w:val="28"/>
        </w:rPr>
        <w:t>Fairlane</w:t>
      </w:r>
      <w:proofErr w:type="spellEnd"/>
      <w:r w:rsidRPr="00B912D3">
        <w:rPr>
          <w:rFonts w:ascii="Times New Roman" w:eastAsia="Times New Roman" w:hAnsi="Times New Roman" w:cs="Times New Roman"/>
          <w:color w:val="000000"/>
          <w:sz w:val="28"/>
          <w:szCs w:val="28"/>
        </w:rPr>
        <w:t xml:space="preserve"> Road; thence south to the end of </w:t>
      </w:r>
      <w:proofErr w:type="spellStart"/>
      <w:r w:rsidRPr="00B912D3">
        <w:rPr>
          <w:rFonts w:ascii="Times New Roman" w:eastAsia="Times New Roman" w:hAnsi="Times New Roman" w:cs="Times New Roman"/>
          <w:color w:val="000000"/>
          <w:sz w:val="28"/>
          <w:szCs w:val="28"/>
        </w:rPr>
        <w:t>Fairlane</w:t>
      </w:r>
      <w:proofErr w:type="spellEnd"/>
      <w:r w:rsidRPr="00B912D3">
        <w:rPr>
          <w:rFonts w:ascii="Times New Roman" w:eastAsia="Times New Roman" w:hAnsi="Times New Roman" w:cs="Times New Roman"/>
          <w:color w:val="000000"/>
          <w:sz w:val="28"/>
          <w:szCs w:val="28"/>
        </w:rPr>
        <w:t xml:space="preserve"> Road and extending beyond it approximately 250 feet; thence east approximately 250 feet; thence south approximately 250 feet to the intersection with Judy Way; thence east on Judy </w:t>
      </w:r>
      <w:r w:rsidRPr="00B912D3">
        <w:rPr>
          <w:rFonts w:ascii="Times New Roman" w:eastAsia="Times New Roman" w:hAnsi="Times New Roman" w:cs="Times New Roman"/>
          <w:color w:val="000000"/>
          <w:sz w:val="28"/>
          <w:szCs w:val="28"/>
        </w:rPr>
        <w:lastRenderedPageBreak/>
        <w:t xml:space="preserve">Way to Griffin Creek Road; thence north on Griffin Creek Road to South Stage Road; thence east on South Stage Road to Orchard Home Drive; thence north on Orchard Home Drive approximately 800 feet; thence east to Columbus Avenue; thence south along Columbus Avenue to South Stage Road; thence east along South Stage Road to the first road to the north after </w:t>
      </w:r>
      <w:proofErr w:type="spellStart"/>
      <w:r w:rsidRPr="00B912D3">
        <w:rPr>
          <w:rFonts w:ascii="Times New Roman" w:eastAsia="Times New Roman" w:hAnsi="Times New Roman" w:cs="Times New Roman"/>
          <w:color w:val="000000"/>
          <w:sz w:val="28"/>
          <w:szCs w:val="28"/>
        </w:rPr>
        <w:t>Sunnyview</w:t>
      </w:r>
      <w:proofErr w:type="spellEnd"/>
      <w:r w:rsidRPr="00B912D3">
        <w:rPr>
          <w:rFonts w:ascii="Times New Roman" w:eastAsia="Times New Roman" w:hAnsi="Times New Roman" w:cs="Times New Roman"/>
          <w:color w:val="000000"/>
          <w:sz w:val="28"/>
          <w:szCs w:val="28"/>
        </w:rPr>
        <w:t xml:space="preserve"> Lane; thence north approximately 300 feet; thence east approximately 300 feet; thence north approximately 700 feet; thence east to King’s Highway; thence north along King’s Highway to Experiment Station Road; thence east along Experiment Station Road to Marsh Lane; thence east along Marsh Lane to the northern boundary of Section 6, T38S, R1W; thence east along said boundary approximately 1100 feet; thence north approximately 1200 feet; thence east approximately 1/3 mile; thence north approximately 400 feet; thence east approximately 1000 feet to a drainage ditch; thence following the drainage ditch southeasterly approximately 500 feet; thence east to the eastern boundary of Section 31, T37S, R1W; thence south along said boundary approximately 1900 feet; thence east to and along the loop off of Rogue Valley Boulevard, following that loop to the Southern Pacific Railroad Line (SPRR); thence following SPRR approximately 500 feet; thence south to South Stage Road; thence east along South Stage Road to SPRR; thence southeasterly along SPRR to the intersection with the west fork of Bear Creek; thence northeasterly along the west fork of Bear Creek to the intersection with U.S. Highway 99; thence southeasterly along U.S. Highway 99 approximately 250 feet; thence east approximately 1600 feet; thence south to East Glenwood Road; thence east along East Glenwood Road approximately 1250 feet; thence north approximately 1/2 mile; thence west approximately 250 feet; thence north approximately 1/2 mile to the Medford City Limits; thence east along the city limits to Phoenix Road; thence south along Phoenix Road to Coal Mine Road; thence east along Coal Mine Road approximately 9/10 mile to the western boundary of Section 35, T37S, R1W; thence north to the midpoint of the western boundary of Section 35, T37S, R1W; thence west approximately 800 feet; thence north approximately 1700 feet to the intersection with Barnett Road; thence easterly along Barnett Road to the southeast corner of Section 27, T37S, R1W; thence north along the eastern boundary line of said section approximately 1/2 mile to the intersection with the 1800 foot contour line; thence east to the intersection with Cherry Lane; thence following Cherry Lane southeasterly and then northerly to the intersection with Hillcrest Road; thence east along Hillcrest Road to the southeast corner of Section 23, T37S, R1W; thence north to the northeast corner of Section 23, T37S, R1W; thence west to the midpoint of the northern boundary of Section 22; T37S, R1W; thence north to the midpoint of Section 15, T37S, R1W; thence west to the midpoint of the western boundary of Section 15, T37S, R1W; thence south along said boundary approximately 600 feet; thence west </w:t>
      </w:r>
      <w:r w:rsidRPr="00B912D3">
        <w:rPr>
          <w:rFonts w:ascii="Times New Roman" w:eastAsia="Times New Roman" w:hAnsi="Times New Roman" w:cs="Times New Roman"/>
          <w:color w:val="000000"/>
          <w:sz w:val="28"/>
          <w:szCs w:val="28"/>
        </w:rPr>
        <w:lastRenderedPageBreak/>
        <w:t>approximately 1200 feet; thence north approximately 600 feet; thence west to Foothill Road; thence north along Foothill Road to a point approximately 500 feet north of Butte Road; thence west approximately 300 feet; thence south approximately 250 feet; thence west on a line parallel to and approximately 250 feet north of Butte Road to the eastern boundary of Section 8, T37S, R1W; thence north approximately 2200 feet; thence west approximately 1800 feet; thence north approximately 2000 feet; thence west approximately 500 feet; thence north to Coker Butte Road; thence east along Coker Butte Road approximately 550 feet; thence north approximately 1250 feet; thence west to U.S. Highway 62; thence north approximately 3000 feet; thence east approximately 400 feet to the 1340 foot contour line; thence north approximately 800 feet; thence west approximately 200 feet; thence north approximately 250 feet to East Vilas Road; thence east along East Vilas Road approximately 450 feet; thence north approximately 2000 feet to a point approximately 150 feet north of Swanson Creek; thence east approximately 600 feet; thence north approximately 850 feet; thence west approximately 750 feet; thence north approximately 650 feet; thence west approximately 2100 feet; thence on a line southeast approximately 600 feet; thence east approximately 450 feet; thence south approximately 1600 feet; thence west approximately 2000 feet to the continuance of the private logging road north of East Vilas Road; thence south along said logging road approximately 850 feet; thence west approximately 750 feet; thence south approximately 150 feet; thence west approximately 550 feet to Peace Lane; thence north along Peace Lane approximately 100 feet; thence west approximately 350 feet; thence north approximately 950 feet; thence west approximately 1000 feet to the western boundary of Section 31, T36S, R1W; thence north approximately 1300 feet along said boundary to the point of beginning.</w:t>
      </w:r>
    </w:p>
    <w:p w:rsidR="00B912D3" w:rsidRPr="00B912D3" w:rsidDel="006F1B02" w:rsidRDefault="00B912D3" w:rsidP="00B912D3">
      <w:pPr>
        <w:shd w:val="clear" w:color="auto" w:fill="FFFFFF"/>
        <w:spacing w:before="100" w:beforeAutospacing="1" w:after="100" w:afterAutospacing="1" w:line="240" w:lineRule="auto"/>
        <w:rPr>
          <w:del w:id="38" w:author="jinahar" w:date="2013-01-14T09:22:00Z"/>
          <w:rFonts w:ascii="Times New Roman" w:eastAsia="Times New Roman" w:hAnsi="Times New Roman" w:cs="Times New Roman"/>
          <w:color w:val="000000"/>
          <w:sz w:val="28"/>
          <w:szCs w:val="28"/>
        </w:rPr>
      </w:pPr>
      <w:del w:id="39" w:author="jinahar" w:date="2013-01-14T09:22:00Z">
        <w:r w:rsidRPr="00B912D3" w:rsidDel="006F1B02">
          <w:rPr>
            <w:rFonts w:ascii="Times New Roman" w:eastAsia="Times New Roman" w:hAnsi="Times New Roman" w:cs="Times New Roman"/>
            <w:color w:val="000000"/>
            <w:sz w:val="28"/>
            <w:szCs w:val="28"/>
          </w:rPr>
          <w:delText>(19) “Nonattainment Area” means any area that has been designated as not meeting the standards established by the U.S. Environmental Protection Agency (EPA) pursuant to 40 CFR 51.52 (July, 1993) for any criteria pollutant.</w:delText>
        </w:r>
      </w:del>
    </w:p>
    <w:p w:rsidR="00B912D3" w:rsidRPr="00B912D3" w:rsidDel="00B912D3" w:rsidRDefault="00B912D3" w:rsidP="00B912D3">
      <w:pPr>
        <w:shd w:val="clear" w:color="auto" w:fill="FFFFFF"/>
        <w:spacing w:before="100" w:beforeAutospacing="1" w:after="100" w:afterAutospacing="1" w:line="240" w:lineRule="auto"/>
        <w:rPr>
          <w:del w:id="40" w:author="jinahar" w:date="2012-12-17T09:41:00Z"/>
          <w:rFonts w:ascii="Times New Roman" w:eastAsia="Times New Roman" w:hAnsi="Times New Roman" w:cs="Times New Roman"/>
          <w:color w:val="000000"/>
          <w:sz w:val="28"/>
          <w:szCs w:val="28"/>
        </w:rPr>
      </w:pPr>
      <w:del w:id="41" w:author="jinahar" w:date="2012-12-17T09:41:00Z">
        <w:r w:rsidRPr="00B912D3" w:rsidDel="00B912D3">
          <w:rPr>
            <w:rFonts w:ascii="Times New Roman" w:eastAsia="Times New Roman" w:hAnsi="Times New Roman" w:cs="Times New Roman"/>
            <w:color w:val="000000"/>
            <w:sz w:val="28"/>
            <w:szCs w:val="28"/>
          </w:rPr>
          <w:delText xml:space="preserve">(20) “O3” means Ozone. </w:delText>
        </w:r>
      </w:del>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42" w:author="jinahar" w:date="2013-01-14T09:22:00Z">
        <w:r w:rsidR="006F1B02">
          <w:rPr>
            <w:rFonts w:ascii="Times New Roman" w:eastAsia="Times New Roman" w:hAnsi="Times New Roman" w:cs="Times New Roman"/>
            <w:color w:val="000000"/>
            <w:sz w:val="28"/>
            <w:szCs w:val="28"/>
          </w:rPr>
          <w:t>18</w:t>
        </w:r>
      </w:ins>
      <w:del w:id="43" w:author="jinahar" w:date="2013-01-14T09:22:00Z">
        <w:r w:rsidRPr="00B912D3" w:rsidDel="006F1B02">
          <w:rPr>
            <w:rFonts w:ascii="Times New Roman" w:eastAsia="Times New Roman" w:hAnsi="Times New Roman" w:cs="Times New Roman"/>
            <w:color w:val="000000"/>
            <w:sz w:val="28"/>
            <w:szCs w:val="28"/>
          </w:rPr>
          <w:delText>21</w:delText>
        </w:r>
      </w:del>
      <w:r w:rsidRPr="00B912D3">
        <w:rPr>
          <w:rFonts w:ascii="Times New Roman" w:eastAsia="Times New Roman" w:hAnsi="Times New Roman" w:cs="Times New Roman"/>
          <w:color w:val="000000"/>
          <w:sz w:val="28"/>
          <w:szCs w:val="28"/>
        </w:rPr>
        <w:t xml:space="preserve">) “Oakridge UGB” means the area enclosed by the following: Beginning at the northwest corner of Section 17, T21S, R3E and the city limits; thence south along the western boundary of Section 17, T21S, R3E along the city limits approximately 800 feet; thence southwesterly following the city limits approximately 750 feet; thence west along the city limits approximately 450 feet; thence northwesterly along the city limits approximately 450 feet; thence on a line south along the city limits approximately 250 feet; thence on a line east along the </w:t>
      </w:r>
      <w:r w:rsidRPr="00B912D3">
        <w:rPr>
          <w:rFonts w:ascii="Times New Roman" w:eastAsia="Times New Roman" w:hAnsi="Times New Roman" w:cs="Times New Roman"/>
          <w:color w:val="000000"/>
          <w:sz w:val="28"/>
          <w:szCs w:val="28"/>
        </w:rPr>
        <w:lastRenderedPageBreak/>
        <w:t xml:space="preserve">city limits approximately 100 feet; thence southwesterly along the city limits approximately 200 feet; thence on a line east along the city limits approximately 400 feet; thence on a line south along the city limits to the channel of the Willamette River Middle Fork; thence south-easterly up the Willamette River Middle Fork along the city limits approximately 7200 feet; thence exiting the Willamette River Middle Fork with the city limits in a northerly manner and forming a rough semicircle with a diameter of approximately one-half mile before rejoining the Willamette River Middle Fork; thence diverging from the city limits upon rejoining the Willamette River Middle Fork and moving southeasterly approximately 5600 feet up the Willamette River Middle Fork to a point on the river even with the point where Salmon Creek Road intersects with U.S. Highway 58; thence on a line east from the channel of the Willamette River Middle Fork across the intersection of Salmon Creek Road and U.S. Highway 58 to the intersection with the Southern Pacific Railroad Line; thence northerly along the Southern Pacific Railroad Line to the intersection with the northern boundary of Section 22, T21S, R3E; thence west along the northern boundary of Section 22, T21S, R3E to the intersection with Salmon Creek Road; thence on a line north to the intersection with the Southern Pacific Railroad Line; thence east along the Southern Pacific Railroad Line approximately 600 feet; thence on a line north to the intersection with High Prairie Road; thence on a line west approximately 400 feet; thence on a line north to the intersection with the northern boundary of Section 15, T21S, R3E; thence west along the northern boundary of Section 15, T21S, R3E to the intersection with the southeastern corner of Section 9, T21S, R3E; thence north along the eastern boundary of Section 9, T21S, R3E approximately 1300 feet; thence on a line west approximately 1100 feet; thence on a line south to the intersection with West Oak Road; thence northwesterly along West Oak Road approximately 2000 feet; thence on a line south to the intersection with the northern boundary line of the city limits; thence westerly and northwesterly approximately 8000 feet along the city limits to the point of beginning. </w:t>
      </w:r>
    </w:p>
    <w:p w:rsidR="00B912D3" w:rsidRPr="00B912D3" w:rsidDel="00B912D3" w:rsidRDefault="00B912D3" w:rsidP="00B912D3">
      <w:pPr>
        <w:shd w:val="clear" w:color="auto" w:fill="FFFFFF"/>
        <w:spacing w:before="100" w:beforeAutospacing="1" w:after="100" w:afterAutospacing="1" w:line="240" w:lineRule="auto"/>
        <w:rPr>
          <w:del w:id="44" w:author="jinahar" w:date="2012-12-17T09:41:00Z"/>
          <w:rFonts w:ascii="Times New Roman" w:eastAsia="Times New Roman" w:hAnsi="Times New Roman" w:cs="Times New Roman"/>
          <w:color w:val="000000"/>
          <w:sz w:val="28"/>
          <w:szCs w:val="28"/>
        </w:rPr>
      </w:pPr>
      <w:ins w:id="45" w:author="jinahar" w:date="2012-12-17T09:41:00Z">
        <w:r w:rsidRPr="00B912D3" w:rsidDel="00B912D3">
          <w:rPr>
            <w:rFonts w:ascii="Times New Roman" w:eastAsia="Times New Roman" w:hAnsi="Times New Roman" w:cs="Times New Roman"/>
            <w:color w:val="000000"/>
            <w:sz w:val="28"/>
            <w:szCs w:val="28"/>
          </w:rPr>
          <w:t xml:space="preserve"> </w:t>
        </w:r>
      </w:ins>
      <w:del w:id="46" w:author="jinahar" w:date="2012-12-17T09:41:00Z">
        <w:r w:rsidRPr="00B912D3" w:rsidDel="00B912D3">
          <w:rPr>
            <w:rFonts w:ascii="Times New Roman" w:eastAsia="Times New Roman" w:hAnsi="Times New Roman" w:cs="Times New Roman"/>
            <w:color w:val="000000"/>
            <w:sz w:val="28"/>
            <w:szCs w:val="28"/>
          </w:rPr>
          <w:delText xml:space="preserve">(22) “Particulate Matter” has the meaning given that term in OAR 340-200-0020(82). </w:delText>
        </w:r>
      </w:del>
    </w:p>
    <w:p w:rsidR="00B912D3" w:rsidRPr="00B912D3" w:rsidDel="00B912D3" w:rsidRDefault="00B912D3" w:rsidP="00B912D3">
      <w:pPr>
        <w:shd w:val="clear" w:color="auto" w:fill="FFFFFF"/>
        <w:spacing w:before="100" w:beforeAutospacing="1" w:after="100" w:afterAutospacing="1" w:line="240" w:lineRule="auto"/>
        <w:rPr>
          <w:del w:id="47" w:author="jinahar" w:date="2012-12-17T09:41:00Z"/>
          <w:rFonts w:ascii="Times New Roman" w:eastAsia="Times New Roman" w:hAnsi="Times New Roman" w:cs="Times New Roman"/>
          <w:color w:val="000000"/>
          <w:sz w:val="28"/>
          <w:szCs w:val="28"/>
        </w:rPr>
      </w:pPr>
      <w:del w:id="48" w:author="jinahar" w:date="2012-12-17T09:41:00Z">
        <w:r w:rsidRPr="00B912D3" w:rsidDel="00B912D3">
          <w:rPr>
            <w:rFonts w:ascii="Times New Roman" w:eastAsia="Times New Roman" w:hAnsi="Times New Roman" w:cs="Times New Roman"/>
            <w:color w:val="000000"/>
            <w:sz w:val="28"/>
            <w:szCs w:val="28"/>
          </w:rPr>
          <w:delText xml:space="preserve">(23) PM10: has the meaning given that term in OAR 340-200-0020(90). </w:delText>
        </w:r>
      </w:del>
    </w:p>
    <w:p w:rsidR="00B912D3" w:rsidRPr="00B912D3" w:rsidDel="00B912D3" w:rsidRDefault="00B912D3" w:rsidP="00B912D3">
      <w:pPr>
        <w:shd w:val="clear" w:color="auto" w:fill="FFFFFF"/>
        <w:spacing w:before="100" w:beforeAutospacing="1" w:after="100" w:afterAutospacing="1" w:line="240" w:lineRule="auto"/>
        <w:rPr>
          <w:del w:id="49" w:author="jinahar" w:date="2012-12-17T09:41:00Z"/>
          <w:rFonts w:ascii="Times New Roman" w:eastAsia="Times New Roman" w:hAnsi="Times New Roman" w:cs="Times New Roman"/>
          <w:color w:val="000000"/>
          <w:sz w:val="28"/>
          <w:szCs w:val="28"/>
        </w:rPr>
      </w:pPr>
      <w:del w:id="50" w:author="jinahar" w:date="2012-12-17T09:41:00Z">
        <w:r w:rsidRPr="00B912D3" w:rsidDel="00B912D3">
          <w:rPr>
            <w:rFonts w:ascii="Times New Roman" w:eastAsia="Times New Roman" w:hAnsi="Times New Roman" w:cs="Times New Roman"/>
            <w:color w:val="000000"/>
            <w:sz w:val="28"/>
            <w:szCs w:val="28"/>
          </w:rPr>
          <w:delText>(24) “PM2.5” has the meaning given that term in OAR 340-200-0020(91).</w:delText>
        </w:r>
      </w:del>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51" w:author="jinahar" w:date="2013-01-14T09:22:00Z">
        <w:r w:rsidR="006F1B02">
          <w:rPr>
            <w:rFonts w:ascii="Times New Roman" w:eastAsia="Times New Roman" w:hAnsi="Times New Roman" w:cs="Times New Roman"/>
            <w:color w:val="000000"/>
            <w:sz w:val="28"/>
            <w:szCs w:val="28"/>
          </w:rPr>
          <w:t>19</w:t>
        </w:r>
      </w:ins>
      <w:del w:id="52" w:author="jinahar" w:date="2013-01-14T09:22:00Z">
        <w:r w:rsidRPr="00B912D3" w:rsidDel="006F1B02">
          <w:rPr>
            <w:rFonts w:ascii="Times New Roman" w:eastAsia="Times New Roman" w:hAnsi="Times New Roman" w:cs="Times New Roman"/>
            <w:color w:val="000000"/>
            <w:sz w:val="28"/>
            <w:szCs w:val="28"/>
          </w:rPr>
          <w:delText>25</w:delText>
        </w:r>
      </w:del>
      <w:r w:rsidRPr="00B912D3">
        <w:rPr>
          <w:rFonts w:ascii="Times New Roman" w:eastAsia="Times New Roman" w:hAnsi="Times New Roman" w:cs="Times New Roman"/>
          <w:color w:val="000000"/>
          <w:sz w:val="28"/>
          <w:szCs w:val="28"/>
        </w:rPr>
        <w:t xml:space="preserve">) “Portland AQMA” means the area within the bounds beginning at the point starting on the Oregon-Washington state line in the Columbia River at the </w:t>
      </w:r>
      <w:r w:rsidRPr="00B912D3">
        <w:rPr>
          <w:rFonts w:ascii="Times New Roman" w:eastAsia="Times New Roman" w:hAnsi="Times New Roman" w:cs="Times New Roman"/>
          <w:color w:val="000000"/>
          <w:sz w:val="28"/>
          <w:szCs w:val="28"/>
        </w:rPr>
        <w:lastRenderedPageBreak/>
        <w:t xml:space="preserve">confluence with the Willamette River, thence east up the Columbia River to the confluence with the Sandy River, thence southerly and easterly up the Sandy River to the point where the Sandy River intersects the Clackamas County-Multnomah County line, thence west along the Clackamas County-Multnomah County line to the point where the Clackamas County-Multnomah County line is intersected by H. Johnson Road (242nd), thence south along H. Johnson Road to the intersection with Kelso Road (Boring Highway), thence west along Kelso Road to the intersection with Deep Creek Road (232nd), thence south along Deep Creek Road to the point of intersection with Deep Creek, thence southeasterly along Deep Creek to the confluence with Clackamas River, thence easterly along the Clackamas River to the confluence with Clear Creek, thence southerly along Clear Creek to the point where Clear Creek intersects Springwater Road then to Forsythe Road, thence easterly along Forsythe Road to the intersection with Bradley Road, thence south along Bradley Road to the intersection with Redland Road, thence west along Redland Road to the intersection with Ferguson Road, thence south along Ferguson Road to the intersection with </w:t>
      </w:r>
      <w:proofErr w:type="spellStart"/>
      <w:r w:rsidRPr="00B912D3">
        <w:rPr>
          <w:rFonts w:ascii="Times New Roman" w:eastAsia="Times New Roman" w:hAnsi="Times New Roman" w:cs="Times New Roman"/>
          <w:color w:val="000000"/>
          <w:sz w:val="28"/>
          <w:szCs w:val="28"/>
        </w:rPr>
        <w:t>Thayler</w:t>
      </w:r>
      <w:proofErr w:type="spellEnd"/>
      <w:r w:rsidRPr="00B912D3">
        <w:rPr>
          <w:rFonts w:ascii="Times New Roman" w:eastAsia="Times New Roman" w:hAnsi="Times New Roman" w:cs="Times New Roman"/>
          <w:color w:val="000000"/>
          <w:sz w:val="28"/>
          <w:szCs w:val="28"/>
        </w:rPr>
        <w:t xml:space="preserve"> Road, thence west along </w:t>
      </w:r>
      <w:proofErr w:type="spellStart"/>
      <w:r w:rsidRPr="00B912D3">
        <w:rPr>
          <w:rFonts w:ascii="Times New Roman" w:eastAsia="Times New Roman" w:hAnsi="Times New Roman" w:cs="Times New Roman"/>
          <w:color w:val="000000"/>
          <w:sz w:val="28"/>
          <w:szCs w:val="28"/>
        </w:rPr>
        <w:t>Thayler</w:t>
      </w:r>
      <w:proofErr w:type="spellEnd"/>
      <w:r w:rsidRPr="00B912D3">
        <w:rPr>
          <w:rFonts w:ascii="Times New Roman" w:eastAsia="Times New Roman" w:hAnsi="Times New Roman" w:cs="Times New Roman"/>
          <w:color w:val="000000"/>
          <w:sz w:val="28"/>
          <w:szCs w:val="28"/>
        </w:rPr>
        <w:t xml:space="preserve"> Road to the intersection with Beaver Creek Road, thence southeast along Beaver Creek Road to the intersection with </w:t>
      </w:r>
      <w:proofErr w:type="spellStart"/>
      <w:r w:rsidRPr="00B912D3">
        <w:rPr>
          <w:rFonts w:ascii="Times New Roman" w:eastAsia="Times New Roman" w:hAnsi="Times New Roman" w:cs="Times New Roman"/>
          <w:color w:val="000000"/>
          <w:sz w:val="28"/>
          <w:szCs w:val="28"/>
        </w:rPr>
        <w:t>Henrici</w:t>
      </w:r>
      <w:proofErr w:type="spellEnd"/>
      <w:r w:rsidRPr="00B912D3">
        <w:rPr>
          <w:rFonts w:ascii="Times New Roman" w:eastAsia="Times New Roman" w:hAnsi="Times New Roman" w:cs="Times New Roman"/>
          <w:color w:val="000000"/>
          <w:sz w:val="28"/>
          <w:szCs w:val="28"/>
        </w:rPr>
        <w:t xml:space="preserve"> Road, thence west along </w:t>
      </w:r>
      <w:proofErr w:type="spellStart"/>
      <w:r w:rsidRPr="00B912D3">
        <w:rPr>
          <w:rFonts w:ascii="Times New Roman" w:eastAsia="Times New Roman" w:hAnsi="Times New Roman" w:cs="Times New Roman"/>
          <w:color w:val="000000"/>
          <w:sz w:val="28"/>
          <w:szCs w:val="28"/>
        </w:rPr>
        <w:t>Henrici</w:t>
      </w:r>
      <w:proofErr w:type="spellEnd"/>
      <w:r w:rsidRPr="00B912D3">
        <w:rPr>
          <w:rFonts w:ascii="Times New Roman" w:eastAsia="Times New Roman" w:hAnsi="Times New Roman" w:cs="Times New Roman"/>
          <w:color w:val="000000"/>
          <w:sz w:val="28"/>
          <w:szCs w:val="28"/>
        </w:rPr>
        <w:t xml:space="preserve"> Road to the intersection with State Highway 213 (</w:t>
      </w:r>
      <w:proofErr w:type="spellStart"/>
      <w:r w:rsidRPr="00B912D3">
        <w:rPr>
          <w:rFonts w:ascii="Times New Roman" w:eastAsia="Times New Roman" w:hAnsi="Times New Roman" w:cs="Times New Roman"/>
          <w:color w:val="000000"/>
          <w:sz w:val="28"/>
          <w:szCs w:val="28"/>
        </w:rPr>
        <w:t>Mollala</w:t>
      </w:r>
      <w:proofErr w:type="spellEnd"/>
      <w:r w:rsidRPr="00B912D3">
        <w:rPr>
          <w:rFonts w:ascii="Times New Roman" w:eastAsia="Times New Roman" w:hAnsi="Times New Roman" w:cs="Times New Roman"/>
          <w:color w:val="000000"/>
          <w:sz w:val="28"/>
          <w:szCs w:val="28"/>
        </w:rPr>
        <w:t xml:space="preserve"> Avenue), thence southeast along State Highway 213 to the point of intersection with Beaver Creek, thence westerly down Beaver Creek to the confluence with the Willamette River, thence southerly and westerly up the Willamette River to the point where the Willamette River intersects the Clackamas County-Yamhill County line, thence north along the Clackamas County-Yamhill County line to the point where it intersects the Washington County-Yamhill County line, thence west and north along the Washington County-Yamhill County line to the point where it is intersected by Mount Richmond Road, thence northeast along Mount Richmond Road to the intersection with Patton Valley Road, thence easterly and northerly along Patton Valley Road to the intersection with Tualatin Valley State Highway, thence northerly along Tualatin Valley State Highway to the intersection with State Highway 47, thence northerly along State Highway 47 to the intersection with Dilley Road, thence northwesterly and northerly along Dilley Road to the intersection with </w:t>
      </w:r>
      <w:proofErr w:type="spellStart"/>
      <w:r w:rsidRPr="00B912D3">
        <w:rPr>
          <w:rFonts w:ascii="Times New Roman" w:eastAsia="Times New Roman" w:hAnsi="Times New Roman" w:cs="Times New Roman"/>
          <w:color w:val="000000"/>
          <w:sz w:val="28"/>
          <w:szCs w:val="28"/>
        </w:rPr>
        <w:t>Stringtown</w:t>
      </w:r>
      <w:proofErr w:type="spellEnd"/>
      <w:r w:rsidRPr="00B912D3">
        <w:rPr>
          <w:rFonts w:ascii="Times New Roman" w:eastAsia="Times New Roman" w:hAnsi="Times New Roman" w:cs="Times New Roman"/>
          <w:color w:val="000000"/>
          <w:sz w:val="28"/>
          <w:szCs w:val="28"/>
        </w:rPr>
        <w:t xml:space="preserve"> Road, thence westerly and northwesterly along </w:t>
      </w:r>
      <w:proofErr w:type="spellStart"/>
      <w:r w:rsidRPr="00B912D3">
        <w:rPr>
          <w:rFonts w:ascii="Times New Roman" w:eastAsia="Times New Roman" w:hAnsi="Times New Roman" w:cs="Times New Roman"/>
          <w:color w:val="000000"/>
          <w:sz w:val="28"/>
          <w:szCs w:val="28"/>
        </w:rPr>
        <w:t>Stringtown</w:t>
      </w:r>
      <w:proofErr w:type="spellEnd"/>
      <w:r w:rsidRPr="00B912D3">
        <w:rPr>
          <w:rFonts w:ascii="Times New Roman" w:eastAsia="Times New Roman" w:hAnsi="Times New Roman" w:cs="Times New Roman"/>
          <w:color w:val="000000"/>
          <w:sz w:val="28"/>
          <w:szCs w:val="28"/>
        </w:rPr>
        <w:t xml:space="preserve"> Road to the intersection with Gales Creek Road, thence northwesterly along Gales Creek Road to the intersection with </w:t>
      </w:r>
      <w:proofErr w:type="spellStart"/>
      <w:r w:rsidRPr="00B912D3">
        <w:rPr>
          <w:rFonts w:ascii="Times New Roman" w:eastAsia="Times New Roman" w:hAnsi="Times New Roman" w:cs="Times New Roman"/>
          <w:color w:val="000000"/>
          <w:sz w:val="28"/>
          <w:szCs w:val="28"/>
        </w:rPr>
        <w:t>Tinmmerman</w:t>
      </w:r>
      <w:proofErr w:type="spellEnd"/>
      <w:r w:rsidRPr="00B912D3">
        <w:rPr>
          <w:rFonts w:ascii="Times New Roman" w:eastAsia="Times New Roman" w:hAnsi="Times New Roman" w:cs="Times New Roman"/>
          <w:color w:val="000000"/>
          <w:sz w:val="28"/>
          <w:szCs w:val="28"/>
        </w:rPr>
        <w:t xml:space="preserve"> Road, thence northerly along </w:t>
      </w:r>
      <w:proofErr w:type="spellStart"/>
      <w:r w:rsidRPr="00B912D3">
        <w:rPr>
          <w:rFonts w:ascii="Times New Roman" w:eastAsia="Times New Roman" w:hAnsi="Times New Roman" w:cs="Times New Roman"/>
          <w:color w:val="000000"/>
          <w:sz w:val="28"/>
          <w:szCs w:val="28"/>
        </w:rPr>
        <w:t>Tinmmerman</w:t>
      </w:r>
      <w:proofErr w:type="spellEnd"/>
      <w:r w:rsidRPr="00B912D3">
        <w:rPr>
          <w:rFonts w:ascii="Times New Roman" w:eastAsia="Times New Roman" w:hAnsi="Times New Roman" w:cs="Times New Roman"/>
          <w:color w:val="000000"/>
          <w:sz w:val="28"/>
          <w:szCs w:val="28"/>
        </w:rPr>
        <w:t xml:space="preserve"> Road to the intersection with Wilson River Highway, thence west and southwesterly along Wilson River Highway to the intersection with </w:t>
      </w:r>
      <w:proofErr w:type="spellStart"/>
      <w:r w:rsidRPr="00B912D3">
        <w:rPr>
          <w:rFonts w:ascii="Times New Roman" w:eastAsia="Times New Roman" w:hAnsi="Times New Roman" w:cs="Times New Roman"/>
          <w:color w:val="000000"/>
          <w:sz w:val="28"/>
          <w:szCs w:val="28"/>
        </w:rPr>
        <w:t>Narup</w:t>
      </w:r>
      <w:proofErr w:type="spellEnd"/>
      <w:r w:rsidRPr="00B912D3">
        <w:rPr>
          <w:rFonts w:ascii="Times New Roman" w:eastAsia="Times New Roman" w:hAnsi="Times New Roman" w:cs="Times New Roman"/>
          <w:color w:val="000000"/>
          <w:sz w:val="28"/>
          <w:szCs w:val="28"/>
        </w:rPr>
        <w:t xml:space="preserve"> Road, thence north along </w:t>
      </w:r>
      <w:proofErr w:type="spellStart"/>
      <w:r w:rsidRPr="00B912D3">
        <w:rPr>
          <w:rFonts w:ascii="Times New Roman" w:eastAsia="Times New Roman" w:hAnsi="Times New Roman" w:cs="Times New Roman"/>
          <w:color w:val="000000"/>
          <w:sz w:val="28"/>
          <w:szCs w:val="28"/>
        </w:rPr>
        <w:t>Narup</w:t>
      </w:r>
      <w:proofErr w:type="spellEnd"/>
      <w:r w:rsidRPr="00B912D3">
        <w:rPr>
          <w:rFonts w:ascii="Times New Roman" w:eastAsia="Times New Roman" w:hAnsi="Times New Roman" w:cs="Times New Roman"/>
          <w:color w:val="000000"/>
          <w:sz w:val="28"/>
          <w:szCs w:val="28"/>
        </w:rPr>
        <w:t xml:space="preserve"> Road to the intersection with Cedar Canyon Road, thence westerly and northerly along Cedar Canyon Road to the intersection with Banks Road, thence west along Banks Road to the intersection </w:t>
      </w:r>
      <w:r w:rsidRPr="00B912D3">
        <w:rPr>
          <w:rFonts w:ascii="Times New Roman" w:eastAsia="Times New Roman" w:hAnsi="Times New Roman" w:cs="Times New Roman"/>
          <w:color w:val="000000"/>
          <w:sz w:val="28"/>
          <w:szCs w:val="28"/>
        </w:rPr>
        <w:lastRenderedPageBreak/>
        <w:t xml:space="preserve">with Hahn Road, thence northerly and westerly along Hahn Road to the intersection with </w:t>
      </w:r>
      <w:proofErr w:type="spellStart"/>
      <w:r w:rsidRPr="00B912D3">
        <w:rPr>
          <w:rFonts w:ascii="Times New Roman" w:eastAsia="Times New Roman" w:hAnsi="Times New Roman" w:cs="Times New Roman"/>
          <w:color w:val="000000"/>
          <w:sz w:val="28"/>
          <w:szCs w:val="28"/>
        </w:rPr>
        <w:t>Mountaindale</w:t>
      </w:r>
      <w:proofErr w:type="spellEnd"/>
      <w:r w:rsidRPr="00B912D3">
        <w:rPr>
          <w:rFonts w:ascii="Times New Roman" w:eastAsia="Times New Roman" w:hAnsi="Times New Roman" w:cs="Times New Roman"/>
          <w:color w:val="000000"/>
          <w:sz w:val="28"/>
          <w:szCs w:val="28"/>
        </w:rPr>
        <w:t xml:space="preserve"> Road, thence southeasterly along </w:t>
      </w:r>
      <w:proofErr w:type="spellStart"/>
      <w:r w:rsidRPr="00B912D3">
        <w:rPr>
          <w:rFonts w:ascii="Times New Roman" w:eastAsia="Times New Roman" w:hAnsi="Times New Roman" w:cs="Times New Roman"/>
          <w:color w:val="000000"/>
          <w:sz w:val="28"/>
          <w:szCs w:val="28"/>
        </w:rPr>
        <w:t>Mountaindale</w:t>
      </w:r>
      <w:proofErr w:type="spellEnd"/>
      <w:r w:rsidRPr="00B912D3">
        <w:rPr>
          <w:rFonts w:ascii="Times New Roman" w:eastAsia="Times New Roman" w:hAnsi="Times New Roman" w:cs="Times New Roman"/>
          <w:color w:val="000000"/>
          <w:sz w:val="28"/>
          <w:szCs w:val="28"/>
        </w:rPr>
        <w:t xml:space="preserve"> Road to the intersection with Glencoe Road, thence east-southeasterly along Glencoe Road to the intersection with Jackson Quarry Road, thence north-northeasterly along Jackson Quarry Road to the intersection with Helvetia Road, thence easterly and southerly along Helvetia Road to the intersection with Bishop Road, thence southerly along Bishop Road to the intersection with Phillips Road, thence easterly along Phillips Road to the intersection with the Burlington Northern Railroad Track, thence northeasterly along the Burlington Northern Railroad Line to the intersection with Rock Creek Road, thence east-southeasterly along Rock Creek Road to the intersection with Old Cornelius Pass Road, thence northeasterly along Old Cornelius Pass Road to the intersection with Skyline Boulevard, thence easterly and southerly along Skyline Boulevard to the intersection with Newberry Road, thence northeasterly along Newberry Road to the intersection with State Highway 30 (St. Helens Road), thence northeast on a line over land across State Highway 30 to the Multnomah Channel, thence east-southeasterly up the Multnomah Channel to the </w:t>
      </w:r>
      <w:proofErr w:type="spellStart"/>
      <w:r w:rsidRPr="00B912D3">
        <w:rPr>
          <w:rFonts w:ascii="Times New Roman" w:eastAsia="Times New Roman" w:hAnsi="Times New Roman" w:cs="Times New Roman"/>
          <w:color w:val="000000"/>
          <w:sz w:val="28"/>
          <w:szCs w:val="28"/>
        </w:rPr>
        <w:t>diffluence</w:t>
      </w:r>
      <w:proofErr w:type="spellEnd"/>
      <w:r w:rsidRPr="00B912D3">
        <w:rPr>
          <w:rFonts w:ascii="Times New Roman" w:eastAsia="Times New Roman" w:hAnsi="Times New Roman" w:cs="Times New Roman"/>
          <w:color w:val="000000"/>
          <w:sz w:val="28"/>
          <w:szCs w:val="28"/>
        </w:rPr>
        <w:t xml:space="preserve"> with the Willamette River, thence north-northeasterly down the Willamette River to the confluence with the Columbia River and the Oregon-Washington state line (the point of beginning).</w:t>
      </w:r>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(2</w:t>
      </w:r>
      <w:ins w:id="53" w:author="jinahar" w:date="2013-01-14T09:23:00Z">
        <w:r w:rsidR="006F1B02">
          <w:rPr>
            <w:rFonts w:ascii="Times New Roman" w:eastAsia="Times New Roman" w:hAnsi="Times New Roman" w:cs="Times New Roman"/>
            <w:color w:val="000000"/>
            <w:sz w:val="28"/>
            <w:szCs w:val="28"/>
          </w:rPr>
          <w:t>0</w:t>
        </w:r>
      </w:ins>
      <w:del w:id="54" w:author="jinahar" w:date="2013-01-14T09:23:00Z">
        <w:r w:rsidRPr="00B912D3" w:rsidDel="006F1B02">
          <w:rPr>
            <w:rFonts w:ascii="Times New Roman" w:eastAsia="Times New Roman" w:hAnsi="Times New Roman" w:cs="Times New Roman"/>
            <w:color w:val="000000"/>
            <w:sz w:val="28"/>
            <w:szCs w:val="28"/>
          </w:rPr>
          <w:delText>6</w:delText>
        </w:r>
      </w:del>
      <w:r w:rsidRPr="00B912D3">
        <w:rPr>
          <w:rFonts w:ascii="Times New Roman" w:eastAsia="Times New Roman" w:hAnsi="Times New Roman" w:cs="Times New Roman"/>
          <w:color w:val="000000"/>
          <w:sz w:val="28"/>
          <w:szCs w:val="28"/>
        </w:rPr>
        <w:t>) “Portland Metropolitan Service District Boundary” or “Portland Metro” means the boundary surrounding the urban growth boundaries of the cities within the Greater Portland Metropolitan Area. It is defined in the Oregon Revised Statutes (ORS) 268.125 (1989).</w:t>
      </w:r>
    </w:p>
    <w:p w:rsidR="00B912D3" w:rsidRDefault="00B912D3" w:rsidP="00B912D3">
      <w:pPr>
        <w:shd w:val="clear" w:color="auto" w:fill="FFFFFF"/>
        <w:spacing w:before="100" w:beforeAutospacing="1" w:after="100" w:afterAutospacing="1" w:line="240" w:lineRule="auto"/>
        <w:rPr>
          <w:ins w:id="55" w:author="jinahar" w:date="2012-12-17T09:42:00Z"/>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(2</w:t>
      </w:r>
      <w:ins w:id="56" w:author="jinahar" w:date="2013-01-14T09:23:00Z">
        <w:r w:rsidR="006F1B02">
          <w:rPr>
            <w:rFonts w:ascii="Times New Roman" w:eastAsia="Times New Roman" w:hAnsi="Times New Roman" w:cs="Times New Roman"/>
            <w:color w:val="000000"/>
            <w:sz w:val="28"/>
            <w:szCs w:val="28"/>
          </w:rPr>
          <w:t>1</w:t>
        </w:r>
      </w:ins>
      <w:del w:id="57" w:author="jinahar" w:date="2013-01-14T09:23:00Z">
        <w:r w:rsidRPr="00B912D3" w:rsidDel="006F1B02">
          <w:rPr>
            <w:rFonts w:ascii="Times New Roman" w:eastAsia="Times New Roman" w:hAnsi="Times New Roman" w:cs="Times New Roman"/>
            <w:color w:val="000000"/>
            <w:sz w:val="28"/>
            <w:szCs w:val="28"/>
          </w:rPr>
          <w:delText>7</w:delText>
        </w:r>
      </w:del>
      <w:r w:rsidRPr="00B912D3">
        <w:rPr>
          <w:rFonts w:ascii="Times New Roman" w:eastAsia="Times New Roman" w:hAnsi="Times New Roman" w:cs="Times New Roman"/>
          <w:color w:val="000000"/>
          <w:sz w:val="28"/>
          <w:szCs w:val="28"/>
        </w:rPr>
        <w:t xml:space="preserve">) “Portland Vehicle Inspection Area” means the area of the state included within the following census </w:t>
      </w:r>
      <w:proofErr w:type="gramStart"/>
      <w:r w:rsidRPr="00B912D3">
        <w:rPr>
          <w:rFonts w:ascii="Times New Roman" w:eastAsia="Times New Roman" w:hAnsi="Times New Roman" w:cs="Times New Roman"/>
          <w:color w:val="000000"/>
          <w:sz w:val="28"/>
          <w:szCs w:val="28"/>
        </w:rPr>
        <w:t>tracts,</w:t>
      </w:r>
      <w:proofErr w:type="gramEnd"/>
      <w:r w:rsidRPr="00B912D3">
        <w:rPr>
          <w:rFonts w:ascii="Times New Roman" w:eastAsia="Times New Roman" w:hAnsi="Times New Roman" w:cs="Times New Roman"/>
          <w:color w:val="000000"/>
          <w:sz w:val="28"/>
          <w:szCs w:val="28"/>
        </w:rPr>
        <w:t xml:space="preserve"> block groups, and blocks as used in the 1990 Federal Census. In Multnomah County, the following tracts, block groups, and blocks are included: Tracts 1, 2, 3.01, 3.02, 4.01, 4.02, 5.01, 5.02, 6.01, 6.02, 7.01, 7.02, 8.01, 8.02, 9.01, 9.02, 10, 11.01, 11.02, 12.01, 12.02, 13.01, 13.02, 14, 15, 16.01, 16.02, 17.01, 17.02, 18.01, 18.02, 19, 20, 21, 22.01, 22.02, 23.01, 23.02, 24.01, 24.02, 25.01, 25.02, 26, 27.01, 27.02, 28.01, 28.02, 29.01, 29.02, 29.03, 30, 31, 32, 33.01, 33.02, 34.01, 34.02, 35.01, 35.02, 36.01, 36.02, 36.03, 37.01, 37.02, 38.01, 38.02, 38.03, 39.01, 39.02, 40.01, 40.02, 41.01, 41.02, 42, 43, 44, 45, 46.01, 46.02, 47, 48, 49, 50, 51, 52, 53, 54, 55, 56 57, 58, 59, 60.01. 60.02, 61, 62, 63, 64.01, 64.02, 65.01, 65.02, 66.01, 66.02, 67.01, 67.02, 68.01, 68.02, 69, 70, 71, 72.01, 72.02, 73, 74, 75, 76, 77, 78, 79, 80.01, 80.02, 81, 82.01, 82.02, 83.01, 83.02, 84, 85, 86, 87, 88, 89, 90, 91, 92.01, 92.02, 93, 94, 95, 96.01, 96.02, 97.01, 97.02, 98.01, 98.02, 99.01, 99.02, 99.03, 100, 101, 102, 103.01, 103.02, 104.02, </w:t>
      </w:r>
      <w:r w:rsidRPr="00B912D3">
        <w:rPr>
          <w:rFonts w:ascii="Times New Roman" w:eastAsia="Times New Roman" w:hAnsi="Times New Roman" w:cs="Times New Roman"/>
          <w:color w:val="000000"/>
          <w:sz w:val="28"/>
          <w:szCs w:val="28"/>
        </w:rPr>
        <w:lastRenderedPageBreak/>
        <w:t xml:space="preserve">104.04, 104. 05, 104.06, 104.07; Block Groups 1, 2 of Tract 105; Blocks 360, 361, 362 of Tract 105; that portion of Blocks 357, 399 of Tract 105 beginning at the intersection of the Oregon-Washington State Line (“State Line”) and the northeast corner of Block Group 1 of Tract 105, thence east along the State Line to the intersection of the State Line and the eastern edge of Section 26, Township 1 North, Range 4 East, thence south along the section line to the centerline of State Highway 100 to the intersection of State Highway 100 and the western edge of Block Group 2 of Tract 105. In Clackamas County, the following tracts, block groups, and blocks are included: Tracts 201, 202, 203.01, 203.02, 204.01, 204.02, 205.01, 205.02, 206, 207, 208, 209, 210, 211, 212, 213, 214, 215, 216.01, 216.02, 217, 218, 219, 220, 221.01, 221.02, 222.02, 223, 224, 225, 226, 227.01, 227.02, 228, 229, 230, 231, 232, 233, 234.01, 234.02, , 235, 236, 237; Block Groups 1, 2 of Tract 241; Block Groups 1, 2, 3, 4 of Tract 242; Block Groups 1, 2 of Tract 243.02. In Yamhill County, the following tract is included: Tract 301, except those areas in Tract 301 that lie within the Newberg City Limits defined as of July 12, 1996, and the following blocks within Tract 301: 102B, 108, 109, 110, 111, 112, 113, 114, 115, 116, 117, 118, 119, 120, 121D, 122B, 122C, 123, 126, and 127B. In Washington County the following tracts, block groups, and blocks are included: Tracts 301, 302, 303, 304.01, 304.02, 305.01, 305.02, 306, 307, 308.01, 308.02, 309, 310.03, 310.04, 310.05, 310.06, 311, 312, 313, 314.01, 314.02, 315.01, 315.04, 315.05, 315.06, 315.07, 315.08, 316.03, 316.04, 316.05, 316.06, 316.07, 317.02, 317.03, 317.04, 318.01, 318.02, 318.03, 319.01, 319.03, 319.04, 320, 321.01, 321.02, 322, 323, 324.02, 324.03, 324.04, 325, 326.01, 326.02, 328, 329, 330, 331, 332, 333; Block Groups 1, 2 of Tract 327; Block Group 1 of Tract 334; Block Group 2 of Tract 335; Block Group 1 of Tract 336. In Columbia County the following tracts, block groups, and blocks are included: Tract 9710.98; Block Groups 2, 3 of Tract 9709.98; Blocks 146B, 148, 152 of Tract 9709.98. </w:t>
      </w:r>
    </w:p>
    <w:p w:rsidR="00B912D3" w:rsidRPr="00B912D3" w:rsidRDefault="006F1B02"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ins w:id="58" w:author="jinahar" w:date="2013-01-14T09:23:00Z">
        <w:r w:rsidDel="006F1B02">
          <w:rPr>
            <w:rFonts w:ascii="Times New Roman" w:eastAsia="Times New Roman" w:hAnsi="Times New Roman" w:cs="Times New Roman"/>
            <w:color w:val="000000"/>
            <w:sz w:val="28"/>
            <w:szCs w:val="28"/>
          </w:rPr>
          <w:t xml:space="preserve"> </w:t>
        </w:r>
      </w:ins>
      <w:r w:rsidR="00B912D3" w:rsidRPr="00B912D3">
        <w:rPr>
          <w:rFonts w:ascii="Times New Roman" w:eastAsia="Times New Roman" w:hAnsi="Times New Roman" w:cs="Times New Roman"/>
          <w:color w:val="000000"/>
          <w:sz w:val="28"/>
          <w:szCs w:val="28"/>
        </w:rPr>
        <w:t>(2</w:t>
      </w:r>
      <w:ins w:id="59" w:author="jinahar" w:date="2013-01-14T09:24:00Z">
        <w:r>
          <w:rPr>
            <w:rFonts w:ascii="Times New Roman" w:eastAsia="Times New Roman" w:hAnsi="Times New Roman" w:cs="Times New Roman"/>
            <w:color w:val="000000"/>
            <w:sz w:val="28"/>
            <w:szCs w:val="28"/>
          </w:rPr>
          <w:t>2</w:t>
        </w:r>
      </w:ins>
      <w:del w:id="60" w:author="jinahar" w:date="2013-01-14T09:24:00Z">
        <w:r w:rsidR="00B912D3" w:rsidRPr="00B912D3" w:rsidDel="006F1B02">
          <w:rPr>
            <w:rFonts w:ascii="Times New Roman" w:eastAsia="Times New Roman" w:hAnsi="Times New Roman" w:cs="Times New Roman"/>
            <w:color w:val="000000"/>
            <w:sz w:val="28"/>
            <w:szCs w:val="28"/>
          </w:rPr>
          <w:delText>8</w:delText>
        </w:r>
      </w:del>
      <w:r w:rsidR="00B912D3" w:rsidRPr="00B912D3">
        <w:rPr>
          <w:rFonts w:ascii="Times New Roman" w:eastAsia="Times New Roman" w:hAnsi="Times New Roman" w:cs="Times New Roman"/>
          <w:color w:val="000000"/>
          <w:sz w:val="28"/>
          <w:szCs w:val="28"/>
        </w:rPr>
        <w:t xml:space="preserve">) “Rogue Basin” means the area bounded by the following line: Beginning at the NE corner of T32S, R2E, W.M., thence south along range line 2E to the SE corner of T39S; thence west along township line 39S to the NE corner of T40S, R7W; thence south to the SE corner of T40S, R7W; thence west to the SE corner of T40S, R9W; thence north on range line 9W to the NE corner of T39S, R9W; thence east to the NE corner of T39S, R8W; thence north on range line 8W to the SE corner of Section 1, T33S, R8W on the Josephine-Douglas County line; thence east on the Josephine-Douglas and Jackson-Douglas County lines to the NE corner of T32S, R1W; thence east along township line 32S to the NE corner of T32S, R2E to the point of beginning. </w:t>
      </w:r>
    </w:p>
    <w:p w:rsidR="00B912D3" w:rsidRDefault="00B912D3" w:rsidP="00B912D3">
      <w:pPr>
        <w:shd w:val="clear" w:color="auto" w:fill="FFFFFF"/>
        <w:spacing w:before="100" w:beforeAutospacing="1" w:after="100" w:afterAutospacing="1" w:line="240" w:lineRule="auto"/>
        <w:rPr>
          <w:ins w:id="61" w:author="jinahar" w:date="2012-12-17T09:42:00Z"/>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lastRenderedPageBreak/>
        <w:t>(2</w:t>
      </w:r>
      <w:ins w:id="62" w:author="jinahar" w:date="2013-01-14T09:24:00Z">
        <w:r w:rsidR="006F1B02">
          <w:rPr>
            <w:rFonts w:ascii="Times New Roman" w:eastAsia="Times New Roman" w:hAnsi="Times New Roman" w:cs="Times New Roman"/>
            <w:color w:val="000000"/>
            <w:sz w:val="28"/>
            <w:szCs w:val="28"/>
          </w:rPr>
          <w:t>3</w:t>
        </w:r>
      </w:ins>
      <w:del w:id="63" w:author="jinahar" w:date="2013-01-14T09:24:00Z">
        <w:r w:rsidRPr="00B912D3" w:rsidDel="006F1B02">
          <w:rPr>
            <w:rFonts w:ascii="Times New Roman" w:eastAsia="Times New Roman" w:hAnsi="Times New Roman" w:cs="Times New Roman"/>
            <w:color w:val="000000"/>
            <w:sz w:val="28"/>
            <w:szCs w:val="28"/>
          </w:rPr>
          <w:delText>9</w:delText>
        </w:r>
      </w:del>
      <w:r w:rsidRPr="00B912D3">
        <w:rPr>
          <w:rFonts w:ascii="Times New Roman" w:eastAsia="Times New Roman" w:hAnsi="Times New Roman" w:cs="Times New Roman"/>
          <w:color w:val="000000"/>
          <w:sz w:val="28"/>
          <w:szCs w:val="28"/>
        </w:rPr>
        <w:t xml:space="preserve">) “Salem-Keizer Area Transportation Study” or “SKATS” means the area within the bounds beginning at the intersection of U.S. Interstate Highway 5 (I-5) with Battle Creek Road SE and </w:t>
      </w:r>
      <w:proofErr w:type="spellStart"/>
      <w:r w:rsidRPr="00B912D3">
        <w:rPr>
          <w:rFonts w:ascii="Times New Roman" w:eastAsia="Times New Roman" w:hAnsi="Times New Roman" w:cs="Times New Roman"/>
          <w:color w:val="000000"/>
          <w:sz w:val="28"/>
          <w:szCs w:val="28"/>
        </w:rPr>
        <w:t>Wiltsey</w:t>
      </w:r>
      <w:proofErr w:type="spellEnd"/>
      <w:r w:rsidRPr="00B912D3">
        <w:rPr>
          <w:rFonts w:ascii="Times New Roman" w:eastAsia="Times New Roman" w:hAnsi="Times New Roman" w:cs="Times New Roman"/>
          <w:color w:val="000000"/>
          <w:sz w:val="28"/>
          <w:szCs w:val="28"/>
        </w:rPr>
        <w:t xml:space="preserve"> Road, south along I-5 to the intersection with the western boundary of Section 24, T8S, R3W; thence due south on a line to the intersection with Delaney Road; thence easterly along Delaney Road to the intersection with Sunnyside Road; thence north along Sunnyside Road to the intersection with </w:t>
      </w:r>
      <w:proofErr w:type="spellStart"/>
      <w:r w:rsidRPr="00B912D3">
        <w:rPr>
          <w:rFonts w:ascii="Times New Roman" w:eastAsia="Times New Roman" w:hAnsi="Times New Roman" w:cs="Times New Roman"/>
          <w:color w:val="000000"/>
          <w:sz w:val="28"/>
          <w:szCs w:val="28"/>
        </w:rPr>
        <w:t>Hylo</w:t>
      </w:r>
      <w:proofErr w:type="spellEnd"/>
      <w:r w:rsidRPr="00B912D3">
        <w:rPr>
          <w:rFonts w:ascii="Times New Roman" w:eastAsia="Times New Roman" w:hAnsi="Times New Roman" w:cs="Times New Roman"/>
          <w:color w:val="000000"/>
          <w:sz w:val="28"/>
          <w:szCs w:val="28"/>
        </w:rPr>
        <w:t xml:space="preserve"> Road SE; thence west along </w:t>
      </w:r>
      <w:proofErr w:type="spellStart"/>
      <w:r w:rsidRPr="00B912D3">
        <w:rPr>
          <w:rFonts w:ascii="Times New Roman" w:eastAsia="Times New Roman" w:hAnsi="Times New Roman" w:cs="Times New Roman"/>
          <w:color w:val="000000"/>
          <w:sz w:val="28"/>
          <w:szCs w:val="28"/>
        </w:rPr>
        <w:t>Hylo</w:t>
      </w:r>
      <w:proofErr w:type="spellEnd"/>
      <w:r w:rsidRPr="00B912D3">
        <w:rPr>
          <w:rFonts w:ascii="Times New Roman" w:eastAsia="Times New Roman" w:hAnsi="Times New Roman" w:cs="Times New Roman"/>
          <w:color w:val="000000"/>
          <w:sz w:val="28"/>
          <w:szCs w:val="28"/>
        </w:rPr>
        <w:t xml:space="preserve"> Road SE to the intersection with Liberty Road; thence north along Liberty Road to the intersection with Cole Road; thence west along Cole Road to the intersection with Bates Road; thence northerly and easterly along Bates Road to the intersection with </w:t>
      </w:r>
      <w:proofErr w:type="spellStart"/>
      <w:r w:rsidRPr="00B912D3">
        <w:rPr>
          <w:rFonts w:ascii="Times New Roman" w:eastAsia="Times New Roman" w:hAnsi="Times New Roman" w:cs="Times New Roman"/>
          <w:color w:val="000000"/>
          <w:sz w:val="28"/>
          <w:szCs w:val="28"/>
        </w:rPr>
        <w:t>Jory</w:t>
      </w:r>
      <w:proofErr w:type="spellEnd"/>
      <w:r w:rsidRPr="00B912D3">
        <w:rPr>
          <w:rFonts w:ascii="Times New Roman" w:eastAsia="Times New Roman" w:hAnsi="Times New Roman" w:cs="Times New Roman"/>
          <w:color w:val="000000"/>
          <w:sz w:val="28"/>
          <w:szCs w:val="28"/>
        </w:rPr>
        <w:t xml:space="preserve"> Hill Road; thence west along </w:t>
      </w:r>
      <w:proofErr w:type="spellStart"/>
      <w:r w:rsidRPr="00B912D3">
        <w:rPr>
          <w:rFonts w:ascii="Times New Roman" w:eastAsia="Times New Roman" w:hAnsi="Times New Roman" w:cs="Times New Roman"/>
          <w:color w:val="000000"/>
          <w:sz w:val="28"/>
          <w:szCs w:val="28"/>
        </w:rPr>
        <w:t>Jory</w:t>
      </w:r>
      <w:proofErr w:type="spellEnd"/>
      <w:r w:rsidRPr="00B912D3">
        <w:rPr>
          <w:rFonts w:ascii="Times New Roman" w:eastAsia="Times New Roman" w:hAnsi="Times New Roman" w:cs="Times New Roman"/>
          <w:color w:val="000000"/>
          <w:sz w:val="28"/>
          <w:szCs w:val="28"/>
        </w:rPr>
        <w:t xml:space="preserve"> Hill Road to the intersection with Stone Hill Avenue; thence north along Stone Hill Avenue to the intersection with Vita Springs Road; thence westerly along Vita Springs Road to the Willamette River; thence northeasterly downstream the Willamette River to a point adjacent to where the western boundary of Section 30, T7S, R3W intersects the Southern Pacific Railroad Line; thence westerly along the Southern Pacific Railroad Line to the intersection with State Highway 51; thence northeasterly along State Highway 51 to the intersection with Oak Grove Road; thence northerly along Oak Grove Road to the intersection with State Highway 22; thence west on State Highway 22 to the intersection with Oak Grove Road; thence north along Oak Grove Road to the intersection with Orchard Heights Road; thence east and north along Orchard Heights Road to the intersection with Eagle Crest Drive; thence northerly along Eagle Crest Drive to the intersection with Hunt Road; thence north along Hunt Road to the intersection with Fourth Road; thence east along Fourth Road to the intersection with Spring Valley Road; thence north along Spring Valley to the intersection with Oak Knoll Road; thence east along Oak Knoll Road to the intersection with Wallace Road; thence south along Wallace Road to the intersection with Lincoln Road; thence east along Lincoln Road on a line to the intersection with the Willamette River; thence northeasterly downstream the Willamette River to a point adjacent to where Simon Street starts on the East Bank; thence east and south along Simon Street to the intersection with Salmon; thence east along Salmon to the intersection with </w:t>
      </w:r>
      <w:proofErr w:type="spellStart"/>
      <w:r w:rsidRPr="00B912D3">
        <w:rPr>
          <w:rFonts w:ascii="Times New Roman" w:eastAsia="Times New Roman" w:hAnsi="Times New Roman" w:cs="Times New Roman"/>
          <w:color w:val="000000"/>
          <w:sz w:val="28"/>
          <w:szCs w:val="28"/>
        </w:rPr>
        <w:t>Ravena</w:t>
      </w:r>
      <w:proofErr w:type="spellEnd"/>
      <w:r w:rsidRPr="00B912D3">
        <w:rPr>
          <w:rFonts w:ascii="Times New Roman" w:eastAsia="Times New Roman" w:hAnsi="Times New Roman" w:cs="Times New Roman"/>
          <w:color w:val="000000"/>
          <w:sz w:val="28"/>
          <w:szCs w:val="28"/>
        </w:rPr>
        <w:t xml:space="preserve"> Drive; thence southerly and easterly along </w:t>
      </w:r>
      <w:proofErr w:type="spellStart"/>
      <w:r w:rsidRPr="00B912D3">
        <w:rPr>
          <w:rFonts w:ascii="Times New Roman" w:eastAsia="Times New Roman" w:hAnsi="Times New Roman" w:cs="Times New Roman"/>
          <w:color w:val="000000"/>
          <w:sz w:val="28"/>
          <w:szCs w:val="28"/>
        </w:rPr>
        <w:t>Ravena</w:t>
      </w:r>
      <w:proofErr w:type="spellEnd"/>
      <w:r w:rsidRPr="00B912D3">
        <w:rPr>
          <w:rFonts w:ascii="Times New Roman" w:eastAsia="Times New Roman" w:hAnsi="Times New Roman" w:cs="Times New Roman"/>
          <w:color w:val="000000"/>
          <w:sz w:val="28"/>
          <w:szCs w:val="28"/>
        </w:rPr>
        <w:t xml:space="preserve"> Drive to the intersection with Wheatland Road; thence northerly along Wheatland Road to the intersection with </w:t>
      </w:r>
      <w:proofErr w:type="spellStart"/>
      <w:r w:rsidRPr="00B912D3">
        <w:rPr>
          <w:rFonts w:ascii="Times New Roman" w:eastAsia="Times New Roman" w:hAnsi="Times New Roman" w:cs="Times New Roman"/>
          <w:color w:val="000000"/>
          <w:sz w:val="28"/>
          <w:szCs w:val="28"/>
        </w:rPr>
        <w:t>Brooklake</w:t>
      </w:r>
      <w:proofErr w:type="spellEnd"/>
      <w:r w:rsidRPr="00B912D3">
        <w:rPr>
          <w:rFonts w:ascii="Times New Roman" w:eastAsia="Times New Roman" w:hAnsi="Times New Roman" w:cs="Times New Roman"/>
          <w:color w:val="000000"/>
          <w:sz w:val="28"/>
          <w:szCs w:val="28"/>
        </w:rPr>
        <w:t xml:space="preserve"> Road; thence southeast along </w:t>
      </w:r>
      <w:proofErr w:type="spellStart"/>
      <w:r w:rsidRPr="00B912D3">
        <w:rPr>
          <w:rFonts w:ascii="Times New Roman" w:eastAsia="Times New Roman" w:hAnsi="Times New Roman" w:cs="Times New Roman"/>
          <w:color w:val="000000"/>
          <w:sz w:val="28"/>
          <w:szCs w:val="28"/>
        </w:rPr>
        <w:t>Brooklake</w:t>
      </w:r>
      <w:proofErr w:type="spellEnd"/>
      <w:r w:rsidRPr="00B912D3">
        <w:rPr>
          <w:rFonts w:ascii="Times New Roman" w:eastAsia="Times New Roman" w:hAnsi="Times New Roman" w:cs="Times New Roman"/>
          <w:color w:val="000000"/>
          <w:sz w:val="28"/>
          <w:szCs w:val="28"/>
        </w:rPr>
        <w:t xml:space="preserve"> Road to the intersection with 65th Avenue; thence south along 65th Avenue to the intersection with </w:t>
      </w:r>
      <w:proofErr w:type="spellStart"/>
      <w:r w:rsidRPr="00B912D3">
        <w:rPr>
          <w:rFonts w:ascii="Times New Roman" w:eastAsia="Times New Roman" w:hAnsi="Times New Roman" w:cs="Times New Roman"/>
          <w:color w:val="000000"/>
          <w:sz w:val="28"/>
          <w:szCs w:val="28"/>
        </w:rPr>
        <w:t>Labish</w:t>
      </w:r>
      <w:proofErr w:type="spellEnd"/>
      <w:r w:rsidRPr="00B912D3">
        <w:rPr>
          <w:rFonts w:ascii="Times New Roman" w:eastAsia="Times New Roman" w:hAnsi="Times New Roman" w:cs="Times New Roman"/>
          <w:color w:val="000000"/>
          <w:sz w:val="28"/>
          <w:szCs w:val="28"/>
        </w:rPr>
        <w:t xml:space="preserve"> Road; thence east along </w:t>
      </w:r>
      <w:proofErr w:type="spellStart"/>
      <w:r w:rsidRPr="00B912D3">
        <w:rPr>
          <w:rFonts w:ascii="Times New Roman" w:eastAsia="Times New Roman" w:hAnsi="Times New Roman" w:cs="Times New Roman"/>
          <w:color w:val="000000"/>
          <w:sz w:val="28"/>
          <w:szCs w:val="28"/>
        </w:rPr>
        <w:t>Labish</w:t>
      </w:r>
      <w:proofErr w:type="spellEnd"/>
      <w:r w:rsidRPr="00B912D3">
        <w:rPr>
          <w:rFonts w:ascii="Times New Roman" w:eastAsia="Times New Roman" w:hAnsi="Times New Roman" w:cs="Times New Roman"/>
          <w:color w:val="000000"/>
          <w:sz w:val="28"/>
          <w:szCs w:val="28"/>
        </w:rPr>
        <w:t xml:space="preserve"> Road to the intersection with the West Branch of the Little Pudding River; thence southerly along the West Branch of the Little Pudding River to the intersection with </w:t>
      </w:r>
      <w:proofErr w:type="spellStart"/>
      <w:r w:rsidRPr="00B912D3">
        <w:rPr>
          <w:rFonts w:ascii="Times New Roman" w:eastAsia="Times New Roman" w:hAnsi="Times New Roman" w:cs="Times New Roman"/>
          <w:color w:val="000000"/>
          <w:sz w:val="28"/>
          <w:szCs w:val="28"/>
        </w:rPr>
        <w:t>Sunnyview</w:t>
      </w:r>
      <w:proofErr w:type="spellEnd"/>
      <w:r w:rsidRPr="00B912D3">
        <w:rPr>
          <w:rFonts w:ascii="Times New Roman" w:eastAsia="Times New Roman" w:hAnsi="Times New Roman" w:cs="Times New Roman"/>
          <w:color w:val="000000"/>
          <w:sz w:val="28"/>
          <w:szCs w:val="28"/>
        </w:rPr>
        <w:t xml:space="preserve"> Road; thence east along </w:t>
      </w:r>
      <w:proofErr w:type="spellStart"/>
      <w:r w:rsidRPr="00B912D3">
        <w:rPr>
          <w:rFonts w:ascii="Times New Roman" w:eastAsia="Times New Roman" w:hAnsi="Times New Roman" w:cs="Times New Roman"/>
          <w:color w:val="000000"/>
          <w:sz w:val="28"/>
          <w:szCs w:val="28"/>
        </w:rPr>
        <w:t>Sunnyview</w:t>
      </w:r>
      <w:proofErr w:type="spellEnd"/>
      <w:r w:rsidRPr="00B912D3">
        <w:rPr>
          <w:rFonts w:ascii="Times New Roman" w:eastAsia="Times New Roman" w:hAnsi="Times New Roman" w:cs="Times New Roman"/>
          <w:color w:val="000000"/>
          <w:sz w:val="28"/>
          <w:szCs w:val="28"/>
        </w:rPr>
        <w:t xml:space="preserve"> Road to the intersection with 63rd Avenue; thence south along 63rd Avenue to the intersection with State Street; </w:t>
      </w:r>
      <w:r w:rsidRPr="00B912D3">
        <w:rPr>
          <w:rFonts w:ascii="Times New Roman" w:eastAsia="Times New Roman" w:hAnsi="Times New Roman" w:cs="Times New Roman"/>
          <w:color w:val="000000"/>
          <w:sz w:val="28"/>
          <w:szCs w:val="28"/>
        </w:rPr>
        <w:lastRenderedPageBreak/>
        <w:t xml:space="preserve">thence east along State Street to the intersection with 62nd Avenue; thence south along 62nd Avenue to the intersection with Deer Park Drive; thence southwest along Deer Park Drive to the intersection with Santiam Highway 22; thence southeast along Santiam Highway 22 to the point where it intersects the Salem Urban Growth Boundary (SUGB); thence following the southeast boundary of the SUGB generally southerly and westerly to the intersection with </w:t>
      </w:r>
      <w:proofErr w:type="spellStart"/>
      <w:r w:rsidRPr="00B912D3">
        <w:rPr>
          <w:rFonts w:ascii="Times New Roman" w:eastAsia="Times New Roman" w:hAnsi="Times New Roman" w:cs="Times New Roman"/>
          <w:color w:val="000000"/>
          <w:sz w:val="28"/>
          <w:szCs w:val="28"/>
        </w:rPr>
        <w:t>Wiltsey</w:t>
      </w:r>
      <w:proofErr w:type="spellEnd"/>
      <w:r w:rsidRPr="00B912D3">
        <w:rPr>
          <w:rFonts w:ascii="Times New Roman" w:eastAsia="Times New Roman" w:hAnsi="Times New Roman" w:cs="Times New Roman"/>
          <w:color w:val="000000"/>
          <w:sz w:val="28"/>
          <w:szCs w:val="28"/>
        </w:rPr>
        <w:t xml:space="preserve"> Road; thence west along </w:t>
      </w:r>
      <w:proofErr w:type="spellStart"/>
      <w:r w:rsidRPr="00B912D3">
        <w:rPr>
          <w:rFonts w:ascii="Times New Roman" w:eastAsia="Times New Roman" w:hAnsi="Times New Roman" w:cs="Times New Roman"/>
          <w:color w:val="000000"/>
          <w:sz w:val="28"/>
          <w:szCs w:val="28"/>
        </w:rPr>
        <w:t>Wiltsey</w:t>
      </w:r>
      <w:proofErr w:type="spellEnd"/>
      <w:r w:rsidRPr="00B912D3">
        <w:rPr>
          <w:rFonts w:ascii="Times New Roman" w:eastAsia="Times New Roman" w:hAnsi="Times New Roman" w:cs="Times New Roman"/>
          <w:color w:val="000000"/>
          <w:sz w:val="28"/>
          <w:szCs w:val="28"/>
        </w:rPr>
        <w:t xml:space="preserve"> Road to the intersection with I-5 (the point of beginning).</w:t>
      </w:r>
    </w:p>
    <w:p w:rsidR="00B912D3" w:rsidRPr="00B912D3" w:rsidDel="002A3DCD" w:rsidRDefault="00B912D3" w:rsidP="00B912D3">
      <w:pPr>
        <w:shd w:val="clear" w:color="auto" w:fill="FFFFFF"/>
        <w:spacing w:before="100" w:beforeAutospacing="1" w:after="100" w:afterAutospacing="1" w:line="240" w:lineRule="auto"/>
        <w:rPr>
          <w:del w:id="64" w:author="jinahar" w:date="2012-12-20T16:46:00Z"/>
          <w:rFonts w:ascii="Times New Roman" w:eastAsia="Times New Roman" w:hAnsi="Times New Roman" w:cs="Times New Roman"/>
          <w:color w:val="000000"/>
          <w:sz w:val="28"/>
          <w:szCs w:val="28"/>
        </w:rPr>
      </w:pPr>
      <w:del w:id="65" w:author="jinahar" w:date="2012-12-20T16:46:00Z">
        <w:r w:rsidRPr="00B912D3" w:rsidDel="002A3DCD">
          <w:rPr>
            <w:rFonts w:ascii="Times New Roman" w:eastAsia="Times New Roman" w:hAnsi="Times New Roman" w:cs="Times New Roman"/>
            <w:color w:val="000000"/>
            <w:sz w:val="28"/>
            <w:szCs w:val="28"/>
          </w:rPr>
          <w:delText>(30) “UGB” means Urban Growth Boundary.</w:delText>
        </w:r>
      </w:del>
    </w:p>
    <w:p w:rsidR="00B912D3" w:rsidRPr="00B912D3" w:rsidRDefault="00B912D3" w:rsidP="00B912D3">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B912D3">
        <w:rPr>
          <w:rFonts w:ascii="Times New Roman" w:eastAsia="Times New Roman" w:hAnsi="Times New Roman" w:cs="Times New Roman"/>
          <w:color w:val="000000"/>
          <w:sz w:val="28"/>
          <w:szCs w:val="28"/>
        </w:rPr>
        <w:t>(</w:t>
      </w:r>
      <w:ins w:id="66" w:author="jinahar" w:date="2013-01-14T09:24:00Z">
        <w:r w:rsidR="006F1B02">
          <w:rPr>
            <w:rFonts w:ascii="Times New Roman" w:eastAsia="Times New Roman" w:hAnsi="Times New Roman" w:cs="Times New Roman"/>
            <w:color w:val="000000"/>
            <w:sz w:val="28"/>
            <w:szCs w:val="28"/>
          </w:rPr>
          <w:t>24</w:t>
        </w:r>
      </w:ins>
      <w:del w:id="67" w:author="jinahar" w:date="2013-01-14T09:24:00Z">
        <w:r w:rsidRPr="00B912D3" w:rsidDel="006F1B02">
          <w:rPr>
            <w:rFonts w:ascii="Times New Roman" w:eastAsia="Times New Roman" w:hAnsi="Times New Roman" w:cs="Times New Roman"/>
            <w:color w:val="000000"/>
            <w:sz w:val="28"/>
            <w:szCs w:val="28"/>
          </w:rPr>
          <w:delText>31</w:delText>
        </w:r>
      </w:del>
      <w:r w:rsidRPr="00B912D3">
        <w:rPr>
          <w:rFonts w:ascii="Times New Roman" w:eastAsia="Times New Roman" w:hAnsi="Times New Roman" w:cs="Times New Roman"/>
          <w:color w:val="000000"/>
          <w:sz w:val="28"/>
          <w:szCs w:val="28"/>
        </w:rPr>
        <w:t xml:space="preserve">) “Umpqua Basin” means the area bounded by the following line: Beginning at the SW corner of Section 2, T19S, R9W, on the Douglas-Lane County lines and extending due south to the SW corner of Section 14, T32S, R9W, on the Douglas-Curry County lines, thence easterly on the Douglas-Curry and Douglas-Josephine County lines to the intersection of the Douglas, Josephine, and Jackson County lines; thence easterly on the Douglas-Jackson County line to the intersection of the Umpqua National Forest boundary on the NW corner of Section 32, T32S, R3W; thence northerly on the Umpqua National Forest boundary to the NE corner of Section 36, T25S, R2W; thence west to the NW corner of Section 36, T25S, R4W; thence north to the Douglas-Lane County line; thence westerly on the Douglas-Lane County line to the starting point.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NOTE:</w:t>
      </w:r>
      <w:r w:rsidRPr="00D4498B">
        <w:rPr>
          <w:rFonts w:ascii="Times New Roman" w:eastAsia="Times New Roman" w:hAnsi="Times New Roman" w:cs="Times New Roman"/>
          <w:color w:val="000000"/>
          <w:sz w:val="28"/>
          <w:szCs w:val="28"/>
        </w:rPr>
        <w:t xml:space="preserve"> This rule is included in the State of Oregon Clean Air Act Implementation Plan as adopted by the Environmental Quality Commission under OAR 340-200-0040.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[Publications: Publications referenced are available from the agency.] </w:t>
      </w:r>
    </w:p>
    <w:p w:rsidR="00196888" w:rsidRPr="00196888" w:rsidRDefault="00AE7438" w:rsidP="00196888">
      <w:pPr>
        <w:rPr>
          <w:ins w:id="68" w:author="Preferred Customer" w:date="2013-02-20T14:06:00Z"/>
          <w:rFonts w:ascii="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Stat. Auth.: ORS 468.020 </w:t>
      </w:r>
      <w:r w:rsidRPr="00D4498B">
        <w:rPr>
          <w:rFonts w:ascii="Times New Roman" w:eastAsia="Times New Roman" w:hAnsi="Times New Roman" w:cs="Times New Roman"/>
          <w:color w:val="000000"/>
          <w:sz w:val="28"/>
          <w:szCs w:val="28"/>
        </w:rPr>
        <w:br/>
        <w:t xml:space="preserve">Stats. Implemented: ORS 468A.025 </w:t>
      </w:r>
      <w:r w:rsidRPr="00D4498B">
        <w:rPr>
          <w:rFonts w:ascii="Times New Roman" w:eastAsia="Times New Roman" w:hAnsi="Times New Roman" w:cs="Times New Roman"/>
          <w:color w:val="000000"/>
          <w:sz w:val="28"/>
          <w:szCs w:val="28"/>
        </w:rPr>
        <w:br/>
        <w:t xml:space="preserve">Hist.: DEQ 14-1995, f. &amp; cert. ef. </w:t>
      </w:r>
      <w:proofErr w:type="gramStart"/>
      <w:r w:rsidRPr="00D4498B">
        <w:rPr>
          <w:rFonts w:ascii="Times New Roman" w:eastAsia="Times New Roman" w:hAnsi="Times New Roman" w:cs="Times New Roman"/>
          <w:color w:val="000000"/>
          <w:sz w:val="28"/>
          <w:szCs w:val="28"/>
        </w:rPr>
        <w:t>5-25-95; DEQ 18-1996,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8-19-96; DEQ 1-1999,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1-25-99; DEQ 14-1999, f. &amp; cert. ef.</w:t>
      </w:r>
      <w:proofErr w:type="gramEnd"/>
      <w:r w:rsidRPr="00D4498B">
        <w:rPr>
          <w:rFonts w:ascii="Times New Roman" w:eastAsia="Times New Roman" w:hAnsi="Times New Roman" w:cs="Times New Roman"/>
          <w:color w:val="000000"/>
          <w:sz w:val="28"/>
          <w:szCs w:val="28"/>
        </w:rPr>
        <w:t xml:space="preserve"> 10-14-99, Renumbered from 340-031-0500; DEQ 1-2005, f. &amp; cert. ef. </w:t>
      </w:r>
      <w:proofErr w:type="gramStart"/>
      <w:r w:rsidRPr="00D4498B">
        <w:rPr>
          <w:rFonts w:ascii="Times New Roman" w:eastAsia="Times New Roman" w:hAnsi="Times New Roman" w:cs="Times New Roman"/>
          <w:color w:val="000000"/>
          <w:sz w:val="28"/>
          <w:szCs w:val="28"/>
        </w:rPr>
        <w:t>1-4-05; DEQ 3-2007,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4-12-07; DEQ 5-2010,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5-21-10; DEQ 18-2011,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12-21-11</w:t>
      </w:r>
      <w:r w:rsidR="00196888" w:rsidRPr="00196888">
        <w:rPr>
          <w:rFonts w:ascii="Times New Roman" w:hAnsi="Times New Roman" w:cs="Times New Roman"/>
          <w:color w:val="000000"/>
          <w:sz w:val="28"/>
          <w:szCs w:val="28"/>
        </w:rPr>
        <w:t xml:space="preserve">; DEQ 10-2012, f. &amp; cert. </w:t>
      </w:r>
      <w:proofErr w:type="spellStart"/>
      <w:r w:rsidR="00196888" w:rsidRPr="00196888">
        <w:rPr>
          <w:rFonts w:ascii="Times New Roman" w:hAnsi="Times New Roman" w:cs="Times New Roman"/>
          <w:color w:val="000000"/>
          <w:sz w:val="28"/>
          <w:szCs w:val="28"/>
        </w:rPr>
        <w:t>ef</w:t>
      </w:r>
      <w:proofErr w:type="spellEnd"/>
      <w:r w:rsidR="00196888" w:rsidRPr="00196888">
        <w:rPr>
          <w:rFonts w:ascii="Times New Roman" w:hAnsi="Times New Roman" w:cs="Times New Roman"/>
          <w:color w:val="000000"/>
          <w:sz w:val="28"/>
          <w:szCs w:val="28"/>
        </w:rPr>
        <w:t>.</w:t>
      </w:r>
      <w:proofErr w:type="gramEnd"/>
      <w:r w:rsidR="00196888" w:rsidRPr="00196888">
        <w:rPr>
          <w:rFonts w:ascii="Times New Roman" w:hAnsi="Times New Roman" w:cs="Times New Roman"/>
          <w:color w:val="000000"/>
          <w:sz w:val="28"/>
          <w:szCs w:val="28"/>
        </w:rPr>
        <w:t xml:space="preserve"> 12-11-12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 </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
          <w:bCs/>
          <w:color w:val="000000"/>
          <w:sz w:val="28"/>
          <w:szCs w:val="28"/>
        </w:rPr>
        <w:t>340-204-0020</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
          <w:bCs/>
          <w:color w:val="000000"/>
          <w:sz w:val="28"/>
          <w:szCs w:val="28"/>
        </w:rPr>
        <w:lastRenderedPageBreak/>
        <w:t>Designation of Air Quality Control Regions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Oregon's thirty-six counties are divided into five AQCRs. The AQCR boundaries follow county lines, and there are no counties that belong to more than one AQCR. The five AQCRs are as follows: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(1) </w:t>
      </w:r>
      <w:r w:rsidRPr="00D4498B">
        <w:rPr>
          <w:rFonts w:ascii="Times New Roman" w:eastAsia="Times New Roman" w:hAnsi="Times New Roman" w:cs="Times New Roman"/>
          <w:b/>
          <w:bCs/>
          <w:color w:val="000000"/>
          <w:sz w:val="28"/>
          <w:szCs w:val="28"/>
        </w:rPr>
        <w:t>Portland Interstate AQCR</w:t>
      </w:r>
      <w:r w:rsidRPr="00D4498B">
        <w:rPr>
          <w:rFonts w:ascii="Times New Roman" w:eastAsia="Times New Roman" w:hAnsi="Times New Roman" w:cs="Times New Roman"/>
          <w:bCs/>
          <w:color w:val="000000"/>
          <w:sz w:val="28"/>
          <w:szCs w:val="28"/>
        </w:rPr>
        <w:t>, containing ten counties: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(a) Benton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(b) Clackamas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(c) Columbia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(d) Lane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(e) Linn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(f) Marion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(g) Multnomah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(h) Polk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w:t>
      </w:r>
      <w:proofErr w:type="spellStart"/>
      <w:r w:rsidRPr="00D4498B">
        <w:rPr>
          <w:rFonts w:ascii="Times New Roman" w:eastAsia="Times New Roman" w:hAnsi="Times New Roman" w:cs="Times New Roman"/>
          <w:bCs/>
          <w:color w:val="000000"/>
          <w:sz w:val="28"/>
          <w:szCs w:val="28"/>
        </w:rPr>
        <w:t>i</w:t>
      </w:r>
      <w:proofErr w:type="spellEnd"/>
      <w:r w:rsidRPr="00D4498B">
        <w:rPr>
          <w:rFonts w:ascii="Times New Roman" w:eastAsia="Times New Roman" w:hAnsi="Times New Roman" w:cs="Times New Roman"/>
          <w:bCs/>
          <w:color w:val="000000"/>
          <w:sz w:val="28"/>
          <w:szCs w:val="28"/>
        </w:rPr>
        <w:t>) Washington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proofErr w:type="gramStart"/>
      <w:r w:rsidRPr="00D4498B">
        <w:rPr>
          <w:rFonts w:ascii="Times New Roman" w:eastAsia="Times New Roman" w:hAnsi="Times New Roman" w:cs="Times New Roman"/>
          <w:bCs/>
          <w:color w:val="000000"/>
          <w:sz w:val="28"/>
          <w:szCs w:val="28"/>
        </w:rPr>
        <w:t>(j) Yamhill County.</w:t>
      </w:r>
      <w:proofErr w:type="gramEnd"/>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(2) </w:t>
      </w:r>
      <w:r w:rsidRPr="00D4498B">
        <w:rPr>
          <w:rFonts w:ascii="Times New Roman" w:eastAsia="Times New Roman" w:hAnsi="Times New Roman" w:cs="Times New Roman"/>
          <w:b/>
          <w:bCs/>
          <w:color w:val="000000"/>
          <w:sz w:val="28"/>
          <w:szCs w:val="28"/>
        </w:rPr>
        <w:t>Northwest Oregon AQCR</w:t>
      </w:r>
      <w:r w:rsidRPr="00D4498B">
        <w:rPr>
          <w:rFonts w:ascii="Times New Roman" w:eastAsia="Times New Roman" w:hAnsi="Times New Roman" w:cs="Times New Roman"/>
          <w:bCs/>
          <w:color w:val="000000"/>
          <w:sz w:val="28"/>
          <w:szCs w:val="28"/>
        </w:rPr>
        <w:t>, containing three counties: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(a) Clatsop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(b) Lincoln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proofErr w:type="gramStart"/>
      <w:r w:rsidRPr="00D4498B">
        <w:rPr>
          <w:rFonts w:ascii="Times New Roman" w:eastAsia="Times New Roman" w:hAnsi="Times New Roman" w:cs="Times New Roman"/>
          <w:bCs/>
          <w:color w:val="000000"/>
          <w:sz w:val="28"/>
          <w:szCs w:val="28"/>
        </w:rPr>
        <w:t>(c) Tillamook County.</w:t>
      </w:r>
      <w:proofErr w:type="gramEnd"/>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(3) </w:t>
      </w:r>
      <w:r w:rsidRPr="00D4498B">
        <w:rPr>
          <w:rFonts w:ascii="Times New Roman" w:eastAsia="Times New Roman" w:hAnsi="Times New Roman" w:cs="Times New Roman"/>
          <w:b/>
          <w:bCs/>
          <w:color w:val="000000"/>
          <w:sz w:val="28"/>
          <w:szCs w:val="28"/>
        </w:rPr>
        <w:t>Southwest Oregon AQCR</w:t>
      </w:r>
      <w:r w:rsidRPr="00D4498B">
        <w:rPr>
          <w:rFonts w:ascii="Times New Roman" w:eastAsia="Times New Roman" w:hAnsi="Times New Roman" w:cs="Times New Roman"/>
          <w:bCs/>
          <w:color w:val="000000"/>
          <w:sz w:val="28"/>
          <w:szCs w:val="28"/>
        </w:rPr>
        <w:t>, containing five counties: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(a) Coos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(b) Curry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lastRenderedPageBreak/>
        <w:t>(c) Douglas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(d) Jackson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(e) Josephine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(4) </w:t>
      </w:r>
      <w:r w:rsidRPr="00D4498B">
        <w:rPr>
          <w:rFonts w:ascii="Times New Roman" w:eastAsia="Times New Roman" w:hAnsi="Times New Roman" w:cs="Times New Roman"/>
          <w:b/>
          <w:bCs/>
          <w:color w:val="000000"/>
          <w:sz w:val="28"/>
          <w:szCs w:val="28"/>
        </w:rPr>
        <w:t>Central Oregon AQCR</w:t>
      </w:r>
      <w:r w:rsidRPr="00D4498B">
        <w:rPr>
          <w:rFonts w:ascii="Times New Roman" w:eastAsia="Times New Roman" w:hAnsi="Times New Roman" w:cs="Times New Roman"/>
          <w:bCs/>
          <w:color w:val="000000"/>
          <w:sz w:val="28"/>
          <w:szCs w:val="28"/>
        </w:rPr>
        <w:t>, containing eight counties: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(a) Crook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(b) Deschutes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(c) Hood River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(d) Jefferson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(e) Klamath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(f) Lake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(g) Sherman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proofErr w:type="gramStart"/>
      <w:r w:rsidRPr="00D4498B">
        <w:rPr>
          <w:rFonts w:ascii="Times New Roman" w:eastAsia="Times New Roman" w:hAnsi="Times New Roman" w:cs="Times New Roman"/>
          <w:bCs/>
          <w:color w:val="000000"/>
          <w:sz w:val="28"/>
          <w:szCs w:val="28"/>
        </w:rPr>
        <w:t>(h) Wasco County.</w:t>
      </w:r>
      <w:proofErr w:type="gramEnd"/>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(5) </w:t>
      </w:r>
      <w:r w:rsidRPr="00D4498B">
        <w:rPr>
          <w:rFonts w:ascii="Times New Roman" w:eastAsia="Times New Roman" w:hAnsi="Times New Roman" w:cs="Times New Roman"/>
          <w:b/>
          <w:bCs/>
          <w:color w:val="000000"/>
          <w:sz w:val="28"/>
          <w:szCs w:val="28"/>
        </w:rPr>
        <w:t>Eastern Oregon AQCR</w:t>
      </w:r>
      <w:r w:rsidRPr="00D4498B">
        <w:rPr>
          <w:rFonts w:ascii="Times New Roman" w:eastAsia="Times New Roman" w:hAnsi="Times New Roman" w:cs="Times New Roman"/>
          <w:bCs/>
          <w:color w:val="000000"/>
          <w:sz w:val="28"/>
          <w:szCs w:val="28"/>
        </w:rPr>
        <w:t>, containing ten counties:</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(a) Baker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(b) Gilliam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(c) Grant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(d) Harney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(e) Malheur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(f) Morrow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(g) Umatilla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(h) Union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lastRenderedPageBreak/>
        <w:t>(</w:t>
      </w:r>
      <w:proofErr w:type="spellStart"/>
      <w:r w:rsidRPr="00D4498B">
        <w:rPr>
          <w:rFonts w:ascii="Times New Roman" w:eastAsia="Times New Roman" w:hAnsi="Times New Roman" w:cs="Times New Roman"/>
          <w:bCs/>
          <w:color w:val="000000"/>
          <w:sz w:val="28"/>
          <w:szCs w:val="28"/>
        </w:rPr>
        <w:t>i</w:t>
      </w:r>
      <w:proofErr w:type="spellEnd"/>
      <w:r w:rsidRPr="00D4498B">
        <w:rPr>
          <w:rFonts w:ascii="Times New Roman" w:eastAsia="Times New Roman" w:hAnsi="Times New Roman" w:cs="Times New Roman"/>
          <w:bCs/>
          <w:color w:val="000000"/>
          <w:sz w:val="28"/>
          <w:szCs w:val="28"/>
        </w:rPr>
        <w:t>) Wallowa County;</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proofErr w:type="gramStart"/>
      <w:r w:rsidRPr="00D4498B">
        <w:rPr>
          <w:rFonts w:ascii="Times New Roman" w:eastAsia="Times New Roman" w:hAnsi="Times New Roman" w:cs="Times New Roman"/>
          <w:bCs/>
          <w:color w:val="000000"/>
          <w:sz w:val="28"/>
          <w:szCs w:val="28"/>
        </w:rPr>
        <w:t>(j) Wheel County.</w:t>
      </w:r>
      <w:proofErr w:type="gramEnd"/>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
          <w:bCs/>
          <w:color w:val="000000"/>
          <w:sz w:val="28"/>
          <w:szCs w:val="28"/>
        </w:rPr>
        <w:t>NOTE:</w:t>
      </w:r>
      <w:r w:rsidRPr="00D4498B">
        <w:rPr>
          <w:rFonts w:ascii="Times New Roman" w:eastAsia="Times New Roman" w:hAnsi="Times New Roman" w:cs="Times New Roman"/>
          <w:bCs/>
          <w:color w:val="000000"/>
          <w:sz w:val="28"/>
          <w:szCs w:val="28"/>
        </w:rPr>
        <w:t> The AQCRs should not be confused with the recent DEQ reorganization that split the state into three DEQ regions: Northwest, West and East.</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w:t>
      </w:r>
      <w:r w:rsidRPr="00D4498B">
        <w:rPr>
          <w:rFonts w:ascii="Times New Roman" w:eastAsia="Times New Roman" w:hAnsi="Times New Roman" w:cs="Times New Roman"/>
          <w:b/>
          <w:bCs/>
          <w:color w:val="000000"/>
          <w:sz w:val="28"/>
          <w:szCs w:val="28"/>
        </w:rPr>
        <w:t>NOTE:</w:t>
      </w:r>
      <w:r w:rsidRPr="00D4498B">
        <w:rPr>
          <w:rFonts w:ascii="Times New Roman" w:eastAsia="Times New Roman" w:hAnsi="Times New Roman" w:cs="Times New Roman"/>
          <w:bCs/>
          <w:color w:val="000000"/>
          <w:sz w:val="28"/>
          <w:szCs w:val="28"/>
        </w:rPr>
        <w:t> This rule is included in the State of Oregon Clean Air Act Implementation Plan as adopted by the Environmental Quality Commission under OAR 340-200-0040.]</w:t>
      </w:r>
    </w:p>
    <w:p w:rsidR="00D4498B" w:rsidRPr="00D4498B" w:rsidRDefault="00D4498B" w:rsidP="00D4498B">
      <w:pPr>
        <w:shd w:val="clear" w:color="auto" w:fill="FFFFFF"/>
        <w:spacing w:before="100" w:beforeAutospacing="1" w:after="100" w:afterAutospacing="1" w:line="240" w:lineRule="auto"/>
        <w:rPr>
          <w:rFonts w:ascii="Times New Roman" w:eastAsia="Times New Roman" w:hAnsi="Times New Roman" w:cs="Times New Roman"/>
          <w:bCs/>
          <w:color w:val="000000"/>
          <w:sz w:val="28"/>
          <w:szCs w:val="28"/>
        </w:rPr>
      </w:pPr>
      <w:r w:rsidRPr="00D4498B">
        <w:rPr>
          <w:rFonts w:ascii="Times New Roman" w:eastAsia="Times New Roman" w:hAnsi="Times New Roman" w:cs="Times New Roman"/>
          <w:bCs/>
          <w:color w:val="000000"/>
          <w:sz w:val="28"/>
          <w:szCs w:val="28"/>
        </w:rPr>
        <w:t>Stat. Auth.: ORS 468.020</w:t>
      </w:r>
      <w:r w:rsidRPr="00D4498B">
        <w:rPr>
          <w:rFonts w:ascii="Times New Roman" w:eastAsia="Times New Roman" w:hAnsi="Times New Roman" w:cs="Times New Roman"/>
          <w:bCs/>
          <w:color w:val="000000"/>
          <w:sz w:val="28"/>
          <w:szCs w:val="28"/>
        </w:rPr>
        <w:br/>
        <w:t>Stats. Implemented: ORS 468A.025</w:t>
      </w:r>
      <w:r w:rsidRPr="00D4498B">
        <w:rPr>
          <w:rFonts w:ascii="Times New Roman" w:eastAsia="Times New Roman" w:hAnsi="Times New Roman" w:cs="Times New Roman"/>
          <w:bCs/>
          <w:color w:val="000000"/>
          <w:sz w:val="28"/>
          <w:szCs w:val="28"/>
        </w:rPr>
        <w:br/>
        <w:t xml:space="preserve">Hist.: DEQ 14-1995, f. &amp; cert ef. </w:t>
      </w:r>
      <w:proofErr w:type="gramStart"/>
      <w:r w:rsidRPr="00D4498B">
        <w:rPr>
          <w:rFonts w:ascii="Times New Roman" w:eastAsia="Times New Roman" w:hAnsi="Times New Roman" w:cs="Times New Roman"/>
          <w:bCs/>
          <w:color w:val="000000"/>
          <w:sz w:val="28"/>
          <w:szCs w:val="28"/>
        </w:rPr>
        <w:t>5-25-95; DEQ 14-1999, f. &amp; cert. ef.</w:t>
      </w:r>
      <w:proofErr w:type="gramEnd"/>
      <w:r w:rsidRPr="00D4498B">
        <w:rPr>
          <w:rFonts w:ascii="Times New Roman" w:eastAsia="Times New Roman" w:hAnsi="Times New Roman" w:cs="Times New Roman"/>
          <w:bCs/>
          <w:color w:val="000000"/>
          <w:sz w:val="28"/>
          <w:szCs w:val="28"/>
        </w:rPr>
        <w:t xml:space="preserve"> 10-14-99, Renumbered from 340-031-0510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 xml:space="preserve">340-204-0030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Designation of Nonattainment Areas</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The following areas are designated as Particulate Matter Nonattainment Areas:</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(1) The Oakridge Nonattainment Area for PM10 is the Oakridge UGB as defined in OAR 340-204-0010.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(2) The Klamath Falls Nonattainment Area for PM2.5 is as follows</w:t>
      </w:r>
      <w:r w:rsidRPr="002A3DCD">
        <w:rPr>
          <w:rFonts w:ascii="Times New Roman" w:eastAsia="Times New Roman" w:hAnsi="Times New Roman" w:cs="Times New Roman"/>
          <w:color w:val="000000"/>
          <w:sz w:val="28"/>
          <w:szCs w:val="28"/>
        </w:rPr>
        <w:t xml:space="preserve">: Townships and ranges defined by T37S R9E Sections 31-32. T38S R8E Sections 1-5, 8-16, 22-26, </w:t>
      </w:r>
      <w:proofErr w:type="gramStart"/>
      <w:r w:rsidRPr="002A3DCD">
        <w:rPr>
          <w:rFonts w:ascii="Times New Roman" w:eastAsia="Times New Roman" w:hAnsi="Times New Roman" w:cs="Times New Roman"/>
          <w:color w:val="000000"/>
          <w:sz w:val="28"/>
          <w:szCs w:val="28"/>
        </w:rPr>
        <w:t>35</w:t>
      </w:r>
      <w:proofErr w:type="gramEnd"/>
      <w:r w:rsidRPr="002A3DCD">
        <w:rPr>
          <w:rFonts w:ascii="Times New Roman" w:eastAsia="Times New Roman" w:hAnsi="Times New Roman" w:cs="Times New Roman"/>
          <w:color w:val="000000"/>
          <w:sz w:val="28"/>
          <w:szCs w:val="28"/>
        </w:rPr>
        <w:t>-36. T38S R9E Sections 5-8, 14-15, 17-36. T39S R8E Sections 1-2, 11-13, 24. T39S R9E Sections 1-27. T39S R10E Sections 3-10, 15-20, 29-30.</w:t>
      </w:r>
      <w:r w:rsidRPr="00D4498B">
        <w:rPr>
          <w:rFonts w:ascii="Times New Roman" w:eastAsia="Times New Roman" w:hAnsi="Times New Roman" w:cs="Times New Roman"/>
          <w:color w:val="000000"/>
          <w:sz w:val="28"/>
          <w:szCs w:val="28"/>
        </w:rPr>
        <w:t xml:space="preserve">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t xml:space="preserve">(3) The Oakridge Nonattainment Area for PM2.5 is defined as a line from Township 21 South, Range 2 East, Section 11 (northwest corner), east to Township 21 South, Range 3 East, Section 11 (northeast corner), south to Township 21 South, Range 3 East, Section 23 (southeast corner), west to Township 21 South, Range 2 East, Section 23 (southwest corner) connecting back to Township 21 South, Range 2 East, Section 11 (northwest corner).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b/>
          <w:bCs/>
          <w:color w:val="000000"/>
          <w:sz w:val="28"/>
          <w:szCs w:val="28"/>
        </w:rPr>
        <w:t>NOTE</w:t>
      </w:r>
      <w:r w:rsidRPr="00D4498B">
        <w:rPr>
          <w:rFonts w:ascii="Times New Roman" w:eastAsia="Times New Roman" w:hAnsi="Times New Roman" w:cs="Times New Roman"/>
          <w:color w:val="000000"/>
          <w:sz w:val="28"/>
          <w:szCs w:val="28"/>
        </w:rPr>
        <w:t xml:space="preserve">: This rule is included in the State of Oregon Clean Air Act Implementation Plan as adopted by the Environmental Quality Commission under OAR 340-200-0040. </w:t>
      </w:r>
    </w:p>
    <w:p w:rsidR="00AE7438" w:rsidRPr="00D4498B" w:rsidRDefault="00AE7438" w:rsidP="00AE7438">
      <w:pPr>
        <w:shd w:val="clear" w:color="auto" w:fill="FFFFFF"/>
        <w:spacing w:before="100" w:beforeAutospacing="1" w:after="100" w:afterAutospacing="1" w:line="240" w:lineRule="auto"/>
        <w:rPr>
          <w:rFonts w:ascii="Times New Roman" w:eastAsia="Times New Roman" w:hAnsi="Times New Roman" w:cs="Times New Roman"/>
          <w:color w:val="000000"/>
          <w:sz w:val="28"/>
          <w:szCs w:val="28"/>
        </w:rPr>
      </w:pPr>
      <w:r w:rsidRPr="00D4498B">
        <w:rPr>
          <w:rFonts w:ascii="Times New Roman" w:eastAsia="Times New Roman" w:hAnsi="Times New Roman" w:cs="Times New Roman"/>
          <w:color w:val="000000"/>
          <w:sz w:val="28"/>
          <w:szCs w:val="28"/>
        </w:rPr>
        <w:lastRenderedPageBreak/>
        <w:t xml:space="preserve">Stat. Auth.: ORS 468.020 </w:t>
      </w:r>
      <w:r w:rsidRPr="00D4498B">
        <w:rPr>
          <w:rFonts w:ascii="Times New Roman" w:eastAsia="Times New Roman" w:hAnsi="Times New Roman" w:cs="Times New Roman"/>
          <w:color w:val="000000"/>
          <w:sz w:val="28"/>
          <w:szCs w:val="28"/>
        </w:rPr>
        <w:br/>
        <w:t xml:space="preserve">Stats. Implemented: ORS 468A.025 </w:t>
      </w:r>
      <w:r w:rsidRPr="00D4498B">
        <w:rPr>
          <w:rFonts w:ascii="Times New Roman" w:eastAsia="Times New Roman" w:hAnsi="Times New Roman" w:cs="Times New Roman"/>
          <w:color w:val="000000"/>
          <w:sz w:val="28"/>
          <w:szCs w:val="28"/>
        </w:rPr>
        <w:br/>
        <w:t xml:space="preserve">Hist.: DEQ 14-1995, f. &amp; cert. ef. </w:t>
      </w:r>
      <w:proofErr w:type="gramStart"/>
      <w:r w:rsidRPr="00D4498B">
        <w:rPr>
          <w:rFonts w:ascii="Times New Roman" w:eastAsia="Times New Roman" w:hAnsi="Times New Roman" w:cs="Times New Roman"/>
          <w:color w:val="000000"/>
          <w:sz w:val="28"/>
          <w:szCs w:val="28"/>
        </w:rPr>
        <w:t>5-25-95; DEQ 18-1996,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8-19-96; DEQ 15-1998,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9-23-98; DEQ 1-1999,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1-25-99; DEQ 14-1999, f. &amp; cert. ef.</w:t>
      </w:r>
      <w:proofErr w:type="gramEnd"/>
      <w:r w:rsidRPr="00D4498B">
        <w:rPr>
          <w:rFonts w:ascii="Times New Roman" w:eastAsia="Times New Roman" w:hAnsi="Times New Roman" w:cs="Times New Roman"/>
          <w:color w:val="000000"/>
          <w:sz w:val="28"/>
          <w:szCs w:val="28"/>
        </w:rPr>
        <w:t xml:space="preserve"> 10-14-99, Renumbered from 340-031-0520; DEQ 15-1999, f. &amp; cert. ef. </w:t>
      </w:r>
      <w:proofErr w:type="gramStart"/>
      <w:r w:rsidRPr="00D4498B">
        <w:rPr>
          <w:rFonts w:ascii="Times New Roman" w:eastAsia="Times New Roman" w:hAnsi="Times New Roman" w:cs="Times New Roman"/>
          <w:color w:val="000000"/>
          <w:sz w:val="28"/>
          <w:szCs w:val="28"/>
        </w:rPr>
        <w:t>10-22-99; DEQ 16-2000,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10-25-00; DEQ 6-2001, f. 6-18-01,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7-1-01; DEQ 11-2002,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10-8-02; DEQ 1-2005,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1-4-05; DEQ 9-2005,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9-9-05; DEQ 3-2007,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4-12-07; DEQ 4-2007,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6-28-07; DEQ 5-2010, f. &amp; cert. ef.</w:t>
      </w:r>
      <w:proofErr w:type="gramEnd"/>
      <w:r w:rsidRPr="00D4498B">
        <w:rPr>
          <w:rFonts w:ascii="Times New Roman" w:eastAsia="Times New Roman" w:hAnsi="Times New Roman" w:cs="Times New Roman"/>
          <w:color w:val="000000"/>
          <w:sz w:val="28"/>
          <w:szCs w:val="28"/>
        </w:rPr>
        <w:t xml:space="preserve"> </w:t>
      </w:r>
      <w:proofErr w:type="gramStart"/>
      <w:r w:rsidRPr="00D4498B">
        <w:rPr>
          <w:rFonts w:ascii="Times New Roman" w:eastAsia="Times New Roman" w:hAnsi="Times New Roman" w:cs="Times New Roman"/>
          <w:color w:val="000000"/>
          <w:sz w:val="28"/>
          <w:szCs w:val="28"/>
        </w:rPr>
        <w:t>5-21-10; DEQ 18-2011, f. &amp; cert. ef.</w:t>
      </w:r>
      <w:proofErr w:type="gramEnd"/>
      <w:r w:rsidRPr="00D4498B">
        <w:rPr>
          <w:rFonts w:ascii="Times New Roman" w:eastAsia="Times New Roman" w:hAnsi="Times New Roman" w:cs="Times New Roman"/>
          <w:color w:val="000000"/>
          <w:sz w:val="28"/>
          <w:szCs w:val="28"/>
        </w:rPr>
        <w:t xml:space="preserve"> 12-21-11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 xml:space="preserve">340-204-0040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Designation of Maintenance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The following areas are designated as Maintenance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(1) Carbon Monoxide Maintenance Areas: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(a) The Eugene Maintenance Area for Carbon Monoxide is the Eugene-Springfield AQMA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(b) The Portland Maintenance Area for Carbon Monoxide is the Portland Metropolitan Service District as referenced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(c) The Medford Carbon Monoxide Maintenance Area is the Medford UGB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NOTE</w:t>
      </w:r>
      <w:r w:rsidRPr="00D4498B">
        <w:rPr>
          <w:rFonts w:ascii="Times New Roman" w:hAnsi="Times New Roman" w:cs="Times New Roman"/>
          <w:sz w:val="28"/>
          <w:szCs w:val="28"/>
        </w:rPr>
        <w:t xml:space="preserve">: EPA maintenance plan approval and redesignation pending.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(d) The Grants Pass Carbon Monoxide Maintenance Area is the Grants Pass CBD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(e) The Klamath Falls Carbon Monoxide Maintenance Area is the Klamath Falls UGB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(f) The Salem Carbon Monoxide Maintenance Area is the Salem-Keizer Area Transportation Study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(2) Ozone Maintenance Areas: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lastRenderedPageBreak/>
        <w:t xml:space="preserve">(a) The Medford Maintenance Area for Ozone is the Medford-Ashland AQMA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(b) The Oregon portion of the Portland-Vancouver Interstate Maintenance Area for Ozone is the Portland AQMA,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(c) The Salem Maintenance Area for Ozone is the Salem-Keizer Area Transportation Study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(3) PM10 Maintenance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(a) The Grants Pass PM10 Maintenance Area is the Grants Pass UGB as defined in OAR 340-204-0010;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(b) The Klamath Falls PM10 Maintenance Area is the Klamath Falls UGB as defined in OAR 340-204-0010;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(c) The Medford-Ashland PM10 Maintenance Area is the Medford-Ashland AQMA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NOTE</w:t>
      </w:r>
      <w:r w:rsidRPr="00D4498B">
        <w:rPr>
          <w:rFonts w:ascii="Times New Roman" w:hAnsi="Times New Roman" w:cs="Times New Roman"/>
          <w:sz w:val="28"/>
          <w:szCs w:val="28"/>
        </w:rPr>
        <w:t xml:space="preserve">: EPA maintenance plan approval and redesignation pending.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(d) The La Grande PM10 Maintenance Area is the La Grande UGB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NOTE</w:t>
      </w:r>
      <w:r w:rsidRPr="00D4498B">
        <w:rPr>
          <w:rFonts w:ascii="Times New Roman" w:hAnsi="Times New Roman" w:cs="Times New Roman"/>
          <w:sz w:val="28"/>
          <w:szCs w:val="28"/>
        </w:rPr>
        <w:t xml:space="preserve">: EPA maintenance plan approval and redesignation pending.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(e) The Lakeview PM10 Maintenance Area is the Lakeview UGB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NOTE</w:t>
      </w:r>
      <w:r w:rsidRPr="00D4498B">
        <w:rPr>
          <w:rFonts w:ascii="Times New Roman" w:hAnsi="Times New Roman" w:cs="Times New Roman"/>
          <w:sz w:val="28"/>
          <w:szCs w:val="28"/>
        </w:rPr>
        <w:t xml:space="preserve">: EPA maintenance plan approval and redesignation pending.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(f) The Eugene-Springfield PM10 Maintenance Area is the Eugene-Springfield UGB as defined in OAR 340-204-0010.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NOTE</w:t>
      </w:r>
      <w:r w:rsidRPr="00D4498B">
        <w:rPr>
          <w:rFonts w:ascii="Times New Roman" w:hAnsi="Times New Roman" w:cs="Times New Roman"/>
          <w:sz w:val="28"/>
          <w:szCs w:val="28"/>
        </w:rPr>
        <w:t xml:space="preserve">: EPA maintenance plan approval and redesignation pending.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NOTE</w:t>
      </w:r>
      <w:r w:rsidRPr="00D4498B">
        <w:rPr>
          <w:rFonts w:ascii="Times New Roman" w:hAnsi="Times New Roman" w:cs="Times New Roman"/>
          <w:sz w:val="28"/>
          <w:szCs w:val="28"/>
        </w:rPr>
        <w:t xml:space="preserve">: This rule is included in the State of Oregon Clean Air Act Implementation Plan as adopted by the Environmental Quality Commission under OAR 340-200-0040. </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lastRenderedPageBreak/>
        <w:t xml:space="preserve">Stat. Auth.: ORS 468.020 </w:t>
      </w:r>
      <w:r w:rsidRPr="00D4498B">
        <w:rPr>
          <w:rFonts w:ascii="Times New Roman" w:hAnsi="Times New Roman" w:cs="Times New Roman"/>
          <w:sz w:val="28"/>
          <w:szCs w:val="28"/>
        </w:rPr>
        <w:br/>
        <w:t xml:space="preserve">Stats. Implemented: ORS 468A.025 </w:t>
      </w:r>
      <w:r w:rsidRPr="00D4498B">
        <w:rPr>
          <w:rFonts w:ascii="Times New Roman" w:hAnsi="Times New Roman" w:cs="Times New Roman"/>
          <w:sz w:val="28"/>
          <w:szCs w:val="28"/>
        </w:rPr>
        <w:br/>
        <w:t xml:space="preserve">Hist.: DEQ 14-1995, f. &amp; cert. ef. </w:t>
      </w:r>
      <w:proofErr w:type="gramStart"/>
      <w:r w:rsidRPr="00D4498B">
        <w:rPr>
          <w:rFonts w:ascii="Times New Roman" w:hAnsi="Times New Roman" w:cs="Times New Roman"/>
          <w:sz w:val="28"/>
          <w:szCs w:val="28"/>
        </w:rPr>
        <w:t>5-25-95; DEQ 18-1996,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8-19-96; DEQ 15-1998,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9-23-98; DEQ 1-1999,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1-25-99; DEQ 14-1999, f. &amp; cert. ef.</w:t>
      </w:r>
      <w:proofErr w:type="gramEnd"/>
      <w:r w:rsidRPr="00D4498B">
        <w:rPr>
          <w:rFonts w:ascii="Times New Roman" w:hAnsi="Times New Roman" w:cs="Times New Roman"/>
          <w:sz w:val="28"/>
          <w:szCs w:val="28"/>
        </w:rPr>
        <w:t xml:space="preserve"> 10-14-99, Renumbered from 340-031-0530; DEQ 15-1999, f. &amp; cert. ef. </w:t>
      </w:r>
      <w:proofErr w:type="gramStart"/>
      <w:r w:rsidRPr="00D4498B">
        <w:rPr>
          <w:rFonts w:ascii="Times New Roman" w:hAnsi="Times New Roman" w:cs="Times New Roman"/>
          <w:sz w:val="28"/>
          <w:szCs w:val="28"/>
        </w:rPr>
        <w:t>10-22-99; DEQ 16-2000,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10-25-00; DEQ 11-2002,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10-8-02; DEQ 1-2005,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1-4-05; DEQ 9-2005,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9-9-05; DEQ 3-2007,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4-12-07; DEQ 4-2007,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6-28-07; DEQ 18-2011, f. &amp; cert. ef.</w:t>
      </w:r>
      <w:proofErr w:type="gramEnd"/>
      <w:r w:rsidRPr="00D4498B">
        <w:rPr>
          <w:rFonts w:ascii="Times New Roman" w:hAnsi="Times New Roman" w:cs="Times New Roman"/>
          <w:sz w:val="28"/>
          <w:szCs w:val="28"/>
        </w:rPr>
        <w:t xml:space="preserve"> 12-21-11</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340-204-0050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Designation of Prevention of Significant Deterioration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(1) All of the following areas which were in existence on August 7, 1977, shall be Class I Areas and may not be redesignated: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(a) Mt. Hood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(b) Eagle Cap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w:t>
      </w:r>
      <w:proofErr w:type="gramStart"/>
      <w:r w:rsidRPr="00D4498B">
        <w:rPr>
          <w:rFonts w:ascii="Times New Roman" w:hAnsi="Times New Roman" w:cs="Times New Roman"/>
          <w:sz w:val="28"/>
          <w:szCs w:val="28"/>
        </w:rPr>
        <w:t>c</w:t>
      </w:r>
      <w:proofErr w:type="gramEnd"/>
      <w:r w:rsidRPr="00D4498B">
        <w:rPr>
          <w:rFonts w:ascii="Times New Roman" w:hAnsi="Times New Roman" w:cs="Times New Roman"/>
          <w:sz w:val="28"/>
          <w:szCs w:val="28"/>
        </w:rPr>
        <w:t>) Hells Canyon Wilderness, as established by Public Law 94-199;</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(d) Mt. Jefferson Wilderness, as established by Public Law 90-548;</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(e) Mt. Washington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(f) Three Sisters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(g) Strawberry Mountain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(h) Diamond Peak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w:t>
      </w:r>
      <w:proofErr w:type="spellStart"/>
      <w:r w:rsidRPr="00D4498B">
        <w:rPr>
          <w:rFonts w:ascii="Times New Roman" w:hAnsi="Times New Roman" w:cs="Times New Roman"/>
          <w:sz w:val="28"/>
          <w:szCs w:val="28"/>
        </w:rPr>
        <w:t>i</w:t>
      </w:r>
      <w:proofErr w:type="spellEnd"/>
      <w:r w:rsidRPr="00D4498B">
        <w:rPr>
          <w:rFonts w:ascii="Times New Roman" w:hAnsi="Times New Roman" w:cs="Times New Roman"/>
          <w:sz w:val="28"/>
          <w:szCs w:val="28"/>
        </w:rPr>
        <w:t>) Crater Lake National Park, as established by Public Law 88-577 and expanded in the 1990 Clean Air Act Amendments;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(j) </w:t>
      </w:r>
      <w:proofErr w:type="spellStart"/>
      <w:r w:rsidRPr="00D4498B">
        <w:rPr>
          <w:rFonts w:ascii="Times New Roman" w:hAnsi="Times New Roman" w:cs="Times New Roman"/>
          <w:sz w:val="28"/>
          <w:szCs w:val="28"/>
        </w:rPr>
        <w:t>Kalmiopsis</w:t>
      </w:r>
      <w:proofErr w:type="spellEnd"/>
      <w:r w:rsidRPr="00D4498B">
        <w:rPr>
          <w:rFonts w:ascii="Times New Roman" w:hAnsi="Times New Roman" w:cs="Times New Roman"/>
          <w:sz w:val="28"/>
          <w:szCs w:val="28"/>
        </w:rPr>
        <w:t xml:space="preserve">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(k) Mountain Lake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(l) Gearhart Mountain Wilderness, as established by Public Law 88-577.</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lastRenderedPageBreak/>
        <w:t>(2) All other areas, in Oregon are initially designated Class II, but may be redesignated as provided in OAR 340-204-0060.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(3) The following areas may be redesignated only as Class I or II:</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(a) An area which as of August 7, 1977, exceeded 10,000 acres in size and was a national monument, a national primitive area, a national preserve, a national recreational area, a national wild and scenic river, a national wildlife refuge, a national lakeshore or seashore; and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(b) A national park or national wilderness area established after August 7, 1977, which exceeds 10,000 acres in size.</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(4) The extent of the areas referred to in section (1) and (3) of this rule shall conform to any changes in the boundaries of such areas which occurred between August 7, 1977, and November 15, 1990.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w:t>
      </w:r>
      <w:r w:rsidRPr="00D4498B">
        <w:rPr>
          <w:rFonts w:ascii="Times New Roman" w:hAnsi="Times New Roman" w:cs="Times New Roman"/>
          <w:b/>
          <w:bCs/>
          <w:sz w:val="28"/>
          <w:szCs w:val="28"/>
        </w:rPr>
        <w:t>NOTE:</w:t>
      </w:r>
      <w:r w:rsidRPr="00D4498B">
        <w:rPr>
          <w:rFonts w:ascii="Times New Roman" w:hAnsi="Times New Roman" w:cs="Times New Roman"/>
          <w:sz w:val="28"/>
          <w:szCs w:val="28"/>
        </w:rPr>
        <w:t> This rule is included in the State of Oregon Clean Air Act Implementation Plan as adopted by the Environmental Quality Commission under OAR 340-200-0040.]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Stat. Auth.: ORS 468 &amp; ORS 468A</w:t>
      </w:r>
      <w:r w:rsidRPr="00D4498B">
        <w:rPr>
          <w:rFonts w:ascii="Times New Roman" w:hAnsi="Times New Roman" w:cs="Times New Roman"/>
          <w:sz w:val="28"/>
          <w:szCs w:val="28"/>
        </w:rPr>
        <w:br/>
        <w:t>Stats. Implemented: ORS 468A.025</w:t>
      </w:r>
      <w:r w:rsidRPr="00D4498B">
        <w:rPr>
          <w:rFonts w:ascii="Times New Roman" w:hAnsi="Times New Roman" w:cs="Times New Roman"/>
          <w:sz w:val="28"/>
          <w:szCs w:val="28"/>
        </w:rPr>
        <w:br/>
        <w:t xml:space="preserve">Hist.: DEQ 18-1979, f. &amp; ef. </w:t>
      </w:r>
      <w:proofErr w:type="gramStart"/>
      <w:r w:rsidRPr="00D4498B">
        <w:rPr>
          <w:rFonts w:ascii="Times New Roman" w:hAnsi="Times New Roman" w:cs="Times New Roman"/>
          <w:sz w:val="28"/>
          <w:szCs w:val="28"/>
        </w:rPr>
        <w:t>6-22-79; DEQ 4-1993,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3-10-93; DEQ 14-1995,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5-25-95; DEQ 17-1995,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7-12-95; DEQ 14-1999, f. &amp; cert. ef.</w:t>
      </w:r>
      <w:proofErr w:type="gramEnd"/>
      <w:r w:rsidRPr="00D4498B">
        <w:rPr>
          <w:rFonts w:ascii="Times New Roman" w:hAnsi="Times New Roman" w:cs="Times New Roman"/>
          <w:sz w:val="28"/>
          <w:szCs w:val="28"/>
        </w:rPr>
        <w:t xml:space="preserve"> 10-14-99, Renumbered from 340-031-0120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340-204-0060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Redesignation of Prevention of Significant Deterioration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(1)(a) All areas in Oregon, except as otherwise provided under OAR 340-204-0050, </w:t>
      </w:r>
      <w:proofErr w:type="gramStart"/>
      <w:r w:rsidRPr="00D4498B">
        <w:rPr>
          <w:rFonts w:ascii="Times New Roman" w:hAnsi="Times New Roman" w:cs="Times New Roman"/>
          <w:sz w:val="28"/>
          <w:szCs w:val="28"/>
        </w:rPr>
        <w:t>are</w:t>
      </w:r>
      <w:proofErr w:type="gramEnd"/>
      <w:r w:rsidRPr="00D4498B">
        <w:rPr>
          <w:rFonts w:ascii="Times New Roman" w:hAnsi="Times New Roman" w:cs="Times New Roman"/>
          <w:sz w:val="28"/>
          <w:szCs w:val="28"/>
        </w:rPr>
        <w:t xml:space="preserve"> designated Class II as of December 5, 1974;</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(b) Redesignation, except as otherwise precluded by OAR 340-204-0050, may be proposed by </w:t>
      </w:r>
      <w:del w:id="69" w:author="pcuser" w:date="2012-12-07T09:15:00Z">
        <w:r w:rsidRPr="00D4498B" w:rsidDel="00C4482C">
          <w:rPr>
            <w:rFonts w:ascii="Times New Roman" w:hAnsi="Times New Roman" w:cs="Times New Roman"/>
            <w:sz w:val="28"/>
            <w:szCs w:val="28"/>
          </w:rPr>
          <w:delText>the Department</w:delText>
        </w:r>
      </w:del>
      <w:ins w:id="70"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or Indian Governing Bodies, as provided below, subject to approval by the EPA Administrator as a revision to the State Implementation Plan.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lastRenderedPageBreak/>
        <w:t xml:space="preserve">(2) </w:t>
      </w:r>
      <w:del w:id="71" w:author="pcuser" w:date="2012-12-07T09:15:00Z">
        <w:r w:rsidRPr="00D4498B" w:rsidDel="00C4482C">
          <w:rPr>
            <w:rFonts w:ascii="Times New Roman" w:hAnsi="Times New Roman" w:cs="Times New Roman"/>
            <w:sz w:val="28"/>
            <w:szCs w:val="28"/>
          </w:rPr>
          <w:delText>The Department</w:delText>
        </w:r>
      </w:del>
      <w:ins w:id="72"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may submit to the EPA Administrator a proposal to redesignate areas of the state Class I or II provided that:</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(a) At least one public hearing has been held in accordance with procedures established in the Plan;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(b) Other States, Indian Governing Bodies, and Federal Land Managers whose lands may be affected by the proposed redesignation were notified at least 30 days prior to the public hearing;</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(c) A discussion of the reasons for the proposed redesignation, including a satisfactory description and analysis of the health, environmental, economic, social and energy effects of the proposed redesignation, was prepared and made available for public inspection at least 30 days prior to the hearing and the notice announcing the hearing contained appropriate notification of the availability of such discussion;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(d) Prior to the issuance of notice respecting the redesignation of an area that includes any Federal lands, </w:t>
      </w:r>
      <w:del w:id="73" w:author="pcuser" w:date="2012-12-07T09:15:00Z">
        <w:r w:rsidRPr="00D4498B" w:rsidDel="00C4482C">
          <w:rPr>
            <w:rFonts w:ascii="Times New Roman" w:hAnsi="Times New Roman" w:cs="Times New Roman"/>
            <w:sz w:val="28"/>
            <w:szCs w:val="28"/>
          </w:rPr>
          <w:delText>the Department</w:delText>
        </w:r>
      </w:del>
      <w:ins w:id="74"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has provided written notice to the appropriate Federal Land Manager and afforded adequate opportunity, not in excess of 60 days to confer with </w:t>
      </w:r>
      <w:del w:id="75" w:author="pcuser" w:date="2012-12-07T09:15:00Z">
        <w:r w:rsidRPr="00D4498B" w:rsidDel="00C4482C">
          <w:rPr>
            <w:rFonts w:ascii="Times New Roman" w:hAnsi="Times New Roman" w:cs="Times New Roman"/>
            <w:sz w:val="28"/>
            <w:szCs w:val="28"/>
          </w:rPr>
          <w:delText>the Department</w:delText>
        </w:r>
      </w:del>
      <w:ins w:id="76"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respecting the redesignation and to submit written comments and recommendations. In redesignating any area with respect to which any Federal Land Manager had submitted written comments and recommendations, </w:t>
      </w:r>
      <w:del w:id="77" w:author="pcuser" w:date="2012-12-07T09:15:00Z">
        <w:r w:rsidRPr="00D4498B" w:rsidDel="00C4482C">
          <w:rPr>
            <w:rFonts w:ascii="Times New Roman" w:hAnsi="Times New Roman" w:cs="Times New Roman"/>
            <w:sz w:val="28"/>
            <w:szCs w:val="28"/>
          </w:rPr>
          <w:delText>the Department</w:delText>
        </w:r>
      </w:del>
      <w:ins w:id="78"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shall have published a list of any inconsistency between such redesignation and such comments and recommendations together with the reasons for making such redesignation against the recommendation of the Federal Land Manager; and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(e) </w:t>
      </w:r>
      <w:del w:id="79" w:author="pcuser" w:date="2012-12-07T09:15:00Z">
        <w:r w:rsidRPr="00D4498B" w:rsidDel="00C4482C">
          <w:rPr>
            <w:rFonts w:ascii="Times New Roman" w:hAnsi="Times New Roman" w:cs="Times New Roman"/>
            <w:sz w:val="28"/>
            <w:szCs w:val="28"/>
          </w:rPr>
          <w:delText>The Department</w:delText>
        </w:r>
      </w:del>
      <w:ins w:id="80"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has proposed the redesignation after consultation with the elected leadership of local general purpose governments in the area covered by the proposed redesignation.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(3) Any area other than an area to which OAR 340-204-0050 refers may be redesignated as Class III if:</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(a) The redesignation would meet the requirements of section (2) of this rule;</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lastRenderedPageBreak/>
        <w:t>(b) The redesignation, except any established by an Indian Governing Body, has been specifically approved by the Governor, after consultation with the appropriate committees of the legislature, if it is in session, or with the leadership of the legislature, if it is not in session, unless state law provides that the redesignation must be specifically approved by state legislation, and if general purpose units of local government representing a majority of the residents of the area to be redesignated enact legislation or pass resolutions concurring in the redesignation;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(c) The redesignation would not cause, or contribute to, a concentration of any air pollutant which would exceed any maximum allowable increase permitted under the classification of any other area or any national ambient air quality standard; and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(d) Any permit application for any major stationary source or major modification, subject to review under section (1) of this rule, which could receive a permit under this section only if the area in question were redesignated as Class III, and any material submitted as part of that application, were available insofar as was practicable for public inspection prior to any public hearing on redesignation of the area as Class III.</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(4) Lands within the exterior boundaries of Indian Reservations may be redesignated only by the appropriate Indian Governing Body. The appropriate Indian Governing Body may submit to the EPA Administrator a proposal to redesignate areas Class I, II, or III; provided that:</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 xml:space="preserve">(a) The Indian Governing Body has followed procedures equivalent to those required of </w:t>
      </w:r>
      <w:del w:id="81" w:author="pcuser" w:date="2012-12-07T09:15:00Z">
        <w:r w:rsidRPr="00D4498B" w:rsidDel="00C4482C">
          <w:rPr>
            <w:rFonts w:ascii="Times New Roman" w:hAnsi="Times New Roman" w:cs="Times New Roman"/>
            <w:sz w:val="28"/>
            <w:szCs w:val="28"/>
          </w:rPr>
          <w:delText>the Department</w:delText>
        </w:r>
      </w:del>
      <w:ins w:id="82"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under section (2) and subsections (3</w:t>
      </w:r>
      <w:proofErr w:type="gramStart"/>
      <w:r w:rsidRPr="00D4498B">
        <w:rPr>
          <w:rFonts w:ascii="Times New Roman" w:hAnsi="Times New Roman" w:cs="Times New Roman"/>
          <w:sz w:val="28"/>
          <w:szCs w:val="28"/>
        </w:rPr>
        <w:t>)(</w:t>
      </w:r>
      <w:proofErr w:type="gramEnd"/>
      <w:r w:rsidRPr="00D4498B">
        <w:rPr>
          <w:rFonts w:ascii="Times New Roman" w:hAnsi="Times New Roman" w:cs="Times New Roman"/>
          <w:sz w:val="28"/>
          <w:szCs w:val="28"/>
        </w:rPr>
        <w:t>c) and (d) of this rule; and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(b) Such redesignation is proposed after consultation with the state(s) in which the Indian Reservation is located and which border the Indian Reservation.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(5) The EPA Administrator shall disapprove, within 90 days of submission, a proposed redesignation of any area only if he finds, after notice and opportunity for public hearing, that such redesignation does not meet the procedural requirements of this paragraph or is inconsistent with OAR 340-204-0050. If any such disapproval occurs, the classification of the area shall be that which was in effect prior to the redesignation which was disapproved.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lastRenderedPageBreak/>
        <w:t xml:space="preserve">(6) If the EPA Administrator disapproves any proposed redesignation, </w:t>
      </w:r>
      <w:del w:id="83" w:author="pcuser" w:date="2012-12-07T09:15:00Z">
        <w:r w:rsidRPr="00D4498B" w:rsidDel="00C4482C">
          <w:rPr>
            <w:rFonts w:ascii="Times New Roman" w:hAnsi="Times New Roman" w:cs="Times New Roman"/>
            <w:sz w:val="28"/>
            <w:szCs w:val="28"/>
          </w:rPr>
          <w:delText>the Department</w:delText>
        </w:r>
      </w:del>
      <w:ins w:id="84" w:author="pcuser" w:date="2012-12-07T09:15:00Z">
        <w:r w:rsidR="00C4482C">
          <w:rPr>
            <w:rFonts w:ascii="Times New Roman" w:hAnsi="Times New Roman" w:cs="Times New Roman"/>
            <w:sz w:val="28"/>
            <w:szCs w:val="28"/>
          </w:rPr>
          <w:t>DEQ</w:t>
        </w:r>
      </w:ins>
      <w:r w:rsidRPr="00D4498B">
        <w:rPr>
          <w:rFonts w:ascii="Times New Roman" w:hAnsi="Times New Roman" w:cs="Times New Roman"/>
          <w:sz w:val="28"/>
          <w:szCs w:val="28"/>
        </w:rPr>
        <w:t xml:space="preserve"> or Indian Governing Body, as appropriate, may resubmit the proposal after correcting the deficiencies noted by the EPA Administrator.</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w:t>
      </w:r>
      <w:r w:rsidRPr="00D4498B">
        <w:rPr>
          <w:rFonts w:ascii="Times New Roman" w:hAnsi="Times New Roman" w:cs="Times New Roman"/>
          <w:b/>
          <w:bCs/>
          <w:sz w:val="28"/>
          <w:szCs w:val="28"/>
        </w:rPr>
        <w:t>NOTE:</w:t>
      </w:r>
      <w:r w:rsidRPr="00D4498B">
        <w:rPr>
          <w:rFonts w:ascii="Times New Roman" w:hAnsi="Times New Roman" w:cs="Times New Roman"/>
          <w:sz w:val="28"/>
          <w:szCs w:val="28"/>
        </w:rPr>
        <w:t> This rule is included in the State of Oregon Clean Air Act Implementation Plan as adopted by the Environmental Quality Commission under OAR 340-200-0040.]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Stat. Auth.: ORS 468 &amp; ORS 468A</w:t>
      </w:r>
      <w:r w:rsidRPr="00D4498B">
        <w:rPr>
          <w:rFonts w:ascii="Times New Roman" w:hAnsi="Times New Roman" w:cs="Times New Roman"/>
          <w:sz w:val="28"/>
          <w:szCs w:val="28"/>
        </w:rPr>
        <w:br/>
        <w:t>Stats. Implemented: ORS 468A.025</w:t>
      </w:r>
      <w:r w:rsidRPr="00D4498B">
        <w:rPr>
          <w:rFonts w:ascii="Times New Roman" w:hAnsi="Times New Roman" w:cs="Times New Roman"/>
          <w:sz w:val="28"/>
          <w:szCs w:val="28"/>
        </w:rPr>
        <w:br/>
        <w:t xml:space="preserve">Hist.: DEQ 18-1979, f. &amp; ef. </w:t>
      </w:r>
      <w:proofErr w:type="gramStart"/>
      <w:r w:rsidRPr="00D4498B">
        <w:rPr>
          <w:rFonts w:ascii="Times New Roman" w:hAnsi="Times New Roman" w:cs="Times New Roman"/>
          <w:sz w:val="28"/>
          <w:szCs w:val="28"/>
        </w:rPr>
        <w:t>6-22-79; DEQ 4-1993,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3-10-93; DEQ 14-1999, f. &amp; cert. ef.</w:t>
      </w:r>
      <w:proofErr w:type="gramEnd"/>
      <w:r w:rsidRPr="00D4498B">
        <w:rPr>
          <w:rFonts w:ascii="Times New Roman" w:hAnsi="Times New Roman" w:cs="Times New Roman"/>
          <w:sz w:val="28"/>
          <w:szCs w:val="28"/>
        </w:rPr>
        <w:t xml:space="preserve"> 10-14-99, Renumbered from 340-031-0130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340-204-0070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Special Control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The following areas are designated as Special Control Areas: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(1) The counties within the Willamette Valley, including Benton, Clackamas, Columbia, Lane, Linn, Marion, Multnomah, Polk, Washington and Yamhill Counties;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(2) Umpqua Basin;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(3) Rogue Basin;</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(4) Within incorporated cities having a population of 4,000 or more, and within three miles of the corporate limits of any such city.</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w:t>
      </w:r>
      <w:r w:rsidRPr="00D4498B">
        <w:rPr>
          <w:rFonts w:ascii="Times New Roman" w:hAnsi="Times New Roman" w:cs="Times New Roman"/>
          <w:b/>
          <w:bCs/>
          <w:sz w:val="28"/>
          <w:szCs w:val="28"/>
        </w:rPr>
        <w:t>NOTE:</w:t>
      </w:r>
      <w:r w:rsidRPr="00D4498B">
        <w:rPr>
          <w:rFonts w:ascii="Times New Roman" w:hAnsi="Times New Roman" w:cs="Times New Roman"/>
          <w:sz w:val="28"/>
          <w:szCs w:val="28"/>
        </w:rPr>
        <w:t> This rule is included in the State of Oregon Clean Air Act Implementation Plan as adopted by the Environmental Quality Commission under OAR 340-200-0040.]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Stat. Auth.: ORS 468 &amp; ORS 468A</w:t>
      </w:r>
      <w:r w:rsidRPr="00D4498B">
        <w:rPr>
          <w:rFonts w:ascii="Times New Roman" w:hAnsi="Times New Roman" w:cs="Times New Roman"/>
          <w:sz w:val="28"/>
          <w:szCs w:val="28"/>
        </w:rPr>
        <w:br/>
        <w:t xml:space="preserve">Stats. </w:t>
      </w:r>
      <w:proofErr w:type="spellStart"/>
      <w:r w:rsidRPr="00D4498B">
        <w:rPr>
          <w:rFonts w:ascii="Times New Roman" w:hAnsi="Times New Roman" w:cs="Times New Roman"/>
          <w:sz w:val="28"/>
          <w:szCs w:val="28"/>
        </w:rPr>
        <w:t>Implemented</w:t>
      </w:r>
      <w:proofErr w:type="gramStart"/>
      <w:r w:rsidRPr="00D4498B">
        <w:rPr>
          <w:rFonts w:ascii="Times New Roman" w:hAnsi="Times New Roman" w:cs="Times New Roman"/>
          <w:sz w:val="28"/>
          <w:szCs w:val="28"/>
        </w:rPr>
        <w:t>:ORS</w:t>
      </w:r>
      <w:proofErr w:type="spellEnd"/>
      <w:proofErr w:type="gramEnd"/>
      <w:r w:rsidRPr="00D4498B">
        <w:rPr>
          <w:rFonts w:ascii="Times New Roman" w:hAnsi="Times New Roman" w:cs="Times New Roman"/>
          <w:sz w:val="28"/>
          <w:szCs w:val="28"/>
        </w:rPr>
        <w:t xml:space="preserve"> 468A.025</w:t>
      </w:r>
      <w:r w:rsidRPr="00D4498B">
        <w:rPr>
          <w:rFonts w:ascii="Times New Roman" w:hAnsi="Times New Roman" w:cs="Times New Roman"/>
          <w:sz w:val="28"/>
          <w:szCs w:val="28"/>
        </w:rPr>
        <w:br/>
        <w:t xml:space="preserve">Hist.: DEQ 16, f. 6-12-70, ef. </w:t>
      </w:r>
      <w:proofErr w:type="gramStart"/>
      <w:r w:rsidRPr="00D4498B">
        <w:rPr>
          <w:rFonts w:ascii="Times New Roman" w:hAnsi="Times New Roman" w:cs="Times New Roman"/>
          <w:sz w:val="28"/>
          <w:szCs w:val="28"/>
        </w:rPr>
        <w:t>7-11-70; DEQ 4-1993,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3-10-93; DEQ 10-1995,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5-1-95; DEQ 14-1999, f. &amp; cert. ef.</w:t>
      </w:r>
      <w:proofErr w:type="gramEnd"/>
      <w:r w:rsidRPr="00D4498B">
        <w:rPr>
          <w:rFonts w:ascii="Times New Roman" w:hAnsi="Times New Roman" w:cs="Times New Roman"/>
          <w:sz w:val="28"/>
          <w:szCs w:val="28"/>
        </w:rPr>
        <w:t xml:space="preserve"> 10-14-99, Renumbered from 340-021-0010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lastRenderedPageBreak/>
        <w:t>340-204-0080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Motor Vehicle Inspection Boundary Designations</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In addition to the area specified in ORS 815.300, pursuant to 468A.390, the following geographical areas are designated as areas within which motor vehicles are subject to the requirement under 815.300 to have a Certificate of Compliance issued pursuant to 468A.380 to be registered or have the registration of the vehicle renewed.</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(1) Portland Vehicle Inspection Area;</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(2) Medford-Ashland AQMA.</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w:t>
      </w:r>
      <w:r w:rsidRPr="00D4498B">
        <w:rPr>
          <w:rFonts w:ascii="Times New Roman" w:hAnsi="Times New Roman" w:cs="Times New Roman"/>
          <w:b/>
          <w:bCs/>
          <w:sz w:val="28"/>
          <w:szCs w:val="28"/>
        </w:rPr>
        <w:t>NOTE:</w:t>
      </w:r>
      <w:r w:rsidRPr="00D4498B">
        <w:rPr>
          <w:rFonts w:ascii="Times New Roman" w:hAnsi="Times New Roman" w:cs="Times New Roman"/>
          <w:sz w:val="28"/>
          <w:szCs w:val="28"/>
        </w:rPr>
        <w:t> This rule is included in the State of Oregon Clean Air Act Implementation Plan as adopted by the Environmental Quality Commission under OAR 340-200-0040.]</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sz w:val="28"/>
          <w:szCs w:val="28"/>
        </w:rPr>
        <w:t>Stat. Auth.: ORS 468.020</w:t>
      </w:r>
      <w:r w:rsidRPr="00D4498B">
        <w:rPr>
          <w:rFonts w:ascii="Times New Roman" w:hAnsi="Times New Roman" w:cs="Times New Roman"/>
          <w:sz w:val="28"/>
          <w:szCs w:val="28"/>
        </w:rPr>
        <w:br/>
        <w:t>Stats. Implemented: ORS 468A.390</w:t>
      </w:r>
      <w:r w:rsidRPr="00D4498B">
        <w:rPr>
          <w:rFonts w:ascii="Times New Roman" w:hAnsi="Times New Roman" w:cs="Times New Roman"/>
          <w:sz w:val="28"/>
          <w:szCs w:val="28"/>
        </w:rPr>
        <w:br/>
        <w:t xml:space="preserve">Hist.: DEQ 11-1985, f. 9-30-85, ef. </w:t>
      </w:r>
      <w:proofErr w:type="gramStart"/>
      <w:r w:rsidRPr="00D4498B">
        <w:rPr>
          <w:rFonts w:ascii="Times New Roman" w:hAnsi="Times New Roman" w:cs="Times New Roman"/>
          <w:sz w:val="28"/>
          <w:szCs w:val="28"/>
        </w:rPr>
        <w:t>1-1-86; DEQ 21-1988,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9-12-88; DEQ 4-1993,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3-10-93; DEQ 1-1995,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1-10-95; DEQ 13-1996,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8-12-96; DEQ 14-1999, f. &amp; cert. ef.</w:t>
      </w:r>
      <w:proofErr w:type="gramEnd"/>
      <w:r w:rsidRPr="00D4498B">
        <w:rPr>
          <w:rFonts w:ascii="Times New Roman" w:hAnsi="Times New Roman" w:cs="Times New Roman"/>
          <w:sz w:val="28"/>
          <w:szCs w:val="28"/>
        </w:rPr>
        <w:t xml:space="preserve"> 10-14-99, Renumbered from 340-024-0301</w:t>
      </w:r>
    </w:p>
    <w:p w:rsidR="00D4498B" w:rsidRPr="00D4498B" w:rsidRDefault="00D4498B" w:rsidP="00D4498B">
      <w:pPr>
        <w:rPr>
          <w:rFonts w:ascii="Times New Roman" w:hAnsi="Times New Roman" w:cs="Times New Roman"/>
          <w:sz w:val="28"/>
          <w:szCs w:val="28"/>
        </w:rPr>
      </w:pPr>
      <w:r w:rsidRPr="00D4498B">
        <w:rPr>
          <w:rFonts w:ascii="Times New Roman" w:hAnsi="Times New Roman" w:cs="Times New Roman"/>
          <w:b/>
          <w:bCs/>
          <w:sz w:val="28"/>
          <w:szCs w:val="28"/>
        </w:rPr>
        <w:t>340-204-0090</w:t>
      </w:r>
    </w:p>
    <w:p w:rsidR="00D4498B" w:rsidRPr="00CD2F84" w:rsidRDefault="00EF0A00" w:rsidP="00D4498B">
      <w:pPr>
        <w:rPr>
          <w:rFonts w:ascii="Times New Roman" w:hAnsi="Times New Roman" w:cs="Times New Roman"/>
          <w:sz w:val="28"/>
          <w:szCs w:val="28"/>
        </w:rPr>
      </w:pPr>
      <w:r w:rsidRPr="00852173">
        <w:rPr>
          <w:rFonts w:ascii="Times New Roman" w:hAnsi="Times New Roman" w:cs="Times New Roman"/>
          <w:b/>
          <w:bCs/>
          <w:sz w:val="28"/>
          <w:szCs w:val="28"/>
        </w:rPr>
        <w:t>Oxygenated Gasoline Control Areas</w:t>
      </w:r>
    </w:p>
    <w:p w:rsidR="00CD2F84" w:rsidRPr="00CD2F84" w:rsidRDefault="006665B6" w:rsidP="00CD2F84">
      <w:pPr>
        <w:rPr>
          <w:ins w:id="85" w:author="jinahar" w:date="2012-12-10T10:17:00Z"/>
          <w:rFonts w:ascii="Times New Roman" w:hAnsi="Times New Roman" w:cs="Times New Roman"/>
          <w:sz w:val="28"/>
          <w:szCs w:val="28"/>
        </w:rPr>
      </w:pPr>
      <w:del w:id="86" w:author="jinahar" w:date="2012-12-10T10:17:00Z">
        <w:r w:rsidRPr="00CD2F84" w:rsidDel="00CD2F84">
          <w:rPr>
            <w:rFonts w:ascii="Times New Roman" w:hAnsi="Times New Roman" w:cs="Times New Roman"/>
            <w:sz w:val="28"/>
            <w:szCs w:val="28"/>
          </w:rPr>
          <w:delText>The following are oxygenated gasoline control areas until October 31, 2007: Clackamas, Multnomah, Washington and Yamhill Counties.</w:delText>
        </w:r>
      </w:del>
      <w:ins w:id="87" w:author="jinahar" w:date="2012-12-10T11:56:00Z">
        <w:r w:rsidR="00814AB5">
          <w:rPr>
            <w:rFonts w:ascii="Times New Roman" w:hAnsi="Times New Roman" w:cs="Times New Roman"/>
            <w:sz w:val="28"/>
            <w:szCs w:val="28"/>
          </w:rPr>
          <w:t>T</w:t>
        </w:r>
      </w:ins>
      <w:ins w:id="88" w:author="jinahar" w:date="2012-12-10T11:54:00Z">
        <w:r w:rsidR="00814AB5">
          <w:rPr>
            <w:rFonts w:ascii="Times New Roman" w:hAnsi="Times New Roman" w:cs="Times New Roman"/>
            <w:sz w:val="28"/>
            <w:szCs w:val="28"/>
          </w:rPr>
          <w:t xml:space="preserve">he requirement to use </w:t>
        </w:r>
      </w:ins>
      <w:ins w:id="89" w:author="jinahar" w:date="2012-12-10T11:46:00Z">
        <w:r w:rsidR="00814AB5" w:rsidRPr="00814AB5">
          <w:rPr>
            <w:rFonts w:ascii="Times New Roman" w:hAnsi="Times New Roman" w:cs="Times New Roman"/>
            <w:sz w:val="28"/>
            <w:szCs w:val="28"/>
          </w:rPr>
          <w:t xml:space="preserve">oxygenated fuel </w:t>
        </w:r>
        <w:r w:rsidR="00814AB5">
          <w:rPr>
            <w:rFonts w:ascii="Times New Roman" w:hAnsi="Times New Roman" w:cs="Times New Roman"/>
            <w:sz w:val="28"/>
            <w:szCs w:val="28"/>
          </w:rPr>
          <w:t>may be</w:t>
        </w:r>
      </w:ins>
      <w:ins w:id="90" w:author="jinahar" w:date="2012-12-10T11:54:00Z">
        <w:r w:rsidR="00814AB5">
          <w:rPr>
            <w:rFonts w:ascii="Times New Roman" w:hAnsi="Times New Roman" w:cs="Times New Roman"/>
            <w:sz w:val="28"/>
            <w:szCs w:val="28"/>
          </w:rPr>
          <w:t xml:space="preserve"> triggered </w:t>
        </w:r>
      </w:ins>
      <w:ins w:id="91" w:author="jinahar" w:date="2012-12-10T11:46:00Z">
        <w:r w:rsidR="00814AB5" w:rsidRPr="00814AB5">
          <w:rPr>
            <w:rFonts w:ascii="Times New Roman" w:hAnsi="Times New Roman" w:cs="Times New Roman"/>
            <w:sz w:val="28"/>
            <w:szCs w:val="28"/>
          </w:rPr>
          <w:t>in the future by the contingency plan provisions of one of Oregon’s CO maintenance plans</w:t>
        </w:r>
      </w:ins>
      <w:ins w:id="92" w:author="jinahar" w:date="2012-12-10T11:56:00Z">
        <w:r w:rsidR="00814AB5">
          <w:rPr>
            <w:rFonts w:ascii="Times New Roman" w:hAnsi="Times New Roman" w:cs="Times New Roman"/>
            <w:sz w:val="28"/>
            <w:szCs w:val="28"/>
          </w:rPr>
          <w:t xml:space="preserve"> </w:t>
        </w:r>
        <w:r w:rsidR="00814AB5" w:rsidRPr="00814AB5">
          <w:rPr>
            <w:rFonts w:ascii="Times New Roman" w:hAnsi="Times New Roman" w:cs="Times New Roman"/>
            <w:sz w:val="28"/>
            <w:szCs w:val="28"/>
          </w:rPr>
          <w:t>adopted by the Environmental Quality Commission</w:t>
        </w:r>
      </w:ins>
      <w:ins w:id="93" w:author="jinahar" w:date="2012-12-11T09:59:00Z">
        <w:r w:rsidR="001F007A">
          <w:rPr>
            <w:rFonts w:ascii="Times New Roman" w:hAnsi="Times New Roman" w:cs="Times New Roman"/>
            <w:sz w:val="28"/>
            <w:szCs w:val="28"/>
          </w:rPr>
          <w:t>.</w:t>
        </w:r>
      </w:ins>
      <w:ins w:id="94" w:author="jinahar" w:date="2012-12-10T11:56:00Z">
        <w:r w:rsidR="00814AB5" w:rsidRPr="00814AB5">
          <w:rPr>
            <w:rFonts w:ascii="Times New Roman" w:hAnsi="Times New Roman" w:cs="Times New Roman"/>
            <w:sz w:val="28"/>
            <w:szCs w:val="28"/>
          </w:rPr>
          <w:t xml:space="preserve"> </w:t>
        </w:r>
      </w:ins>
      <w:ins w:id="95" w:author="jinahar" w:date="2012-12-10T11:55:00Z">
        <w:r w:rsidR="00814AB5">
          <w:rPr>
            <w:rFonts w:ascii="Times New Roman" w:hAnsi="Times New Roman" w:cs="Times New Roman"/>
            <w:sz w:val="28"/>
            <w:szCs w:val="28"/>
          </w:rPr>
          <w:t xml:space="preserve"> </w:t>
        </w:r>
      </w:ins>
    </w:p>
    <w:p w:rsidR="00D4498B" w:rsidRPr="00CD2F84" w:rsidRDefault="00D4498B" w:rsidP="00D4498B">
      <w:pPr>
        <w:rPr>
          <w:rFonts w:ascii="Times New Roman" w:hAnsi="Times New Roman" w:cs="Times New Roman"/>
          <w:sz w:val="28"/>
          <w:szCs w:val="28"/>
        </w:rPr>
      </w:pPr>
    </w:p>
    <w:p w:rsidR="00D4498B" w:rsidRPr="00D4498B" w:rsidRDefault="006665B6" w:rsidP="00D4498B">
      <w:pPr>
        <w:rPr>
          <w:rFonts w:ascii="Times New Roman" w:hAnsi="Times New Roman" w:cs="Times New Roman"/>
          <w:sz w:val="28"/>
          <w:szCs w:val="28"/>
        </w:rPr>
      </w:pPr>
      <w:r w:rsidRPr="00CD2F84">
        <w:rPr>
          <w:rFonts w:ascii="Times New Roman" w:hAnsi="Times New Roman" w:cs="Times New Roman"/>
          <w:sz w:val="28"/>
          <w:szCs w:val="28"/>
        </w:rPr>
        <w:t>[</w:t>
      </w:r>
      <w:r w:rsidRPr="00CD2F84">
        <w:rPr>
          <w:rFonts w:ascii="Times New Roman" w:hAnsi="Times New Roman" w:cs="Times New Roman"/>
          <w:b/>
          <w:bCs/>
          <w:sz w:val="28"/>
          <w:szCs w:val="28"/>
        </w:rPr>
        <w:t>NOTE</w:t>
      </w:r>
      <w:r w:rsidRPr="00CD2F84">
        <w:rPr>
          <w:rFonts w:ascii="Times New Roman" w:hAnsi="Times New Roman" w:cs="Times New Roman"/>
          <w:sz w:val="28"/>
          <w:szCs w:val="28"/>
        </w:rPr>
        <w:t>: This rule is included in the State of Oregon Clean Air Act Implementation Plan as adopted by the Environmental Quality Commission under OAR 340-200-</w:t>
      </w:r>
      <w:r w:rsidR="00D4498B" w:rsidRPr="00D4498B">
        <w:rPr>
          <w:rFonts w:ascii="Times New Roman" w:hAnsi="Times New Roman" w:cs="Times New Roman"/>
          <w:sz w:val="28"/>
          <w:szCs w:val="28"/>
        </w:rPr>
        <w:t>0040.]</w:t>
      </w:r>
    </w:p>
    <w:p w:rsidR="00AF5A86" w:rsidRDefault="00D4498B">
      <w:pPr>
        <w:rPr>
          <w:ins w:id="96" w:author="pcuser" w:date="2012-12-04T09:48:00Z"/>
          <w:rFonts w:ascii="Times New Roman" w:hAnsi="Times New Roman" w:cs="Times New Roman"/>
          <w:sz w:val="28"/>
          <w:szCs w:val="28"/>
        </w:rPr>
      </w:pPr>
      <w:r w:rsidRPr="00D4498B">
        <w:rPr>
          <w:rFonts w:ascii="Times New Roman" w:hAnsi="Times New Roman" w:cs="Times New Roman"/>
          <w:sz w:val="28"/>
          <w:szCs w:val="28"/>
        </w:rPr>
        <w:lastRenderedPageBreak/>
        <w:t>Stat. Auth.: ORS 468 &amp; 468A</w:t>
      </w:r>
      <w:r w:rsidRPr="00D4498B">
        <w:rPr>
          <w:rFonts w:ascii="Times New Roman" w:hAnsi="Times New Roman" w:cs="Times New Roman"/>
          <w:sz w:val="28"/>
          <w:szCs w:val="28"/>
        </w:rPr>
        <w:br/>
        <w:t>Stats. Implemented: ORS 468A.420</w:t>
      </w:r>
      <w:r w:rsidRPr="00D4498B">
        <w:rPr>
          <w:rFonts w:ascii="Times New Roman" w:hAnsi="Times New Roman" w:cs="Times New Roman"/>
          <w:sz w:val="28"/>
          <w:szCs w:val="28"/>
        </w:rPr>
        <w:br/>
        <w:t xml:space="preserve">Hist.: DEQ 25-1992, f. 10-30-92, cert. ef. </w:t>
      </w:r>
      <w:proofErr w:type="gramStart"/>
      <w:r w:rsidRPr="00D4498B">
        <w:rPr>
          <w:rFonts w:ascii="Times New Roman" w:hAnsi="Times New Roman" w:cs="Times New Roman"/>
          <w:sz w:val="28"/>
          <w:szCs w:val="28"/>
        </w:rPr>
        <w:t>11-1-92; DEQ 4-1993,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3-10-93; DEQ 14-1999, f. &amp; cert. ef.</w:t>
      </w:r>
      <w:proofErr w:type="gramEnd"/>
      <w:r w:rsidRPr="00D4498B">
        <w:rPr>
          <w:rFonts w:ascii="Times New Roman" w:hAnsi="Times New Roman" w:cs="Times New Roman"/>
          <w:sz w:val="28"/>
          <w:szCs w:val="28"/>
        </w:rPr>
        <w:t xml:space="preserve"> 10-14-99, Renumbered from 340-022-0470; DEQ 15-1999, f. &amp; cert. ef. </w:t>
      </w:r>
      <w:proofErr w:type="gramStart"/>
      <w:r w:rsidRPr="00D4498B">
        <w:rPr>
          <w:rFonts w:ascii="Times New Roman" w:hAnsi="Times New Roman" w:cs="Times New Roman"/>
          <w:sz w:val="28"/>
          <w:szCs w:val="28"/>
        </w:rPr>
        <w:t>10-22-99; DEQ 16-2000,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10-25-00; DEQ 4-2001, f. &amp; cert. ef.</w:t>
      </w:r>
      <w:proofErr w:type="gramEnd"/>
      <w:r w:rsidRPr="00D4498B">
        <w:rPr>
          <w:rFonts w:ascii="Times New Roman" w:hAnsi="Times New Roman" w:cs="Times New Roman"/>
          <w:sz w:val="28"/>
          <w:szCs w:val="28"/>
        </w:rPr>
        <w:t xml:space="preserve"> </w:t>
      </w:r>
      <w:proofErr w:type="gramStart"/>
      <w:r w:rsidRPr="00D4498B">
        <w:rPr>
          <w:rFonts w:ascii="Times New Roman" w:hAnsi="Times New Roman" w:cs="Times New Roman"/>
          <w:sz w:val="28"/>
          <w:szCs w:val="28"/>
        </w:rPr>
        <w:t>3-27-01; DEQ 10-2004, f. &amp; cert. ef.</w:t>
      </w:r>
      <w:proofErr w:type="gramEnd"/>
      <w:r w:rsidRPr="00D4498B">
        <w:rPr>
          <w:rFonts w:ascii="Times New Roman" w:hAnsi="Times New Roman" w:cs="Times New Roman"/>
          <w:sz w:val="28"/>
          <w:szCs w:val="28"/>
        </w:rPr>
        <w:t xml:space="preserve"> 12-15-04</w:t>
      </w:r>
    </w:p>
    <w:p w:rsidR="00FF104C" w:rsidRDefault="00FF104C">
      <w:pPr>
        <w:rPr>
          <w:ins w:id="97" w:author="pcuser" w:date="2012-12-04T09:48:00Z"/>
          <w:rFonts w:ascii="Times New Roman" w:hAnsi="Times New Roman" w:cs="Times New Roman"/>
          <w:sz w:val="28"/>
          <w:szCs w:val="28"/>
        </w:rPr>
      </w:pPr>
    </w:p>
    <w:p w:rsidR="00FF104C" w:rsidRPr="00CB26A1" w:rsidRDefault="00CB26A1">
      <w:pPr>
        <w:rPr>
          <w:ins w:id="98" w:author="pcuser" w:date="2012-12-06T14:43:00Z"/>
          <w:rFonts w:ascii="Times New Roman" w:hAnsi="Times New Roman" w:cs="Times New Roman"/>
          <w:b/>
          <w:sz w:val="28"/>
          <w:szCs w:val="28"/>
        </w:rPr>
      </w:pPr>
      <w:ins w:id="99" w:author="pcuser" w:date="2012-12-06T14:41:00Z">
        <w:r w:rsidRPr="00CB26A1">
          <w:rPr>
            <w:rFonts w:ascii="Times New Roman" w:hAnsi="Times New Roman" w:cs="Times New Roman"/>
            <w:b/>
            <w:sz w:val="28"/>
            <w:szCs w:val="28"/>
          </w:rPr>
          <w:t>340-204-</w:t>
        </w:r>
      </w:ins>
      <w:ins w:id="100" w:author="pcuser" w:date="2012-12-06T14:42:00Z">
        <w:r w:rsidRPr="00CB26A1">
          <w:rPr>
            <w:rFonts w:ascii="Times New Roman" w:hAnsi="Times New Roman" w:cs="Times New Roman"/>
            <w:b/>
            <w:sz w:val="28"/>
            <w:szCs w:val="28"/>
          </w:rPr>
          <w:t>0300</w:t>
        </w:r>
      </w:ins>
    </w:p>
    <w:p w:rsidR="00CB26A1" w:rsidRPr="00CB26A1" w:rsidRDefault="00CB26A1">
      <w:pPr>
        <w:rPr>
          <w:ins w:id="101" w:author="pcuser" w:date="2012-12-06T14:42:00Z"/>
          <w:rFonts w:ascii="Times New Roman" w:hAnsi="Times New Roman" w:cs="Times New Roman"/>
          <w:b/>
          <w:sz w:val="28"/>
          <w:szCs w:val="28"/>
        </w:rPr>
      </w:pPr>
      <w:ins w:id="102" w:author="pcuser" w:date="2012-12-06T14:43:00Z">
        <w:r w:rsidRPr="00CB26A1">
          <w:rPr>
            <w:rFonts w:ascii="Times New Roman" w:hAnsi="Times New Roman" w:cs="Times New Roman"/>
            <w:b/>
            <w:sz w:val="28"/>
            <w:szCs w:val="28"/>
          </w:rPr>
          <w:t xml:space="preserve">Designation of Potential Nonattainment Areas </w:t>
        </w:r>
      </w:ins>
    </w:p>
    <w:p w:rsidR="00E35829" w:rsidRDefault="00CB26A1" w:rsidP="00CB26A1">
      <w:pPr>
        <w:rPr>
          <w:ins w:id="103" w:author="pcuser" w:date="2012-12-06T14:51:00Z"/>
          <w:rFonts w:ascii="Times New Roman" w:hAnsi="Times New Roman" w:cs="Times New Roman"/>
          <w:sz w:val="28"/>
          <w:szCs w:val="28"/>
        </w:rPr>
      </w:pPr>
      <w:ins w:id="104" w:author="pcuser" w:date="2012-12-06T14:43:00Z">
        <w:r w:rsidRPr="00D4498B">
          <w:rPr>
            <w:rFonts w:ascii="Times New Roman" w:hAnsi="Times New Roman" w:cs="Times New Roman"/>
            <w:sz w:val="28"/>
            <w:szCs w:val="28"/>
          </w:rPr>
          <w:t>(1)</w:t>
        </w:r>
      </w:ins>
      <w:ins w:id="105" w:author="pcuser" w:date="2012-12-06T14:47:00Z">
        <w:r w:rsidR="00E35829">
          <w:rPr>
            <w:rFonts w:ascii="Times New Roman" w:hAnsi="Times New Roman" w:cs="Times New Roman"/>
            <w:sz w:val="28"/>
            <w:szCs w:val="28"/>
          </w:rPr>
          <w:t xml:space="preserve"> EQC may designate potential nonattainment areas </w:t>
        </w:r>
      </w:ins>
      <w:ins w:id="106" w:author="pcuser" w:date="2012-12-06T14:48:00Z">
        <w:r w:rsidR="00E35829">
          <w:rPr>
            <w:rFonts w:ascii="Times New Roman" w:hAnsi="Times New Roman" w:cs="Times New Roman"/>
            <w:sz w:val="28"/>
            <w:szCs w:val="28"/>
          </w:rPr>
          <w:t>provided that</w:t>
        </w:r>
      </w:ins>
      <w:ins w:id="107" w:author="pcuser" w:date="2012-12-06T14:43:00Z">
        <w:r w:rsidRPr="00D4498B">
          <w:rPr>
            <w:rFonts w:ascii="Times New Roman" w:hAnsi="Times New Roman" w:cs="Times New Roman"/>
            <w:sz w:val="28"/>
            <w:szCs w:val="28"/>
          </w:rPr>
          <w:t xml:space="preserve"> </w:t>
        </w:r>
      </w:ins>
      <w:ins w:id="108" w:author="pcuser" w:date="2012-12-06T14:51:00Z">
        <w:r w:rsidR="00E35829">
          <w:rPr>
            <w:rFonts w:ascii="Times New Roman" w:hAnsi="Times New Roman" w:cs="Times New Roman"/>
            <w:sz w:val="28"/>
            <w:szCs w:val="28"/>
          </w:rPr>
          <w:t>DEQ submits a request for designation that includes the following information:</w:t>
        </w:r>
      </w:ins>
    </w:p>
    <w:p w:rsidR="00E35829" w:rsidRDefault="00E35829" w:rsidP="00CB26A1">
      <w:pPr>
        <w:rPr>
          <w:ins w:id="109" w:author="pcuser" w:date="2012-12-06T14:51:00Z"/>
          <w:rFonts w:ascii="Times New Roman" w:hAnsi="Times New Roman" w:cs="Times New Roman"/>
          <w:sz w:val="28"/>
          <w:szCs w:val="28"/>
        </w:rPr>
      </w:pPr>
      <w:ins w:id="110" w:author="pcuser" w:date="2012-12-06T14:51:00Z">
        <w:r>
          <w:rPr>
            <w:rFonts w:ascii="Times New Roman" w:hAnsi="Times New Roman" w:cs="Times New Roman"/>
            <w:sz w:val="28"/>
            <w:szCs w:val="28"/>
          </w:rPr>
          <w:t>(</w:t>
        </w:r>
      </w:ins>
      <w:ins w:id="111" w:author="pcuser" w:date="2012-12-06T14:57:00Z">
        <w:r w:rsidR="00B55589">
          <w:rPr>
            <w:rFonts w:ascii="Times New Roman" w:hAnsi="Times New Roman" w:cs="Times New Roman"/>
            <w:sz w:val="28"/>
            <w:szCs w:val="28"/>
          </w:rPr>
          <w:t>a</w:t>
        </w:r>
      </w:ins>
      <w:ins w:id="112" w:author="pcuser" w:date="2012-12-06T14:51:00Z">
        <w:r>
          <w:rPr>
            <w:rFonts w:ascii="Times New Roman" w:hAnsi="Times New Roman" w:cs="Times New Roman"/>
            <w:sz w:val="28"/>
            <w:szCs w:val="28"/>
          </w:rPr>
          <w:t xml:space="preserve">) monitoring data showing that an area is exceeding or has the potential to exceed an ambient air quality standard; </w:t>
        </w:r>
      </w:ins>
    </w:p>
    <w:p w:rsidR="00E5224C" w:rsidRDefault="00B55589" w:rsidP="00CB26A1">
      <w:pPr>
        <w:rPr>
          <w:ins w:id="113" w:author="pcuser" w:date="2013-01-09T11:56:00Z"/>
          <w:rFonts w:ascii="Times New Roman" w:hAnsi="Times New Roman" w:cs="Times New Roman"/>
          <w:sz w:val="28"/>
          <w:szCs w:val="28"/>
        </w:rPr>
      </w:pPr>
      <w:ins w:id="114" w:author="pcuser" w:date="2012-12-06T14:52:00Z">
        <w:r>
          <w:rPr>
            <w:rFonts w:ascii="Times New Roman" w:hAnsi="Times New Roman" w:cs="Times New Roman"/>
            <w:sz w:val="28"/>
            <w:szCs w:val="28"/>
          </w:rPr>
          <w:t>(</w:t>
        </w:r>
      </w:ins>
      <w:ins w:id="115" w:author="pcuser" w:date="2012-12-06T14:57:00Z">
        <w:r>
          <w:rPr>
            <w:rFonts w:ascii="Times New Roman" w:hAnsi="Times New Roman" w:cs="Times New Roman"/>
            <w:sz w:val="28"/>
            <w:szCs w:val="28"/>
          </w:rPr>
          <w:t>b</w:t>
        </w:r>
      </w:ins>
      <w:ins w:id="116" w:author="pcuser" w:date="2012-12-06T14:52:00Z">
        <w:r w:rsidR="00E35829">
          <w:rPr>
            <w:rFonts w:ascii="Times New Roman" w:hAnsi="Times New Roman" w:cs="Times New Roman"/>
            <w:sz w:val="28"/>
            <w:szCs w:val="28"/>
          </w:rPr>
          <w:t>) a description of the affected ar</w:t>
        </w:r>
        <w:r w:rsidR="0064381C">
          <w:rPr>
            <w:rFonts w:ascii="Times New Roman" w:hAnsi="Times New Roman" w:cs="Times New Roman"/>
            <w:sz w:val="28"/>
            <w:szCs w:val="28"/>
          </w:rPr>
          <w:t>ea based on the monitoring data</w:t>
        </w:r>
      </w:ins>
      <w:ins w:id="117" w:author="pcuser" w:date="2012-12-06T14:55:00Z">
        <w:r w:rsidR="0064381C">
          <w:rPr>
            <w:rFonts w:ascii="Times New Roman" w:hAnsi="Times New Roman" w:cs="Times New Roman"/>
            <w:sz w:val="28"/>
            <w:szCs w:val="28"/>
          </w:rPr>
          <w:t>;</w:t>
        </w:r>
      </w:ins>
    </w:p>
    <w:p w:rsidR="0064381C" w:rsidRDefault="00E5224C" w:rsidP="00CB26A1">
      <w:pPr>
        <w:rPr>
          <w:ins w:id="118" w:author="pcuser" w:date="2012-12-06T14:55:00Z"/>
          <w:rFonts w:ascii="Times New Roman" w:hAnsi="Times New Roman" w:cs="Times New Roman"/>
          <w:sz w:val="28"/>
          <w:szCs w:val="28"/>
        </w:rPr>
      </w:pPr>
      <w:ins w:id="119" w:author="pcuser" w:date="2013-01-09T11:56:00Z">
        <w:r>
          <w:rPr>
            <w:rFonts w:ascii="Times New Roman" w:hAnsi="Times New Roman" w:cs="Times New Roman"/>
            <w:sz w:val="28"/>
            <w:szCs w:val="28"/>
          </w:rPr>
          <w:t>(c) a discussion of the sources contributing to the ambient air quality;</w:t>
        </w:r>
      </w:ins>
      <w:ins w:id="120" w:author="pcuser" w:date="2012-12-06T14:55:00Z">
        <w:r w:rsidR="0064381C">
          <w:rPr>
            <w:rFonts w:ascii="Times New Roman" w:hAnsi="Times New Roman" w:cs="Times New Roman"/>
            <w:sz w:val="28"/>
            <w:szCs w:val="28"/>
          </w:rPr>
          <w:t xml:space="preserve"> and </w:t>
        </w:r>
      </w:ins>
    </w:p>
    <w:p w:rsidR="0064381C" w:rsidRDefault="00B55589" w:rsidP="00CB26A1">
      <w:pPr>
        <w:rPr>
          <w:ins w:id="121" w:author="Preferred Customer" w:date="2013-02-11T14:52:00Z"/>
          <w:rFonts w:ascii="Times New Roman" w:hAnsi="Times New Roman" w:cs="Times New Roman"/>
          <w:sz w:val="28"/>
          <w:szCs w:val="28"/>
        </w:rPr>
      </w:pPr>
      <w:ins w:id="122" w:author="pcuser" w:date="2012-12-06T14:55:00Z">
        <w:r>
          <w:rPr>
            <w:rFonts w:ascii="Times New Roman" w:hAnsi="Times New Roman" w:cs="Times New Roman"/>
            <w:sz w:val="28"/>
            <w:szCs w:val="28"/>
          </w:rPr>
          <w:t>(</w:t>
        </w:r>
      </w:ins>
      <w:ins w:id="123" w:author="pcuser" w:date="2013-01-09T11:57:00Z">
        <w:r w:rsidR="00E5224C">
          <w:rPr>
            <w:rFonts w:ascii="Times New Roman" w:hAnsi="Times New Roman" w:cs="Times New Roman"/>
            <w:sz w:val="28"/>
            <w:szCs w:val="28"/>
          </w:rPr>
          <w:t>d</w:t>
        </w:r>
      </w:ins>
      <w:ins w:id="124" w:author="pcuser" w:date="2012-12-06T14:55:00Z">
        <w:r w:rsidR="0064381C">
          <w:rPr>
            <w:rFonts w:ascii="Times New Roman" w:hAnsi="Times New Roman" w:cs="Times New Roman"/>
            <w:sz w:val="28"/>
            <w:szCs w:val="28"/>
          </w:rPr>
          <w:t xml:space="preserve">) a </w:t>
        </w:r>
      </w:ins>
      <w:ins w:id="125" w:author="pcuser" w:date="2012-12-06T14:43:00Z">
        <w:r w:rsidR="00CB26A1" w:rsidRPr="00D4498B">
          <w:rPr>
            <w:rFonts w:ascii="Times New Roman" w:hAnsi="Times New Roman" w:cs="Times New Roman"/>
            <w:sz w:val="28"/>
            <w:szCs w:val="28"/>
          </w:rPr>
          <w:t>discussion of</w:t>
        </w:r>
        <w:r w:rsidR="00E35829">
          <w:rPr>
            <w:rFonts w:ascii="Times New Roman" w:hAnsi="Times New Roman" w:cs="Times New Roman"/>
            <w:sz w:val="28"/>
            <w:szCs w:val="28"/>
          </w:rPr>
          <w:t xml:space="preserve"> the reasons for the proposed </w:t>
        </w:r>
        <w:r w:rsidR="00CB26A1" w:rsidRPr="00D4498B">
          <w:rPr>
            <w:rFonts w:ascii="Times New Roman" w:hAnsi="Times New Roman" w:cs="Times New Roman"/>
            <w:sz w:val="28"/>
            <w:szCs w:val="28"/>
          </w:rPr>
          <w:t>designation</w:t>
        </w:r>
      </w:ins>
      <w:ins w:id="126" w:author="pcuser" w:date="2012-12-06T14:55:00Z">
        <w:r w:rsidR="0064381C">
          <w:rPr>
            <w:rFonts w:ascii="Times New Roman" w:hAnsi="Times New Roman" w:cs="Times New Roman"/>
            <w:sz w:val="28"/>
            <w:szCs w:val="28"/>
          </w:rPr>
          <w:t xml:space="preserve">.  </w:t>
        </w:r>
      </w:ins>
    </w:p>
    <w:p w:rsidR="0060618B" w:rsidRDefault="0060618B" w:rsidP="00CB26A1">
      <w:pPr>
        <w:rPr>
          <w:ins w:id="127" w:author="pcuser" w:date="2012-12-06T14:59:00Z"/>
          <w:rFonts w:ascii="Times New Roman" w:hAnsi="Times New Roman" w:cs="Times New Roman"/>
          <w:sz w:val="28"/>
          <w:szCs w:val="28"/>
        </w:rPr>
      </w:pPr>
      <w:ins w:id="128" w:author="Preferred Customer" w:date="2013-02-11T14:52:00Z">
        <w:r>
          <w:rPr>
            <w:rFonts w:ascii="Times New Roman" w:hAnsi="Times New Roman" w:cs="Times New Roman"/>
            <w:sz w:val="28"/>
            <w:szCs w:val="28"/>
          </w:rPr>
          <w:t xml:space="preserve">(2) The following </w:t>
        </w:r>
      </w:ins>
      <w:ins w:id="129" w:author="Preferred Customer" w:date="2013-02-11T14:55:00Z">
        <w:r>
          <w:rPr>
            <w:rFonts w:ascii="Times New Roman" w:hAnsi="Times New Roman" w:cs="Times New Roman"/>
            <w:sz w:val="28"/>
            <w:szCs w:val="28"/>
          </w:rPr>
          <w:t>areas</w:t>
        </w:r>
      </w:ins>
      <w:ins w:id="130" w:author="Preferred Customer" w:date="2013-02-11T14:52:00Z">
        <w:r>
          <w:rPr>
            <w:rFonts w:ascii="Times New Roman" w:hAnsi="Times New Roman" w:cs="Times New Roman"/>
            <w:sz w:val="28"/>
            <w:szCs w:val="28"/>
          </w:rPr>
          <w:t xml:space="preserve"> are designated as potential nonattainment areas </w:t>
        </w:r>
      </w:ins>
      <w:ins w:id="131" w:author="Preferred Customer" w:date="2013-02-12T11:02:00Z">
        <w:r w:rsidR="0023107B">
          <w:rPr>
            <w:rFonts w:ascii="Times New Roman" w:hAnsi="Times New Roman" w:cs="Times New Roman"/>
            <w:sz w:val="28"/>
            <w:szCs w:val="28"/>
          </w:rPr>
          <w:t>________</w:t>
        </w:r>
      </w:ins>
    </w:p>
    <w:p w:rsidR="0060618B" w:rsidRDefault="0060618B" w:rsidP="00B55589">
      <w:pPr>
        <w:rPr>
          <w:ins w:id="132" w:author="Preferred Customer" w:date="2013-02-20T14:09:00Z"/>
          <w:rFonts w:ascii="Times New Roman" w:hAnsi="Times New Roman" w:cs="Times New Roman"/>
          <w:sz w:val="28"/>
          <w:szCs w:val="28"/>
        </w:rPr>
      </w:pPr>
      <w:ins w:id="133" w:author="Preferred Customer" w:date="2013-02-11T14:51:00Z">
        <w:r w:rsidRPr="00DB2607">
          <w:rPr>
            <w:rFonts w:ascii="Times New Roman" w:hAnsi="Times New Roman" w:cs="Times New Roman"/>
            <w:sz w:val="28"/>
            <w:szCs w:val="28"/>
          </w:rPr>
          <w:t>(3) The areas designated under 340-204-0030(</w:t>
        </w:r>
      </w:ins>
      <w:ins w:id="134" w:author="Preferred Customer" w:date="2013-02-11T14:56:00Z">
        <w:r>
          <w:rPr>
            <w:rFonts w:ascii="Times New Roman" w:hAnsi="Times New Roman" w:cs="Times New Roman"/>
            <w:sz w:val="28"/>
            <w:szCs w:val="28"/>
          </w:rPr>
          <w:t>2</w:t>
        </w:r>
      </w:ins>
      <w:ins w:id="135" w:author="Preferred Customer" w:date="2013-02-11T14:51:00Z">
        <w:r w:rsidRPr="00DB2607">
          <w:rPr>
            <w:rFonts w:ascii="Times New Roman" w:hAnsi="Times New Roman" w:cs="Times New Roman"/>
            <w:sz w:val="28"/>
            <w:szCs w:val="28"/>
          </w:rPr>
          <w:t>) shall automatically be re</w:t>
        </w:r>
        <w:r>
          <w:rPr>
            <w:rFonts w:ascii="Times New Roman" w:hAnsi="Times New Roman" w:cs="Times New Roman"/>
            <w:sz w:val="28"/>
            <w:szCs w:val="28"/>
          </w:rPr>
          <w:t>classifi</w:t>
        </w:r>
        <w:r w:rsidRPr="00DB2607">
          <w:rPr>
            <w:rFonts w:ascii="Times New Roman" w:hAnsi="Times New Roman" w:cs="Times New Roman"/>
            <w:sz w:val="28"/>
            <w:szCs w:val="28"/>
          </w:rPr>
          <w:t>ed when either EPA officially designates a nonattainment area or when EQC rescinds the designation.</w:t>
        </w:r>
        <w:r>
          <w:rPr>
            <w:rFonts w:ascii="Times New Roman" w:hAnsi="Times New Roman" w:cs="Times New Roman"/>
            <w:sz w:val="28"/>
            <w:szCs w:val="28"/>
          </w:rPr>
          <w:t xml:space="preserve">  </w:t>
        </w:r>
      </w:ins>
    </w:p>
    <w:p w:rsidR="00196888" w:rsidRPr="00D4498B" w:rsidRDefault="00196888" w:rsidP="00196888">
      <w:pPr>
        <w:rPr>
          <w:ins w:id="136" w:author="Preferred Customer" w:date="2013-02-20T14:09:00Z"/>
          <w:rFonts w:ascii="Times New Roman" w:hAnsi="Times New Roman" w:cs="Times New Roman"/>
          <w:sz w:val="28"/>
          <w:szCs w:val="28"/>
        </w:rPr>
      </w:pPr>
      <w:ins w:id="137" w:author="Preferred Customer" w:date="2013-02-20T14:09:00Z">
        <w:r w:rsidRPr="00CD2F84">
          <w:rPr>
            <w:rFonts w:ascii="Times New Roman" w:hAnsi="Times New Roman" w:cs="Times New Roman"/>
            <w:sz w:val="28"/>
            <w:szCs w:val="28"/>
          </w:rPr>
          <w:t>[</w:t>
        </w:r>
        <w:r w:rsidRPr="00CD2F84">
          <w:rPr>
            <w:rFonts w:ascii="Times New Roman" w:hAnsi="Times New Roman" w:cs="Times New Roman"/>
            <w:b/>
            <w:bCs/>
            <w:sz w:val="28"/>
            <w:szCs w:val="28"/>
          </w:rPr>
          <w:t>NOTE</w:t>
        </w:r>
        <w:r w:rsidRPr="00CD2F84">
          <w:rPr>
            <w:rFonts w:ascii="Times New Roman" w:hAnsi="Times New Roman" w:cs="Times New Roman"/>
            <w:sz w:val="28"/>
            <w:szCs w:val="28"/>
          </w:rPr>
          <w:t>: This rule is included in the State of Oregon Clean Air Act Implementation Plan as adopted by the Environmental Quality Commission under OAR 340-200-</w:t>
        </w:r>
        <w:r w:rsidRPr="00D4498B">
          <w:rPr>
            <w:rFonts w:ascii="Times New Roman" w:hAnsi="Times New Roman" w:cs="Times New Roman"/>
            <w:sz w:val="28"/>
            <w:szCs w:val="28"/>
          </w:rPr>
          <w:t>0040.]</w:t>
        </w:r>
      </w:ins>
    </w:p>
    <w:p w:rsidR="00196888" w:rsidRDefault="00196888" w:rsidP="00B55589">
      <w:pPr>
        <w:rPr>
          <w:ins w:id="138" w:author="Preferred Customer" w:date="2013-02-12T11:03:00Z"/>
          <w:rFonts w:ascii="Times New Roman" w:hAnsi="Times New Roman" w:cs="Times New Roman"/>
          <w:sz w:val="28"/>
          <w:szCs w:val="28"/>
        </w:rPr>
      </w:pPr>
    </w:p>
    <w:p w:rsidR="0060618B" w:rsidRPr="00CB26A1" w:rsidRDefault="0060618B" w:rsidP="0060618B">
      <w:pPr>
        <w:rPr>
          <w:ins w:id="139" w:author="Preferred Customer" w:date="2013-02-11T14:48:00Z"/>
          <w:rFonts w:ascii="Times New Roman" w:hAnsi="Times New Roman" w:cs="Times New Roman"/>
          <w:b/>
          <w:sz w:val="28"/>
          <w:szCs w:val="28"/>
        </w:rPr>
      </w:pPr>
      <w:ins w:id="140" w:author="Preferred Customer" w:date="2013-02-11T14:48:00Z">
        <w:r w:rsidRPr="00CB26A1">
          <w:rPr>
            <w:rFonts w:ascii="Times New Roman" w:hAnsi="Times New Roman" w:cs="Times New Roman"/>
            <w:b/>
            <w:sz w:val="28"/>
            <w:szCs w:val="28"/>
          </w:rPr>
          <w:t>340-204-</w:t>
        </w:r>
        <w:r>
          <w:rPr>
            <w:rFonts w:ascii="Times New Roman" w:hAnsi="Times New Roman" w:cs="Times New Roman"/>
            <w:b/>
            <w:sz w:val="28"/>
            <w:szCs w:val="28"/>
          </w:rPr>
          <w:t>0310</w:t>
        </w:r>
      </w:ins>
    </w:p>
    <w:p w:rsidR="0060618B" w:rsidRPr="00CB26A1" w:rsidRDefault="0060618B" w:rsidP="0060618B">
      <w:pPr>
        <w:rPr>
          <w:ins w:id="141" w:author="Preferred Customer" w:date="2013-02-11T14:48:00Z"/>
          <w:rFonts w:ascii="Times New Roman" w:hAnsi="Times New Roman" w:cs="Times New Roman"/>
          <w:b/>
          <w:sz w:val="28"/>
          <w:szCs w:val="28"/>
        </w:rPr>
      </w:pPr>
      <w:ins w:id="142" w:author="Preferred Customer" w:date="2013-02-11T14:48:00Z">
        <w:r w:rsidRPr="00CB26A1">
          <w:rPr>
            <w:rFonts w:ascii="Times New Roman" w:hAnsi="Times New Roman" w:cs="Times New Roman"/>
            <w:b/>
            <w:sz w:val="28"/>
            <w:szCs w:val="28"/>
          </w:rPr>
          <w:t>Designation of Transition</w:t>
        </w:r>
        <w:r>
          <w:rPr>
            <w:rFonts w:ascii="Times New Roman" w:hAnsi="Times New Roman" w:cs="Times New Roman"/>
            <w:b/>
            <w:sz w:val="28"/>
            <w:szCs w:val="28"/>
          </w:rPr>
          <w:t>al</w:t>
        </w:r>
        <w:r w:rsidRPr="00CB26A1">
          <w:rPr>
            <w:rFonts w:ascii="Times New Roman" w:hAnsi="Times New Roman" w:cs="Times New Roman"/>
            <w:b/>
            <w:sz w:val="28"/>
            <w:szCs w:val="28"/>
          </w:rPr>
          <w:t xml:space="preserve"> Areas</w:t>
        </w:r>
      </w:ins>
    </w:p>
    <w:p w:rsidR="0060618B" w:rsidRDefault="0060618B" w:rsidP="00B55589">
      <w:pPr>
        <w:rPr>
          <w:ins w:id="143" w:author="Preferred Customer" w:date="2013-02-11T14:48:00Z"/>
          <w:rFonts w:ascii="Times New Roman" w:hAnsi="Times New Roman" w:cs="Times New Roman"/>
          <w:sz w:val="28"/>
          <w:szCs w:val="28"/>
        </w:rPr>
      </w:pPr>
    </w:p>
    <w:p w:rsidR="00B55589" w:rsidRDefault="00B55589" w:rsidP="00B55589">
      <w:pPr>
        <w:rPr>
          <w:ins w:id="144" w:author="pcuser" w:date="2012-12-06T14:58:00Z"/>
          <w:rFonts w:ascii="Times New Roman" w:hAnsi="Times New Roman" w:cs="Times New Roman"/>
          <w:sz w:val="28"/>
          <w:szCs w:val="28"/>
        </w:rPr>
      </w:pPr>
      <w:ins w:id="145" w:author="pcuser" w:date="2012-12-06T14:50:00Z">
        <w:r>
          <w:rPr>
            <w:rFonts w:ascii="Times New Roman" w:hAnsi="Times New Roman" w:cs="Times New Roman"/>
            <w:sz w:val="28"/>
            <w:szCs w:val="28"/>
          </w:rPr>
          <w:lastRenderedPageBreak/>
          <w:t>(</w:t>
        </w:r>
      </w:ins>
      <w:ins w:id="146" w:author="Preferred Customer" w:date="2013-02-11T14:49:00Z">
        <w:r w:rsidR="0060618B">
          <w:rPr>
            <w:rFonts w:ascii="Times New Roman" w:hAnsi="Times New Roman" w:cs="Times New Roman"/>
            <w:sz w:val="28"/>
            <w:szCs w:val="28"/>
          </w:rPr>
          <w:t>1</w:t>
        </w:r>
      </w:ins>
      <w:ins w:id="147" w:author="pcuser" w:date="2012-12-06T14:50:00Z">
        <w:r w:rsidR="00E35829" w:rsidRPr="00D4498B">
          <w:rPr>
            <w:rFonts w:ascii="Times New Roman" w:hAnsi="Times New Roman" w:cs="Times New Roman"/>
            <w:sz w:val="28"/>
            <w:szCs w:val="28"/>
          </w:rPr>
          <w:t>)</w:t>
        </w:r>
        <w:r w:rsidR="00E35829">
          <w:rPr>
            <w:rFonts w:ascii="Times New Roman" w:hAnsi="Times New Roman" w:cs="Times New Roman"/>
            <w:sz w:val="28"/>
            <w:szCs w:val="28"/>
          </w:rPr>
          <w:t xml:space="preserve"> EQC may designate transitional areas provided </w:t>
        </w:r>
      </w:ins>
      <w:ins w:id="148" w:author="pcuser" w:date="2012-12-06T14:58:00Z">
        <w:r>
          <w:rPr>
            <w:rFonts w:ascii="Times New Roman" w:hAnsi="Times New Roman" w:cs="Times New Roman"/>
            <w:sz w:val="28"/>
            <w:szCs w:val="28"/>
          </w:rPr>
          <w:t>that</w:t>
        </w:r>
        <w:r w:rsidRPr="00D4498B">
          <w:rPr>
            <w:rFonts w:ascii="Times New Roman" w:hAnsi="Times New Roman" w:cs="Times New Roman"/>
            <w:sz w:val="28"/>
            <w:szCs w:val="28"/>
          </w:rPr>
          <w:t xml:space="preserve"> </w:t>
        </w:r>
        <w:r>
          <w:rPr>
            <w:rFonts w:ascii="Times New Roman" w:hAnsi="Times New Roman" w:cs="Times New Roman"/>
            <w:sz w:val="28"/>
            <w:szCs w:val="28"/>
          </w:rPr>
          <w:t>DEQ submits a request for designation that includes the following information:</w:t>
        </w:r>
      </w:ins>
    </w:p>
    <w:p w:rsidR="0060618B" w:rsidRDefault="00B55589" w:rsidP="00B55589">
      <w:pPr>
        <w:rPr>
          <w:ins w:id="149" w:author="Preferred Customer" w:date="2013-02-11T14:50:00Z"/>
          <w:rFonts w:ascii="Times New Roman" w:hAnsi="Times New Roman" w:cs="Times New Roman"/>
          <w:sz w:val="28"/>
          <w:szCs w:val="28"/>
        </w:rPr>
      </w:pPr>
      <w:ins w:id="150" w:author="pcuser" w:date="2012-12-06T14:58:00Z">
        <w:r>
          <w:rPr>
            <w:rFonts w:ascii="Times New Roman" w:hAnsi="Times New Roman" w:cs="Times New Roman"/>
            <w:sz w:val="28"/>
            <w:szCs w:val="28"/>
          </w:rPr>
          <w:t xml:space="preserve">(a) </w:t>
        </w:r>
        <w:proofErr w:type="gramStart"/>
        <w:r>
          <w:rPr>
            <w:rFonts w:ascii="Times New Roman" w:hAnsi="Times New Roman" w:cs="Times New Roman"/>
            <w:sz w:val="28"/>
            <w:szCs w:val="28"/>
          </w:rPr>
          <w:t>monitoring</w:t>
        </w:r>
        <w:proofErr w:type="gramEnd"/>
        <w:r>
          <w:rPr>
            <w:rFonts w:ascii="Times New Roman" w:hAnsi="Times New Roman" w:cs="Times New Roman"/>
            <w:sz w:val="28"/>
            <w:szCs w:val="28"/>
          </w:rPr>
          <w:t xml:space="preserve"> data showing that an area </w:t>
        </w:r>
      </w:ins>
      <w:ins w:id="151" w:author="Preferred Customer" w:date="2013-02-11T14:50:00Z">
        <w:r w:rsidR="0060618B">
          <w:rPr>
            <w:rFonts w:ascii="Times New Roman" w:hAnsi="Times New Roman" w:cs="Times New Roman"/>
            <w:sz w:val="28"/>
            <w:szCs w:val="28"/>
          </w:rPr>
          <w:t xml:space="preserve">that is currently designated by EPA as nonattainment </w:t>
        </w:r>
      </w:ins>
      <w:ins w:id="152" w:author="pcuser" w:date="2012-12-06T14:58:00Z">
        <w:r>
          <w:rPr>
            <w:rFonts w:ascii="Times New Roman" w:hAnsi="Times New Roman" w:cs="Times New Roman"/>
            <w:sz w:val="28"/>
            <w:szCs w:val="28"/>
          </w:rPr>
          <w:t xml:space="preserve">is attaining an ambient air quality standard; </w:t>
        </w:r>
      </w:ins>
    </w:p>
    <w:p w:rsidR="00B55589" w:rsidRDefault="0060618B" w:rsidP="00B55589">
      <w:pPr>
        <w:rPr>
          <w:ins w:id="153" w:author="pcuser" w:date="2012-12-06T14:58:00Z"/>
          <w:rFonts w:ascii="Times New Roman" w:hAnsi="Times New Roman" w:cs="Times New Roman"/>
          <w:sz w:val="28"/>
          <w:szCs w:val="28"/>
        </w:rPr>
      </w:pPr>
      <w:ins w:id="154" w:author="Preferred Customer" w:date="2013-02-11T14:50:00Z">
        <w:r>
          <w:rPr>
            <w:rFonts w:ascii="Times New Roman" w:hAnsi="Times New Roman" w:cs="Times New Roman"/>
            <w:sz w:val="28"/>
            <w:szCs w:val="28"/>
          </w:rPr>
          <w:t xml:space="preserve">(b)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description of the </w:t>
        </w:r>
      </w:ins>
      <w:ins w:id="155" w:author="Preferred Customer" w:date="2013-02-11T14:51:00Z">
        <w:r>
          <w:rPr>
            <w:rFonts w:ascii="Times New Roman" w:hAnsi="Times New Roman" w:cs="Times New Roman"/>
            <w:sz w:val="28"/>
            <w:szCs w:val="28"/>
          </w:rPr>
          <w:t xml:space="preserve">proposed </w:t>
        </w:r>
      </w:ins>
      <w:ins w:id="156" w:author="Preferred Customer" w:date="2013-02-11T14:50:00Z">
        <w:r>
          <w:rPr>
            <w:rFonts w:ascii="Times New Roman" w:hAnsi="Times New Roman" w:cs="Times New Roman"/>
            <w:sz w:val="28"/>
            <w:szCs w:val="28"/>
          </w:rPr>
          <w:t>area based on the monitoring data;</w:t>
        </w:r>
      </w:ins>
      <w:ins w:id="157" w:author="Preferred Customer" w:date="2013-02-11T14:51:00Z">
        <w:r>
          <w:rPr>
            <w:rFonts w:ascii="Times New Roman" w:hAnsi="Times New Roman" w:cs="Times New Roman"/>
            <w:sz w:val="28"/>
            <w:szCs w:val="28"/>
          </w:rPr>
          <w:t xml:space="preserve"> </w:t>
        </w:r>
      </w:ins>
      <w:ins w:id="158" w:author="pcuser" w:date="2012-12-06T14:58:00Z">
        <w:r w:rsidR="00B55589">
          <w:rPr>
            <w:rFonts w:ascii="Times New Roman" w:hAnsi="Times New Roman" w:cs="Times New Roman"/>
            <w:sz w:val="28"/>
            <w:szCs w:val="28"/>
          </w:rPr>
          <w:t xml:space="preserve">and </w:t>
        </w:r>
      </w:ins>
    </w:p>
    <w:p w:rsidR="00B55589" w:rsidRDefault="00B55589" w:rsidP="00B55589">
      <w:pPr>
        <w:rPr>
          <w:ins w:id="159" w:author="Preferred Customer" w:date="2013-02-11T14:55:00Z"/>
          <w:rFonts w:ascii="Times New Roman" w:hAnsi="Times New Roman" w:cs="Times New Roman"/>
          <w:sz w:val="28"/>
          <w:szCs w:val="28"/>
        </w:rPr>
      </w:pPr>
      <w:ins w:id="160" w:author="pcuser" w:date="2012-12-06T14:58:00Z">
        <w:r>
          <w:rPr>
            <w:rFonts w:ascii="Times New Roman" w:hAnsi="Times New Roman" w:cs="Times New Roman"/>
            <w:sz w:val="28"/>
            <w:szCs w:val="28"/>
          </w:rPr>
          <w:t>(</w:t>
        </w:r>
      </w:ins>
      <w:ins w:id="161" w:author="Preferred Customer" w:date="2013-02-11T14:51:00Z">
        <w:r w:rsidR="0060618B">
          <w:rPr>
            <w:rFonts w:ascii="Times New Roman" w:hAnsi="Times New Roman" w:cs="Times New Roman"/>
            <w:sz w:val="28"/>
            <w:szCs w:val="28"/>
          </w:rPr>
          <w:t>c</w:t>
        </w:r>
      </w:ins>
      <w:ins w:id="162" w:author="pcuser" w:date="2012-12-06T14:58:00Z">
        <w:r>
          <w:rPr>
            <w:rFonts w:ascii="Times New Roman" w:hAnsi="Times New Roman" w:cs="Times New Roman"/>
            <w:sz w:val="28"/>
            <w:szCs w:val="28"/>
          </w:rPr>
          <w:t xml:space="preserve">)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w:t>
        </w:r>
        <w:r w:rsidRPr="00D4498B">
          <w:rPr>
            <w:rFonts w:ascii="Times New Roman" w:hAnsi="Times New Roman" w:cs="Times New Roman"/>
            <w:sz w:val="28"/>
            <w:szCs w:val="28"/>
          </w:rPr>
          <w:t>discussion of</w:t>
        </w:r>
        <w:r>
          <w:rPr>
            <w:rFonts w:ascii="Times New Roman" w:hAnsi="Times New Roman" w:cs="Times New Roman"/>
            <w:sz w:val="28"/>
            <w:szCs w:val="28"/>
          </w:rPr>
          <w:t xml:space="preserve"> the reasons for the proposed </w:t>
        </w:r>
        <w:r w:rsidRPr="00D4498B">
          <w:rPr>
            <w:rFonts w:ascii="Times New Roman" w:hAnsi="Times New Roman" w:cs="Times New Roman"/>
            <w:sz w:val="28"/>
            <w:szCs w:val="28"/>
          </w:rPr>
          <w:t>designation</w:t>
        </w:r>
        <w:r>
          <w:rPr>
            <w:rFonts w:ascii="Times New Roman" w:hAnsi="Times New Roman" w:cs="Times New Roman"/>
            <w:sz w:val="28"/>
            <w:szCs w:val="28"/>
          </w:rPr>
          <w:t xml:space="preserve">.  </w:t>
        </w:r>
      </w:ins>
    </w:p>
    <w:p w:rsidR="0060618B" w:rsidRDefault="0060618B" w:rsidP="0060618B">
      <w:pPr>
        <w:rPr>
          <w:ins w:id="163" w:author="Preferred Customer" w:date="2013-02-11T14:55:00Z"/>
          <w:rFonts w:ascii="Times New Roman" w:hAnsi="Times New Roman" w:cs="Times New Roman"/>
          <w:sz w:val="28"/>
          <w:szCs w:val="28"/>
        </w:rPr>
      </w:pPr>
      <w:ins w:id="164" w:author="Preferred Customer" w:date="2013-02-11T14:55:00Z">
        <w:r>
          <w:rPr>
            <w:rFonts w:ascii="Times New Roman" w:hAnsi="Times New Roman" w:cs="Times New Roman"/>
            <w:sz w:val="28"/>
            <w:szCs w:val="28"/>
          </w:rPr>
          <w:t xml:space="preserve">(2) The following areas are designated as transitional </w:t>
        </w:r>
        <w:proofErr w:type="gramStart"/>
        <w:r>
          <w:rPr>
            <w:rFonts w:ascii="Times New Roman" w:hAnsi="Times New Roman" w:cs="Times New Roman"/>
            <w:sz w:val="28"/>
            <w:szCs w:val="28"/>
          </w:rPr>
          <w:t>areas ???</w:t>
        </w:r>
        <w:proofErr w:type="gramEnd"/>
        <w:r>
          <w:rPr>
            <w:rFonts w:ascii="Times New Roman" w:hAnsi="Times New Roman" w:cs="Times New Roman"/>
            <w:sz w:val="28"/>
            <w:szCs w:val="28"/>
          </w:rPr>
          <w:t xml:space="preserve"> </w:t>
        </w:r>
      </w:ins>
    </w:p>
    <w:p w:rsidR="00FF104C" w:rsidRDefault="006B7728" w:rsidP="00DB2607">
      <w:pPr>
        <w:rPr>
          <w:ins w:id="165" w:author="Preferred Customer" w:date="2013-02-20T14:09:00Z"/>
          <w:rFonts w:ascii="Times New Roman" w:hAnsi="Times New Roman" w:cs="Times New Roman"/>
          <w:sz w:val="28"/>
          <w:szCs w:val="28"/>
        </w:rPr>
      </w:pPr>
      <w:ins w:id="166" w:author="pcuser" w:date="2012-12-06T14:59:00Z">
        <w:r w:rsidRPr="00DB2607">
          <w:rPr>
            <w:rFonts w:ascii="Times New Roman" w:hAnsi="Times New Roman" w:cs="Times New Roman"/>
            <w:sz w:val="28"/>
            <w:szCs w:val="28"/>
          </w:rPr>
          <w:t>(</w:t>
        </w:r>
      </w:ins>
      <w:ins w:id="167" w:author="pcuser" w:date="2012-12-07T10:59:00Z">
        <w:r w:rsidR="00DB2607" w:rsidRPr="00DB2607">
          <w:rPr>
            <w:rFonts w:ascii="Times New Roman" w:hAnsi="Times New Roman" w:cs="Times New Roman"/>
            <w:sz w:val="28"/>
            <w:szCs w:val="28"/>
          </w:rPr>
          <w:t>3</w:t>
        </w:r>
      </w:ins>
      <w:ins w:id="168" w:author="pcuser" w:date="2012-12-06T14:59:00Z">
        <w:r w:rsidR="009505A1" w:rsidRPr="00DB2607">
          <w:rPr>
            <w:rFonts w:ascii="Times New Roman" w:hAnsi="Times New Roman" w:cs="Times New Roman"/>
            <w:sz w:val="28"/>
            <w:szCs w:val="28"/>
          </w:rPr>
          <w:t xml:space="preserve">) The areas designated under </w:t>
        </w:r>
      </w:ins>
      <w:ins w:id="169" w:author="pcuser" w:date="2012-12-06T15:00:00Z">
        <w:r w:rsidR="009505A1" w:rsidRPr="00DB2607">
          <w:rPr>
            <w:rFonts w:ascii="Times New Roman" w:hAnsi="Times New Roman" w:cs="Times New Roman"/>
            <w:sz w:val="28"/>
            <w:szCs w:val="28"/>
          </w:rPr>
          <w:t>340-204-003</w:t>
        </w:r>
      </w:ins>
      <w:ins w:id="170" w:author="Preferred Customer" w:date="2013-02-12T07:14:00Z">
        <w:r w:rsidR="00CF3DE5">
          <w:rPr>
            <w:rFonts w:ascii="Times New Roman" w:hAnsi="Times New Roman" w:cs="Times New Roman"/>
            <w:sz w:val="28"/>
            <w:szCs w:val="28"/>
          </w:rPr>
          <w:t>1</w:t>
        </w:r>
      </w:ins>
      <w:ins w:id="171" w:author="pcuser" w:date="2012-12-06T14:59:00Z">
        <w:r w:rsidR="009505A1" w:rsidRPr="00DB2607">
          <w:rPr>
            <w:rFonts w:ascii="Times New Roman" w:hAnsi="Times New Roman" w:cs="Times New Roman"/>
            <w:sz w:val="28"/>
            <w:szCs w:val="28"/>
          </w:rPr>
          <w:t>(</w:t>
        </w:r>
      </w:ins>
      <w:ins w:id="172" w:author="Preferred Customer" w:date="2013-02-11T14:56:00Z">
        <w:r w:rsidR="0060618B">
          <w:rPr>
            <w:rFonts w:ascii="Times New Roman" w:hAnsi="Times New Roman" w:cs="Times New Roman"/>
            <w:sz w:val="28"/>
            <w:szCs w:val="28"/>
          </w:rPr>
          <w:t>2</w:t>
        </w:r>
      </w:ins>
      <w:proofErr w:type="gramStart"/>
      <w:ins w:id="173" w:author="pcuser" w:date="2012-12-06T14:59:00Z">
        <w:r w:rsidR="009505A1" w:rsidRPr="00DB2607">
          <w:rPr>
            <w:rFonts w:ascii="Times New Roman" w:hAnsi="Times New Roman" w:cs="Times New Roman"/>
            <w:sz w:val="28"/>
            <w:szCs w:val="28"/>
          </w:rPr>
          <w:t xml:space="preserve">)  </w:t>
        </w:r>
      </w:ins>
      <w:ins w:id="174" w:author="pcuser" w:date="2012-12-06T15:02:00Z">
        <w:r w:rsidR="009505A1" w:rsidRPr="00DB2607">
          <w:rPr>
            <w:rFonts w:ascii="Times New Roman" w:hAnsi="Times New Roman" w:cs="Times New Roman"/>
            <w:sz w:val="28"/>
            <w:szCs w:val="28"/>
          </w:rPr>
          <w:t>shall</w:t>
        </w:r>
        <w:proofErr w:type="gramEnd"/>
        <w:r w:rsidR="009505A1" w:rsidRPr="00DB2607">
          <w:rPr>
            <w:rFonts w:ascii="Times New Roman" w:hAnsi="Times New Roman" w:cs="Times New Roman"/>
            <w:sz w:val="28"/>
            <w:szCs w:val="28"/>
          </w:rPr>
          <w:t xml:space="preserve"> automatically be re</w:t>
        </w:r>
      </w:ins>
      <w:ins w:id="175" w:author="pcuser" w:date="2012-12-07T11:02:00Z">
        <w:r w:rsidR="00DB2607">
          <w:rPr>
            <w:rFonts w:ascii="Times New Roman" w:hAnsi="Times New Roman" w:cs="Times New Roman"/>
            <w:sz w:val="28"/>
            <w:szCs w:val="28"/>
          </w:rPr>
          <w:t>classifi</w:t>
        </w:r>
      </w:ins>
      <w:ins w:id="176" w:author="pcuser" w:date="2012-12-06T15:02:00Z">
        <w:r w:rsidR="009505A1" w:rsidRPr="00DB2607">
          <w:rPr>
            <w:rFonts w:ascii="Times New Roman" w:hAnsi="Times New Roman" w:cs="Times New Roman"/>
            <w:sz w:val="28"/>
            <w:szCs w:val="28"/>
          </w:rPr>
          <w:t xml:space="preserve">ed </w:t>
        </w:r>
      </w:ins>
      <w:ins w:id="177" w:author="pcuser" w:date="2012-12-07T09:11:00Z">
        <w:r w:rsidR="00C4482C" w:rsidRPr="00DB2607">
          <w:rPr>
            <w:rFonts w:ascii="Times New Roman" w:hAnsi="Times New Roman" w:cs="Times New Roman"/>
            <w:sz w:val="28"/>
            <w:szCs w:val="28"/>
          </w:rPr>
          <w:t xml:space="preserve">when </w:t>
        </w:r>
      </w:ins>
      <w:ins w:id="178" w:author="pcuser" w:date="2012-12-06T15:00:00Z">
        <w:r w:rsidR="009505A1" w:rsidRPr="00DB2607">
          <w:rPr>
            <w:rFonts w:ascii="Times New Roman" w:hAnsi="Times New Roman" w:cs="Times New Roman"/>
            <w:sz w:val="28"/>
            <w:szCs w:val="28"/>
          </w:rPr>
          <w:t xml:space="preserve">either EPA officially designates </w:t>
        </w:r>
      </w:ins>
      <w:ins w:id="179" w:author="pcuser" w:date="2012-12-07T09:12:00Z">
        <w:r w:rsidR="00C4482C" w:rsidRPr="00DB2607">
          <w:rPr>
            <w:rFonts w:ascii="Times New Roman" w:hAnsi="Times New Roman" w:cs="Times New Roman"/>
            <w:sz w:val="28"/>
            <w:szCs w:val="28"/>
          </w:rPr>
          <w:t xml:space="preserve">a </w:t>
        </w:r>
        <w:r w:rsidR="00DB2607" w:rsidRPr="00DB2607">
          <w:rPr>
            <w:rFonts w:ascii="Times New Roman" w:hAnsi="Times New Roman" w:cs="Times New Roman"/>
            <w:sz w:val="28"/>
            <w:szCs w:val="28"/>
          </w:rPr>
          <w:t>maintenance area</w:t>
        </w:r>
      </w:ins>
      <w:ins w:id="180" w:author="pcuser" w:date="2012-12-07T11:00:00Z">
        <w:r w:rsidR="00DB2607" w:rsidRPr="00DB2607">
          <w:rPr>
            <w:rFonts w:ascii="Times New Roman" w:hAnsi="Times New Roman" w:cs="Times New Roman"/>
            <w:sz w:val="28"/>
            <w:szCs w:val="28"/>
          </w:rPr>
          <w:t xml:space="preserve"> or </w:t>
        </w:r>
      </w:ins>
      <w:ins w:id="181" w:author="pcuser" w:date="2012-12-07T09:12:00Z">
        <w:r w:rsidR="00C4482C" w:rsidRPr="00DB2607">
          <w:rPr>
            <w:rFonts w:ascii="Times New Roman" w:hAnsi="Times New Roman" w:cs="Times New Roman"/>
            <w:sz w:val="28"/>
            <w:szCs w:val="28"/>
          </w:rPr>
          <w:t xml:space="preserve">when </w:t>
        </w:r>
      </w:ins>
      <w:ins w:id="182" w:author="pcuser" w:date="2012-12-06T15:00:00Z">
        <w:r w:rsidR="009505A1" w:rsidRPr="00DB2607">
          <w:rPr>
            <w:rFonts w:ascii="Times New Roman" w:hAnsi="Times New Roman" w:cs="Times New Roman"/>
            <w:sz w:val="28"/>
            <w:szCs w:val="28"/>
          </w:rPr>
          <w:t>EQC rescinds the designation.</w:t>
        </w:r>
        <w:r w:rsidR="00901433">
          <w:rPr>
            <w:rFonts w:ascii="Times New Roman" w:hAnsi="Times New Roman" w:cs="Times New Roman"/>
            <w:sz w:val="28"/>
            <w:szCs w:val="28"/>
          </w:rPr>
          <w:t xml:space="preserve">  </w:t>
        </w:r>
      </w:ins>
    </w:p>
    <w:p w:rsidR="00196888" w:rsidRPr="00D4498B" w:rsidRDefault="00196888" w:rsidP="00196888">
      <w:pPr>
        <w:rPr>
          <w:ins w:id="183" w:author="Preferred Customer" w:date="2013-02-20T14:09:00Z"/>
          <w:rFonts w:ascii="Times New Roman" w:hAnsi="Times New Roman" w:cs="Times New Roman"/>
          <w:sz w:val="28"/>
          <w:szCs w:val="28"/>
        </w:rPr>
      </w:pPr>
      <w:ins w:id="184" w:author="Preferred Customer" w:date="2013-02-20T14:09:00Z">
        <w:r w:rsidRPr="00CD2F84">
          <w:rPr>
            <w:rFonts w:ascii="Times New Roman" w:hAnsi="Times New Roman" w:cs="Times New Roman"/>
            <w:sz w:val="28"/>
            <w:szCs w:val="28"/>
          </w:rPr>
          <w:t>[</w:t>
        </w:r>
        <w:r w:rsidRPr="00CD2F84">
          <w:rPr>
            <w:rFonts w:ascii="Times New Roman" w:hAnsi="Times New Roman" w:cs="Times New Roman"/>
            <w:b/>
            <w:bCs/>
            <w:sz w:val="28"/>
            <w:szCs w:val="28"/>
          </w:rPr>
          <w:t>NOTE</w:t>
        </w:r>
        <w:r w:rsidRPr="00CD2F84">
          <w:rPr>
            <w:rFonts w:ascii="Times New Roman" w:hAnsi="Times New Roman" w:cs="Times New Roman"/>
            <w:sz w:val="28"/>
            <w:szCs w:val="28"/>
          </w:rPr>
          <w:t>: This rule is included in the State of Oregon Clean Air Act Implementation Plan as adopted by the Environmental Quality Commission under OAR 340-200-</w:t>
        </w:r>
        <w:r w:rsidRPr="00D4498B">
          <w:rPr>
            <w:rFonts w:ascii="Times New Roman" w:hAnsi="Times New Roman" w:cs="Times New Roman"/>
            <w:sz w:val="28"/>
            <w:szCs w:val="28"/>
          </w:rPr>
          <w:t>0040.]</w:t>
        </w:r>
      </w:ins>
    </w:p>
    <w:p w:rsidR="00196888" w:rsidRPr="00D4498B" w:rsidRDefault="00196888" w:rsidP="00DB2607">
      <w:pPr>
        <w:rPr>
          <w:rFonts w:ascii="Times New Roman" w:hAnsi="Times New Roman" w:cs="Times New Roman"/>
          <w:sz w:val="28"/>
          <w:szCs w:val="28"/>
        </w:rPr>
      </w:pPr>
    </w:p>
    <w:sectPr w:rsidR="00196888" w:rsidRPr="00D4498B" w:rsidSect="00AF5A86">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52173" w:rsidRDefault="00852173" w:rsidP="00852173">
      <w:pPr>
        <w:spacing w:after="0" w:line="240" w:lineRule="auto"/>
      </w:pPr>
      <w:r>
        <w:separator/>
      </w:r>
    </w:p>
  </w:endnote>
  <w:endnote w:type="continuationSeparator" w:id="0">
    <w:p w:rsidR="00852173" w:rsidRDefault="00852173" w:rsidP="0085217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52173" w:rsidRDefault="008E7FA4">
    <w:pPr>
      <w:pStyle w:val="Footer"/>
      <w:pBdr>
        <w:top w:val="thinThickSmallGap" w:sz="24" w:space="1" w:color="622423" w:themeColor="accent2" w:themeShade="7F"/>
      </w:pBdr>
      <w:rPr>
        <w:ins w:id="185" w:author="Preferred Customer" w:date="2012-12-21T07:25:00Z"/>
        <w:rFonts w:asciiTheme="majorHAnsi" w:hAnsiTheme="majorHAnsi"/>
      </w:rPr>
    </w:pPr>
    <w:ins w:id="186" w:author="Preferred Customer" w:date="2012-12-21T07:25:00Z">
      <w:r>
        <w:rPr>
          <w:rFonts w:asciiTheme="majorHAnsi" w:hAnsiTheme="majorHAnsi"/>
        </w:rPr>
        <w:fldChar w:fldCharType="begin"/>
      </w:r>
      <w:r w:rsidR="00852173">
        <w:rPr>
          <w:rFonts w:asciiTheme="majorHAnsi" w:hAnsiTheme="majorHAnsi"/>
        </w:rPr>
        <w:instrText xml:space="preserve"> DATE \@ "M/d/yyyy h:mm am/pm" </w:instrText>
      </w:r>
    </w:ins>
    <w:r>
      <w:rPr>
        <w:rFonts w:asciiTheme="majorHAnsi" w:hAnsiTheme="majorHAnsi"/>
      </w:rPr>
      <w:fldChar w:fldCharType="separate"/>
    </w:r>
    <w:ins w:id="187" w:author="Preferred Customer" w:date="2013-02-20T13:55:00Z">
      <w:r w:rsidR="00196888">
        <w:rPr>
          <w:rFonts w:asciiTheme="majorHAnsi" w:hAnsiTheme="majorHAnsi"/>
          <w:noProof/>
        </w:rPr>
        <w:t>2/20/2013 1:55 PM</w:t>
      </w:r>
    </w:ins>
    <w:ins w:id="188" w:author="jinahar" w:date="2013-01-14T09:19:00Z">
      <w:del w:id="189" w:author="Preferred Customer" w:date="2013-02-11T14:44:00Z">
        <w:r w:rsidR="006F1B02" w:rsidDel="0060618B">
          <w:rPr>
            <w:rFonts w:asciiTheme="majorHAnsi" w:hAnsiTheme="majorHAnsi"/>
            <w:noProof/>
          </w:rPr>
          <w:delText>1/14/2013 9:19 AM</w:delText>
        </w:r>
      </w:del>
    </w:ins>
    <w:ins w:id="190" w:author="pcuser" w:date="2013-01-09T11:53:00Z">
      <w:del w:id="191" w:author="Preferred Customer" w:date="2013-02-11T14:44:00Z">
        <w:r w:rsidR="00E5224C" w:rsidDel="0060618B">
          <w:rPr>
            <w:rFonts w:asciiTheme="majorHAnsi" w:hAnsiTheme="majorHAnsi"/>
            <w:noProof/>
          </w:rPr>
          <w:delText>1/9/2013 11:53 AM</w:delText>
        </w:r>
      </w:del>
    </w:ins>
    <w:ins w:id="192" w:author="Preferred Customer" w:date="2012-12-21T07:25:00Z">
      <w:r>
        <w:rPr>
          <w:rFonts w:asciiTheme="majorHAnsi" w:hAnsiTheme="majorHAnsi"/>
        </w:rPr>
        <w:fldChar w:fldCharType="end"/>
      </w:r>
      <w:r w:rsidR="00852173">
        <w:rPr>
          <w:rFonts w:asciiTheme="majorHAnsi" w:hAnsiTheme="majorHAnsi"/>
        </w:rPr>
        <w:ptab w:relativeTo="margin" w:alignment="right" w:leader="none"/>
      </w:r>
      <w:r w:rsidR="00852173">
        <w:rPr>
          <w:rFonts w:asciiTheme="majorHAnsi" w:hAnsiTheme="majorHAnsi"/>
        </w:rPr>
        <w:t xml:space="preserve">Page </w:t>
      </w:r>
      <w:r>
        <w:fldChar w:fldCharType="begin"/>
      </w:r>
      <w:r w:rsidR="00852173">
        <w:instrText xml:space="preserve"> PAGE   \* MERGEFORMAT </w:instrText>
      </w:r>
      <w:r>
        <w:fldChar w:fldCharType="separate"/>
      </w:r>
    </w:ins>
    <w:r w:rsidR="00196888" w:rsidRPr="00196888">
      <w:rPr>
        <w:rFonts w:asciiTheme="majorHAnsi" w:hAnsiTheme="majorHAnsi"/>
        <w:noProof/>
      </w:rPr>
      <w:t>34</w:t>
    </w:r>
    <w:ins w:id="193" w:author="Preferred Customer" w:date="2012-12-21T07:25:00Z">
      <w:r>
        <w:fldChar w:fldCharType="end"/>
      </w:r>
    </w:ins>
  </w:p>
  <w:p w:rsidR="00852173" w:rsidRDefault="0085217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52173" w:rsidRDefault="00852173" w:rsidP="00852173">
      <w:pPr>
        <w:spacing w:after="0" w:line="240" w:lineRule="auto"/>
      </w:pPr>
      <w:r>
        <w:separator/>
      </w:r>
    </w:p>
  </w:footnote>
  <w:footnote w:type="continuationSeparator" w:id="0">
    <w:p w:rsidR="00852173" w:rsidRDefault="00852173" w:rsidP="0085217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60E29D7"/>
    <w:multiLevelType w:val="hybridMultilevel"/>
    <w:tmpl w:val="BB869284"/>
    <w:lvl w:ilvl="0" w:tplc="EF9CE60A">
      <w:start w:val="1"/>
      <w:numFmt w:val="lowerLetter"/>
      <w:lvlText w:val="(%1)"/>
      <w:lvlJc w:val="left"/>
      <w:pPr>
        <w:ind w:left="795" w:hanging="43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E0A2964"/>
    <w:multiLevelType w:val="hybridMultilevel"/>
    <w:tmpl w:val="EB3C0DDE"/>
    <w:lvl w:ilvl="0" w:tplc="072ECC72">
      <w:start w:val="1"/>
      <w:numFmt w:val="lowerLetter"/>
      <w:lvlText w:val="(%1)"/>
      <w:lvlJc w:val="left"/>
      <w:pPr>
        <w:ind w:left="720" w:hanging="360"/>
      </w:pPr>
      <w:rPr>
        <w:rFonts w:ascii="Times New Roman" w:eastAsia="Times New Roman" w:hAnsi="Times New Roman" w:cs="Times New Roman" w:hint="default"/>
        <w:color w:val="000000"/>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trackRevisions/>
  <w:defaultTabStop w:val="720"/>
  <w:characterSpacingControl w:val="doNotCompress"/>
  <w:footnotePr>
    <w:footnote w:id="-1"/>
    <w:footnote w:id="0"/>
  </w:footnotePr>
  <w:endnotePr>
    <w:endnote w:id="-1"/>
    <w:endnote w:id="0"/>
  </w:endnotePr>
  <w:compat/>
  <w:rsids>
    <w:rsidRoot w:val="00AE7438"/>
    <w:rsid w:val="0000230F"/>
    <w:rsid w:val="00010EBF"/>
    <w:rsid w:val="00087D8B"/>
    <w:rsid w:val="000E223A"/>
    <w:rsid w:val="00101D71"/>
    <w:rsid w:val="0013130C"/>
    <w:rsid w:val="00173652"/>
    <w:rsid w:val="00196888"/>
    <w:rsid w:val="001F007A"/>
    <w:rsid w:val="0023107B"/>
    <w:rsid w:val="002738EE"/>
    <w:rsid w:val="00292C62"/>
    <w:rsid w:val="00295BBC"/>
    <w:rsid w:val="002A3DCD"/>
    <w:rsid w:val="00324B75"/>
    <w:rsid w:val="003271AC"/>
    <w:rsid w:val="00377887"/>
    <w:rsid w:val="003A3236"/>
    <w:rsid w:val="003B4BA7"/>
    <w:rsid w:val="003F2FA2"/>
    <w:rsid w:val="00417BC4"/>
    <w:rsid w:val="00456799"/>
    <w:rsid w:val="00464763"/>
    <w:rsid w:val="004A7381"/>
    <w:rsid w:val="004C4A8B"/>
    <w:rsid w:val="004F53F4"/>
    <w:rsid w:val="00510605"/>
    <w:rsid w:val="005835FE"/>
    <w:rsid w:val="005F4B73"/>
    <w:rsid w:val="0060618B"/>
    <w:rsid w:val="00635F59"/>
    <w:rsid w:val="0064381C"/>
    <w:rsid w:val="006665B6"/>
    <w:rsid w:val="006B7728"/>
    <w:rsid w:val="006F1B02"/>
    <w:rsid w:val="00711BC7"/>
    <w:rsid w:val="00773001"/>
    <w:rsid w:val="007D2B15"/>
    <w:rsid w:val="008047A0"/>
    <w:rsid w:val="00814AB5"/>
    <w:rsid w:val="00852173"/>
    <w:rsid w:val="00860B4D"/>
    <w:rsid w:val="008A454D"/>
    <w:rsid w:val="008E7FA4"/>
    <w:rsid w:val="00901433"/>
    <w:rsid w:val="009505A1"/>
    <w:rsid w:val="00961A25"/>
    <w:rsid w:val="00987DFB"/>
    <w:rsid w:val="009B0F6B"/>
    <w:rsid w:val="00A20F48"/>
    <w:rsid w:val="00AE7438"/>
    <w:rsid w:val="00AF5A86"/>
    <w:rsid w:val="00B55589"/>
    <w:rsid w:val="00B912D3"/>
    <w:rsid w:val="00C4482C"/>
    <w:rsid w:val="00C66AF9"/>
    <w:rsid w:val="00CB26A1"/>
    <w:rsid w:val="00CD2F84"/>
    <w:rsid w:val="00CF3DE5"/>
    <w:rsid w:val="00D4498B"/>
    <w:rsid w:val="00D83B75"/>
    <w:rsid w:val="00D84700"/>
    <w:rsid w:val="00DB2607"/>
    <w:rsid w:val="00E35829"/>
    <w:rsid w:val="00E5224C"/>
    <w:rsid w:val="00E7157B"/>
    <w:rsid w:val="00EA6EB7"/>
    <w:rsid w:val="00EB7168"/>
    <w:rsid w:val="00EF0A00"/>
    <w:rsid w:val="00F065C1"/>
    <w:rsid w:val="00F67535"/>
    <w:rsid w:val="00FF104C"/>
    <w:rsid w:val="00FF290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5A86"/>
  </w:style>
  <w:style w:type="paragraph" w:styleId="Heading2">
    <w:name w:val="heading 2"/>
    <w:basedOn w:val="Normal"/>
    <w:link w:val="Heading2Char"/>
    <w:uiPriority w:val="9"/>
    <w:qFormat/>
    <w:rsid w:val="00AE7438"/>
    <w:pPr>
      <w:spacing w:before="150" w:after="75" w:line="240" w:lineRule="auto"/>
      <w:outlineLvl w:val="1"/>
    </w:pPr>
    <w:rPr>
      <w:rFonts w:ascii="Arial" w:eastAsia="Times New Roman" w:hAnsi="Arial" w:cs="Arial"/>
      <w:b/>
      <w:bCs/>
      <w:color w:val="916E33"/>
      <w:sz w:val="27"/>
      <w:szCs w:val="27"/>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E7438"/>
    <w:rPr>
      <w:rFonts w:ascii="Arial" w:eastAsia="Times New Roman" w:hAnsi="Arial" w:cs="Arial"/>
      <w:b/>
      <w:bCs/>
      <w:color w:val="916E33"/>
      <w:sz w:val="27"/>
      <w:szCs w:val="27"/>
    </w:rPr>
  </w:style>
  <w:style w:type="paragraph" w:styleId="NormalWeb">
    <w:name w:val="Normal (Web)"/>
    <w:basedOn w:val="Normal"/>
    <w:uiPriority w:val="99"/>
    <w:semiHidden/>
    <w:unhideWhenUsed/>
    <w:rsid w:val="00AE7438"/>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AE7438"/>
    <w:rPr>
      <w:b/>
      <w:bCs/>
    </w:rPr>
  </w:style>
  <w:style w:type="paragraph" w:styleId="BalloonText">
    <w:name w:val="Balloon Text"/>
    <w:basedOn w:val="Normal"/>
    <w:link w:val="BalloonTextChar"/>
    <w:uiPriority w:val="99"/>
    <w:semiHidden/>
    <w:unhideWhenUsed/>
    <w:rsid w:val="00AE74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7438"/>
    <w:rPr>
      <w:rFonts w:ascii="Tahoma" w:hAnsi="Tahoma" w:cs="Tahoma"/>
      <w:sz w:val="16"/>
      <w:szCs w:val="16"/>
    </w:rPr>
  </w:style>
  <w:style w:type="character" w:styleId="CommentReference">
    <w:name w:val="annotation reference"/>
    <w:basedOn w:val="DefaultParagraphFont"/>
    <w:uiPriority w:val="99"/>
    <w:semiHidden/>
    <w:unhideWhenUsed/>
    <w:rsid w:val="00E7157B"/>
    <w:rPr>
      <w:sz w:val="16"/>
      <w:szCs w:val="16"/>
    </w:rPr>
  </w:style>
  <w:style w:type="paragraph" w:styleId="CommentText">
    <w:name w:val="annotation text"/>
    <w:basedOn w:val="Normal"/>
    <w:link w:val="CommentTextChar"/>
    <w:uiPriority w:val="99"/>
    <w:semiHidden/>
    <w:unhideWhenUsed/>
    <w:rsid w:val="00E7157B"/>
    <w:pPr>
      <w:spacing w:line="240" w:lineRule="auto"/>
    </w:pPr>
    <w:rPr>
      <w:sz w:val="20"/>
      <w:szCs w:val="20"/>
    </w:rPr>
  </w:style>
  <w:style w:type="character" w:customStyle="1" w:styleId="CommentTextChar">
    <w:name w:val="Comment Text Char"/>
    <w:basedOn w:val="DefaultParagraphFont"/>
    <w:link w:val="CommentText"/>
    <w:uiPriority w:val="99"/>
    <w:semiHidden/>
    <w:rsid w:val="00E7157B"/>
    <w:rPr>
      <w:sz w:val="20"/>
      <w:szCs w:val="20"/>
    </w:rPr>
  </w:style>
  <w:style w:type="paragraph" w:styleId="CommentSubject">
    <w:name w:val="annotation subject"/>
    <w:basedOn w:val="CommentText"/>
    <w:next w:val="CommentText"/>
    <w:link w:val="CommentSubjectChar"/>
    <w:uiPriority w:val="99"/>
    <w:semiHidden/>
    <w:unhideWhenUsed/>
    <w:rsid w:val="00E7157B"/>
    <w:rPr>
      <w:b/>
      <w:bCs/>
    </w:rPr>
  </w:style>
  <w:style w:type="character" w:customStyle="1" w:styleId="CommentSubjectChar">
    <w:name w:val="Comment Subject Char"/>
    <w:basedOn w:val="CommentTextChar"/>
    <w:link w:val="CommentSubject"/>
    <w:uiPriority w:val="99"/>
    <w:semiHidden/>
    <w:rsid w:val="00E7157B"/>
    <w:rPr>
      <w:b/>
      <w:bCs/>
    </w:rPr>
  </w:style>
  <w:style w:type="paragraph" w:styleId="ListParagraph">
    <w:name w:val="List Paragraph"/>
    <w:basedOn w:val="Normal"/>
    <w:uiPriority w:val="34"/>
    <w:qFormat/>
    <w:rsid w:val="00961A25"/>
    <w:pPr>
      <w:ind w:left="720"/>
      <w:contextualSpacing/>
    </w:pPr>
  </w:style>
  <w:style w:type="paragraph" w:styleId="Header">
    <w:name w:val="header"/>
    <w:basedOn w:val="Normal"/>
    <w:link w:val="HeaderChar"/>
    <w:uiPriority w:val="99"/>
    <w:semiHidden/>
    <w:unhideWhenUsed/>
    <w:rsid w:val="00852173"/>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852173"/>
  </w:style>
  <w:style w:type="paragraph" w:styleId="Footer">
    <w:name w:val="footer"/>
    <w:basedOn w:val="Normal"/>
    <w:link w:val="FooterChar"/>
    <w:uiPriority w:val="99"/>
    <w:unhideWhenUsed/>
    <w:rsid w:val="00852173"/>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2173"/>
  </w:style>
</w:styles>
</file>

<file path=word/webSettings.xml><?xml version="1.0" encoding="utf-8"?>
<w:webSettings xmlns:r="http://schemas.openxmlformats.org/officeDocument/2006/relationships" xmlns:w="http://schemas.openxmlformats.org/wordprocessingml/2006/main">
  <w:divs>
    <w:div w:id="11493234">
      <w:bodyDiv w:val="1"/>
      <w:marLeft w:val="0"/>
      <w:marRight w:val="0"/>
      <w:marTop w:val="0"/>
      <w:marBottom w:val="0"/>
      <w:divBdr>
        <w:top w:val="none" w:sz="0" w:space="0" w:color="auto"/>
        <w:left w:val="none" w:sz="0" w:space="0" w:color="auto"/>
        <w:bottom w:val="none" w:sz="0" w:space="0" w:color="auto"/>
        <w:right w:val="none" w:sz="0" w:space="0" w:color="auto"/>
      </w:divBdr>
      <w:divsChild>
        <w:div w:id="1024015487">
          <w:marLeft w:val="0"/>
          <w:marRight w:val="0"/>
          <w:marTop w:val="0"/>
          <w:marBottom w:val="0"/>
          <w:divBdr>
            <w:top w:val="none" w:sz="0" w:space="0" w:color="auto"/>
            <w:left w:val="none" w:sz="0" w:space="0" w:color="auto"/>
            <w:bottom w:val="none" w:sz="0" w:space="0" w:color="auto"/>
            <w:right w:val="none" w:sz="0" w:space="0" w:color="auto"/>
          </w:divBdr>
          <w:divsChild>
            <w:div w:id="965551585">
              <w:marLeft w:val="0"/>
              <w:marRight w:val="0"/>
              <w:marTop w:val="0"/>
              <w:marBottom w:val="0"/>
              <w:divBdr>
                <w:top w:val="none" w:sz="0" w:space="0" w:color="auto"/>
                <w:left w:val="none" w:sz="0" w:space="0" w:color="auto"/>
                <w:bottom w:val="none" w:sz="0" w:space="0" w:color="auto"/>
                <w:right w:val="none" w:sz="0" w:space="0" w:color="auto"/>
              </w:divBdr>
              <w:divsChild>
                <w:div w:id="1989092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786840">
      <w:bodyDiv w:val="1"/>
      <w:marLeft w:val="0"/>
      <w:marRight w:val="0"/>
      <w:marTop w:val="0"/>
      <w:marBottom w:val="0"/>
      <w:divBdr>
        <w:top w:val="none" w:sz="0" w:space="0" w:color="auto"/>
        <w:left w:val="none" w:sz="0" w:space="0" w:color="auto"/>
        <w:bottom w:val="none" w:sz="0" w:space="0" w:color="auto"/>
        <w:right w:val="none" w:sz="0" w:space="0" w:color="auto"/>
      </w:divBdr>
      <w:divsChild>
        <w:div w:id="1912622012">
          <w:marLeft w:val="0"/>
          <w:marRight w:val="0"/>
          <w:marTop w:val="0"/>
          <w:marBottom w:val="0"/>
          <w:divBdr>
            <w:top w:val="none" w:sz="0" w:space="0" w:color="auto"/>
            <w:left w:val="none" w:sz="0" w:space="0" w:color="auto"/>
            <w:bottom w:val="none" w:sz="0" w:space="0" w:color="auto"/>
            <w:right w:val="none" w:sz="0" w:space="0" w:color="auto"/>
          </w:divBdr>
          <w:divsChild>
            <w:div w:id="500630074">
              <w:marLeft w:val="0"/>
              <w:marRight w:val="0"/>
              <w:marTop w:val="0"/>
              <w:marBottom w:val="0"/>
              <w:divBdr>
                <w:top w:val="none" w:sz="0" w:space="0" w:color="auto"/>
                <w:left w:val="none" w:sz="0" w:space="0" w:color="auto"/>
                <w:bottom w:val="none" w:sz="0" w:space="0" w:color="auto"/>
                <w:right w:val="none" w:sz="0" w:space="0" w:color="auto"/>
              </w:divBdr>
              <w:divsChild>
                <w:div w:id="1399670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433851">
      <w:bodyDiv w:val="1"/>
      <w:marLeft w:val="0"/>
      <w:marRight w:val="0"/>
      <w:marTop w:val="0"/>
      <w:marBottom w:val="0"/>
      <w:divBdr>
        <w:top w:val="none" w:sz="0" w:space="0" w:color="auto"/>
        <w:left w:val="none" w:sz="0" w:space="0" w:color="auto"/>
        <w:bottom w:val="none" w:sz="0" w:space="0" w:color="auto"/>
        <w:right w:val="none" w:sz="0" w:space="0" w:color="auto"/>
      </w:divBdr>
      <w:divsChild>
        <w:div w:id="1174687189">
          <w:marLeft w:val="0"/>
          <w:marRight w:val="0"/>
          <w:marTop w:val="0"/>
          <w:marBottom w:val="0"/>
          <w:divBdr>
            <w:top w:val="none" w:sz="0" w:space="0" w:color="auto"/>
            <w:left w:val="none" w:sz="0" w:space="0" w:color="auto"/>
            <w:bottom w:val="none" w:sz="0" w:space="0" w:color="auto"/>
            <w:right w:val="none" w:sz="0" w:space="0" w:color="auto"/>
          </w:divBdr>
          <w:divsChild>
            <w:div w:id="1462923160">
              <w:marLeft w:val="0"/>
              <w:marRight w:val="0"/>
              <w:marTop w:val="0"/>
              <w:marBottom w:val="0"/>
              <w:divBdr>
                <w:top w:val="none" w:sz="0" w:space="0" w:color="auto"/>
                <w:left w:val="none" w:sz="0" w:space="0" w:color="auto"/>
                <w:bottom w:val="none" w:sz="0" w:space="0" w:color="auto"/>
                <w:right w:val="none" w:sz="0" w:space="0" w:color="auto"/>
              </w:divBdr>
              <w:divsChild>
                <w:div w:id="694576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5492351">
      <w:bodyDiv w:val="1"/>
      <w:marLeft w:val="0"/>
      <w:marRight w:val="0"/>
      <w:marTop w:val="0"/>
      <w:marBottom w:val="0"/>
      <w:divBdr>
        <w:top w:val="none" w:sz="0" w:space="0" w:color="auto"/>
        <w:left w:val="none" w:sz="0" w:space="0" w:color="auto"/>
        <w:bottom w:val="none" w:sz="0" w:space="0" w:color="auto"/>
        <w:right w:val="none" w:sz="0" w:space="0" w:color="auto"/>
      </w:divBdr>
      <w:divsChild>
        <w:div w:id="527259037">
          <w:marLeft w:val="0"/>
          <w:marRight w:val="0"/>
          <w:marTop w:val="0"/>
          <w:marBottom w:val="0"/>
          <w:divBdr>
            <w:top w:val="none" w:sz="0" w:space="0" w:color="auto"/>
            <w:left w:val="none" w:sz="0" w:space="0" w:color="auto"/>
            <w:bottom w:val="none" w:sz="0" w:space="0" w:color="auto"/>
            <w:right w:val="none" w:sz="0" w:space="0" w:color="auto"/>
          </w:divBdr>
          <w:divsChild>
            <w:div w:id="360909418">
              <w:marLeft w:val="0"/>
              <w:marRight w:val="0"/>
              <w:marTop w:val="0"/>
              <w:marBottom w:val="0"/>
              <w:divBdr>
                <w:top w:val="none" w:sz="0" w:space="0" w:color="auto"/>
                <w:left w:val="none" w:sz="0" w:space="0" w:color="auto"/>
                <w:bottom w:val="none" w:sz="0" w:space="0" w:color="auto"/>
                <w:right w:val="none" w:sz="0" w:space="0" w:color="auto"/>
              </w:divBdr>
              <w:divsChild>
                <w:div w:id="21236487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9858395">
      <w:bodyDiv w:val="1"/>
      <w:marLeft w:val="0"/>
      <w:marRight w:val="0"/>
      <w:marTop w:val="0"/>
      <w:marBottom w:val="0"/>
      <w:divBdr>
        <w:top w:val="none" w:sz="0" w:space="0" w:color="auto"/>
        <w:left w:val="none" w:sz="0" w:space="0" w:color="auto"/>
        <w:bottom w:val="none" w:sz="0" w:space="0" w:color="auto"/>
        <w:right w:val="none" w:sz="0" w:space="0" w:color="auto"/>
      </w:divBdr>
      <w:divsChild>
        <w:div w:id="393550343">
          <w:marLeft w:val="0"/>
          <w:marRight w:val="0"/>
          <w:marTop w:val="0"/>
          <w:marBottom w:val="0"/>
          <w:divBdr>
            <w:top w:val="none" w:sz="0" w:space="0" w:color="auto"/>
            <w:left w:val="none" w:sz="0" w:space="0" w:color="auto"/>
            <w:bottom w:val="none" w:sz="0" w:space="0" w:color="auto"/>
            <w:right w:val="none" w:sz="0" w:space="0" w:color="auto"/>
          </w:divBdr>
          <w:divsChild>
            <w:div w:id="1173911291">
              <w:marLeft w:val="0"/>
              <w:marRight w:val="0"/>
              <w:marTop w:val="0"/>
              <w:marBottom w:val="0"/>
              <w:divBdr>
                <w:top w:val="none" w:sz="0" w:space="0" w:color="auto"/>
                <w:left w:val="none" w:sz="0" w:space="0" w:color="auto"/>
                <w:bottom w:val="none" w:sz="0" w:space="0" w:color="auto"/>
                <w:right w:val="none" w:sz="0" w:space="0" w:color="auto"/>
              </w:divBdr>
              <w:divsChild>
                <w:div w:id="213204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2340281">
      <w:bodyDiv w:val="1"/>
      <w:marLeft w:val="0"/>
      <w:marRight w:val="0"/>
      <w:marTop w:val="0"/>
      <w:marBottom w:val="0"/>
      <w:divBdr>
        <w:top w:val="none" w:sz="0" w:space="0" w:color="auto"/>
        <w:left w:val="none" w:sz="0" w:space="0" w:color="auto"/>
        <w:bottom w:val="none" w:sz="0" w:space="0" w:color="auto"/>
        <w:right w:val="none" w:sz="0" w:space="0" w:color="auto"/>
      </w:divBdr>
      <w:divsChild>
        <w:div w:id="366150083">
          <w:marLeft w:val="0"/>
          <w:marRight w:val="0"/>
          <w:marTop w:val="0"/>
          <w:marBottom w:val="0"/>
          <w:divBdr>
            <w:top w:val="none" w:sz="0" w:space="0" w:color="auto"/>
            <w:left w:val="none" w:sz="0" w:space="0" w:color="auto"/>
            <w:bottom w:val="none" w:sz="0" w:space="0" w:color="auto"/>
            <w:right w:val="none" w:sz="0" w:space="0" w:color="auto"/>
          </w:divBdr>
          <w:divsChild>
            <w:div w:id="1866092230">
              <w:marLeft w:val="0"/>
              <w:marRight w:val="0"/>
              <w:marTop w:val="0"/>
              <w:marBottom w:val="0"/>
              <w:divBdr>
                <w:top w:val="none" w:sz="0" w:space="0" w:color="auto"/>
                <w:left w:val="none" w:sz="0" w:space="0" w:color="auto"/>
                <w:bottom w:val="none" w:sz="0" w:space="0" w:color="auto"/>
                <w:right w:val="none" w:sz="0" w:space="0" w:color="auto"/>
              </w:divBdr>
              <w:divsChild>
                <w:div w:id="16543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4973342">
      <w:bodyDiv w:val="1"/>
      <w:marLeft w:val="0"/>
      <w:marRight w:val="0"/>
      <w:marTop w:val="0"/>
      <w:marBottom w:val="0"/>
      <w:divBdr>
        <w:top w:val="none" w:sz="0" w:space="0" w:color="auto"/>
        <w:left w:val="none" w:sz="0" w:space="0" w:color="auto"/>
        <w:bottom w:val="none" w:sz="0" w:space="0" w:color="auto"/>
        <w:right w:val="none" w:sz="0" w:space="0" w:color="auto"/>
      </w:divBdr>
      <w:divsChild>
        <w:div w:id="110634275">
          <w:marLeft w:val="0"/>
          <w:marRight w:val="0"/>
          <w:marTop w:val="0"/>
          <w:marBottom w:val="0"/>
          <w:divBdr>
            <w:top w:val="none" w:sz="0" w:space="0" w:color="auto"/>
            <w:left w:val="none" w:sz="0" w:space="0" w:color="auto"/>
            <w:bottom w:val="none" w:sz="0" w:space="0" w:color="auto"/>
            <w:right w:val="none" w:sz="0" w:space="0" w:color="auto"/>
          </w:divBdr>
          <w:divsChild>
            <w:div w:id="322777769">
              <w:marLeft w:val="0"/>
              <w:marRight w:val="0"/>
              <w:marTop w:val="0"/>
              <w:marBottom w:val="0"/>
              <w:divBdr>
                <w:top w:val="none" w:sz="0" w:space="0" w:color="auto"/>
                <w:left w:val="none" w:sz="0" w:space="0" w:color="auto"/>
                <w:bottom w:val="none" w:sz="0" w:space="0" w:color="auto"/>
                <w:right w:val="none" w:sz="0" w:space="0" w:color="auto"/>
              </w:divBdr>
              <w:divsChild>
                <w:div w:id="1545020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3849980">
      <w:bodyDiv w:val="1"/>
      <w:marLeft w:val="0"/>
      <w:marRight w:val="0"/>
      <w:marTop w:val="0"/>
      <w:marBottom w:val="0"/>
      <w:divBdr>
        <w:top w:val="none" w:sz="0" w:space="0" w:color="auto"/>
        <w:left w:val="none" w:sz="0" w:space="0" w:color="auto"/>
        <w:bottom w:val="none" w:sz="0" w:space="0" w:color="auto"/>
        <w:right w:val="none" w:sz="0" w:space="0" w:color="auto"/>
      </w:divBdr>
      <w:divsChild>
        <w:div w:id="1726491746">
          <w:marLeft w:val="0"/>
          <w:marRight w:val="0"/>
          <w:marTop w:val="0"/>
          <w:marBottom w:val="0"/>
          <w:divBdr>
            <w:top w:val="none" w:sz="0" w:space="0" w:color="auto"/>
            <w:left w:val="none" w:sz="0" w:space="0" w:color="auto"/>
            <w:bottom w:val="none" w:sz="0" w:space="0" w:color="auto"/>
            <w:right w:val="none" w:sz="0" w:space="0" w:color="auto"/>
          </w:divBdr>
          <w:divsChild>
            <w:div w:id="29383535">
              <w:marLeft w:val="0"/>
              <w:marRight w:val="0"/>
              <w:marTop w:val="0"/>
              <w:marBottom w:val="0"/>
              <w:divBdr>
                <w:top w:val="none" w:sz="0" w:space="0" w:color="auto"/>
                <w:left w:val="none" w:sz="0" w:space="0" w:color="auto"/>
                <w:bottom w:val="none" w:sz="0" w:space="0" w:color="auto"/>
                <w:right w:val="none" w:sz="0" w:space="0" w:color="auto"/>
              </w:divBdr>
              <w:divsChild>
                <w:div w:id="19103115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3858947">
      <w:bodyDiv w:val="1"/>
      <w:marLeft w:val="0"/>
      <w:marRight w:val="0"/>
      <w:marTop w:val="0"/>
      <w:marBottom w:val="0"/>
      <w:divBdr>
        <w:top w:val="none" w:sz="0" w:space="0" w:color="auto"/>
        <w:left w:val="none" w:sz="0" w:space="0" w:color="auto"/>
        <w:bottom w:val="none" w:sz="0" w:space="0" w:color="auto"/>
        <w:right w:val="none" w:sz="0" w:space="0" w:color="auto"/>
      </w:divBdr>
    </w:div>
    <w:div w:id="1229996554">
      <w:bodyDiv w:val="1"/>
      <w:marLeft w:val="0"/>
      <w:marRight w:val="0"/>
      <w:marTop w:val="0"/>
      <w:marBottom w:val="0"/>
      <w:divBdr>
        <w:top w:val="none" w:sz="0" w:space="0" w:color="auto"/>
        <w:left w:val="none" w:sz="0" w:space="0" w:color="auto"/>
        <w:bottom w:val="none" w:sz="0" w:space="0" w:color="auto"/>
        <w:right w:val="none" w:sz="0" w:space="0" w:color="auto"/>
      </w:divBdr>
      <w:divsChild>
        <w:div w:id="1232078840">
          <w:marLeft w:val="0"/>
          <w:marRight w:val="0"/>
          <w:marTop w:val="0"/>
          <w:marBottom w:val="0"/>
          <w:divBdr>
            <w:top w:val="none" w:sz="0" w:space="0" w:color="auto"/>
            <w:left w:val="none" w:sz="0" w:space="0" w:color="auto"/>
            <w:bottom w:val="none" w:sz="0" w:space="0" w:color="auto"/>
            <w:right w:val="none" w:sz="0" w:space="0" w:color="auto"/>
          </w:divBdr>
          <w:divsChild>
            <w:div w:id="414519049">
              <w:marLeft w:val="0"/>
              <w:marRight w:val="0"/>
              <w:marTop w:val="0"/>
              <w:marBottom w:val="0"/>
              <w:divBdr>
                <w:top w:val="none" w:sz="0" w:space="0" w:color="auto"/>
                <w:left w:val="none" w:sz="0" w:space="0" w:color="auto"/>
                <w:bottom w:val="none" w:sz="0" w:space="0" w:color="auto"/>
                <w:right w:val="none" w:sz="0" w:space="0" w:color="auto"/>
              </w:divBdr>
              <w:divsChild>
                <w:div w:id="1942566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6900778">
      <w:bodyDiv w:val="1"/>
      <w:marLeft w:val="0"/>
      <w:marRight w:val="0"/>
      <w:marTop w:val="0"/>
      <w:marBottom w:val="0"/>
      <w:divBdr>
        <w:top w:val="none" w:sz="0" w:space="0" w:color="auto"/>
        <w:left w:val="none" w:sz="0" w:space="0" w:color="auto"/>
        <w:bottom w:val="none" w:sz="0" w:space="0" w:color="auto"/>
        <w:right w:val="none" w:sz="0" w:space="0" w:color="auto"/>
      </w:divBdr>
      <w:divsChild>
        <w:div w:id="58139800">
          <w:marLeft w:val="0"/>
          <w:marRight w:val="0"/>
          <w:marTop w:val="0"/>
          <w:marBottom w:val="0"/>
          <w:divBdr>
            <w:top w:val="none" w:sz="0" w:space="0" w:color="auto"/>
            <w:left w:val="none" w:sz="0" w:space="0" w:color="auto"/>
            <w:bottom w:val="none" w:sz="0" w:space="0" w:color="auto"/>
            <w:right w:val="none" w:sz="0" w:space="0" w:color="auto"/>
          </w:divBdr>
          <w:divsChild>
            <w:div w:id="918826201">
              <w:marLeft w:val="0"/>
              <w:marRight w:val="0"/>
              <w:marTop w:val="0"/>
              <w:marBottom w:val="0"/>
              <w:divBdr>
                <w:top w:val="none" w:sz="0" w:space="0" w:color="auto"/>
                <w:left w:val="none" w:sz="0" w:space="0" w:color="auto"/>
                <w:bottom w:val="none" w:sz="0" w:space="0" w:color="auto"/>
                <w:right w:val="none" w:sz="0" w:space="0" w:color="auto"/>
              </w:divBdr>
              <w:divsChild>
                <w:div w:id="16655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19317">
      <w:bodyDiv w:val="1"/>
      <w:marLeft w:val="0"/>
      <w:marRight w:val="0"/>
      <w:marTop w:val="0"/>
      <w:marBottom w:val="0"/>
      <w:divBdr>
        <w:top w:val="none" w:sz="0" w:space="0" w:color="auto"/>
        <w:left w:val="none" w:sz="0" w:space="0" w:color="auto"/>
        <w:bottom w:val="none" w:sz="0" w:space="0" w:color="auto"/>
        <w:right w:val="none" w:sz="0" w:space="0" w:color="auto"/>
      </w:divBdr>
    </w:div>
    <w:div w:id="1998141995">
      <w:bodyDiv w:val="1"/>
      <w:marLeft w:val="0"/>
      <w:marRight w:val="0"/>
      <w:marTop w:val="0"/>
      <w:marBottom w:val="0"/>
      <w:divBdr>
        <w:top w:val="none" w:sz="0" w:space="0" w:color="auto"/>
        <w:left w:val="none" w:sz="0" w:space="0" w:color="auto"/>
        <w:bottom w:val="none" w:sz="0" w:space="0" w:color="auto"/>
        <w:right w:val="none" w:sz="0" w:space="0" w:color="auto"/>
      </w:divBdr>
      <w:divsChild>
        <w:div w:id="2091609806">
          <w:marLeft w:val="0"/>
          <w:marRight w:val="0"/>
          <w:marTop w:val="0"/>
          <w:marBottom w:val="0"/>
          <w:divBdr>
            <w:top w:val="none" w:sz="0" w:space="0" w:color="auto"/>
            <w:left w:val="none" w:sz="0" w:space="0" w:color="auto"/>
            <w:bottom w:val="none" w:sz="0" w:space="0" w:color="auto"/>
            <w:right w:val="none" w:sz="0" w:space="0" w:color="auto"/>
          </w:divBdr>
          <w:divsChild>
            <w:div w:id="1592312">
              <w:marLeft w:val="0"/>
              <w:marRight w:val="0"/>
              <w:marTop w:val="0"/>
              <w:marBottom w:val="0"/>
              <w:divBdr>
                <w:top w:val="none" w:sz="0" w:space="0" w:color="auto"/>
                <w:left w:val="none" w:sz="0" w:space="0" w:color="auto"/>
                <w:bottom w:val="none" w:sz="0" w:space="0" w:color="auto"/>
                <w:right w:val="none" w:sz="0" w:space="0" w:color="auto"/>
              </w:divBdr>
              <w:divsChild>
                <w:div w:id="18306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965891">
      <w:bodyDiv w:val="1"/>
      <w:marLeft w:val="0"/>
      <w:marRight w:val="0"/>
      <w:marTop w:val="0"/>
      <w:marBottom w:val="0"/>
      <w:divBdr>
        <w:top w:val="none" w:sz="0" w:space="0" w:color="auto"/>
        <w:left w:val="none" w:sz="0" w:space="0" w:color="auto"/>
        <w:bottom w:val="none" w:sz="0" w:space="0" w:color="auto"/>
        <w:right w:val="none" w:sz="0" w:space="0" w:color="auto"/>
      </w:divBdr>
      <w:divsChild>
        <w:div w:id="328873330">
          <w:marLeft w:val="0"/>
          <w:marRight w:val="0"/>
          <w:marTop w:val="0"/>
          <w:marBottom w:val="0"/>
          <w:divBdr>
            <w:top w:val="none" w:sz="0" w:space="0" w:color="auto"/>
            <w:left w:val="none" w:sz="0" w:space="0" w:color="auto"/>
            <w:bottom w:val="none" w:sz="0" w:space="0" w:color="auto"/>
            <w:right w:val="none" w:sz="0" w:space="0" w:color="auto"/>
          </w:divBdr>
          <w:divsChild>
            <w:div w:id="1612320019">
              <w:marLeft w:val="0"/>
              <w:marRight w:val="0"/>
              <w:marTop w:val="0"/>
              <w:marBottom w:val="0"/>
              <w:divBdr>
                <w:top w:val="none" w:sz="0" w:space="0" w:color="auto"/>
                <w:left w:val="none" w:sz="0" w:space="0" w:color="auto"/>
                <w:bottom w:val="none" w:sz="0" w:space="0" w:color="auto"/>
                <w:right w:val="none" w:sz="0" w:space="0" w:color="auto"/>
              </w:divBdr>
              <w:divsChild>
                <w:div w:id="715197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4593150">
      <w:bodyDiv w:val="1"/>
      <w:marLeft w:val="0"/>
      <w:marRight w:val="0"/>
      <w:marTop w:val="0"/>
      <w:marBottom w:val="0"/>
      <w:divBdr>
        <w:top w:val="none" w:sz="0" w:space="0" w:color="auto"/>
        <w:left w:val="none" w:sz="0" w:space="0" w:color="auto"/>
        <w:bottom w:val="none" w:sz="0" w:space="0" w:color="auto"/>
        <w:right w:val="none" w:sz="0" w:space="0" w:color="auto"/>
      </w:divBdr>
      <w:divsChild>
        <w:div w:id="356085277">
          <w:marLeft w:val="0"/>
          <w:marRight w:val="0"/>
          <w:marTop w:val="0"/>
          <w:marBottom w:val="0"/>
          <w:divBdr>
            <w:top w:val="none" w:sz="0" w:space="0" w:color="auto"/>
            <w:left w:val="none" w:sz="0" w:space="0" w:color="auto"/>
            <w:bottom w:val="none" w:sz="0" w:space="0" w:color="auto"/>
            <w:right w:val="none" w:sz="0" w:space="0" w:color="auto"/>
          </w:divBdr>
          <w:divsChild>
            <w:div w:id="413085446">
              <w:marLeft w:val="0"/>
              <w:marRight w:val="0"/>
              <w:marTop w:val="0"/>
              <w:marBottom w:val="0"/>
              <w:divBdr>
                <w:top w:val="none" w:sz="0" w:space="0" w:color="auto"/>
                <w:left w:val="none" w:sz="0" w:space="0" w:color="auto"/>
                <w:bottom w:val="none" w:sz="0" w:space="0" w:color="auto"/>
                <w:right w:val="none" w:sz="0" w:space="0" w:color="auto"/>
              </w:divBdr>
              <w:divsChild>
                <w:div w:id="1946383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ACE4C6-17F0-4B25-A8E9-D9D024E2FA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35</Pages>
  <Words>12315</Words>
  <Characters>70196</Characters>
  <Application>Microsoft Office Word</Application>
  <DocSecurity>0</DocSecurity>
  <Lines>584</Lines>
  <Paragraphs>164</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82347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Rachel Sakata</dc:creator>
  <cp:lastModifiedBy>Preferred Customer</cp:lastModifiedBy>
  <cp:revision>37</cp:revision>
  <dcterms:created xsi:type="dcterms:W3CDTF">2012-08-30T17:01:00Z</dcterms:created>
  <dcterms:modified xsi:type="dcterms:W3CDTF">2013-02-20T22:10:00Z</dcterms:modified>
</cp:coreProperties>
</file>