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Pr="00C733A8" w:rsidRDefault="00795BBF" w:rsidP="00795BBF">
      <w:pPr>
        <w:rPr>
          <w:b/>
          <w:bCs/>
        </w:rPr>
      </w:pPr>
      <w:r w:rsidRPr="00795BBF">
        <w:rPr>
          <w:b/>
          <w:bCs/>
        </w:rPr>
        <w:t xml:space="preserve">340-242-0400 </w:t>
      </w: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ins w:id="0" w:author="Preferred Customer" w:date="2013-03-03T15:28:00Z">
        <w:r w:rsidR="00BA096F">
          <w:t xml:space="preserve"> division 224</w:t>
        </w:r>
      </w:ins>
      <w:del w:id="1" w:author="Preferred Customer" w:date="2013-03-03T15:28:00Z">
        <w:r w:rsidRPr="00795BBF" w:rsidDel="00BA096F">
          <w:delText>340-225-0090</w:delText>
        </w:r>
      </w:del>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Pr="00795BBF" w:rsidRDefault="00795BBF" w:rsidP="00795BBF">
      <w:r w:rsidRPr="00795BBF">
        <w:rPr>
          <w:b/>
          <w:bCs/>
        </w:rPr>
        <w:t xml:space="preserve">340-242-0410 </w:t>
      </w:r>
    </w:p>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2" w:author="jinahar" w:date="2013-01-02T08:50:00Z">
        <w:r w:rsidRPr="00795BBF" w:rsidDel="00B02574">
          <w:delText>the Department</w:delText>
        </w:r>
      </w:del>
      <w:ins w:id="3"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4" w:author="jinahar" w:date="2013-01-02T08:50:00Z">
        <w:r w:rsidRPr="00795BBF" w:rsidDel="00B02574">
          <w:delText>the Department</w:delText>
        </w:r>
      </w:del>
      <w:ins w:id="5"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6" w:author="jinahar" w:date="2013-01-02T08:50:00Z">
        <w:r w:rsidRPr="00795BBF" w:rsidDel="00B02574">
          <w:delText>the Department</w:delText>
        </w:r>
      </w:del>
      <w:ins w:id="7"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795BBF" w:rsidRPr="00795BBF" w:rsidRDefault="00795BBF" w:rsidP="00795BBF">
      <w:r w:rsidRPr="00795BBF">
        <w:rPr>
          <w:b/>
          <w:bCs/>
        </w:rPr>
        <w:t xml:space="preserve">340-242-0420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8" w:author="jinahar" w:date="2013-01-02T08:50:00Z">
        <w:r w:rsidRPr="00795BBF" w:rsidDel="00B02574">
          <w:delText>the Department</w:delText>
        </w:r>
      </w:del>
      <w:ins w:id="9"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10" w:author="jinahar" w:date="2013-01-02T08:50:00Z">
        <w:r w:rsidRPr="00795BBF" w:rsidDel="00B02574">
          <w:delText>the Department</w:delText>
        </w:r>
      </w:del>
      <w:ins w:id="11"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2" w:author="jinahar" w:date="2013-01-02T08:50:00Z">
        <w:r w:rsidRPr="00795BBF" w:rsidDel="00B02574">
          <w:delText>the Department</w:delText>
        </w:r>
      </w:del>
      <w:ins w:id="13"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lastRenderedPageBreak/>
        <w:t xml:space="preserve">(d) Other considerations may be added to the donation agreement on a case-by-case basis, consistent with </w:t>
      </w:r>
      <w:del w:id="14" w:author="jinahar" w:date="2013-01-02T08:50:00Z">
        <w:r w:rsidRPr="00795BBF" w:rsidDel="00B02574">
          <w:delText>the Department</w:delText>
        </w:r>
      </w:del>
      <w:ins w:id="15" w:author="jinahar" w:date="2013-01-02T08:50:00Z">
        <w:r w:rsidR="00B02574">
          <w:t>DEQ</w:t>
        </w:r>
      </w:ins>
      <w:r w:rsidRPr="00795BBF">
        <w:t xml:space="preserve">'s rules and statutes. </w:t>
      </w:r>
    </w:p>
    <w:p w:rsidR="00795BBF" w:rsidRPr="00795BBF" w:rsidRDefault="00795BBF" w:rsidP="00795BBF">
      <w:r w:rsidRPr="00795BBF">
        <w:t xml:space="preserve">(3) </w:t>
      </w:r>
      <w:del w:id="16" w:author="jinahar" w:date="2013-01-02T08:50:00Z">
        <w:r w:rsidRPr="00795BBF" w:rsidDel="00B02574">
          <w:delText>The Department</w:delText>
        </w:r>
      </w:del>
      <w:ins w:id="17" w:author="jinahar" w:date="2013-01-02T08:50:00Z">
        <w:r w:rsidR="00B02574">
          <w:t>DEQ</w:t>
        </w:r>
      </w:ins>
      <w:r w:rsidRPr="00795BBF">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8" w:author="jinahar" w:date="2013-01-02T09:36:00Z">
        <w:r w:rsidRPr="00795BBF" w:rsidDel="00C733A8">
          <w:delText>200-0020</w:delText>
        </w:r>
      </w:del>
      <w:ins w:id="19" w:author="jinahar" w:date="2013-01-02T09:36:00Z">
        <w:r w:rsidR="00C733A8">
          <w:t>224-0025</w:t>
        </w:r>
      </w:ins>
      <w:r w:rsidRPr="00795BBF">
        <w:t xml:space="preserve"> and changes to PSELs required by rule under 340-222-00</w:t>
      </w:r>
      <w:del w:id="20" w:author="jinahar" w:date="2013-01-02T09:39:00Z">
        <w:r w:rsidRPr="00795BBF" w:rsidDel="00C733A8">
          <w:delText>40</w:delText>
        </w:r>
      </w:del>
      <w:ins w:id="21"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2" w:author="jinahar" w:date="2013-01-02T08:50:00Z">
        <w:r w:rsidRPr="00795BBF" w:rsidDel="00B02574">
          <w:delText>the Department</w:delText>
        </w:r>
      </w:del>
      <w:ins w:id="23"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Pr="00795BBF" w:rsidRDefault="00795BBF" w:rsidP="00795BBF">
      <w:r w:rsidRPr="00795BBF">
        <w:rPr>
          <w:b/>
          <w:bCs/>
        </w:rPr>
        <w:t xml:space="preserve">340-242-0430 </w:t>
      </w:r>
    </w:p>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4" w:author="jinahar" w:date="2013-01-02T08:50:00Z">
        <w:r w:rsidRPr="00795BBF" w:rsidDel="00B02574">
          <w:delText>the Department</w:delText>
        </w:r>
      </w:del>
      <w:ins w:id="25"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Pr="00795BBF" w:rsidRDefault="00795BBF" w:rsidP="00795BBF">
      <w:r w:rsidRPr="00795BBF">
        <w:rPr>
          <w:b/>
          <w:bCs/>
        </w:rPr>
        <w:t xml:space="preserve">340-242-0440 </w:t>
      </w:r>
    </w:p>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6" w:author="jinahar" w:date="2013-01-02T08:50:00Z">
        <w:r w:rsidRPr="00795BBF" w:rsidDel="00B02574">
          <w:delText>the Department</w:delText>
        </w:r>
      </w:del>
      <w:ins w:id="27"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28" w:author="jinahar" w:date="2013-01-02T08:50:00Z">
        <w:r w:rsidRPr="00795BBF" w:rsidDel="00B02574">
          <w:delText>the Department</w:delText>
        </w:r>
      </w:del>
      <w:ins w:id="29"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del w:id="30" w:author="jinahar" w:date="2013-01-02T08:50:00Z">
        <w:r w:rsidRPr="00795BBF" w:rsidDel="00B02574">
          <w:delText>the Department</w:delText>
        </w:r>
      </w:del>
      <w:ins w:id="31"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lastRenderedPageBreak/>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r w:rsidRPr="00795BBF">
        <w:rPr>
          <w:b/>
          <w:bCs/>
        </w:rPr>
        <w:t>Gasoline Vapors from Gasoline Transfer and Dispensing Operations</w:t>
      </w:r>
    </w:p>
    <w:p w:rsidR="00795BBF" w:rsidRPr="00795BBF" w:rsidRDefault="00795BBF" w:rsidP="00795BBF">
      <w:r w:rsidRPr="00795BBF">
        <w:rPr>
          <w:b/>
          <w:bCs/>
        </w:rPr>
        <w:t xml:space="preserve">340-242-0500 </w:t>
      </w:r>
    </w:p>
    <w:p w:rsidR="00795BBF" w:rsidRPr="00795BBF" w:rsidRDefault="00795BBF" w:rsidP="00795BBF">
      <w:r w:rsidRPr="00795BBF">
        <w:rPr>
          <w:b/>
          <w:bCs/>
        </w:rPr>
        <w:t>Purpose and Applicability</w:t>
      </w:r>
    </w:p>
    <w:p w:rsidR="00795BBF" w:rsidRPr="00795BBF" w:rsidRDefault="00795BBF" w:rsidP="00795BBF">
      <w:r w:rsidRPr="00795BBF">
        <w:t xml:space="preserve">(1) Gasoline vapors contribute to the formation of ozone. </w:t>
      </w:r>
      <w:proofErr w:type="gramStart"/>
      <w:r w:rsidRPr="00795BBF">
        <w:t>OAR 340-242-0500 through 340-242-0520 require</w:t>
      </w:r>
      <w:proofErr w:type="gramEnd"/>
      <w:r w:rsidRPr="00795BBF">
        <w:t xml:space="preserve"> the control of gasoline vapors from gasoline dispensing operations. </w:t>
      </w:r>
    </w:p>
    <w:p w:rsidR="00795BBF" w:rsidRDefault="00795BBF" w:rsidP="00795BBF">
      <w:r w:rsidRPr="00795BBF">
        <w:t xml:space="preserve">(2) OAR 340-242-0500 through 340-242-0520 apply to gasoline dispensing facilities located within Clackamas, Multnomah and Washington Counties.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Default="00795BBF" w:rsidP="00795BBF">
      <w:r w:rsidRPr="00795BBF">
        <w:t>Stat. Auth.: ORS 468.020 &amp; 468A.025</w:t>
      </w:r>
      <w:r w:rsidRPr="00795BBF">
        <w:br/>
        <w:t>Stats. Implemented: ORS 468A.040</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340-022-0400; DEQ 1-2011, f. &amp; cert. ef. 2-24-11 </w:t>
      </w:r>
    </w:p>
    <w:p w:rsidR="00C733A8" w:rsidRPr="00795BBF" w:rsidRDefault="00C733A8" w:rsidP="00795BBF"/>
    <w:p w:rsidR="00795BBF" w:rsidRPr="00795BBF" w:rsidRDefault="00795BBF" w:rsidP="00795BBF">
      <w:r w:rsidRPr="00795BBF">
        <w:rPr>
          <w:b/>
          <w:bCs/>
        </w:rPr>
        <w:t xml:space="preserve">340-242-0510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2" w:author="jinahar" w:date="2013-01-02T08:50:00Z">
        <w:r w:rsidRPr="00795BBF" w:rsidDel="00B02574">
          <w:delText>the Department</w:delText>
        </w:r>
      </w:del>
      <w:ins w:id="33"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 xml:space="preserve">3-10-93; DEQ 16-1996, </w:t>
      </w:r>
      <w:r w:rsidRPr="00795BBF">
        <w:lastRenderedPageBreak/>
        <w:t>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4" w:author="jinahar" w:date="2013-01-02T08:50:00Z">
        <w:r w:rsidRPr="00795BBF" w:rsidDel="00B02574">
          <w:delText>the Department</w:delText>
        </w:r>
      </w:del>
      <w:ins w:id="35" w:author="jinahar" w:date="2013-01-02T08:50:00Z">
        <w:r w:rsidR="00B02574">
          <w:t>DEQ</w:t>
        </w:r>
      </w:ins>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6" w:author="jinahar" w:date="2013-01-02T08:50:00Z">
        <w:r w:rsidRPr="00795BBF" w:rsidDel="00B02574">
          <w:delText>the Department</w:delText>
        </w:r>
      </w:del>
      <w:ins w:id="37"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38" w:author="jinahar" w:date="2013-01-02T08:50:00Z">
        <w:r w:rsidRPr="00795BBF" w:rsidDel="00B02574">
          <w:delText>the Department</w:delText>
        </w:r>
      </w:del>
      <w:ins w:id="39"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p w:rsidR="00C733A8" w:rsidRPr="00795BBF" w:rsidRDefault="00C733A8" w:rsidP="00795BBF"/>
    <w:p w:rsidR="00795BBF" w:rsidRPr="00795BBF" w:rsidRDefault="00795BBF" w:rsidP="00C733A8">
      <w:pPr>
        <w:jc w:val="center"/>
      </w:pPr>
      <w:r w:rsidRPr="00795BBF">
        <w:rPr>
          <w:b/>
          <w:bCs/>
        </w:rPr>
        <w:t>Motor Vehicle Refinishing</w:t>
      </w:r>
    </w:p>
    <w:p w:rsidR="00795BBF" w:rsidRPr="00795BBF" w:rsidRDefault="00795BBF" w:rsidP="00795BBF">
      <w:r w:rsidRPr="00795BBF">
        <w:rPr>
          <w:b/>
          <w:bCs/>
        </w:rPr>
        <w:t xml:space="preserve">340-242-0600 </w:t>
      </w:r>
    </w:p>
    <w:p w:rsidR="00795BBF" w:rsidRPr="00795BBF" w:rsidRDefault="00795BBF" w:rsidP="00795BBF">
      <w:r w:rsidRPr="00795BBF">
        <w:rPr>
          <w:b/>
          <w:bCs/>
        </w:rPr>
        <w:t>Applicability</w:t>
      </w:r>
    </w:p>
    <w:p w:rsidR="00795BBF" w:rsidRDefault="00795BBF" w:rsidP="00795BBF">
      <w:r w:rsidRPr="00795BBF">
        <w:t>OAR 340-242-0600 through 340-242-0630 apply to any person who owns, leases, operates or controls a motor vehicle refinishing facility in the Portland AQMA.</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lastRenderedPageBreak/>
        <w:t>Stat. Auth.: ORS 468.020 &amp;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340-022-0700</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RDefault="00795BBF" w:rsidP="00795BBF">
      <w:r w:rsidRPr="00795BBF">
        <w:t>(1) "Department" means the Oregon Department of Environmental Quality.</w:t>
      </w:r>
    </w:p>
    <w:p w:rsidR="00795BBF" w:rsidRPr="00795BBF" w:rsidRDefault="00795BBF" w:rsidP="00795BBF">
      <w:r w:rsidRPr="00795BBF">
        <w:t>(2)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(3) "Motor Vehicle" means a vehicle that is self-propelled or designed for self-propulsion as defined in ORS 801.360.</w:t>
      </w:r>
    </w:p>
    <w:p w:rsidR="00795BBF" w:rsidRPr="00795BBF" w:rsidRDefault="00795BBF" w:rsidP="00795BBF">
      <w:r w:rsidRPr="00795BBF">
        <w:t>(4)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(5) "Motor Vehicle Refinishing Coating" means any coating designed for, or represented by the manufacturer as being suitable for motor vehicle refinishing.</w:t>
      </w:r>
    </w:p>
    <w:p w:rsidR="00795BBF" w:rsidRPr="00795BBF" w:rsidRDefault="00795BBF" w:rsidP="00795BBF">
      <w:r w:rsidRPr="00795BBF">
        <w:t>(6) "Motor Vehicle Refinishing Facility" means a location at which motor vehicle refinishing is performed.</w:t>
      </w:r>
    </w:p>
    <w:p w:rsidR="00795BBF" w:rsidRPr="00795BBF" w:rsidRDefault="00795BBF" w:rsidP="00795BBF">
      <w:r w:rsidRPr="00795BBF">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RDefault="00795BBF" w:rsidP="00795BBF">
      <w:r w:rsidRPr="00795BBF">
        <w:t xml:space="preserve">(9) "Person" means the federal government, any state, individual, public or </w:t>
      </w:r>
      <w:proofErr w:type="gramStart"/>
      <w:r w:rsidRPr="00795BBF">
        <w:t>private corporation</w:t>
      </w:r>
      <w:proofErr w:type="gramEnd"/>
      <w:r w:rsidRPr="00795BBF">
        <w:t>, political subdivision, governmental agency, municipality, partnership, association, firm, trust, estate, or any other legal entity whatsoever.</w:t>
      </w:r>
    </w:p>
    <w:p w:rsidR="00795BBF" w:rsidRPr="00795BBF" w:rsidRDefault="00795BBF" w:rsidP="00795BBF">
      <w:r w:rsidRPr="00795BBF">
        <w:t>(10) "Portland Air Quality Maintenance Area" or "Portland AQMA" is defined in OAR 340-204-0010. (The Portland AQMA includes portions of Clackamas, Multnomah and Washington Counties.)</w:t>
      </w:r>
    </w:p>
    <w:p w:rsidR="00795BBF" w:rsidRPr="00795BBF" w:rsidRDefault="00795BBF" w:rsidP="00795BBF">
      <w:r w:rsidRPr="00795BBF">
        <w:t>(11)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(12) "Vehicle" means any device in, upon or by which any person or property is or may be transported or drawn upon a public highway and includes vehicles that are propelled or powered by any means.</w:t>
      </w:r>
    </w:p>
    <w:p w:rsidR="00795BBF" w:rsidRDefault="00795BBF" w:rsidP="00795BBF">
      <w:r w:rsidRPr="00795BBF">
        <w:t>(13) "Volatile Organic Compound" or "VOC" means those compounds of carbon defined in OAR 340-200-0020.</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 xml:space="preserve">(b) </w:t>
      </w:r>
      <w:proofErr w:type="spellStart"/>
      <w:r w:rsidRPr="00795BBF">
        <w:t>Recirculates</w:t>
      </w:r>
      <w:proofErr w:type="spellEnd"/>
      <w:r w:rsidRPr="00795BBF">
        <w:t xml:space="preserve">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lastRenderedPageBreak/>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40" w:author="jinahar" w:date="2013-01-02T08:50:00Z">
        <w:r w:rsidRPr="00795BBF" w:rsidDel="00B02574">
          <w:delText>the Department</w:delText>
        </w:r>
      </w:del>
      <w:ins w:id="41"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42" w:author="jinahar" w:date="2013-01-02T08:50:00Z">
        <w:r w:rsidRPr="00795BBF" w:rsidDel="00B02574">
          <w:delText>the Department</w:delText>
        </w:r>
      </w:del>
      <w:ins w:id="43"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commentRangeStart w:id="44"/>
      <w:r w:rsidRPr="00795BBF">
        <w:rPr>
          <w:b/>
          <w:bCs/>
        </w:rPr>
        <w:t>Spray Paint</w:t>
      </w:r>
      <w:commentRangeEnd w:id="44"/>
      <w:r w:rsidR="00387061">
        <w:rPr>
          <w:rStyle w:val="CommentReference"/>
        </w:rPr>
        <w:commentReference w:id="44"/>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45" w:author="jinahar" w:date="2012-11-26T12:17:00Z"/>
        </w:rPr>
      </w:pPr>
      <w:ins w:id="46" w:author="jinahar" w:date="2012-11-26T12:17:00Z">
        <w:r w:rsidRPr="00795BBF" w:rsidDel="00795BBF">
          <w:t xml:space="preserve"> </w:t>
        </w:r>
      </w:ins>
      <w:del w:id="47"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48" w:author="jinahar" w:date="2012-11-26T12:17:00Z">
        <w:r>
          <w:t>Repealed</w:t>
        </w:r>
      </w:ins>
    </w:p>
    <w:p w:rsidR="00795BBF" w:rsidRPr="00795BBF" w:rsidDel="00795BBF" w:rsidRDefault="00795BBF" w:rsidP="00795BBF">
      <w:pPr>
        <w:rPr>
          <w:del w:id="49" w:author="jinahar" w:date="2012-11-26T12:17:00Z"/>
        </w:rPr>
      </w:pPr>
      <w:del w:id="50"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51" w:author="jinahar" w:date="2012-11-26T12:18:00Z"/>
        </w:rPr>
      </w:pPr>
      <w:ins w:id="52" w:author="jinahar" w:date="2012-11-26T12:18:00Z">
        <w:r w:rsidRPr="00795BBF" w:rsidDel="00795BBF">
          <w:rPr>
            <w:b/>
            <w:bCs/>
          </w:rPr>
          <w:t xml:space="preserve"> </w:t>
        </w:r>
      </w:ins>
      <w:del w:id="53" w:author="jinahar" w:date="2012-11-26T12:18:00Z">
        <w:r w:rsidRPr="00795BBF" w:rsidDel="00795BBF">
          <w:rPr>
            <w:b/>
            <w:bCs/>
          </w:rPr>
          <w:delText>Definitions</w:delText>
        </w:r>
      </w:del>
    </w:p>
    <w:p w:rsidR="00795BBF" w:rsidRPr="00795BBF" w:rsidDel="00795BBF" w:rsidRDefault="00795BBF" w:rsidP="00795BBF">
      <w:pPr>
        <w:rPr>
          <w:del w:id="54" w:author="jinahar" w:date="2012-11-26T12:18:00Z"/>
        </w:rPr>
      </w:pPr>
      <w:del w:id="55"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56" w:author="jinahar" w:date="2012-11-26T12:18:00Z"/>
        </w:rPr>
      </w:pPr>
      <w:del w:id="57" w:author="jinahar" w:date="2012-11-26T12:18:00Z">
        <w:r w:rsidRPr="00795BBF" w:rsidDel="00795BBF">
          <w:delText>(1) "Adhesive" means a product used to bond one surface to another.</w:delText>
        </w:r>
      </w:del>
    </w:p>
    <w:p w:rsidR="00795BBF" w:rsidRPr="00795BBF" w:rsidDel="00795BBF" w:rsidRDefault="00795BBF" w:rsidP="00795BBF">
      <w:pPr>
        <w:rPr>
          <w:del w:id="58" w:author="jinahar" w:date="2012-11-26T12:18:00Z"/>
        </w:rPr>
      </w:pPr>
      <w:del w:id="59"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60" w:author="jinahar" w:date="2012-11-26T12:18:00Z"/>
        </w:rPr>
      </w:pPr>
      <w:del w:id="61"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62" w:author="jinahar" w:date="2012-11-26T12:18:00Z"/>
        </w:rPr>
      </w:pPr>
      <w:del w:id="63" w:author="jinahar" w:date="2012-11-26T12:18:00Z">
        <w:r w:rsidRPr="00795BBF" w:rsidDel="00795BBF">
          <w:delText>(4) "ASTM" means the American Society for Testing and Materials.</w:delText>
        </w:r>
      </w:del>
    </w:p>
    <w:p w:rsidR="00795BBF" w:rsidRPr="00795BBF" w:rsidDel="00795BBF" w:rsidRDefault="00795BBF" w:rsidP="00795BBF">
      <w:pPr>
        <w:rPr>
          <w:del w:id="64" w:author="jinahar" w:date="2012-11-26T12:18:00Z"/>
        </w:rPr>
      </w:pPr>
      <w:del w:id="65" w:author="jinahar" w:date="2012-11-26T12:18:00Z">
        <w:r w:rsidRPr="00795BBF" w:rsidDel="00795BBF">
          <w:lastRenderedPageBreak/>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66" w:author="jinahar" w:date="2012-11-26T12:18:00Z"/>
        </w:rPr>
      </w:pPr>
      <w:del w:id="67"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68" w:author="jinahar" w:date="2012-11-26T12:18:00Z"/>
        </w:rPr>
      </w:pPr>
      <w:del w:id="69" w:author="jinahar" w:date="2012-11-26T12:18:00Z">
        <w:r w:rsidRPr="00795BBF" w:rsidDel="00795BBF">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70" w:author="jinahar" w:date="2012-11-26T12:18:00Z"/>
        </w:rPr>
      </w:pPr>
      <w:del w:id="71"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72" w:author="jinahar" w:date="2012-11-26T12:18:00Z"/>
        </w:rPr>
      </w:pPr>
      <w:del w:id="73"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74" w:author="jinahar" w:date="2012-11-26T12:18:00Z"/>
        </w:rPr>
      </w:pPr>
      <w:del w:id="75"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76" w:author="jinahar" w:date="2012-11-26T12:18:00Z"/>
        </w:rPr>
      </w:pPr>
      <w:del w:id="77"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78" w:author="jinahar" w:date="2012-11-26T12:18:00Z"/>
        </w:rPr>
      </w:pPr>
      <w:del w:id="79"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80" w:author="jinahar" w:date="2012-11-26T12:18:00Z"/>
        </w:rPr>
      </w:pPr>
      <w:del w:id="81"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82" w:author="jinahar" w:date="2012-11-26T12:18:00Z"/>
        </w:rPr>
      </w:pPr>
      <w:del w:id="83"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84" w:author="jinahar" w:date="2012-11-26T12:18:00Z"/>
        </w:rPr>
      </w:pPr>
      <w:del w:id="85" w:author="jinahar" w:date="2012-11-26T12:18:00Z">
        <w:r w:rsidRPr="00795BBF" w:rsidDel="00795BBF">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86" w:author="jinahar" w:date="2012-11-26T12:18:00Z"/>
        </w:rPr>
      </w:pPr>
      <w:del w:id="87"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88" w:author="jinahar" w:date="2012-11-26T12:18:00Z"/>
        </w:rPr>
      </w:pPr>
      <w:del w:id="89"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90" w:author="jinahar" w:date="2012-11-26T12:18:00Z"/>
        </w:rPr>
      </w:pPr>
      <w:del w:id="91" w:author="jinahar" w:date="2012-11-26T12:18:00Z">
        <w:r w:rsidRPr="00795BBF" w:rsidDel="00795BBF">
          <w:delText>(18) "Department" means the Oregon Department of Environmental Quality.</w:delText>
        </w:r>
      </w:del>
    </w:p>
    <w:p w:rsidR="00795BBF" w:rsidRPr="00795BBF" w:rsidDel="00795BBF" w:rsidRDefault="00795BBF" w:rsidP="00795BBF">
      <w:pPr>
        <w:rPr>
          <w:del w:id="92" w:author="jinahar" w:date="2012-11-26T12:18:00Z"/>
        </w:rPr>
      </w:pPr>
      <w:del w:id="93"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94" w:author="jinahar" w:date="2012-11-26T12:18:00Z"/>
        </w:rPr>
      </w:pPr>
      <w:del w:id="95"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96" w:author="jinahar" w:date="2012-11-26T12:18:00Z"/>
        </w:rPr>
      </w:pPr>
      <w:del w:id="97"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98" w:author="jinahar" w:date="2012-11-26T12:18:00Z"/>
        </w:rPr>
      </w:pPr>
      <w:del w:id="99"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100" w:author="jinahar" w:date="2012-11-26T12:18:00Z"/>
        </w:rPr>
      </w:pPr>
      <w:del w:id="101"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02" w:author="jinahar" w:date="2012-11-26T12:18:00Z"/>
        </w:rPr>
      </w:pPr>
      <w:del w:id="103"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04" w:author="jinahar" w:date="2012-11-26T12:18:00Z"/>
        </w:rPr>
      </w:pPr>
      <w:del w:id="105"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06" w:author="jinahar" w:date="2012-11-26T12:18:00Z"/>
        </w:rPr>
      </w:pPr>
      <w:del w:id="107"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08" w:author="jinahar" w:date="2012-11-26T12:18:00Z"/>
        </w:rPr>
      </w:pPr>
      <w:del w:id="109"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10" w:author="jinahar" w:date="2012-11-26T12:18:00Z"/>
        </w:rPr>
      </w:pPr>
      <w:del w:id="111" w:author="jinahar" w:date="2012-11-26T12:18:00Z">
        <w:r w:rsidRPr="00795BBF" w:rsidDel="00795BBF">
          <w:delText>(c) The product is labeled with one of the following:</w:delText>
        </w:r>
      </w:del>
    </w:p>
    <w:p w:rsidR="00795BBF" w:rsidRPr="00795BBF" w:rsidDel="00795BBF" w:rsidRDefault="00795BBF" w:rsidP="00795BBF">
      <w:pPr>
        <w:rPr>
          <w:del w:id="112" w:author="jinahar" w:date="2012-11-26T12:18:00Z"/>
        </w:rPr>
      </w:pPr>
      <w:del w:id="113" w:author="jinahar" w:date="2012-11-26T12:18:00Z">
        <w:r w:rsidRPr="00795BBF" w:rsidDel="00795BBF">
          <w:delText>(A) The original equipment manufacturer's (OEM) color code;</w:delText>
        </w:r>
      </w:del>
    </w:p>
    <w:p w:rsidR="00795BBF" w:rsidRPr="00795BBF" w:rsidDel="00795BBF" w:rsidRDefault="00795BBF" w:rsidP="00795BBF">
      <w:pPr>
        <w:rPr>
          <w:del w:id="114" w:author="jinahar" w:date="2012-11-26T12:18:00Z"/>
        </w:rPr>
      </w:pPr>
      <w:del w:id="115" w:author="jinahar" w:date="2012-11-26T12:18:00Z">
        <w:r w:rsidRPr="00795BBF" w:rsidDel="00795BBF">
          <w:delText>(B) The color name; or</w:delText>
        </w:r>
      </w:del>
    </w:p>
    <w:p w:rsidR="00795BBF" w:rsidRPr="00795BBF" w:rsidDel="00795BBF" w:rsidRDefault="00795BBF" w:rsidP="00795BBF">
      <w:pPr>
        <w:rPr>
          <w:del w:id="116" w:author="jinahar" w:date="2012-11-26T12:18:00Z"/>
        </w:rPr>
      </w:pPr>
      <w:del w:id="117"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18" w:author="jinahar" w:date="2012-11-26T12:18:00Z"/>
        </w:rPr>
      </w:pPr>
      <w:del w:id="119"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20" w:author="jinahar" w:date="2012-11-26T12:18:00Z"/>
        </w:rPr>
      </w:pPr>
      <w:del w:id="121"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22" w:author="jinahar" w:date="2012-11-26T12:18:00Z"/>
        </w:rPr>
      </w:pPr>
      <w:del w:id="123"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24" w:author="jinahar" w:date="2012-11-26T12:18:00Z"/>
        </w:rPr>
      </w:pPr>
      <w:del w:id="125" w:author="jinahar" w:date="2012-11-26T12:18:00Z">
        <w:r w:rsidRPr="00795BBF" w:rsidDel="00795BBF">
          <w:lastRenderedPageBreak/>
          <w:delText>(b) The product is labeled with the original equipment manufacturer's name for which it was formulated; and</w:delText>
        </w:r>
      </w:del>
    </w:p>
    <w:p w:rsidR="00795BBF" w:rsidRPr="00795BBF" w:rsidDel="00795BBF" w:rsidRDefault="00795BBF" w:rsidP="00795BBF">
      <w:pPr>
        <w:rPr>
          <w:del w:id="126" w:author="jinahar" w:date="2012-11-26T12:18:00Z"/>
        </w:rPr>
      </w:pPr>
      <w:del w:id="127" w:author="jinahar" w:date="2012-11-26T12:18:00Z">
        <w:r w:rsidRPr="00795BBF" w:rsidDel="00795BBF">
          <w:delText>(c) The product is labeled with one of the following:</w:delText>
        </w:r>
      </w:del>
    </w:p>
    <w:p w:rsidR="00795BBF" w:rsidRPr="00795BBF" w:rsidDel="00795BBF" w:rsidRDefault="00795BBF" w:rsidP="00795BBF">
      <w:pPr>
        <w:rPr>
          <w:del w:id="128" w:author="jinahar" w:date="2012-11-26T12:18:00Z"/>
        </w:rPr>
      </w:pPr>
      <w:del w:id="129" w:author="jinahar" w:date="2012-11-26T12:18:00Z">
        <w:r w:rsidRPr="00795BBF" w:rsidDel="00795BBF">
          <w:delText>(A) The original equipment manufacturer's (OEM) color code;</w:delText>
        </w:r>
      </w:del>
    </w:p>
    <w:p w:rsidR="00795BBF" w:rsidRPr="00795BBF" w:rsidDel="00795BBF" w:rsidRDefault="00795BBF" w:rsidP="00795BBF">
      <w:pPr>
        <w:rPr>
          <w:del w:id="130" w:author="jinahar" w:date="2012-11-26T12:18:00Z"/>
        </w:rPr>
      </w:pPr>
      <w:del w:id="131" w:author="jinahar" w:date="2012-11-26T12:18:00Z">
        <w:r w:rsidRPr="00795BBF" w:rsidDel="00795BBF">
          <w:delText>(B) The color name; or</w:delText>
        </w:r>
      </w:del>
    </w:p>
    <w:p w:rsidR="00795BBF" w:rsidRPr="00795BBF" w:rsidDel="00795BBF" w:rsidRDefault="00795BBF" w:rsidP="00795BBF">
      <w:pPr>
        <w:rPr>
          <w:del w:id="132" w:author="jinahar" w:date="2012-11-26T12:18:00Z"/>
        </w:rPr>
      </w:pPr>
      <w:del w:id="133"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34" w:author="jinahar" w:date="2012-11-26T12:18:00Z"/>
        </w:rPr>
      </w:pPr>
      <w:del w:id="135" w:author="jinahar" w:date="2012-11-26T12:18:00Z">
        <w:r w:rsidRPr="00795BBF" w:rsidDel="00795BBF">
          <w:delText>(27) "Exact Match Finish, Industrial" means a coating which meets all of the criteria in sub-sections (a) through (c) of this section:</w:delText>
        </w:r>
      </w:del>
    </w:p>
    <w:p w:rsidR="00795BBF" w:rsidRPr="00795BBF" w:rsidDel="00795BBF" w:rsidRDefault="00795BBF" w:rsidP="00795BBF">
      <w:pPr>
        <w:rPr>
          <w:del w:id="136" w:author="jinahar" w:date="2012-11-26T12:18:00Z"/>
        </w:rPr>
      </w:pPr>
      <w:del w:id="137"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38" w:author="jinahar" w:date="2012-11-26T12:18:00Z"/>
        </w:rPr>
      </w:pPr>
      <w:del w:id="139"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40" w:author="jinahar" w:date="2012-11-26T12:18:00Z"/>
        </w:rPr>
      </w:pPr>
      <w:del w:id="141" w:author="jinahar" w:date="2012-11-26T12:18:00Z">
        <w:r w:rsidRPr="00795BBF" w:rsidDel="00795BBF">
          <w:delText>(c) The product is labeled with one of the following:</w:delText>
        </w:r>
      </w:del>
    </w:p>
    <w:p w:rsidR="00795BBF" w:rsidRPr="00795BBF" w:rsidDel="00795BBF" w:rsidRDefault="00795BBF" w:rsidP="00795BBF">
      <w:pPr>
        <w:rPr>
          <w:del w:id="142" w:author="jinahar" w:date="2012-11-26T12:18:00Z"/>
        </w:rPr>
      </w:pPr>
      <w:del w:id="143" w:author="jinahar" w:date="2012-11-26T12:18:00Z">
        <w:r w:rsidRPr="00795BBF" w:rsidDel="00795BBF">
          <w:delText>(A) The original equipment manufacturer's (OEM) color code;</w:delText>
        </w:r>
      </w:del>
    </w:p>
    <w:p w:rsidR="00795BBF" w:rsidRPr="00795BBF" w:rsidDel="00795BBF" w:rsidRDefault="00795BBF" w:rsidP="00795BBF">
      <w:pPr>
        <w:rPr>
          <w:del w:id="144" w:author="jinahar" w:date="2012-11-26T12:18:00Z"/>
        </w:rPr>
      </w:pPr>
      <w:del w:id="145" w:author="jinahar" w:date="2012-11-26T12:18:00Z">
        <w:r w:rsidRPr="00795BBF" w:rsidDel="00795BBF">
          <w:delText>(B) The color name; or</w:delText>
        </w:r>
      </w:del>
    </w:p>
    <w:p w:rsidR="00795BBF" w:rsidRPr="00795BBF" w:rsidDel="00795BBF" w:rsidRDefault="00795BBF" w:rsidP="00795BBF">
      <w:pPr>
        <w:rPr>
          <w:del w:id="146" w:author="jinahar" w:date="2012-11-26T12:18:00Z"/>
        </w:rPr>
      </w:pPr>
      <w:del w:id="147"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48" w:author="jinahar" w:date="2012-11-26T12:18:00Z"/>
        </w:rPr>
      </w:pPr>
      <w:del w:id="149"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50" w:author="jinahar" w:date="2012-11-26T12:18:00Z"/>
        </w:rPr>
      </w:pPr>
      <w:del w:id="151"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52" w:author="jinahar" w:date="2012-11-26T12:18:00Z"/>
        </w:rPr>
      </w:pPr>
      <w:del w:id="153"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54" w:author="jinahar" w:date="2012-11-26T12:18:00Z"/>
        </w:rPr>
      </w:pPr>
      <w:del w:id="155" w:author="jinahar" w:date="2012-11-26T12:18:00Z">
        <w:r w:rsidRPr="00795BBF" w:rsidDel="00795BBF">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56" w:author="jinahar" w:date="2012-11-26T12:18:00Z"/>
        </w:rPr>
      </w:pPr>
      <w:del w:id="157"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58" w:author="jinahar" w:date="2012-11-26T12:18:00Z"/>
        </w:rPr>
      </w:pPr>
      <w:del w:id="159"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60" w:author="jinahar" w:date="2012-11-26T12:18:00Z"/>
        </w:rPr>
      </w:pPr>
      <w:del w:id="161"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62" w:author="jinahar" w:date="2012-11-26T12:18:00Z"/>
        </w:rPr>
      </w:pPr>
      <w:del w:id="163"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64" w:author="jinahar" w:date="2012-11-26T12:18:00Z"/>
        </w:rPr>
      </w:pPr>
      <w:del w:id="165"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66" w:author="jinahar" w:date="2012-11-26T12:18:00Z"/>
        </w:rPr>
      </w:pPr>
      <w:del w:id="167"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168" w:author="jinahar" w:date="2012-11-26T12:18:00Z"/>
        </w:rPr>
      </w:pPr>
      <w:del w:id="169"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170" w:author="jinahar" w:date="2012-11-26T12:18:00Z"/>
        </w:rPr>
      </w:pPr>
      <w:del w:id="171"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172" w:author="jinahar" w:date="2012-11-26T12:18:00Z"/>
        </w:rPr>
      </w:pPr>
      <w:del w:id="173"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174" w:author="jinahar" w:date="2012-11-26T12:18:00Z"/>
        </w:rPr>
      </w:pPr>
      <w:del w:id="175"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176" w:author="jinahar" w:date="2012-11-26T12:18:00Z"/>
        </w:rPr>
      </w:pPr>
      <w:del w:id="177"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178" w:author="jinahar" w:date="2012-11-26T12:18:00Z"/>
        </w:rPr>
      </w:pPr>
      <w:del w:id="179"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180" w:author="jinahar" w:date="2012-11-26T12:18:00Z"/>
        </w:rPr>
      </w:pPr>
      <w:del w:id="181"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182" w:author="jinahar" w:date="2012-11-26T12:18:00Z"/>
        </w:rPr>
      </w:pPr>
      <w:del w:id="183"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184" w:author="jinahar" w:date="2012-11-26T12:18:00Z"/>
        </w:rPr>
      </w:pPr>
      <w:del w:id="185"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186" w:author="jinahar" w:date="2012-11-26T12:18:00Z"/>
        </w:rPr>
      </w:pPr>
      <w:del w:id="187" w:author="jinahar" w:date="2012-11-26T12:18:00Z">
        <w:r w:rsidRPr="00795BBF" w:rsidDel="00795BBF">
          <w:lastRenderedPageBreak/>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188" w:author="jinahar" w:date="2012-11-26T12:18:00Z"/>
        </w:rPr>
      </w:pPr>
      <w:del w:id="189"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190" w:author="jinahar" w:date="2012-11-26T12:18:00Z"/>
        </w:rPr>
      </w:pPr>
      <w:del w:id="191"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192" w:author="jinahar" w:date="2012-11-26T12:18:00Z"/>
        </w:rPr>
      </w:pPr>
      <w:del w:id="193" w:author="jinahar" w:date="2012-11-26T12:18:00Z">
        <w:r w:rsidRPr="00795BBF" w:rsidDel="00795BBF">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194" w:author="jinahar" w:date="2012-11-26T12:18:00Z"/>
        </w:rPr>
      </w:pPr>
      <w:del w:id="195"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196" w:author="jinahar" w:date="2012-11-26T12:18:00Z"/>
        </w:rPr>
      </w:pPr>
      <w:del w:id="197"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198" w:author="jinahar" w:date="2012-11-26T12:18:00Z"/>
        </w:rPr>
      </w:pPr>
      <w:del w:id="199"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200" w:author="jinahar" w:date="2012-11-26T12:18:00Z"/>
        </w:rPr>
      </w:pPr>
      <w:del w:id="201"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02" w:author="jinahar" w:date="2012-11-26T12:18:00Z"/>
        </w:rPr>
      </w:pPr>
      <w:del w:id="203"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04" w:author="jinahar" w:date="2012-11-26T12:18:00Z"/>
        </w:rPr>
      </w:pPr>
      <w:del w:id="205" w:author="jinahar" w:date="2012-11-26T12:18:00Z">
        <w:r w:rsidRPr="00795BBF" w:rsidDel="00795BBF">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06" w:author="jinahar" w:date="2012-11-26T12:18:00Z"/>
        </w:rPr>
      </w:pPr>
      <w:del w:id="207"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08" w:author="jinahar" w:date="2012-11-26T12:18:00Z"/>
        </w:rPr>
      </w:pPr>
      <w:del w:id="209"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10" w:author="jinahar" w:date="2012-11-26T12:18:00Z"/>
        </w:rPr>
      </w:pPr>
      <w:del w:id="211"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12" w:author="jinahar" w:date="2012-11-26T12:18:00Z"/>
        </w:rPr>
      </w:pPr>
      <w:del w:id="213"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14" w:author="jinahar" w:date="2012-11-26T12:18:00Z"/>
        </w:rPr>
      </w:pPr>
      <w:del w:id="215"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16" w:author="jinahar" w:date="2012-11-26T12:18:00Z"/>
        </w:rPr>
      </w:pPr>
      <w:del w:id="217"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18" w:author="jinahar" w:date="2012-11-26T12:18:00Z"/>
        </w:rPr>
      </w:pPr>
      <w:del w:id="219"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20" w:author="jinahar" w:date="2012-11-26T12:18:00Z"/>
        </w:rPr>
      </w:pPr>
      <w:del w:id="221"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22" w:author="jinahar" w:date="2012-11-26T12:18:00Z"/>
        </w:rPr>
      </w:pPr>
      <w:del w:id="223"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24" w:author="jinahar" w:date="2012-11-26T12:18:00Z"/>
        </w:rPr>
      </w:pPr>
      <w:del w:id="225"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26" w:author="jinahar" w:date="2012-11-26T12:18:00Z"/>
        </w:rPr>
      </w:pPr>
      <w:del w:id="227"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28" w:author="jinahar" w:date="2012-11-26T12:18:00Z"/>
        </w:rPr>
      </w:pPr>
      <w:del w:id="229"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30" w:author="jinahar" w:date="2012-11-26T12:18:00Z"/>
        </w:rPr>
      </w:pPr>
      <w:del w:id="231"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32" w:author="jinahar" w:date="2012-11-26T12:18:00Z"/>
        </w:rPr>
      </w:pPr>
      <w:del w:id="233"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34" w:author="jinahar" w:date="2012-11-26T12:18:00Z"/>
        </w:rPr>
      </w:pPr>
      <w:del w:id="235"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36" w:author="jinahar" w:date="2012-11-26T12:18:00Z"/>
        </w:rPr>
      </w:pPr>
      <w:del w:id="237"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38" w:author="jinahar" w:date="2012-11-26T12:18:00Z"/>
        </w:rPr>
      </w:pPr>
      <w:del w:id="239" w:author="jinahar" w:date="2012-11-26T12:18:00Z">
        <w:r w:rsidRPr="00795BBF" w:rsidDel="00795BBF">
          <w:lastRenderedPageBreak/>
          <w:delText>(73) "Wood Touch-Up/Repair/Restoration Coatings" mean coatings designed and labeled exclusively to provide an exact color or sheen match on finished wood products.</w:delText>
        </w:r>
      </w:del>
      <w:proofErr w:type="spellStart"/>
      <w:ins w:id="240" w:author="jinahar" w:date="2012-11-26T12:18:00Z">
        <w:r>
          <w:t>Repealed</w:t>
        </w:r>
      </w:ins>
    </w:p>
    <w:p w:rsidR="00795BBF" w:rsidRPr="00795BBF" w:rsidDel="00795BBF" w:rsidRDefault="00795BBF" w:rsidP="00795BBF">
      <w:pPr>
        <w:rPr>
          <w:del w:id="241" w:author="jinahar" w:date="2012-11-26T12:18:00Z"/>
        </w:rPr>
      </w:pPr>
      <w:del w:id="24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43" w:author="jinahar" w:date="2012-11-26T12:18:00Z"/>
        </w:rPr>
      </w:pPr>
      <w:del w:id="244"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45" w:author="jinahar" w:date="2012-11-26T12:18:00Z"/>
        </w:rPr>
      </w:pPr>
      <w:ins w:id="246" w:author="jinahar" w:date="2012-11-26T12:18:00Z">
        <w:r w:rsidRPr="00795BBF" w:rsidDel="00795BBF">
          <w:rPr>
            <w:b/>
            <w:bCs/>
          </w:rPr>
          <w:t xml:space="preserve"> </w:t>
        </w:r>
      </w:ins>
      <w:del w:id="247" w:author="jinahar" w:date="2012-11-26T12:18:00Z">
        <w:r w:rsidRPr="00795BBF" w:rsidDel="00795BBF">
          <w:rPr>
            <w:b/>
            <w:bCs/>
          </w:rPr>
          <w:delText>Spray Paint Standards and Exemptions</w:delText>
        </w:r>
      </w:del>
    </w:p>
    <w:p w:rsidR="00795BBF" w:rsidRPr="00795BBF" w:rsidDel="00795BBF" w:rsidRDefault="00795BBF" w:rsidP="00795BBF">
      <w:pPr>
        <w:rPr>
          <w:del w:id="248" w:author="jinahar" w:date="2012-11-26T12:18:00Z"/>
        </w:rPr>
      </w:pPr>
      <w:del w:id="249"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50" w:author="jinahar" w:date="2012-11-26T12:18:00Z"/>
        </w:rPr>
      </w:pPr>
      <w:del w:id="251"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52" w:author="jinahar" w:date="2012-11-26T12:18:00Z"/>
        </w:rPr>
      </w:pPr>
      <w:del w:id="253"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54" w:author="jinahar" w:date="2012-11-26T12:18:00Z"/>
        </w:rPr>
      </w:pPr>
      <w:del w:id="255" w:author="jinahar" w:date="2012-11-26T12:18:00Z">
        <w:r w:rsidRPr="00795BBF"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56" w:author="jinahar" w:date="2012-11-26T12:18:00Z"/>
        </w:rPr>
      </w:pPr>
      <w:del w:id="257"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58" w:author="jinahar" w:date="2012-11-26T12:18:00Z"/>
        </w:rPr>
      </w:pPr>
      <w:del w:id="259"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60" w:author="jinahar" w:date="2012-11-26T12:18:00Z">
        <w:r>
          <w:t>Repealed</w:t>
        </w:r>
      </w:ins>
    </w:p>
    <w:p w:rsidR="00795BBF" w:rsidRPr="00795BBF" w:rsidDel="00795BBF" w:rsidRDefault="00795BBF" w:rsidP="00795BBF">
      <w:pPr>
        <w:rPr>
          <w:del w:id="261" w:author="jinahar" w:date="2012-11-26T12:18:00Z"/>
        </w:rPr>
      </w:pPr>
      <w:del w:id="26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63" w:author="jinahar" w:date="2012-11-26T12:18:00Z"/>
        </w:rPr>
      </w:pPr>
      <w:del w:id="264"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65" w:author="jinahar" w:date="2012-11-26T12:18:00Z"/>
        </w:rPr>
      </w:pPr>
      <w:ins w:id="266" w:author="jinahar" w:date="2012-11-26T12:18:00Z">
        <w:r w:rsidRPr="00795BBF" w:rsidDel="00795BBF">
          <w:rPr>
            <w:b/>
            <w:bCs/>
          </w:rPr>
          <w:t xml:space="preserve"> </w:t>
        </w:r>
      </w:ins>
      <w:del w:id="267"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268" w:author="jinahar" w:date="2012-11-26T12:18:00Z"/>
        </w:rPr>
      </w:pPr>
      <w:del w:id="269"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270" w:author="jinahar" w:date="2012-11-26T12:18:00Z"/>
        </w:rPr>
      </w:pPr>
      <w:del w:id="271"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272" w:author="jinahar" w:date="2012-11-26T12:18:00Z"/>
        </w:rPr>
      </w:pPr>
      <w:del w:id="273"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274" w:author="jinahar" w:date="2012-11-26T12:18:00Z"/>
        </w:rPr>
      </w:pPr>
      <w:del w:id="275"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276" w:author="jinahar" w:date="2012-11-26T12:18:00Z"/>
        </w:rPr>
      </w:pPr>
      <w:del w:id="277"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278" w:author="jinahar" w:date="2012-11-26T12:18:00Z"/>
        </w:rPr>
      </w:pPr>
      <w:del w:id="279"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280" w:author="jinahar" w:date="2012-11-26T12:18:00Z"/>
        </w:rPr>
      </w:pPr>
      <w:del w:id="281"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282" w:author="jinahar" w:date="2012-11-26T12:18:00Z"/>
        </w:rPr>
      </w:pPr>
      <w:del w:id="283"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284" w:author="jinahar" w:date="2012-11-26T12:18:00Z"/>
        </w:rPr>
      </w:pPr>
      <w:del w:id="285"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286" w:author="jinahar" w:date="2012-11-26T12:18:00Z"/>
        </w:rPr>
      </w:pPr>
      <w:del w:id="287" w:author="jinahar" w:date="2012-11-26T12:18:00Z">
        <w:r w:rsidRPr="00795BBF" w:rsidDel="00795BBF">
          <w:lastRenderedPageBreak/>
          <w:delText>(b) Distribute to the Portland AQMA only spray paints labeled with VOC contents that meet the VOC limits specified in OAR 340-242-0720; and</w:delText>
        </w:r>
      </w:del>
    </w:p>
    <w:p w:rsidR="00795BBF" w:rsidRPr="00795BBF" w:rsidDel="00795BBF" w:rsidRDefault="00795BBF" w:rsidP="00795BBF">
      <w:pPr>
        <w:rPr>
          <w:del w:id="288" w:author="jinahar" w:date="2012-11-26T12:18:00Z"/>
        </w:rPr>
      </w:pPr>
      <w:del w:id="289"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290" w:author="jinahar" w:date="2012-11-26T12:18:00Z"/>
        </w:rPr>
      </w:pPr>
      <w:del w:id="291" w:author="jinahar" w:date="2012-11-26T12:18:00Z">
        <w:r w:rsidRPr="00795BBF" w:rsidDel="00795BBF">
          <w:delText>(3) Retailers.</w:delText>
        </w:r>
      </w:del>
    </w:p>
    <w:p w:rsidR="00795BBF" w:rsidRPr="00795BBF" w:rsidDel="00795BBF" w:rsidRDefault="00795BBF" w:rsidP="00795BBF">
      <w:pPr>
        <w:rPr>
          <w:del w:id="292" w:author="jinahar" w:date="2012-11-26T12:18:00Z"/>
        </w:rPr>
      </w:pPr>
      <w:del w:id="293"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294" w:author="jinahar" w:date="2012-11-26T12:18:00Z"/>
        </w:rPr>
      </w:pPr>
      <w:del w:id="295" w:author="jinahar" w:date="2012-11-26T12:18:00Z">
        <w:r w:rsidRPr="00795BBF"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296" w:author="jinahar" w:date="2012-11-26T12:18:00Z"/>
        </w:rPr>
      </w:pPr>
      <w:del w:id="297"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298" w:author="jinahar" w:date="2012-11-26T12:18:00Z"/>
        </w:rPr>
      </w:pPr>
      <w:del w:id="299"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300" w:author="jinahar" w:date="2012-11-26T12:18:00Z"/>
        </w:rPr>
      </w:pPr>
      <w:del w:id="301"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02" w:author="jinahar" w:date="2012-11-26T12:18:00Z">
        <w:r>
          <w:t>Repealed</w:t>
        </w:r>
      </w:ins>
    </w:p>
    <w:p w:rsidR="00795BBF" w:rsidRPr="00795BBF" w:rsidDel="00795BBF" w:rsidRDefault="00795BBF" w:rsidP="00795BBF">
      <w:pPr>
        <w:rPr>
          <w:del w:id="303" w:author="jinahar" w:date="2012-11-26T12:18:00Z"/>
        </w:rPr>
      </w:pPr>
      <w:del w:id="304"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05" w:author="jinahar" w:date="2012-11-26T12:18:00Z"/>
        </w:rPr>
      </w:pPr>
      <w:ins w:id="306" w:author="jinahar" w:date="2012-11-26T12:18:00Z">
        <w:r w:rsidRPr="00795BBF" w:rsidDel="00795BBF">
          <w:rPr>
            <w:b/>
            <w:bCs/>
          </w:rPr>
          <w:t xml:space="preserve"> </w:t>
        </w:r>
      </w:ins>
      <w:del w:id="307" w:author="jinahar" w:date="2012-11-26T12:18:00Z">
        <w:r w:rsidRPr="00795BBF" w:rsidDel="00795BBF">
          <w:rPr>
            <w:b/>
            <w:bCs/>
          </w:rPr>
          <w:delText>Recordkeeping and Reporting Requirements</w:delText>
        </w:r>
      </w:del>
    </w:p>
    <w:p w:rsidR="00795BBF" w:rsidRPr="00795BBF" w:rsidDel="00795BBF" w:rsidRDefault="00795BBF" w:rsidP="00795BBF">
      <w:pPr>
        <w:rPr>
          <w:del w:id="308" w:author="jinahar" w:date="2012-11-26T12:18:00Z"/>
        </w:rPr>
      </w:pPr>
      <w:del w:id="309"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10" w:author="jinahar" w:date="2012-11-26T12:18:00Z"/>
        </w:rPr>
      </w:pPr>
      <w:del w:id="311"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12" w:author="jinahar" w:date="2012-11-26T12:18:00Z"/>
        </w:rPr>
      </w:pPr>
      <w:del w:id="313"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14" w:author="jinahar" w:date="2012-11-26T12:18:00Z"/>
        </w:rPr>
      </w:pPr>
      <w:del w:id="315"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16" w:author="jinahar" w:date="2012-11-26T12:18:00Z"/>
        </w:rPr>
      </w:pPr>
      <w:del w:id="317"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18" w:author="jinahar" w:date="2012-11-26T12:18:00Z"/>
        </w:rPr>
      </w:pPr>
      <w:del w:id="319"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20" w:author="jinahar" w:date="2012-11-26T12:18:00Z">
        <w:r>
          <w:t>Repealed</w:t>
        </w:r>
      </w:ins>
    </w:p>
    <w:p w:rsidR="00795BBF" w:rsidRPr="00795BBF" w:rsidDel="00795BBF" w:rsidRDefault="00795BBF" w:rsidP="00795BBF">
      <w:pPr>
        <w:rPr>
          <w:del w:id="321" w:author="jinahar" w:date="2012-11-26T12:18:00Z"/>
        </w:rPr>
      </w:pPr>
      <w:del w:id="32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23" w:author="jinahar" w:date="2012-11-26T12:19:00Z"/>
        </w:rPr>
      </w:pPr>
      <w:ins w:id="324" w:author="jinahar" w:date="2012-11-26T12:19:00Z">
        <w:r w:rsidRPr="00795BBF" w:rsidDel="00795BBF">
          <w:rPr>
            <w:b/>
            <w:bCs/>
          </w:rPr>
          <w:t xml:space="preserve"> </w:t>
        </w:r>
      </w:ins>
      <w:del w:id="325" w:author="jinahar" w:date="2012-11-26T12:19:00Z">
        <w:r w:rsidRPr="00795BBF" w:rsidDel="00795BBF">
          <w:rPr>
            <w:b/>
            <w:bCs/>
          </w:rPr>
          <w:delText>Inspection and Testing Requirements</w:delText>
        </w:r>
      </w:del>
    </w:p>
    <w:p w:rsidR="00795BBF" w:rsidRPr="00795BBF" w:rsidDel="00795BBF" w:rsidRDefault="00795BBF" w:rsidP="00795BBF">
      <w:pPr>
        <w:rPr>
          <w:del w:id="326" w:author="jinahar" w:date="2012-11-26T12:19:00Z"/>
        </w:rPr>
      </w:pPr>
      <w:del w:id="327"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28" w:author="jinahar" w:date="2012-11-26T12:19:00Z"/>
        </w:rPr>
      </w:pPr>
      <w:del w:id="329"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30" w:author="jinahar" w:date="2012-11-26T12:19:00Z"/>
        </w:rPr>
      </w:pPr>
      <w:del w:id="331"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32" w:author="jinahar" w:date="2012-11-26T12:19:00Z"/>
        </w:rPr>
      </w:pPr>
      <w:del w:id="333" w:author="jinahar" w:date="2012-11-26T12:19:00Z">
        <w:r w:rsidRPr="00795BBF" w:rsidDel="00795BBF">
          <w:delText>(a) VOCContent. The VOC content shall be determined by:</w:delText>
        </w:r>
      </w:del>
    </w:p>
    <w:p w:rsidR="00795BBF" w:rsidRPr="00795BBF" w:rsidDel="00795BBF" w:rsidRDefault="00795BBF" w:rsidP="00795BBF">
      <w:pPr>
        <w:rPr>
          <w:del w:id="334" w:author="jinahar" w:date="2012-11-26T12:19:00Z"/>
        </w:rPr>
      </w:pPr>
      <w:del w:id="335"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w:delText>
        </w:r>
        <w:r w:rsidRPr="00795BBF" w:rsidDel="00795BBF">
          <w:rPr>
            <w:b/>
            <w:bCs/>
          </w:rPr>
          <w:lastRenderedPageBreak/>
          <w:delText>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36" w:author="jinahar" w:date="2012-11-26T12:19:00Z"/>
        </w:rPr>
      </w:pPr>
      <w:del w:id="337"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38" w:author="jinahar" w:date="2012-11-26T12:19:00Z"/>
        </w:rPr>
      </w:pPr>
      <w:del w:id="339" w:author="jinahar" w:date="2012-11-26T12:19:00Z">
        <w:r w:rsidRPr="00795BBF"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795BBF" w:rsidRPr="00795BBF" w:rsidDel="00795BBF" w:rsidRDefault="00795BBF" w:rsidP="00795BBF">
      <w:pPr>
        <w:rPr>
          <w:del w:id="340" w:author="jinahar" w:date="2012-11-26T12:19:00Z"/>
        </w:rPr>
      </w:pPr>
      <w:del w:id="341"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42" w:author="jinahar" w:date="2012-11-26T12:19:00Z"/>
        </w:rPr>
      </w:pPr>
      <w:del w:id="343"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4" w:author="jinahar" w:date="2012-11-26T12:19:00Z"/>
        </w:rPr>
      </w:pPr>
      <w:del w:id="345"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46" w:author="jinahar" w:date="2012-11-26T12:19:00Z"/>
        </w:rPr>
      </w:pPr>
      <w:del w:id="347" w:author="jinahar" w:date="2012-11-26T12:19:00Z">
        <w:r w:rsidRPr="00795BBF" w:rsidDel="00795BBF">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8" w:author="jinahar" w:date="2012-11-26T12:19:00Z"/>
        </w:rPr>
      </w:pPr>
      <w:del w:id="349"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50" w:author="jinahar" w:date="2012-11-26T12:19:00Z">
        <w:r>
          <w:t>Repealed</w:t>
        </w:r>
      </w:ins>
    </w:p>
    <w:p w:rsidR="00795BBF" w:rsidRPr="00795BBF" w:rsidDel="00795BBF" w:rsidRDefault="00795BBF" w:rsidP="00795BBF">
      <w:pPr>
        <w:rPr>
          <w:del w:id="351" w:author="jinahar" w:date="2012-11-26T12:19:00Z"/>
        </w:rPr>
      </w:pPr>
      <w:del w:id="352"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RDefault="00795BBF" w:rsidP="00795BBF">
      <w:r w:rsidRPr="00795BBF">
        <w:rPr>
          <w:b/>
          <w:bCs/>
        </w:rPr>
        <w:t>Applicability</w:t>
      </w:r>
    </w:p>
    <w:p w:rsidR="00795BBF" w:rsidRDefault="00795BBF" w:rsidP="00795BBF">
      <w:del w:id="353" w:author="jinahar" w:date="2013-01-17T13:34:00Z">
        <w:r w:rsidRPr="00795BBF" w:rsidDel="00CD4FB6">
          <w:delText>OAR 340-242-0760 through 340-242-0790 apply to 340-242-</w:delText>
        </w:r>
        <w:commentRangeStart w:id="354"/>
        <w:r w:rsidRPr="00795BBF" w:rsidDel="00CD4FB6">
          <w:delText>0600</w:delText>
        </w:r>
      </w:del>
      <w:commentRangeEnd w:id="354"/>
      <w:r w:rsidR="00CD4FB6">
        <w:rPr>
          <w:rStyle w:val="CommentReference"/>
        </w:rPr>
        <w:commentReference w:id="354"/>
      </w:r>
      <w:del w:id="355" w:author="jinahar" w:date="2013-01-17T13:34:00Z">
        <w:r w:rsidRPr="00795BBF" w:rsidDel="00CD4FB6">
          <w:delText xml:space="preserve"> through 340-242-0750.</w:delText>
        </w:r>
      </w:del>
      <w:ins w:id="356" w:author="jinahar" w:date="2013-01-17T13:34:00Z">
        <w:r w:rsidR="00CD4FB6">
          <w:t>Repealed</w:t>
        </w:r>
      </w:ins>
    </w:p>
    <w:p w:rsidR="00C733A8" w:rsidRPr="00795BBF" w:rsidRDefault="00C733A8" w:rsidP="00795BBF"/>
    <w:p w:rsidR="00795BBF" w:rsidRPr="00795BBF" w:rsidDel="00CD4FB6" w:rsidRDefault="00795BBF" w:rsidP="00795BBF">
      <w:pPr>
        <w:rPr>
          <w:del w:id="357" w:author="jinahar" w:date="2013-01-17T13:35:00Z"/>
        </w:rPr>
      </w:pPr>
      <w:del w:id="358"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RDefault="00795BBF" w:rsidP="00795BBF">
      <w:r w:rsidRPr="00795BBF">
        <w:rPr>
          <w:b/>
          <w:bCs/>
        </w:rPr>
        <w:t>Compliance Extensions</w:t>
      </w:r>
    </w:p>
    <w:p w:rsidR="00795BBF" w:rsidRPr="00795BBF" w:rsidDel="001D47EE" w:rsidRDefault="001D47EE" w:rsidP="00795BBF">
      <w:pPr>
        <w:rPr>
          <w:del w:id="359" w:author="jinahar" w:date="2012-11-26T12:25:00Z"/>
        </w:rPr>
      </w:pPr>
      <w:ins w:id="360" w:author="jinahar" w:date="2012-11-26T12:25:00Z">
        <w:r w:rsidRPr="00795BBF" w:rsidDel="001D47EE">
          <w:t xml:space="preserve"> </w:t>
        </w:r>
      </w:ins>
      <w:del w:id="361" w:author="jinahar" w:date="2012-11-26T12:25:00Z">
        <w:r w:rsidR="00795BBF" w:rsidRPr="00795BBF" w:rsidDel="001D47EE">
          <w:delTex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62" w:author="jinahar" w:date="2012-11-26T12:25:00Z"/>
        </w:rPr>
      </w:pPr>
      <w:del w:id="363"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364" w:author="jinahar" w:date="2012-11-26T12:25:00Z"/>
        </w:rPr>
      </w:pPr>
      <w:del w:id="365"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366" w:author="jinahar" w:date="2012-11-26T12:25:00Z"/>
        </w:rPr>
      </w:pPr>
      <w:del w:id="367" w:author="jinahar" w:date="2012-11-26T12:25:00Z">
        <w:r w:rsidRPr="00795BBF" w:rsidDel="001D47EE">
          <w:delText>(b) The requested terms and conditions;</w:delText>
        </w:r>
      </w:del>
    </w:p>
    <w:p w:rsidR="00795BBF" w:rsidRPr="00795BBF" w:rsidDel="001D47EE" w:rsidRDefault="00795BBF" w:rsidP="00795BBF">
      <w:pPr>
        <w:rPr>
          <w:del w:id="368" w:author="jinahar" w:date="2012-11-26T12:25:00Z"/>
        </w:rPr>
      </w:pPr>
      <w:del w:id="369" w:author="jinahar" w:date="2012-11-26T12:25:00Z">
        <w:r w:rsidRPr="00795BBF" w:rsidDel="001D47EE">
          <w:lastRenderedPageBreak/>
          <w:delText>(c) The specific method(s) by which compliance with the requested terms and conditions will be achieved;</w:delText>
        </w:r>
      </w:del>
    </w:p>
    <w:p w:rsidR="00795BBF" w:rsidRPr="00795BBF" w:rsidDel="001D47EE" w:rsidRDefault="00795BBF" w:rsidP="00795BBF">
      <w:pPr>
        <w:rPr>
          <w:del w:id="370" w:author="jinahar" w:date="2012-11-26T12:25:00Z"/>
        </w:rPr>
      </w:pPr>
      <w:del w:id="371"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372" w:author="jinahar" w:date="2012-11-26T12:25:00Z"/>
        </w:rPr>
      </w:pPr>
      <w:del w:id="373"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374" w:author="jinahar" w:date="2012-11-26T12:25:00Z"/>
        </w:rPr>
      </w:pPr>
      <w:del w:id="375"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376" w:author="jinahar" w:date="2012-11-26T12:25:00Z"/>
        </w:rPr>
      </w:pPr>
      <w:del w:id="377" w:author="jinahar" w:date="2012-11-26T12:25:00Z">
        <w:r w:rsidRPr="00795BBF"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378" w:author="jinahar" w:date="2012-11-26T12:25:00Z"/>
        </w:rPr>
      </w:pPr>
      <w:del w:id="379"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380" w:author="jinahar" w:date="2012-11-26T12:25:00Z"/>
        </w:rPr>
      </w:pPr>
      <w:del w:id="381" w:author="jinahar" w:date="2012-11-26T12:25:00Z">
        <w:r w:rsidRPr="00795BBF" w:rsidDel="001D47EE">
          <w:delText>(a) Conditions beyond the control of the applicant;</w:delText>
        </w:r>
      </w:del>
    </w:p>
    <w:p w:rsidR="00795BBF" w:rsidRPr="00795BBF" w:rsidDel="001D47EE" w:rsidRDefault="00795BBF" w:rsidP="00795BBF">
      <w:pPr>
        <w:rPr>
          <w:del w:id="382" w:author="jinahar" w:date="2012-11-26T12:25:00Z"/>
        </w:rPr>
      </w:pPr>
      <w:del w:id="383"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384" w:author="jinahar" w:date="2012-11-26T12:25:00Z"/>
        </w:rPr>
      </w:pPr>
      <w:del w:id="385"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386" w:author="jinahar" w:date="2012-11-26T12:25:00Z"/>
        </w:rPr>
      </w:pPr>
      <w:del w:id="387"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388" w:author="jinahar" w:date="2012-11-26T12:25:00Z"/>
        </w:rPr>
      </w:pPr>
      <w:del w:id="389" w:author="jinahar" w:date="2012-11-26T12:25:00Z">
        <w:r w:rsidRPr="00795BBF"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390" w:author="jinahar" w:date="2012-11-26T12:25:00Z"/>
        </w:rPr>
      </w:pPr>
      <w:del w:id="391"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392" w:author="jinahar" w:date="2012-11-26T12:25:00Z"/>
        </w:rPr>
      </w:pPr>
      <w:del w:id="393"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394" w:author="jinahar" w:date="2012-11-26T12:25:00Z"/>
        </w:rPr>
      </w:pPr>
      <w:del w:id="395"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396" w:author="jinahar" w:date="2012-11-26T12:25:00Z"/>
        </w:rPr>
      </w:pPr>
      <w:del w:id="397"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398" w:author="jinahar" w:date="2012-11-26T12:25:00Z">
        <w:r w:rsidR="001D47EE">
          <w:t>Repealed</w:t>
        </w:r>
      </w:ins>
    </w:p>
    <w:p w:rsidR="00795BBF" w:rsidRPr="00795BBF" w:rsidDel="001D47EE" w:rsidRDefault="00795BBF" w:rsidP="00795BBF">
      <w:pPr>
        <w:rPr>
          <w:del w:id="399" w:author="jinahar" w:date="2012-11-26T12:25:00Z"/>
        </w:rPr>
      </w:pPr>
      <w:del w:id="400"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RDefault="00795BBF" w:rsidP="00795BBF">
      <w:r w:rsidRPr="00795BBF">
        <w:rPr>
          <w:b/>
          <w:bCs/>
        </w:rPr>
        <w:t>Exemption from Disclosure to the Public</w:t>
      </w:r>
    </w:p>
    <w:p w:rsidR="00795BBF" w:rsidRPr="00795BBF" w:rsidDel="00CD4FB6" w:rsidRDefault="00795BBF" w:rsidP="00795BBF">
      <w:pPr>
        <w:rPr>
          <w:del w:id="401" w:author="jinahar" w:date="2013-01-17T13:34:00Z"/>
        </w:rPr>
      </w:pPr>
      <w:del w:id="402" w:author="jinahar" w:date="2013-01-17T13:34:00Z">
        <w:r w:rsidRPr="00795BBF" w:rsidDel="00CD4FB6">
          <w:delText>(1) If a person claims 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03" w:author="jinahar" w:date="2013-01-17T13:34:00Z"/>
        </w:rPr>
      </w:pPr>
      <w:del w:id="404"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05" w:author="jinahar" w:date="2013-01-17T13:34:00Z"/>
        </w:rPr>
      </w:pPr>
      <w:del w:id="406"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07" w:author="jinahar" w:date="2013-01-17T13:34:00Z"/>
        </w:rPr>
      </w:pPr>
      <w:del w:id="408"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09" w:author="jinahar" w:date="2013-01-17T13:34:00Z"/>
        </w:rPr>
      </w:pPr>
      <w:del w:id="410"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11" w:author="jinahar" w:date="2013-01-17T13:34:00Z"/>
        </w:rPr>
      </w:pPr>
      <w:del w:id="412" w:author="jinahar" w:date="2013-01-17T13:34:00Z">
        <w:r w:rsidRPr="00795BBF" w:rsidDel="00CD4FB6">
          <w:delText>(a) The information shall not be patented;</w:delText>
        </w:r>
      </w:del>
    </w:p>
    <w:p w:rsidR="00795BBF" w:rsidRPr="00795BBF" w:rsidDel="00CD4FB6" w:rsidRDefault="00795BBF" w:rsidP="00795BBF">
      <w:pPr>
        <w:rPr>
          <w:del w:id="413" w:author="jinahar" w:date="2013-01-17T13:34:00Z"/>
        </w:rPr>
      </w:pPr>
      <w:del w:id="414" w:author="jinahar" w:date="2013-01-17T13:34:00Z">
        <w:r w:rsidRPr="00795BBF" w:rsidDel="00CD4FB6">
          <w:lastRenderedPageBreak/>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15" w:author="jinahar" w:date="2013-01-17T13:34:00Z"/>
        </w:rPr>
      </w:pPr>
      <w:del w:id="416"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17" w:author="jinahar" w:date="2013-01-17T13:34:00Z">
        <w:r w:rsidRPr="00795BBF" w:rsidDel="00CD4FB6">
          <w:delText>(d) It shall give its users the chance to obtain a business advantage over competitors not having the information.</w:delText>
        </w:r>
      </w:del>
      <w:ins w:id="418" w:author="jinahar" w:date="2013-01-17T13:34:00Z">
        <w:r w:rsidR="00CD4FB6">
          <w:t>Repealed</w:t>
        </w:r>
      </w:ins>
    </w:p>
    <w:p w:rsidR="007963CA" w:rsidRPr="00795BBF" w:rsidRDefault="007963CA" w:rsidP="00795BBF"/>
    <w:p w:rsidR="00795BBF" w:rsidRPr="00795BBF" w:rsidDel="00CD4FB6" w:rsidRDefault="00795BBF" w:rsidP="00795BBF">
      <w:pPr>
        <w:rPr>
          <w:del w:id="419" w:author="jinahar" w:date="2013-01-17T13:35:00Z"/>
        </w:rPr>
      </w:pPr>
      <w:del w:id="420"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21" w:author="jinahar" w:date="2012-11-26T12:26:00Z"/>
        </w:rPr>
      </w:pPr>
      <w:ins w:id="422" w:author="jinahar" w:date="2012-11-26T12:26:00Z">
        <w:r w:rsidRPr="00795BBF" w:rsidDel="001D47EE">
          <w:rPr>
            <w:b/>
            <w:bCs/>
          </w:rPr>
          <w:t xml:space="preserve"> </w:t>
        </w:r>
      </w:ins>
      <w:del w:id="423" w:author="jinahar" w:date="2012-11-26T12:26:00Z">
        <w:r w:rsidR="00795BBF" w:rsidRPr="00795BBF" w:rsidDel="001D47EE">
          <w:rPr>
            <w:b/>
            <w:bCs/>
          </w:rPr>
          <w:delText>Future Review</w:delText>
        </w:r>
      </w:del>
    </w:p>
    <w:p w:rsidR="00795BBF" w:rsidRPr="00795BBF" w:rsidDel="001D47EE" w:rsidRDefault="00795BBF" w:rsidP="00795BBF">
      <w:pPr>
        <w:rPr>
          <w:del w:id="424" w:author="jinahar" w:date="2012-11-26T12:26:00Z"/>
        </w:rPr>
      </w:pPr>
      <w:del w:id="425" w:author="jinahar" w:date="2012-11-26T12:26:00Z">
        <w:r w:rsidRPr="00795BBF"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26" w:author="jinahar" w:date="2012-11-26T12:26:00Z"/>
        </w:rPr>
      </w:pPr>
      <w:del w:id="427"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28" w:author="jinahar" w:date="2012-11-26T12:26:00Z"/>
        </w:rPr>
      </w:pPr>
      <w:del w:id="429"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30" w:author="jinahar" w:date="2012-11-26T12:26:00Z"/>
        </w:rPr>
      </w:pPr>
      <w:del w:id="431"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32" w:author="jinahar" w:date="2012-11-26T12:26:00Z"/>
        </w:rPr>
      </w:pPr>
      <w:del w:id="433" w:author="jinahar" w:date="2012-11-26T12:26:00Z">
        <w:r w:rsidRPr="00795BBF" w:rsidDel="001D47EE">
          <w:delText>(4) A recommendation regarding amendment to eliminate such provisions and, if applicable, a schedule for amendment.</w:delText>
        </w:r>
      </w:del>
      <w:proofErr w:type="spellStart"/>
      <w:ins w:id="434" w:author="jinahar" w:date="2012-11-26T12:26:00Z">
        <w:r w:rsidR="001D47EE">
          <w:t>Repealed</w:t>
        </w:r>
      </w:ins>
    </w:p>
    <w:p w:rsidR="00795BBF" w:rsidRPr="00795BBF" w:rsidDel="001D47EE" w:rsidRDefault="00795BBF" w:rsidP="00795BBF">
      <w:pPr>
        <w:rPr>
          <w:del w:id="435" w:author="jinahar" w:date="2012-11-26T12:26:00Z"/>
        </w:rPr>
      </w:pPr>
      <w:del w:id="436"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Preferred Customer" w:date="2013-02-20T15:59:00Z" w:initials="JSI">
    <w:p w:rsidR="00387061" w:rsidRDefault="00387061">
      <w:pPr>
        <w:pStyle w:val="CommentText"/>
      </w:pPr>
      <w:r>
        <w:rPr>
          <w:rStyle w:val="CommentReference"/>
        </w:rPr>
        <w:annotationRef/>
      </w:r>
      <w:r w:rsidRPr="00387061">
        <w:t xml:space="preserve">Repeal spray paint rules since there are now equivalent federal rules.  </w:t>
      </w:r>
    </w:p>
  </w:comment>
  <w:comment w:id="354" w:author="jinahar" w:date="2013-01-17T13:37:00Z" w:initials="j">
    <w:p w:rsidR="00CD4FB6" w:rsidRDefault="00CD4FB6">
      <w:pPr>
        <w:pStyle w:val="CommentText"/>
      </w:pPr>
      <w:r>
        <w:rPr>
          <w:rStyle w:val="CommentReference"/>
        </w:rPr>
        <w:annotationRef/>
      </w:r>
      <w:r>
        <w:t xml:space="preserve">600 through 630 only </w:t>
      </w:r>
      <w:proofErr w:type="gramStart"/>
      <w:r>
        <w:t>require  cleaning</w:t>
      </w:r>
      <w:proofErr w:type="gramEnd"/>
      <w:r>
        <w:t xml:space="preserve"> equipment and use of certain equipment for spraying.  It does not require submittal of any information so information exempt from disclosure isn’t relevant.  Plus we have it in </w:t>
      </w:r>
      <w:r w:rsidRPr="00CD4FB6">
        <w:t>the Public Records Law to the extent provided in 192.410 to 192.505</w:t>
      </w:r>
      <w:r>
        <w:t xml:space="preserve"> -</w:t>
      </w:r>
      <w:r w:rsidRPr="00CD4FB6">
        <w:t xml:space="preserve"> exempt from disclosure.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E" w:rsidRDefault="00FF3D8E">
    <w:pPr>
      <w:pStyle w:val="Footer"/>
    </w:pPr>
    <w:ins w:id="437" w:author="jinahar" w:date="2013-03-11T14:04: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38" w:author="jinahar" w:date="2013-03-11T14:04:00Z">
      <w:r>
        <w:rPr>
          <w:rFonts w:asciiTheme="majorHAnsi" w:hAnsiTheme="majorHAnsi"/>
          <w:noProof/>
        </w:rPr>
        <w:t>3/11/2013 2:04 PM</w:t>
      </w:r>
      <w:r>
        <w:rPr>
          <w:rFonts w:asciiTheme="majorHAnsi" w:hAnsiTheme="majorHAnsi"/>
        </w:rPr>
        <w:fldChar w:fldCharType="end"/>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795BBF"/>
    <w:rsid w:val="000B4697"/>
    <w:rsid w:val="000C5D3E"/>
    <w:rsid w:val="000D5C02"/>
    <w:rsid w:val="0012577A"/>
    <w:rsid w:val="00157722"/>
    <w:rsid w:val="00195444"/>
    <w:rsid w:val="001A22A5"/>
    <w:rsid w:val="001D47EE"/>
    <w:rsid w:val="0020056E"/>
    <w:rsid w:val="00214C56"/>
    <w:rsid w:val="00387061"/>
    <w:rsid w:val="003A60DE"/>
    <w:rsid w:val="00400586"/>
    <w:rsid w:val="00414F67"/>
    <w:rsid w:val="0043117D"/>
    <w:rsid w:val="004D578D"/>
    <w:rsid w:val="00611019"/>
    <w:rsid w:val="006F65EA"/>
    <w:rsid w:val="007260E4"/>
    <w:rsid w:val="00732F05"/>
    <w:rsid w:val="00734469"/>
    <w:rsid w:val="00795BBF"/>
    <w:rsid w:val="007963CA"/>
    <w:rsid w:val="007C644B"/>
    <w:rsid w:val="00822FC3"/>
    <w:rsid w:val="00882A13"/>
    <w:rsid w:val="008A12AC"/>
    <w:rsid w:val="008A5039"/>
    <w:rsid w:val="008A7A14"/>
    <w:rsid w:val="009B3E5A"/>
    <w:rsid w:val="00A15B1B"/>
    <w:rsid w:val="00AE1F83"/>
    <w:rsid w:val="00B02574"/>
    <w:rsid w:val="00B80CC8"/>
    <w:rsid w:val="00B91BBF"/>
    <w:rsid w:val="00BA096F"/>
    <w:rsid w:val="00BC407B"/>
    <w:rsid w:val="00C71F29"/>
    <w:rsid w:val="00C733A8"/>
    <w:rsid w:val="00CD4FB6"/>
    <w:rsid w:val="00CF2E54"/>
    <w:rsid w:val="00E939D0"/>
    <w:rsid w:val="00E9525C"/>
    <w:rsid w:val="00ED5A52"/>
    <w:rsid w:val="00F469F5"/>
    <w:rsid w:val="00FA69E6"/>
    <w:rsid w:val="00FF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
    <w:name w:val="date"/>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semiHidden/>
    <w:unhideWhenUsed/>
    <w:rsid w:val="00FF3D8E"/>
    <w:pPr>
      <w:tabs>
        <w:tab w:val="center" w:pos="4680"/>
        <w:tab w:val="right" w:pos="9360"/>
      </w:tabs>
    </w:pPr>
  </w:style>
  <w:style w:type="character" w:customStyle="1" w:styleId="HeaderChar">
    <w:name w:val="Header Char"/>
    <w:basedOn w:val="DefaultParagraphFont"/>
    <w:link w:val="Header"/>
    <w:uiPriority w:val="99"/>
    <w:semiHidden/>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0197F-0A6A-4565-9B8A-FBCC61C3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dcterms:created xsi:type="dcterms:W3CDTF">2013-01-17T21:39:00Z</dcterms:created>
  <dcterms:modified xsi:type="dcterms:W3CDTF">2013-03-11T21:04:00Z</dcterms:modified>
</cp:coreProperties>
</file>