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2C" w:rsidRDefault="00D5302C" w:rsidP="002C19C8">
      <w:pPr>
        <w:rPr>
          <w:sz w:val="24"/>
          <w:szCs w:val="24"/>
        </w:rPr>
      </w:pPr>
      <w:r>
        <w:rPr>
          <w:sz w:val="24"/>
          <w:szCs w:val="24"/>
        </w:rPr>
        <w:t>Circuit Court Decision on PM2.5 SILs and SMCs</w:t>
      </w:r>
    </w:p>
    <w:p w:rsidR="00FE0F8F" w:rsidRDefault="00FE0F8F" w:rsidP="002C19C8">
      <w:pPr>
        <w:rPr>
          <w:sz w:val="24"/>
          <w:szCs w:val="24"/>
        </w:rPr>
      </w:pPr>
    </w:p>
    <w:p w:rsidR="002C19C8" w:rsidRPr="00FE0F8F" w:rsidRDefault="002C19C8" w:rsidP="002C19C8">
      <w:pPr>
        <w:rPr>
          <w:sz w:val="24"/>
          <w:szCs w:val="24"/>
        </w:rPr>
      </w:pPr>
      <w:r w:rsidRPr="00FE0F8F">
        <w:rPr>
          <w:sz w:val="24"/>
          <w:szCs w:val="24"/>
        </w:rPr>
        <w:t>52.21</w:t>
      </w:r>
      <w:r w:rsidR="00FE0F8F" w:rsidRPr="00FE0F8F">
        <w:rPr>
          <w:sz w:val="24"/>
          <w:szCs w:val="24"/>
        </w:rPr>
        <w:t xml:space="preserve"> </w:t>
      </w:r>
      <w:r w:rsidR="00FE0F8F" w:rsidRPr="00FE0F8F">
        <w:rPr>
          <w:b/>
          <w:bCs/>
          <w:sz w:val="24"/>
          <w:szCs w:val="24"/>
        </w:rPr>
        <w:t>Prevention of significant deterioration of air quality</w:t>
      </w:r>
    </w:p>
    <w:p w:rsidR="00FE0F8F" w:rsidRPr="00FE0F8F" w:rsidRDefault="00FE0F8F" w:rsidP="002C19C8">
      <w:pPr>
        <w:rPr>
          <w:sz w:val="24"/>
          <w:szCs w:val="24"/>
        </w:rPr>
      </w:pPr>
    </w:p>
    <w:p w:rsidR="00FE0F8F" w:rsidRPr="00FE0F8F" w:rsidRDefault="00FE0F8F" w:rsidP="00FE0F8F">
      <w:pPr>
        <w:rPr>
          <w:sz w:val="24"/>
          <w:szCs w:val="24"/>
        </w:rPr>
      </w:pPr>
      <w:r w:rsidRPr="00FE0F8F">
        <w:rPr>
          <w:sz w:val="24"/>
          <w:szCs w:val="24"/>
        </w:rPr>
        <w:t>(</w:t>
      </w:r>
      <w:proofErr w:type="spellStart"/>
      <w:proofErr w:type="gramStart"/>
      <w:r w:rsidRPr="00BA6035">
        <w:rPr>
          <w:sz w:val="24"/>
          <w:szCs w:val="24"/>
          <w:highlight w:val="yellow"/>
        </w:rPr>
        <w:t>i</w:t>
      </w:r>
      <w:proofErr w:type="spellEnd"/>
      <w:proofErr w:type="gramEnd"/>
      <w:r w:rsidRPr="00BA6035">
        <w:rPr>
          <w:sz w:val="24"/>
          <w:szCs w:val="24"/>
          <w:highlight w:val="yellow"/>
        </w:rPr>
        <w:t>)(5</w:t>
      </w:r>
      <w:r w:rsidRPr="00FE0F8F">
        <w:rPr>
          <w:sz w:val="24"/>
          <w:szCs w:val="24"/>
        </w:rPr>
        <w:t>) The Administrator may exempt a stationary source or modification from the requirements of paragraph (m) of this section, with respect to monitoring for a particular pollutant if:</w:t>
      </w:r>
    </w:p>
    <w:p w:rsidR="00FE0F8F" w:rsidRPr="00FE0F8F" w:rsidRDefault="00FE0F8F" w:rsidP="00FE0F8F">
      <w:pPr>
        <w:rPr>
          <w:sz w:val="24"/>
          <w:szCs w:val="24"/>
        </w:rPr>
      </w:pPr>
      <w:r w:rsidRPr="00FE0F8F">
        <w:rPr>
          <w:sz w:val="24"/>
          <w:szCs w:val="24"/>
        </w:rPr>
        <w:t>(</w:t>
      </w:r>
      <w:proofErr w:type="spellStart"/>
      <w:r w:rsidRPr="00FE0F8F">
        <w:rPr>
          <w:sz w:val="24"/>
          <w:szCs w:val="24"/>
        </w:rPr>
        <w:t>i</w:t>
      </w:r>
      <w:proofErr w:type="spellEnd"/>
      <w:r w:rsidRPr="00FE0F8F">
        <w:rPr>
          <w:sz w:val="24"/>
          <w:szCs w:val="24"/>
        </w:rPr>
        <w:t>) The emissions increase of the pollutant from the new source or the net emissions increase of the pollutant from the modification would cause, in any area, air quality impacts less than the following amounts:</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a</w:t>
      </w:r>
      <w:proofErr w:type="gramEnd"/>
      <w:r w:rsidRPr="00FE0F8F">
        <w:rPr>
          <w:i/>
          <w:iCs/>
          <w:sz w:val="24"/>
          <w:szCs w:val="24"/>
        </w:rPr>
        <w:t xml:space="preserve"> </w:t>
      </w:r>
      <w:r w:rsidRPr="00FE0F8F">
        <w:rPr>
          <w:sz w:val="24"/>
          <w:szCs w:val="24"/>
        </w:rPr>
        <w:t>) Carbon monoxide—575 µg/m</w:t>
      </w:r>
      <w:r w:rsidRPr="00FE0F8F">
        <w:rPr>
          <w:sz w:val="24"/>
          <w:szCs w:val="24"/>
          <w:vertAlign w:val="superscript"/>
        </w:rPr>
        <w:t>3</w:t>
      </w:r>
      <w:r w:rsidRPr="00FE0F8F">
        <w:rPr>
          <w:sz w:val="24"/>
          <w:szCs w:val="24"/>
        </w:rPr>
        <w:t xml:space="preserve"> , 8-hour average;</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b</w:t>
      </w:r>
      <w:proofErr w:type="gramEnd"/>
      <w:r w:rsidRPr="00FE0F8F">
        <w:rPr>
          <w:i/>
          <w:iCs/>
          <w:sz w:val="24"/>
          <w:szCs w:val="24"/>
        </w:rPr>
        <w:t xml:space="preserve"> </w:t>
      </w:r>
      <w:r w:rsidRPr="00FE0F8F">
        <w:rPr>
          <w:sz w:val="24"/>
          <w:szCs w:val="24"/>
        </w:rPr>
        <w:t>) Nitrogen dioxide—14 µg/m</w:t>
      </w:r>
      <w:r w:rsidRPr="00FE0F8F">
        <w:rPr>
          <w:sz w:val="24"/>
          <w:szCs w:val="24"/>
          <w:vertAlign w:val="superscript"/>
        </w:rPr>
        <w:t>3</w:t>
      </w:r>
      <w:r w:rsidRPr="00FE0F8F">
        <w:rPr>
          <w:sz w:val="24"/>
          <w:szCs w:val="24"/>
        </w:rPr>
        <w:t xml:space="preserve"> , annual average;</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c</w:t>
      </w:r>
      <w:proofErr w:type="gramEnd"/>
      <w:r w:rsidRPr="00FE0F8F">
        <w:rPr>
          <w:i/>
          <w:iCs/>
          <w:sz w:val="24"/>
          <w:szCs w:val="24"/>
        </w:rPr>
        <w:t xml:space="preserve"> </w:t>
      </w:r>
      <w:r w:rsidRPr="00FE0F8F">
        <w:rPr>
          <w:sz w:val="24"/>
          <w:szCs w:val="24"/>
        </w:rPr>
        <w:t>) PM</w:t>
      </w:r>
      <w:r w:rsidRPr="00FE0F8F">
        <w:rPr>
          <w:sz w:val="24"/>
          <w:szCs w:val="24"/>
          <w:vertAlign w:val="subscript"/>
        </w:rPr>
        <w:t>2.5</w:t>
      </w:r>
      <w:r w:rsidRPr="00FE0F8F">
        <w:rPr>
          <w:sz w:val="24"/>
          <w:szCs w:val="24"/>
        </w:rPr>
        <w:t>—4 µg/m</w:t>
      </w:r>
      <w:r w:rsidRPr="00FE0F8F">
        <w:rPr>
          <w:sz w:val="24"/>
          <w:szCs w:val="24"/>
          <w:vertAlign w:val="superscript"/>
        </w:rPr>
        <w:t>3</w:t>
      </w:r>
      <w:r w:rsidRPr="00FE0F8F">
        <w:rPr>
          <w:sz w:val="24"/>
          <w:szCs w:val="24"/>
        </w:rPr>
        <w:t xml:space="preserve"> , 24-hour average;</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d</w:t>
      </w:r>
      <w:proofErr w:type="gramEnd"/>
      <w:r w:rsidRPr="00FE0F8F">
        <w:rPr>
          <w:i/>
          <w:iCs/>
          <w:sz w:val="24"/>
          <w:szCs w:val="24"/>
        </w:rPr>
        <w:t xml:space="preserve"> </w:t>
      </w:r>
      <w:r w:rsidRPr="00FE0F8F">
        <w:rPr>
          <w:sz w:val="24"/>
          <w:szCs w:val="24"/>
        </w:rPr>
        <w:t>) PM</w:t>
      </w:r>
      <w:r w:rsidRPr="00FE0F8F">
        <w:rPr>
          <w:sz w:val="24"/>
          <w:szCs w:val="24"/>
          <w:vertAlign w:val="subscript"/>
        </w:rPr>
        <w:t>10</w:t>
      </w:r>
      <w:r w:rsidRPr="00FE0F8F">
        <w:rPr>
          <w:sz w:val="24"/>
          <w:szCs w:val="24"/>
        </w:rPr>
        <w:t>—10 µg/m</w:t>
      </w:r>
      <w:r w:rsidRPr="00FE0F8F">
        <w:rPr>
          <w:sz w:val="24"/>
          <w:szCs w:val="24"/>
          <w:vertAlign w:val="superscript"/>
        </w:rPr>
        <w:t>3</w:t>
      </w:r>
      <w:r w:rsidRPr="00FE0F8F">
        <w:rPr>
          <w:sz w:val="24"/>
          <w:szCs w:val="24"/>
        </w:rPr>
        <w:t xml:space="preserve"> , 24-hour average;</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e</w:t>
      </w:r>
      <w:proofErr w:type="gramEnd"/>
      <w:r w:rsidRPr="00FE0F8F">
        <w:rPr>
          <w:i/>
          <w:iCs/>
          <w:sz w:val="24"/>
          <w:szCs w:val="24"/>
        </w:rPr>
        <w:t xml:space="preserve"> </w:t>
      </w:r>
      <w:r w:rsidRPr="00FE0F8F">
        <w:rPr>
          <w:sz w:val="24"/>
          <w:szCs w:val="24"/>
        </w:rPr>
        <w:t>) Sulfur dioxide—13 µg/m</w:t>
      </w:r>
      <w:r w:rsidRPr="00FE0F8F">
        <w:rPr>
          <w:sz w:val="24"/>
          <w:szCs w:val="24"/>
          <w:vertAlign w:val="superscript"/>
        </w:rPr>
        <w:t>3</w:t>
      </w:r>
      <w:r w:rsidRPr="00FE0F8F">
        <w:rPr>
          <w:sz w:val="24"/>
          <w:szCs w:val="24"/>
        </w:rPr>
        <w:t xml:space="preserve"> , 24-hour average;</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f</w:t>
      </w:r>
      <w:proofErr w:type="gramEnd"/>
      <w:r w:rsidRPr="00FE0F8F">
        <w:rPr>
          <w:i/>
          <w:iCs/>
          <w:sz w:val="24"/>
          <w:szCs w:val="24"/>
        </w:rPr>
        <w:t xml:space="preserve"> </w:t>
      </w:r>
      <w:r w:rsidRPr="00FE0F8F">
        <w:rPr>
          <w:sz w:val="24"/>
          <w:szCs w:val="24"/>
        </w:rPr>
        <w:t>) Ozone;</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g</w:t>
      </w:r>
      <w:proofErr w:type="gramEnd"/>
      <w:r w:rsidRPr="00FE0F8F">
        <w:rPr>
          <w:i/>
          <w:iCs/>
          <w:sz w:val="24"/>
          <w:szCs w:val="24"/>
        </w:rPr>
        <w:t xml:space="preserve"> </w:t>
      </w:r>
      <w:r w:rsidRPr="00FE0F8F">
        <w:rPr>
          <w:sz w:val="24"/>
          <w:szCs w:val="24"/>
        </w:rPr>
        <w:t>) Lead—0.1 µg/m</w:t>
      </w:r>
      <w:r w:rsidRPr="00FE0F8F">
        <w:rPr>
          <w:sz w:val="24"/>
          <w:szCs w:val="24"/>
          <w:vertAlign w:val="superscript"/>
        </w:rPr>
        <w:t>3</w:t>
      </w:r>
      <w:r w:rsidRPr="00FE0F8F">
        <w:rPr>
          <w:sz w:val="24"/>
          <w:szCs w:val="24"/>
        </w:rPr>
        <w:t xml:space="preserve"> , 3-month average;</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h</w:t>
      </w:r>
      <w:proofErr w:type="gramEnd"/>
      <w:r w:rsidRPr="00FE0F8F">
        <w:rPr>
          <w:i/>
          <w:iCs/>
          <w:sz w:val="24"/>
          <w:szCs w:val="24"/>
        </w:rPr>
        <w:t xml:space="preserve"> </w:t>
      </w:r>
      <w:r w:rsidRPr="00FE0F8F">
        <w:rPr>
          <w:sz w:val="24"/>
          <w:szCs w:val="24"/>
        </w:rPr>
        <w:t>) Fluorides—0.25 µg/m</w:t>
      </w:r>
      <w:r w:rsidRPr="00FE0F8F">
        <w:rPr>
          <w:sz w:val="24"/>
          <w:szCs w:val="24"/>
          <w:vertAlign w:val="superscript"/>
        </w:rPr>
        <w:t>3</w:t>
      </w:r>
      <w:r w:rsidRPr="00FE0F8F">
        <w:rPr>
          <w:sz w:val="24"/>
          <w:szCs w:val="24"/>
        </w:rPr>
        <w:t xml:space="preserve"> , 24-hour average;</w:t>
      </w:r>
    </w:p>
    <w:p w:rsidR="00FE0F8F" w:rsidRPr="00FE0F8F" w:rsidRDefault="00FE0F8F" w:rsidP="00FE0F8F">
      <w:pPr>
        <w:rPr>
          <w:sz w:val="24"/>
          <w:szCs w:val="24"/>
        </w:rPr>
      </w:pPr>
      <w:proofErr w:type="gramStart"/>
      <w:r w:rsidRPr="00FE0F8F">
        <w:rPr>
          <w:sz w:val="24"/>
          <w:szCs w:val="24"/>
        </w:rPr>
        <w:t xml:space="preserve">( </w:t>
      </w:r>
      <w:proofErr w:type="spellStart"/>
      <w:r w:rsidRPr="00FE0F8F">
        <w:rPr>
          <w:i/>
          <w:iCs/>
          <w:sz w:val="24"/>
          <w:szCs w:val="24"/>
        </w:rPr>
        <w:t>i</w:t>
      </w:r>
      <w:proofErr w:type="spellEnd"/>
      <w:proofErr w:type="gramEnd"/>
      <w:r w:rsidRPr="00FE0F8F">
        <w:rPr>
          <w:i/>
          <w:iCs/>
          <w:sz w:val="24"/>
          <w:szCs w:val="24"/>
        </w:rPr>
        <w:t xml:space="preserve"> </w:t>
      </w:r>
      <w:r w:rsidRPr="00FE0F8F">
        <w:rPr>
          <w:sz w:val="24"/>
          <w:szCs w:val="24"/>
        </w:rPr>
        <w:t>) Total reduced sulfur—10 µg/m</w:t>
      </w:r>
      <w:r w:rsidRPr="00FE0F8F">
        <w:rPr>
          <w:sz w:val="24"/>
          <w:szCs w:val="24"/>
          <w:vertAlign w:val="superscript"/>
        </w:rPr>
        <w:t>3</w:t>
      </w:r>
      <w:r w:rsidRPr="00FE0F8F">
        <w:rPr>
          <w:sz w:val="24"/>
          <w:szCs w:val="24"/>
        </w:rPr>
        <w:t xml:space="preserve"> , 1-hour average;</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j</w:t>
      </w:r>
      <w:proofErr w:type="gramEnd"/>
      <w:r w:rsidRPr="00FE0F8F">
        <w:rPr>
          <w:i/>
          <w:iCs/>
          <w:sz w:val="24"/>
          <w:szCs w:val="24"/>
        </w:rPr>
        <w:t xml:space="preserve"> </w:t>
      </w:r>
      <w:r w:rsidRPr="00FE0F8F">
        <w:rPr>
          <w:sz w:val="24"/>
          <w:szCs w:val="24"/>
        </w:rPr>
        <w:t>) Hydrogen sulfide—0.2 µg/m</w:t>
      </w:r>
      <w:r w:rsidRPr="00FE0F8F">
        <w:rPr>
          <w:sz w:val="24"/>
          <w:szCs w:val="24"/>
          <w:vertAlign w:val="superscript"/>
        </w:rPr>
        <w:t>3</w:t>
      </w:r>
      <w:r w:rsidRPr="00FE0F8F">
        <w:rPr>
          <w:sz w:val="24"/>
          <w:szCs w:val="24"/>
        </w:rPr>
        <w:t xml:space="preserve"> , 1-hour average;</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k</w:t>
      </w:r>
      <w:proofErr w:type="gramEnd"/>
      <w:r w:rsidRPr="00FE0F8F">
        <w:rPr>
          <w:i/>
          <w:iCs/>
          <w:sz w:val="24"/>
          <w:szCs w:val="24"/>
        </w:rPr>
        <w:t xml:space="preserve"> </w:t>
      </w:r>
      <w:r w:rsidRPr="00FE0F8F">
        <w:rPr>
          <w:sz w:val="24"/>
          <w:szCs w:val="24"/>
        </w:rPr>
        <w:t>) Reduced sulfur compounds—10 µg/m</w:t>
      </w:r>
      <w:r w:rsidRPr="00FE0F8F">
        <w:rPr>
          <w:sz w:val="24"/>
          <w:szCs w:val="24"/>
          <w:vertAlign w:val="superscript"/>
        </w:rPr>
        <w:t>3</w:t>
      </w:r>
      <w:r w:rsidRPr="00FE0F8F">
        <w:rPr>
          <w:sz w:val="24"/>
          <w:szCs w:val="24"/>
        </w:rPr>
        <w:t xml:space="preserve"> , 1-hour average; or</w:t>
      </w:r>
    </w:p>
    <w:p w:rsidR="00FE0F8F" w:rsidRPr="00FE0F8F" w:rsidRDefault="00FE0F8F" w:rsidP="00FE0F8F">
      <w:pPr>
        <w:rPr>
          <w:sz w:val="24"/>
          <w:szCs w:val="24"/>
        </w:rPr>
      </w:pPr>
      <w:r w:rsidRPr="00FE0F8F">
        <w:rPr>
          <w:sz w:val="24"/>
          <w:szCs w:val="24"/>
        </w:rPr>
        <w:t>Note to paragraph (c</w:t>
      </w:r>
      <w:proofErr w:type="gramStart"/>
      <w:r w:rsidRPr="00FE0F8F">
        <w:rPr>
          <w:sz w:val="24"/>
          <w:szCs w:val="24"/>
        </w:rPr>
        <w:t>)(</w:t>
      </w:r>
      <w:proofErr w:type="gramEnd"/>
      <w:r w:rsidRPr="00FE0F8F">
        <w:rPr>
          <w:sz w:val="24"/>
          <w:szCs w:val="24"/>
        </w:rPr>
        <w:t>50)(</w:t>
      </w:r>
      <w:proofErr w:type="spellStart"/>
      <w:r w:rsidRPr="00FE0F8F">
        <w:rPr>
          <w:sz w:val="24"/>
          <w:szCs w:val="24"/>
        </w:rPr>
        <w:t>i</w:t>
      </w:r>
      <w:proofErr w:type="spellEnd"/>
      <w:r w:rsidRPr="00FE0F8F">
        <w:rPr>
          <w:sz w:val="24"/>
          <w:szCs w:val="24"/>
        </w:rPr>
        <w:t xml:space="preserve">)( </w:t>
      </w:r>
      <w:r w:rsidRPr="00FE0F8F">
        <w:rPr>
          <w:i/>
          <w:iCs/>
          <w:sz w:val="24"/>
          <w:szCs w:val="24"/>
        </w:rPr>
        <w:t xml:space="preserve">f </w:t>
      </w:r>
      <w:r w:rsidRPr="00FE0F8F">
        <w:rPr>
          <w:sz w:val="24"/>
          <w:szCs w:val="24"/>
        </w:rPr>
        <w:t xml:space="preserve">): No </w:t>
      </w:r>
      <w:r w:rsidRPr="00FE0F8F">
        <w:rPr>
          <w:i/>
          <w:iCs/>
          <w:sz w:val="24"/>
          <w:szCs w:val="24"/>
        </w:rPr>
        <w:t xml:space="preserve">de minimis </w:t>
      </w:r>
      <w:r w:rsidRPr="00FE0F8F">
        <w:rPr>
          <w:sz w:val="24"/>
          <w:szCs w:val="24"/>
        </w:rPr>
        <w:t>air quality level is provided for ozone. However, any net emissions increase of 100 tons per year or more of volatile organic compounds or nitrogen oxides subject to PSD would be required to perform an ambient impact analysis, including the gathering of ambient air quality data.</w:t>
      </w:r>
    </w:p>
    <w:p w:rsidR="00FE0F8F" w:rsidRPr="00FE0F8F" w:rsidRDefault="00FE0F8F" w:rsidP="00FE0F8F">
      <w:pPr>
        <w:rPr>
          <w:sz w:val="24"/>
          <w:szCs w:val="24"/>
        </w:rPr>
      </w:pPr>
      <w:r w:rsidRPr="00FE0F8F">
        <w:rPr>
          <w:sz w:val="24"/>
          <w:szCs w:val="24"/>
        </w:rPr>
        <w:t>(ii) The concentrations of the pollutant in the area that the source or modification would affect are less than the concentrations listed in paragraph (</w:t>
      </w:r>
      <w:proofErr w:type="spellStart"/>
      <w:r w:rsidRPr="00FE0F8F">
        <w:rPr>
          <w:sz w:val="24"/>
          <w:szCs w:val="24"/>
        </w:rPr>
        <w:t>i</w:t>
      </w:r>
      <w:proofErr w:type="spellEnd"/>
      <w:proofErr w:type="gramStart"/>
      <w:r w:rsidRPr="00FE0F8F">
        <w:rPr>
          <w:sz w:val="24"/>
          <w:szCs w:val="24"/>
        </w:rPr>
        <w:t>)(</w:t>
      </w:r>
      <w:proofErr w:type="gramEnd"/>
      <w:r w:rsidRPr="00FE0F8F">
        <w:rPr>
          <w:sz w:val="24"/>
          <w:szCs w:val="24"/>
        </w:rPr>
        <w:t>5)(</w:t>
      </w:r>
      <w:proofErr w:type="spellStart"/>
      <w:r w:rsidRPr="00FE0F8F">
        <w:rPr>
          <w:sz w:val="24"/>
          <w:szCs w:val="24"/>
        </w:rPr>
        <w:t>i</w:t>
      </w:r>
      <w:proofErr w:type="spellEnd"/>
      <w:r w:rsidRPr="00FE0F8F">
        <w:rPr>
          <w:sz w:val="24"/>
          <w:szCs w:val="24"/>
        </w:rPr>
        <w:t>) of this section; or</w:t>
      </w:r>
    </w:p>
    <w:p w:rsidR="00FE0F8F" w:rsidRPr="00FE0F8F" w:rsidRDefault="00FE0F8F" w:rsidP="00FE0F8F">
      <w:pPr>
        <w:rPr>
          <w:sz w:val="24"/>
          <w:szCs w:val="24"/>
        </w:rPr>
      </w:pPr>
      <w:r w:rsidRPr="00FE0F8F">
        <w:rPr>
          <w:sz w:val="24"/>
          <w:szCs w:val="24"/>
        </w:rPr>
        <w:t>(</w:t>
      </w:r>
      <w:r w:rsidRPr="00BA6035">
        <w:rPr>
          <w:sz w:val="24"/>
          <w:szCs w:val="24"/>
          <w:highlight w:val="yellow"/>
        </w:rPr>
        <w:t>iii</w:t>
      </w:r>
      <w:r w:rsidRPr="00FE0F8F">
        <w:rPr>
          <w:sz w:val="24"/>
          <w:szCs w:val="24"/>
        </w:rPr>
        <w:t>) The pollutant is not listed in paragraph (</w:t>
      </w:r>
      <w:proofErr w:type="spellStart"/>
      <w:r w:rsidRPr="00FE0F8F">
        <w:rPr>
          <w:sz w:val="24"/>
          <w:szCs w:val="24"/>
        </w:rPr>
        <w:t>i</w:t>
      </w:r>
      <w:proofErr w:type="spellEnd"/>
      <w:proofErr w:type="gramStart"/>
      <w:r w:rsidRPr="00FE0F8F">
        <w:rPr>
          <w:sz w:val="24"/>
          <w:szCs w:val="24"/>
        </w:rPr>
        <w:t>)(</w:t>
      </w:r>
      <w:proofErr w:type="gramEnd"/>
      <w:r w:rsidRPr="00FE0F8F">
        <w:rPr>
          <w:sz w:val="24"/>
          <w:szCs w:val="24"/>
        </w:rPr>
        <w:t>5)(</w:t>
      </w:r>
      <w:proofErr w:type="spellStart"/>
      <w:r w:rsidRPr="00FE0F8F">
        <w:rPr>
          <w:sz w:val="24"/>
          <w:szCs w:val="24"/>
        </w:rPr>
        <w:t>i</w:t>
      </w:r>
      <w:proofErr w:type="spellEnd"/>
      <w:r w:rsidRPr="00FE0F8F">
        <w:rPr>
          <w:sz w:val="24"/>
          <w:szCs w:val="24"/>
        </w:rPr>
        <w:t>) of this section.</w:t>
      </w:r>
    </w:p>
    <w:p w:rsidR="00FE0F8F" w:rsidRPr="00FE0F8F" w:rsidRDefault="00FE0F8F" w:rsidP="002C19C8">
      <w:pPr>
        <w:rPr>
          <w:sz w:val="24"/>
          <w:szCs w:val="24"/>
        </w:rPr>
      </w:pPr>
    </w:p>
    <w:p w:rsidR="00FE0F8F" w:rsidRPr="00FE0F8F" w:rsidRDefault="00FE0F8F" w:rsidP="002C19C8">
      <w:pPr>
        <w:rPr>
          <w:sz w:val="24"/>
          <w:szCs w:val="24"/>
        </w:rPr>
      </w:pPr>
    </w:p>
    <w:p w:rsidR="002C19C8" w:rsidRPr="00FE0F8F" w:rsidRDefault="002C19C8" w:rsidP="002C19C8">
      <w:pPr>
        <w:rPr>
          <w:sz w:val="24"/>
          <w:szCs w:val="24"/>
        </w:rPr>
      </w:pPr>
      <w:r w:rsidRPr="00FE0F8F">
        <w:rPr>
          <w:sz w:val="24"/>
          <w:szCs w:val="24"/>
        </w:rPr>
        <w:t>(</w:t>
      </w:r>
      <w:r w:rsidRPr="007C4B26">
        <w:rPr>
          <w:sz w:val="24"/>
          <w:szCs w:val="24"/>
          <w:highlight w:val="yellow"/>
        </w:rPr>
        <w:t>k</w:t>
      </w:r>
      <w:r w:rsidRPr="00FE0F8F">
        <w:rPr>
          <w:sz w:val="24"/>
          <w:szCs w:val="24"/>
        </w:rPr>
        <w:t xml:space="preserve">) </w:t>
      </w:r>
      <w:r w:rsidRPr="00FE0F8F">
        <w:rPr>
          <w:i/>
          <w:iCs/>
          <w:sz w:val="24"/>
          <w:szCs w:val="24"/>
        </w:rPr>
        <w:t xml:space="preserve">Source impact analysis </w:t>
      </w:r>
      <w:proofErr w:type="gramStart"/>
      <w:r w:rsidRPr="00FE0F8F">
        <w:rPr>
          <w:sz w:val="24"/>
          <w:szCs w:val="24"/>
        </w:rPr>
        <w:t>—(</w:t>
      </w:r>
      <w:proofErr w:type="gramEnd"/>
      <w:r w:rsidRPr="00FE0F8F">
        <w:rPr>
          <w:sz w:val="24"/>
          <w:szCs w:val="24"/>
        </w:rPr>
        <w:t xml:space="preserve">1) </w:t>
      </w:r>
      <w:r w:rsidRPr="00FE0F8F">
        <w:rPr>
          <w:i/>
          <w:iCs/>
          <w:sz w:val="24"/>
          <w:szCs w:val="24"/>
        </w:rPr>
        <w:t xml:space="preserve">Required demonstration. </w:t>
      </w:r>
      <w:r w:rsidRPr="00FE0F8F">
        <w:rPr>
          <w:sz w:val="24"/>
          <w:szCs w:val="24"/>
        </w:rPr>
        <w:t>The owner or operator of the proposed source or modification shall demonstrate that allowable emission increases from the proposed source or modification, in conjunction with all other applicable emissions increases or reductions (including secondary emissions), would not cause or contribute to air pollution in violation of:</w:t>
      </w:r>
    </w:p>
    <w:p w:rsidR="002C19C8" w:rsidRPr="00FE0F8F" w:rsidRDefault="002C19C8" w:rsidP="002C19C8">
      <w:pPr>
        <w:rPr>
          <w:sz w:val="24"/>
          <w:szCs w:val="24"/>
        </w:rPr>
      </w:pPr>
      <w:r w:rsidRPr="00FE0F8F">
        <w:rPr>
          <w:sz w:val="24"/>
          <w:szCs w:val="24"/>
        </w:rPr>
        <w:t>(</w:t>
      </w:r>
      <w:proofErr w:type="spellStart"/>
      <w:r w:rsidRPr="00FE0F8F">
        <w:rPr>
          <w:sz w:val="24"/>
          <w:szCs w:val="24"/>
        </w:rPr>
        <w:t>i</w:t>
      </w:r>
      <w:proofErr w:type="spellEnd"/>
      <w:r w:rsidRPr="00FE0F8F">
        <w:rPr>
          <w:sz w:val="24"/>
          <w:szCs w:val="24"/>
        </w:rPr>
        <w:t>) Any national ambient air quality standard in any air quality control region; or</w:t>
      </w:r>
    </w:p>
    <w:p w:rsidR="002C19C8" w:rsidRPr="00FE0F8F" w:rsidRDefault="002C19C8" w:rsidP="002C19C8">
      <w:pPr>
        <w:rPr>
          <w:sz w:val="24"/>
          <w:szCs w:val="24"/>
        </w:rPr>
      </w:pPr>
      <w:r w:rsidRPr="00FE0F8F">
        <w:rPr>
          <w:sz w:val="24"/>
          <w:szCs w:val="24"/>
        </w:rPr>
        <w:t>(ii) Any applicable maximum allowable increase over the baseline concentration in any area.</w:t>
      </w:r>
    </w:p>
    <w:p w:rsidR="002C19C8" w:rsidRPr="00FE0F8F" w:rsidRDefault="002C19C8" w:rsidP="002C19C8">
      <w:pPr>
        <w:rPr>
          <w:sz w:val="24"/>
          <w:szCs w:val="24"/>
        </w:rPr>
      </w:pPr>
      <w:r w:rsidRPr="00FE0F8F">
        <w:rPr>
          <w:sz w:val="24"/>
          <w:szCs w:val="24"/>
        </w:rPr>
        <w:t>(</w:t>
      </w:r>
      <w:r w:rsidRPr="007C4B26">
        <w:rPr>
          <w:sz w:val="24"/>
          <w:szCs w:val="24"/>
          <w:highlight w:val="yellow"/>
        </w:rPr>
        <w:t>2</w:t>
      </w:r>
      <w:r w:rsidRPr="00FE0F8F">
        <w:rPr>
          <w:sz w:val="24"/>
          <w:szCs w:val="24"/>
        </w:rPr>
        <w:t xml:space="preserve">) </w:t>
      </w:r>
      <w:r w:rsidRPr="00FE0F8F">
        <w:rPr>
          <w:i/>
          <w:iCs/>
          <w:sz w:val="24"/>
          <w:szCs w:val="24"/>
        </w:rPr>
        <w:t xml:space="preserve">Significant impact levels. </w:t>
      </w:r>
      <w:r w:rsidRPr="00FE0F8F">
        <w:rPr>
          <w:sz w:val="24"/>
          <w:szCs w:val="24"/>
        </w:rPr>
        <w:t>For purposes of PM</w:t>
      </w:r>
      <w:r w:rsidRPr="00FE0F8F">
        <w:rPr>
          <w:sz w:val="24"/>
          <w:szCs w:val="24"/>
          <w:vertAlign w:val="subscript"/>
        </w:rPr>
        <w:t>2.5</w:t>
      </w:r>
      <w:r w:rsidRPr="00FE0F8F">
        <w:rPr>
          <w:sz w:val="24"/>
          <w:szCs w:val="24"/>
        </w:rPr>
        <w:t>, the demonstration required in paragraph (k)(1) of this section is deemed to have been made if the emissions increase from the new stationary source alone or from the modification alone would cause, in all areas, air quality impacts less than the following amounts:</w:t>
      </w:r>
    </w:p>
    <w:tbl>
      <w:tblPr>
        <w:tblW w:w="3381"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tblPr>
      <w:tblGrid>
        <w:gridCol w:w="971"/>
        <w:gridCol w:w="1699"/>
        <w:gridCol w:w="1463"/>
        <w:gridCol w:w="1224"/>
        <w:gridCol w:w="988"/>
      </w:tblGrid>
      <w:tr w:rsidR="002C19C8" w:rsidRPr="00FE0F8F" w:rsidTr="005136F5">
        <w:tc>
          <w:tcPr>
            <w:tcW w:w="622" w:type="pct"/>
            <w:tcBorders>
              <w:top w:val="single" w:sz="4" w:space="0" w:color="000000"/>
              <w:left w:val="single" w:sz="4" w:space="0" w:color="000000"/>
              <w:bottom w:val="single" w:sz="4" w:space="0" w:color="000000"/>
              <w:right w:val="single" w:sz="4" w:space="0" w:color="000000"/>
            </w:tcBorders>
            <w:vAlign w:val="bottom"/>
            <w:hideMark/>
          </w:tcPr>
          <w:p w:rsidR="002C19C8" w:rsidRPr="00FE0F8F" w:rsidRDefault="002C19C8" w:rsidP="002C19C8">
            <w:pPr>
              <w:rPr>
                <w:b/>
                <w:bCs/>
                <w:sz w:val="24"/>
                <w:szCs w:val="24"/>
              </w:rPr>
            </w:pPr>
            <w:r w:rsidRPr="00FE0F8F">
              <w:rPr>
                <w:b/>
                <w:bCs/>
                <w:sz w:val="24"/>
                <w:szCs w:val="24"/>
              </w:rPr>
              <w:t>Pollutant</w:t>
            </w:r>
          </w:p>
        </w:tc>
        <w:tc>
          <w:tcPr>
            <w:tcW w:w="1375" w:type="pct"/>
            <w:tcBorders>
              <w:top w:val="single" w:sz="4" w:space="0" w:color="000000"/>
              <w:left w:val="single" w:sz="4" w:space="0" w:color="000000"/>
              <w:bottom w:val="single" w:sz="4" w:space="0" w:color="000000"/>
              <w:right w:val="single" w:sz="4" w:space="0" w:color="000000"/>
            </w:tcBorders>
            <w:vAlign w:val="bottom"/>
            <w:hideMark/>
          </w:tcPr>
          <w:p w:rsidR="002C19C8" w:rsidRPr="00FE0F8F" w:rsidRDefault="002C19C8" w:rsidP="002C19C8">
            <w:pPr>
              <w:rPr>
                <w:b/>
                <w:bCs/>
                <w:sz w:val="24"/>
                <w:szCs w:val="24"/>
              </w:rPr>
            </w:pPr>
            <w:r w:rsidRPr="00FE0F8F">
              <w:rPr>
                <w:b/>
                <w:bCs/>
                <w:sz w:val="24"/>
                <w:szCs w:val="24"/>
              </w:rPr>
              <w:t>Averaging time</w:t>
            </w:r>
          </w:p>
        </w:tc>
        <w:tc>
          <w:tcPr>
            <w:tcW w:w="1189" w:type="pct"/>
            <w:tcBorders>
              <w:top w:val="single" w:sz="4" w:space="0" w:color="000000"/>
              <w:left w:val="single" w:sz="4" w:space="0" w:color="000000"/>
              <w:bottom w:val="single" w:sz="4" w:space="0" w:color="000000"/>
              <w:right w:val="single" w:sz="4" w:space="0" w:color="000000"/>
            </w:tcBorders>
            <w:vAlign w:val="bottom"/>
            <w:hideMark/>
          </w:tcPr>
          <w:p w:rsidR="002C19C8" w:rsidRPr="00FE0F8F" w:rsidRDefault="002C19C8" w:rsidP="002C19C8">
            <w:pPr>
              <w:rPr>
                <w:b/>
                <w:bCs/>
                <w:sz w:val="24"/>
                <w:szCs w:val="24"/>
              </w:rPr>
            </w:pPr>
            <w:r w:rsidRPr="00FE0F8F">
              <w:rPr>
                <w:b/>
                <w:bCs/>
                <w:sz w:val="24"/>
                <w:szCs w:val="24"/>
              </w:rPr>
              <w:t>Class I</w:t>
            </w:r>
            <w:r w:rsidRPr="00FE0F8F">
              <w:rPr>
                <w:b/>
                <w:bCs/>
                <w:sz w:val="24"/>
                <w:szCs w:val="24"/>
              </w:rPr>
              <w:br/>
              <w:t>area</w:t>
            </w:r>
          </w:p>
        </w:tc>
        <w:tc>
          <w:tcPr>
            <w:tcW w:w="1000" w:type="pct"/>
            <w:tcBorders>
              <w:top w:val="single" w:sz="4" w:space="0" w:color="000000"/>
              <w:left w:val="single" w:sz="4" w:space="0" w:color="000000"/>
              <w:bottom w:val="single" w:sz="4" w:space="0" w:color="000000"/>
              <w:right w:val="single" w:sz="4" w:space="0" w:color="000000"/>
            </w:tcBorders>
            <w:vAlign w:val="bottom"/>
            <w:hideMark/>
          </w:tcPr>
          <w:p w:rsidR="002C19C8" w:rsidRPr="00FE0F8F" w:rsidRDefault="002C19C8" w:rsidP="002C19C8">
            <w:pPr>
              <w:rPr>
                <w:b/>
                <w:bCs/>
                <w:sz w:val="24"/>
                <w:szCs w:val="24"/>
              </w:rPr>
            </w:pPr>
            <w:r w:rsidRPr="00FE0F8F">
              <w:rPr>
                <w:b/>
                <w:bCs/>
                <w:sz w:val="24"/>
                <w:szCs w:val="24"/>
              </w:rPr>
              <w:t>Class II</w:t>
            </w:r>
            <w:r w:rsidRPr="00FE0F8F">
              <w:rPr>
                <w:b/>
                <w:bCs/>
                <w:sz w:val="24"/>
                <w:szCs w:val="24"/>
              </w:rPr>
              <w:br/>
              <w:t>area</w:t>
            </w:r>
          </w:p>
        </w:tc>
        <w:tc>
          <w:tcPr>
            <w:tcW w:w="814" w:type="pct"/>
            <w:tcBorders>
              <w:top w:val="single" w:sz="4" w:space="0" w:color="000000"/>
              <w:left w:val="single" w:sz="4" w:space="0" w:color="000000"/>
              <w:bottom w:val="single" w:sz="4" w:space="0" w:color="000000"/>
              <w:right w:val="single" w:sz="4" w:space="0" w:color="000000"/>
            </w:tcBorders>
            <w:vAlign w:val="bottom"/>
            <w:hideMark/>
          </w:tcPr>
          <w:p w:rsidR="002C19C8" w:rsidRPr="00FE0F8F" w:rsidRDefault="002C19C8" w:rsidP="002C19C8">
            <w:pPr>
              <w:rPr>
                <w:b/>
                <w:bCs/>
                <w:sz w:val="24"/>
                <w:szCs w:val="24"/>
              </w:rPr>
            </w:pPr>
            <w:r w:rsidRPr="00FE0F8F">
              <w:rPr>
                <w:b/>
                <w:bCs/>
                <w:sz w:val="24"/>
                <w:szCs w:val="24"/>
              </w:rPr>
              <w:t>Class III</w:t>
            </w:r>
            <w:r w:rsidRPr="00FE0F8F">
              <w:rPr>
                <w:b/>
                <w:bCs/>
                <w:sz w:val="24"/>
                <w:szCs w:val="24"/>
              </w:rPr>
              <w:br/>
              <w:t>area</w:t>
            </w:r>
          </w:p>
        </w:tc>
      </w:tr>
      <w:tr w:rsidR="002C19C8" w:rsidRPr="00FE0F8F" w:rsidTr="005136F5">
        <w:tc>
          <w:tcPr>
            <w:tcW w:w="622" w:type="pct"/>
            <w:tcBorders>
              <w:top w:val="single" w:sz="4" w:space="0" w:color="000000"/>
              <w:left w:val="single" w:sz="4" w:space="0" w:color="000000"/>
              <w:bottom w:val="single" w:sz="4" w:space="0" w:color="000000"/>
              <w:right w:val="single" w:sz="4" w:space="0" w:color="000000"/>
            </w:tcBorders>
            <w:hideMark/>
          </w:tcPr>
          <w:p w:rsidR="002C19C8" w:rsidRPr="00FE0F8F" w:rsidRDefault="002C19C8" w:rsidP="002C19C8">
            <w:pPr>
              <w:rPr>
                <w:sz w:val="24"/>
                <w:szCs w:val="24"/>
              </w:rPr>
            </w:pPr>
            <w:r w:rsidRPr="00FE0F8F">
              <w:rPr>
                <w:sz w:val="24"/>
                <w:szCs w:val="24"/>
              </w:rPr>
              <w:t>PM</w:t>
            </w:r>
            <w:r w:rsidRPr="00FE0F8F">
              <w:rPr>
                <w:sz w:val="24"/>
                <w:szCs w:val="24"/>
                <w:vertAlign w:val="subscript"/>
              </w:rPr>
              <w:t>2.5</w:t>
            </w:r>
          </w:p>
        </w:tc>
        <w:tc>
          <w:tcPr>
            <w:tcW w:w="1375" w:type="pct"/>
            <w:tcBorders>
              <w:top w:val="single" w:sz="4" w:space="0" w:color="000000"/>
              <w:left w:val="single" w:sz="4" w:space="0" w:color="000000"/>
              <w:bottom w:val="single" w:sz="4" w:space="0" w:color="000000"/>
              <w:right w:val="single" w:sz="4" w:space="0" w:color="000000"/>
            </w:tcBorders>
            <w:hideMark/>
          </w:tcPr>
          <w:p w:rsidR="002C19C8" w:rsidRPr="00FE0F8F" w:rsidRDefault="002C19C8" w:rsidP="002C19C8">
            <w:pPr>
              <w:rPr>
                <w:sz w:val="24"/>
                <w:szCs w:val="24"/>
              </w:rPr>
            </w:pPr>
            <w:r w:rsidRPr="00FE0F8F">
              <w:rPr>
                <w:sz w:val="24"/>
                <w:szCs w:val="24"/>
              </w:rPr>
              <w:t>Annual</w:t>
            </w:r>
          </w:p>
        </w:tc>
        <w:tc>
          <w:tcPr>
            <w:tcW w:w="1189" w:type="pct"/>
            <w:tcBorders>
              <w:top w:val="single" w:sz="4" w:space="0" w:color="000000"/>
              <w:left w:val="single" w:sz="4" w:space="0" w:color="000000"/>
              <w:bottom w:val="single" w:sz="4" w:space="0" w:color="000000"/>
              <w:right w:val="single" w:sz="4" w:space="0" w:color="000000"/>
            </w:tcBorders>
            <w:hideMark/>
          </w:tcPr>
          <w:p w:rsidR="002C19C8" w:rsidRPr="00FE0F8F" w:rsidRDefault="002C19C8" w:rsidP="002C19C8">
            <w:pPr>
              <w:rPr>
                <w:sz w:val="24"/>
                <w:szCs w:val="24"/>
              </w:rPr>
            </w:pPr>
            <w:r w:rsidRPr="00FE0F8F">
              <w:rPr>
                <w:sz w:val="24"/>
                <w:szCs w:val="24"/>
              </w:rPr>
              <w:t>0.06 µg/m</w:t>
            </w:r>
            <w:r w:rsidRPr="00FE0F8F">
              <w:rPr>
                <w:sz w:val="24"/>
                <w:szCs w:val="24"/>
                <w:vertAlign w:val="superscript"/>
              </w:rPr>
              <w:t>3</w:t>
            </w:r>
          </w:p>
        </w:tc>
        <w:tc>
          <w:tcPr>
            <w:tcW w:w="1000" w:type="pct"/>
            <w:tcBorders>
              <w:top w:val="single" w:sz="4" w:space="0" w:color="000000"/>
              <w:left w:val="single" w:sz="4" w:space="0" w:color="000000"/>
              <w:bottom w:val="single" w:sz="4" w:space="0" w:color="000000"/>
              <w:right w:val="single" w:sz="4" w:space="0" w:color="000000"/>
            </w:tcBorders>
            <w:hideMark/>
          </w:tcPr>
          <w:p w:rsidR="002C19C8" w:rsidRPr="00FE0F8F" w:rsidRDefault="002C19C8" w:rsidP="002C19C8">
            <w:pPr>
              <w:rPr>
                <w:sz w:val="24"/>
                <w:szCs w:val="24"/>
              </w:rPr>
            </w:pPr>
            <w:r w:rsidRPr="00FE0F8F">
              <w:rPr>
                <w:sz w:val="24"/>
                <w:szCs w:val="24"/>
              </w:rPr>
              <w:t>0.3 µg/m</w:t>
            </w:r>
            <w:r w:rsidRPr="00FE0F8F">
              <w:rPr>
                <w:sz w:val="24"/>
                <w:szCs w:val="24"/>
                <w:vertAlign w:val="superscript"/>
              </w:rPr>
              <w:t>3</w:t>
            </w:r>
          </w:p>
        </w:tc>
        <w:tc>
          <w:tcPr>
            <w:tcW w:w="814" w:type="pct"/>
            <w:tcBorders>
              <w:top w:val="single" w:sz="4" w:space="0" w:color="000000"/>
              <w:left w:val="single" w:sz="4" w:space="0" w:color="000000"/>
              <w:bottom w:val="single" w:sz="4" w:space="0" w:color="000000"/>
              <w:right w:val="single" w:sz="4" w:space="0" w:color="000000"/>
            </w:tcBorders>
            <w:hideMark/>
          </w:tcPr>
          <w:p w:rsidR="002C19C8" w:rsidRPr="00FE0F8F" w:rsidRDefault="002C19C8" w:rsidP="002C19C8">
            <w:pPr>
              <w:rPr>
                <w:sz w:val="24"/>
                <w:szCs w:val="24"/>
              </w:rPr>
            </w:pPr>
            <w:r w:rsidRPr="00FE0F8F">
              <w:rPr>
                <w:sz w:val="24"/>
                <w:szCs w:val="24"/>
              </w:rPr>
              <w:t>0.3 µg/m</w:t>
            </w:r>
            <w:r w:rsidRPr="00FE0F8F">
              <w:rPr>
                <w:sz w:val="24"/>
                <w:szCs w:val="24"/>
                <w:vertAlign w:val="superscript"/>
              </w:rPr>
              <w:t>3</w:t>
            </w:r>
          </w:p>
        </w:tc>
      </w:tr>
      <w:tr w:rsidR="002C19C8" w:rsidRPr="00FE0F8F" w:rsidTr="005136F5">
        <w:tc>
          <w:tcPr>
            <w:tcW w:w="622" w:type="pct"/>
            <w:tcBorders>
              <w:top w:val="single" w:sz="4" w:space="0" w:color="000000"/>
              <w:left w:val="single" w:sz="4" w:space="0" w:color="000000"/>
              <w:bottom w:val="single" w:sz="4" w:space="0" w:color="000000"/>
              <w:right w:val="single" w:sz="4" w:space="0" w:color="000000"/>
            </w:tcBorders>
            <w:hideMark/>
          </w:tcPr>
          <w:p w:rsidR="002C19C8" w:rsidRPr="00FE0F8F" w:rsidRDefault="002C19C8" w:rsidP="002C19C8">
            <w:pPr>
              <w:rPr>
                <w:sz w:val="24"/>
                <w:szCs w:val="24"/>
              </w:rPr>
            </w:pPr>
          </w:p>
        </w:tc>
        <w:tc>
          <w:tcPr>
            <w:tcW w:w="1375" w:type="pct"/>
            <w:tcBorders>
              <w:top w:val="single" w:sz="4" w:space="0" w:color="000000"/>
              <w:left w:val="single" w:sz="4" w:space="0" w:color="000000"/>
              <w:bottom w:val="single" w:sz="4" w:space="0" w:color="000000"/>
              <w:right w:val="single" w:sz="4" w:space="0" w:color="000000"/>
            </w:tcBorders>
            <w:hideMark/>
          </w:tcPr>
          <w:p w:rsidR="002C19C8" w:rsidRPr="00FE0F8F" w:rsidRDefault="002C19C8" w:rsidP="002C19C8">
            <w:pPr>
              <w:rPr>
                <w:sz w:val="24"/>
                <w:szCs w:val="24"/>
              </w:rPr>
            </w:pPr>
            <w:r w:rsidRPr="00FE0F8F">
              <w:rPr>
                <w:sz w:val="24"/>
                <w:szCs w:val="24"/>
              </w:rPr>
              <w:t>24-hour</w:t>
            </w:r>
          </w:p>
        </w:tc>
        <w:tc>
          <w:tcPr>
            <w:tcW w:w="1189" w:type="pct"/>
            <w:tcBorders>
              <w:top w:val="single" w:sz="4" w:space="0" w:color="000000"/>
              <w:left w:val="single" w:sz="4" w:space="0" w:color="000000"/>
              <w:bottom w:val="single" w:sz="4" w:space="0" w:color="000000"/>
              <w:right w:val="single" w:sz="4" w:space="0" w:color="000000"/>
            </w:tcBorders>
            <w:hideMark/>
          </w:tcPr>
          <w:p w:rsidR="002C19C8" w:rsidRPr="00FE0F8F" w:rsidRDefault="002C19C8" w:rsidP="002C19C8">
            <w:pPr>
              <w:rPr>
                <w:sz w:val="24"/>
                <w:szCs w:val="24"/>
              </w:rPr>
            </w:pPr>
            <w:r w:rsidRPr="00FE0F8F">
              <w:rPr>
                <w:sz w:val="24"/>
                <w:szCs w:val="24"/>
              </w:rPr>
              <w:t>0.07 µg/m</w:t>
            </w:r>
            <w:r w:rsidRPr="00FE0F8F">
              <w:rPr>
                <w:sz w:val="24"/>
                <w:szCs w:val="24"/>
                <w:vertAlign w:val="superscript"/>
              </w:rPr>
              <w:t>3</w:t>
            </w:r>
          </w:p>
        </w:tc>
        <w:tc>
          <w:tcPr>
            <w:tcW w:w="1000" w:type="pct"/>
            <w:tcBorders>
              <w:top w:val="single" w:sz="4" w:space="0" w:color="000000"/>
              <w:left w:val="single" w:sz="4" w:space="0" w:color="000000"/>
              <w:bottom w:val="single" w:sz="4" w:space="0" w:color="000000"/>
              <w:right w:val="single" w:sz="4" w:space="0" w:color="000000"/>
            </w:tcBorders>
            <w:hideMark/>
          </w:tcPr>
          <w:p w:rsidR="002C19C8" w:rsidRPr="00FE0F8F" w:rsidRDefault="002C19C8" w:rsidP="002C19C8">
            <w:pPr>
              <w:rPr>
                <w:sz w:val="24"/>
                <w:szCs w:val="24"/>
              </w:rPr>
            </w:pPr>
            <w:r w:rsidRPr="00FE0F8F">
              <w:rPr>
                <w:sz w:val="24"/>
                <w:szCs w:val="24"/>
              </w:rPr>
              <w:t>1.2 µg/m</w:t>
            </w:r>
            <w:r w:rsidRPr="00FE0F8F">
              <w:rPr>
                <w:sz w:val="24"/>
                <w:szCs w:val="24"/>
                <w:vertAlign w:val="superscript"/>
              </w:rPr>
              <w:t>3</w:t>
            </w:r>
          </w:p>
        </w:tc>
        <w:tc>
          <w:tcPr>
            <w:tcW w:w="814" w:type="pct"/>
            <w:tcBorders>
              <w:top w:val="single" w:sz="4" w:space="0" w:color="000000"/>
              <w:left w:val="single" w:sz="4" w:space="0" w:color="000000"/>
              <w:bottom w:val="single" w:sz="4" w:space="0" w:color="000000"/>
              <w:right w:val="single" w:sz="4" w:space="0" w:color="000000"/>
            </w:tcBorders>
            <w:hideMark/>
          </w:tcPr>
          <w:p w:rsidR="002C19C8" w:rsidRPr="00FE0F8F" w:rsidRDefault="002C19C8" w:rsidP="002C19C8">
            <w:pPr>
              <w:rPr>
                <w:sz w:val="24"/>
                <w:szCs w:val="24"/>
              </w:rPr>
            </w:pPr>
            <w:r w:rsidRPr="00FE0F8F">
              <w:rPr>
                <w:sz w:val="24"/>
                <w:szCs w:val="24"/>
              </w:rPr>
              <w:t>1.2 µg/m</w:t>
            </w:r>
            <w:r w:rsidRPr="00FE0F8F">
              <w:rPr>
                <w:sz w:val="24"/>
                <w:szCs w:val="24"/>
                <w:vertAlign w:val="superscript"/>
              </w:rPr>
              <w:t>3</w:t>
            </w:r>
          </w:p>
        </w:tc>
      </w:tr>
    </w:tbl>
    <w:p w:rsidR="002C19C8" w:rsidRPr="00FE0F8F" w:rsidRDefault="002C19C8" w:rsidP="002C19C8">
      <w:pPr>
        <w:rPr>
          <w:sz w:val="24"/>
          <w:szCs w:val="24"/>
        </w:rPr>
      </w:pPr>
      <w:r w:rsidRPr="00FE0F8F">
        <w:rPr>
          <w:sz w:val="24"/>
          <w:szCs w:val="24"/>
        </w:rPr>
        <w:lastRenderedPageBreak/>
        <w:t xml:space="preserve">(l) </w:t>
      </w:r>
      <w:r w:rsidRPr="00FE0F8F">
        <w:rPr>
          <w:i/>
          <w:iCs/>
          <w:sz w:val="24"/>
          <w:szCs w:val="24"/>
        </w:rPr>
        <w:t xml:space="preserve">Air quality models. </w:t>
      </w:r>
      <w:r w:rsidRPr="00FE0F8F">
        <w:rPr>
          <w:sz w:val="24"/>
          <w:szCs w:val="24"/>
        </w:rPr>
        <w:t>(1) All estimates of ambient concentrations required under this paragraph shall be based on applicable air quality models, data bases, and other requirements specified in appendix W of part 51 of this chapter (Guideline on Air Quality Models).</w:t>
      </w:r>
    </w:p>
    <w:p w:rsidR="002C19C8" w:rsidRPr="00FE0F8F" w:rsidRDefault="002C19C8" w:rsidP="002C19C8">
      <w:pPr>
        <w:rPr>
          <w:sz w:val="24"/>
          <w:szCs w:val="24"/>
        </w:rPr>
      </w:pPr>
      <w:r w:rsidRPr="00FE0F8F">
        <w:rPr>
          <w:sz w:val="24"/>
          <w:szCs w:val="24"/>
        </w:rPr>
        <w:t>(2) Where an air quality model specified in appendix W of part 51 of this chapter (Guideline on Air Quality Models) is inappropriate, the model may be modified or another model substituted. Such a modification or substitution of a model may be made on a case-by-case basis or, where appropriate, on a generic basis for a specific state program. Written approval of the Administrator must be obtained for any modification or substitution. In addition, use of a modified or substituted model must be subject to notice and opportunity for public comment under procedures developed in accordance with paragraph (q) of this section.</w:t>
      </w:r>
    </w:p>
    <w:p w:rsidR="008A5039" w:rsidRPr="00FE0F8F" w:rsidRDefault="008A5039">
      <w:pPr>
        <w:rPr>
          <w:sz w:val="24"/>
          <w:szCs w:val="24"/>
        </w:rPr>
      </w:pPr>
    </w:p>
    <w:p w:rsidR="00FE0F8F" w:rsidRPr="00FE0F8F" w:rsidRDefault="00FE0F8F">
      <w:pPr>
        <w:rPr>
          <w:sz w:val="24"/>
          <w:szCs w:val="24"/>
        </w:rPr>
      </w:pPr>
    </w:p>
    <w:p w:rsidR="00FE0F8F" w:rsidRPr="00FE0F8F" w:rsidRDefault="00FE0F8F" w:rsidP="00FE0F8F">
      <w:pPr>
        <w:rPr>
          <w:sz w:val="24"/>
          <w:szCs w:val="24"/>
        </w:rPr>
      </w:pPr>
      <w:r w:rsidRPr="00FE0F8F">
        <w:rPr>
          <w:sz w:val="24"/>
          <w:szCs w:val="24"/>
        </w:rPr>
        <w:t>(</w:t>
      </w:r>
      <w:r w:rsidRPr="00BA6035">
        <w:rPr>
          <w:sz w:val="24"/>
          <w:szCs w:val="24"/>
          <w:highlight w:val="yellow"/>
        </w:rPr>
        <w:t>m</w:t>
      </w:r>
      <w:r w:rsidRPr="00FE0F8F">
        <w:rPr>
          <w:sz w:val="24"/>
          <w:szCs w:val="24"/>
        </w:rPr>
        <w:t xml:space="preserve">) </w:t>
      </w:r>
      <w:r w:rsidRPr="00FE0F8F">
        <w:rPr>
          <w:i/>
          <w:iCs/>
          <w:sz w:val="24"/>
          <w:szCs w:val="24"/>
        </w:rPr>
        <w:t xml:space="preserve">Air quality analysis </w:t>
      </w:r>
      <w:proofErr w:type="gramStart"/>
      <w:r w:rsidRPr="00FE0F8F">
        <w:rPr>
          <w:sz w:val="24"/>
          <w:szCs w:val="24"/>
        </w:rPr>
        <w:t>—(</w:t>
      </w:r>
      <w:proofErr w:type="gramEnd"/>
      <w:r w:rsidRPr="00FE0F8F">
        <w:rPr>
          <w:sz w:val="24"/>
          <w:szCs w:val="24"/>
        </w:rPr>
        <w:t xml:space="preserve">1) </w:t>
      </w:r>
      <w:proofErr w:type="spellStart"/>
      <w:r w:rsidRPr="00FE0F8F">
        <w:rPr>
          <w:i/>
          <w:iCs/>
          <w:sz w:val="24"/>
          <w:szCs w:val="24"/>
        </w:rPr>
        <w:t>Preapplication</w:t>
      </w:r>
      <w:proofErr w:type="spellEnd"/>
      <w:r w:rsidRPr="00FE0F8F">
        <w:rPr>
          <w:i/>
          <w:iCs/>
          <w:sz w:val="24"/>
          <w:szCs w:val="24"/>
        </w:rPr>
        <w:t xml:space="preserve"> analysis. </w:t>
      </w:r>
      <w:r w:rsidRPr="00FE0F8F">
        <w:rPr>
          <w:sz w:val="24"/>
          <w:szCs w:val="24"/>
        </w:rPr>
        <w:t>(</w:t>
      </w:r>
      <w:proofErr w:type="spellStart"/>
      <w:r w:rsidRPr="00FE0F8F">
        <w:rPr>
          <w:sz w:val="24"/>
          <w:szCs w:val="24"/>
        </w:rPr>
        <w:t>i</w:t>
      </w:r>
      <w:proofErr w:type="spellEnd"/>
      <w:r w:rsidRPr="00FE0F8F">
        <w:rPr>
          <w:sz w:val="24"/>
          <w:szCs w:val="24"/>
        </w:rPr>
        <w:t>) Any application for a permit under this section shall contain an analysis of ambient air quality in the area that the major stationary source or major modification would affect for each of the following pollutants:</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a</w:t>
      </w:r>
      <w:proofErr w:type="gramEnd"/>
      <w:r w:rsidRPr="00FE0F8F">
        <w:rPr>
          <w:i/>
          <w:iCs/>
          <w:sz w:val="24"/>
          <w:szCs w:val="24"/>
        </w:rPr>
        <w:t xml:space="preserve"> </w:t>
      </w:r>
      <w:r w:rsidRPr="00FE0F8F">
        <w:rPr>
          <w:sz w:val="24"/>
          <w:szCs w:val="24"/>
        </w:rPr>
        <w:t>) For the source, each pollutant that it would have the potential to omit in a significant amount;</w:t>
      </w:r>
    </w:p>
    <w:p w:rsidR="00FE0F8F" w:rsidRPr="00FE0F8F" w:rsidRDefault="00FE0F8F" w:rsidP="00FE0F8F">
      <w:pPr>
        <w:rPr>
          <w:sz w:val="24"/>
          <w:szCs w:val="24"/>
        </w:rPr>
      </w:pPr>
      <w:proofErr w:type="gramStart"/>
      <w:r w:rsidRPr="00FE0F8F">
        <w:rPr>
          <w:sz w:val="24"/>
          <w:szCs w:val="24"/>
        </w:rPr>
        <w:t xml:space="preserve">( </w:t>
      </w:r>
      <w:r w:rsidRPr="00FE0F8F">
        <w:rPr>
          <w:i/>
          <w:iCs/>
          <w:sz w:val="24"/>
          <w:szCs w:val="24"/>
        </w:rPr>
        <w:t>b</w:t>
      </w:r>
      <w:proofErr w:type="gramEnd"/>
      <w:r w:rsidRPr="00FE0F8F">
        <w:rPr>
          <w:i/>
          <w:iCs/>
          <w:sz w:val="24"/>
          <w:szCs w:val="24"/>
        </w:rPr>
        <w:t xml:space="preserve"> </w:t>
      </w:r>
      <w:r w:rsidRPr="00FE0F8F">
        <w:rPr>
          <w:sz w:val="24"/>
          <w:szCs w:val="24"/>
        </w:rPr>
        <w:t>) For the modification, each pollutant for which it would result in a significant net emissions increase.</w:t>
      </w:r>
    </w:p>
    <w:p w:rsidR="00FE0F8F" w:rsidRPr="00FE0F8F" w:rsidRDefault="00FE0F8F" w:rsidP="00FE0F8F">
      <w:pPr>
        <w:rPr>
          <w:sz w:val="24"/>
          <w:szCs w:val="24"/>
        </w:rPr>
      </w:pPr>
      <w:r w:rsidRPr="00FE0F8F">
        <w:rPr>
          <w:sz w:val="24"/>
          <w:szCs w:val="24"/>
        </w:rPr>
        <w:t>(ii) With respect to any such pollutant for which no National Ambient Air Quality Standard exists, the analysis shall contain such air quality monitoring data as the Administrator determines is necessary to assess ambient air quality for that pollutant in any area that the emissions of that pollutant would affect.</w:t>
      </w:r>
    </w:p>
    <w:p w:rsidR="00FE0F8F" w:rsidRPr="00FE0F8F" w:rsidRDefault="00FE0F8F" w:rsidP="00FE0F8F">
      <w:pPr>
        <w:rPr>
          <w:sz w:val="24"/>
          <w:szCs w:val="24"/>
        </w:rPr>
      </w:pPr>
      <w:r w:rsidRPr="00FE0F8F">
        <w:rPr>
          <w:sz w:val="24"/>
          <w:szCs w:val="24"/>
        </w:rPr>
        <w:t>(iii) With respect to any such pollutant (other than nonmethane hydrocarbons) for which such a standard does exist, the analysis shall contain continuous air quality monitoring data gathered for purposes of determining whether emissions of that pollutant would cause or contribute to a violation of the standard or any maximum allowable increase.</w:t>
      </w:r>
    </w:p>
    <w:p w:rsidR="00FE0F8F" w:rsidRPr="00FE0F8F" w:rsidRDefault="00FE0F8F" w:rsidP="00FE0F8F">
      <w:pPr>
        <w:rPr>
          <w:sz w:val="24"/>
          <w:szCs w:val="24"/>
        </w:rPr>
      </w:pPr>
      <w:r w:rsidRPr="00FE0F8F">
        <w:rPr>
          <w:sz w:val="24"/>
          <w:szCs w:val="24"/>
        </w:rPr>
        <w:t>(iv) In general, the continuous air quality monitoring data that is required shall have been gathered over a period of at least one year and shall represent at least the year preceding receipt of the application, except that, if the Administrator determines that a complete and adequate analysis can be accomplished with monitoring data gathered over a period shorter than one year (but not to be less than four months), the data that is required shall have been gathered over at least that shorter period.</w:t>
      </w:r>
    </w:p>
    <w:p w:rsidR="00FE0F8F" w:rsidRPr="00FE0F8F" w:rsidRDefault="00FE0F8F" w:rsidP="00FE0F8F">
      <w:pPr>
        <w:rPr>
          <w:sz w:val="24"/>
          <w:szCs w:val="24"/>
        </w:rPr>
      </w:pPr>
      <w:r w:rsidRPr="00FE0F8F">
        <w:rPr>
          <w:sz w:val="24"/>
          <w:szCs w:val="24"/>
        </w:rPr>
        <w:t>(v) For any application which becomes complete, except as to the requirements of paragraphs (m</w:t>
      </w:r>
      <w:proofErr w:type="gramStart"/>
      <w:r w:rsidRPr="00FE0F8F">
        <w:rPr>
          <w:sz w:val="24"/>
          <w:szCs w:val="24"/>
        </w:rPr>
        <w:t>)(</w:t>
      </w:r>
      <w:proofErr w:type="gramEnd"/>
      <w:r w:rsidRPr="00FE0F8F">
        <w:rPr>
          <w:sz w:val="24"/>
          <w:szCs w:val="24"/>
        </w:rPr>
        <w:t>1) (iii) and (iv) of this section, between June 8, 1981, and February 9, 1982, the data that paragraph (m)(1)(iii) of this section, requires shall have been gathered over at least the period from February 9, 1981, to the date the application becomes otherwise complete, except that:</w:t>
      </w:r>
    </w:p>
    <w:p w:rsidR="00FE0F8F" w:rsidRPr="00FE0F8F" w:rsidRDefault="00FE0F8F" w:rsidP="00FE0F8F">
      <w:pPr>
        <w:rPr>
          <w:sz w:val="24"/>
          <w:szCs w:val="24"/>
        </w:rPr>
      </w:pPr>
      <w:r w:rsidRPr="00FE0F8F">
        <w:rPr>
          <w:sz w:val="24"/>
          <w:szCs w:val="24"/>
        </w:rPr>
        <w:t xml:space="preserve">( </w:t>
      </w:r>
      <w:r w:rsidRPr="00FE0F8F">
        <w:rPr>
          <w:i/>
          <w:iCs/>
          <w:sz w:val="24"/>
          <w:szCs w:val="24"/>
        </w:rPr>
        <w:t xml:space="preserve">a </w:t>
      </w:r>
      <w:r w:rsidRPr="00FE0F8F">
        <w:rPr>
          <w:sz w:val="24"/>
          <w:szCs w:val="24"/>
        </w:rPr>
        <w:t>) If the source or modification would have been major for that pollutant under 40 CFR 52.21 as in effect on June 19, 1978, any monitoring data shall have been gathered over at least the period required by those regulations.</w:t>
      </w:r>
    </w:p>
    <w:p w:rsidR="00FE0F8F" w:rsidRPr="00FE0F8F" w:rsidRDefault="00FE0F8F" w:rsidP="00FE0F8F">
      <w:pPr>
        <w:rPr>
          <w:sz w:val="24"/>
          <w:szCs w:val="24"/>
        </w:rPr>
      </w:pPr>
      <w:r w:rsidRPr="00FE0F8F">
        <w:rPr>
          <w:sz w:val="24"/>
          <w:szCs w:val="24"/>
        </w:rPr>
        <w:t xml:space="preserve">( </w:t>
      </w:r>
      <w:r w:rsidRPr="00FE0F8F">
        <w:rPr>
          <w:i/>
          <w:iCs/>
          <w:sz w:val="24"/>
          <w:szCs w:val="24"/>
        </w:rPr>
        <w:t xml:space="preserve">b </w:t>
      </w:r>
      <w:r w:rsidRPr="00FE0F8F">
        <w:rPr>
          <w:sz w:val="24"/>
          <w:szCs w:val="24"/>
        </w:rPr>
        <w:t>) If the Administrator determines that a complete and adequate analysis can be accomplished with monitoring data over a shorter period (not to be less than four months), the data that paragraph (m)(1)(iii) of this section, requires shall have been gathered over at least that shorter period.</w:t>
      </w:r>
    </w:p>
    <w:p w:rsidR="00FE0F8F" w:rsidRPr="00FE0F8F" w:rsidRDefault="00FE0F8F" w:rsidP="00FE0F8F">
      <w:pPr>
        <w:rPr>
          <w:sz w:val="24"/>
          <w:szCs w:val="24"/>
        </w:rPr>
      </w:pPr>
      <w:r w:rsidRPr="00FE0F8F">
        <w:rPr>
          <w:sz w:val="24"/>
          <w:szCs w:val="24"/>
        </w:rPr>
        <w:t xml:space="preserve">( </w:t>
      </w:r>
      <w:r w:rsidRPr="00FE0F8F">
        <w:rPr>
          <w:i/>
          <w:iCs/>
          <w:sz w:val="24"/>
          <w:szCs w:val="24"/>
        </w:rPr>
        <w:t xml:space="preserve">c </w:t>
      </w:r>
      <w:r w:rsidRPr="00FE0F8F">
        <w:rPr>
          <w:sz w:val="24"/>
          <w:szCs w:val="24"/>
        </w:rPr>
        <w:t xml:space="preserve">) If the monitoring data would relate exclusively to ozone and would not have been required under 40 CFR 52.21 as in effect on June 19, 1978, the Administrator may waive the otherwise </w:t>
      </w:r>
      <w:r w:rsidRPr="00FE0F8F">
        <w:rPr>
          <w:sz w:val="24"/>
          <w:szCs w:val="24"/>
        </w:rPr>
        <w:lastRenderedPageBreak/>
        <w:t>applicable requirements of this paragraph (v) to the extent that the applicant shows that the monitoring data would be unrepresentative of air quality over a full year.</w:t>
      </w:r>
    </w:p>
    <w:p w:rsidR="00FE0F8F" w:rsidRPr="00FE0F8F" w:rsidRDefault="00FE0F8F" w:rsidP="00FE0F8F">
      <w:pPr>
        <w:rPr>
          <w:sz w:val="24"/>
          <w:szCs w:val="24"/>
        </w:rPr>
      </w:pPr>
      <w:r w:rsidRPr="00FE0F8F">
        <w:rPr>
          <w:sz w:val="24"/>
          <w:szCs w:val="24"/>
        </w:rPr>
        <w:t>(vi) The owner or operator of a proposed stationary source or modification of volatile organic compounds who satisfies all conditions of 40 CFR part 51 Appendix S, section IV may provide post-approval monitoring data for ozone in lieu of providing preconstruction data as required under paragraph (m)(1) of this section.</w:t>
      </w:r>
    </w:p>
    <w:p w:rsidR="00FE0F8F" w:rsidRPr="00FE0F8F" w:rsidRDefault="00FE0F8F" w:rsidP="00FE0F8F">
      <w:pPr>
        <w:rPr>
          <w:sz w:val="24"/>
          <w:szCs w:val="24"/>
        </w:rPr>
      </w:pPr>
      <w:r w:rsidRPr="00FE0F8F">
        <w:rPr>
          <w:sz w:val="24"/>
          <w:szCs w:val="24"/>
        </w:rPr>
        <w:t>(vii) For any application that becomes complete, except as to the requirements of paragraphs (m)(1) (iii) and (iv) pertaining to PM</w:t>
      </w:r>
      <w:r w:rsidRPr="00FE0F8F">
        <w:rPr>
          <w:sz w:val="24"/>
          <w:szCs w:val="24"/>
          <w:vertAlign w:val="subscript"/>
        </w:rPr>
        <w:t>10</w:t>
      </w:r>
      <w:r w:rsidRPr="00FE0F8F">
        <w:rPr>
          <w:sz w:val="24"/>
          <w:szCs w:val="24"/>
        </w:rPr>
        <w:t>, after December 1, 1988 and no later than August 1, 1989 the data that paragraph (m)(1)(iii) requires shall have been gathered over at least the period from August 1, 1988 to the date the application becomes otherwise complete, except that if the Administrator determines that a complete and adequate analysis can be accomplished with monitoring data over a shorter period (not to be less than 4 months), the data that paragraph (m)(1)(iii) requires shall have been gathered over that shorter period.</w:t>
      </w:r>
    </w:p>
    <w:p w:rsidR="00FE0F8F" w:rsidRPr="00FE0F8F" w:rsidRDefault="00FE0F8F" w:rsidP="00FE0F8F">
      <w:pPr>
        <w:rPr>
          <w:sz w:val="24"/>
          <w:szCs w:val="24"/>
        </w:rPr>
      </w:pPr>
      <w:r w:rsidRPr="00FE0F8F">
        <w:rPr>
          <w:sz w:val="24"/>
          <w:szCs w:val="24"/>
        </w:rPr>
        <w:t>(viii) With respect to any requirements for air quality monitoring of PM</w:t>
      </w:r>
      <w:r w:rsidRPr="00FE0F8F">
        <w:rPr>
          <w:sz w:val="24"/>
          <w:szCs w:val="24"/>
          <w:vertAlign w:val="subscript"/>
        </w:rPr>
        <w:t>10</w:t>
      </w:r>
      <w:r w:rsidRPr="00FE0F8F">
        <w:rPr>
          <w:sz w:val="24"/>
          <w:szCs w:val="24"/>
        </w:rPr>
        <w:t>under paragraphs (</w:t>
      </w:r>
      <w:proofErr w:type="spellStart"/>
      <w:r w:rsidRPr="00FE0F8F">
        <w:rPr>
          <w:sz w:val="24"/>
          <w:szCs w:val="24"/>
        </w:rPr>
        <w:t>i</w:t>
      </w:r>
      <w:proofErr w:type="spellEnd"/>
      <w:proofErr w:type="gramStart"/>
      <w:r w:rsidRPr="00FE0F8F">
        <w:rPr>
          <w:sz w:val="24"/>
          <w:szCs w:val="24"/>
        </w:rPr>
        <w:t>)(</w:t>
      </w:r>
      <w:proofErr w:type="gramEnd"/>
      <w:r w:rsidRPr="00FE0F8F">
        <w:rPr>
          <w:sz w:val="24"/>
          <w:szCs w:val="24"/>
        </w:rPr>
        <w:t>11) (</w:t>
      </w:r>
      <w:proofErr w:type="spellStart"/>
      <w:r w:rsidRPr="00FE0F8F">
        <w:rPr>
          <w:sz w:val="24"/>
          <w:szCs w:val="24"/>
        </w:rPr>
        <w:t>i</w:t>
      </w:r>
      <w:proofErr w:type="spellEnd"/>
      <w:r w:rsidRPr="00FE0F8F">
        <w:rPr>
          <w:sz w:val="24"/>
          <w:szCs w:val="24"/>
        </w:rPr>
        <w:t>) and (ii) of this section the owner or operator of the source or modification shall use a monitoring method approved by the Administrator and shall estimate the ambient concentrations of PM</w:t>
      </w:r>
      <w:r w:rsidRPr="00FE0F8F">
        <w:rPr>
          <w:sz w:val="24"/>
          <w:szCs w:val="24"/>
          <w:vertAlign w:val="subscript"/>
        </w:rPr>
        <w:t>10</w:t>
      </w:r>
      <w:r w:rsidRPr="00FE0F8F">
        <w:rPr>
          <w:sz w:val="24"/>
          <w:szCs w:val="24"/>
        </w:rPr>
        <w:t>using the data collected by such approved monitoring method in accordance with estimating procedures approved by the Administrator.</w:t>
      </w:r>
    </w:p>
    <w:p w:rsidR="00FE0F8F" w:rsidRPr="00FE0F8F" w:rsidRDefault="00FE0F8F" w:rsidP="00FE0F8F">
      <w:pPr>
        <w:rPr>
          <w:sz w:val="24"/>
          <w:szCs w:val="24"/>
        </w:rPr>
      </w:pPr>
      <w:r w:rsidRPr="00FE0F8F">
        <w:rPr>
          <w:sz w:val="24"/>
          <w:szCs w:val="24"/>
        </w:rPr>
        <w:t>(2) Post-construction monitoring. The owner or operator of a major stationary source or major modification shall, after construction of the stationary source or modification, conduct such ambient monitoring as the Administrator determines is necessary to determine the effect emissions from the stationary source or modification may have, or are having, on air quality in any area.</w:t>
      </w:r>
    </w:p>
    <w:p w:rsidR="00FE0F8F" w:rsidRPr="00FE0F8F" w:rsidRDefault="00FE0F8F" w:rsidP="00FE0F8F">
      <w:pPr>
        <w:rPr>
          <w:sz w:val="24"/>
          <w:szCs w:val="24"/>
        </w:rPr>
      </w:pPr>
      <w:r w:rsidRPr="00FE0F8F">
        <w:rPr>
          <w:sz w:val="24"/>
          <w:szCs w:val="24"/>
        </w:rPr>
        <w:t>(3) Operations of monitoring stations. The owner or operator of a major stationary source or major modification shall meet the requirements of Appendix B to part 58 of this chapter during the operation of monitoring stations for purposes of satisfying paragraph (m) of this section.</w:t>
      </w:r>
    </w:p>
    <w:p w:rsidR="00FE0F8F" w:rsidRDefault="00FE0F8F">
      <w:pPr>
        <w:rPr>
          <w:sz w:val="24"/>
          <w:szCs w:val="24"/>
        </w:rPr>
      </w:pPr>
    </w:p>
    <w:p w:rsidR="004809B7" w:rsidRDefault="004809B7">
      <w:pPr>
        <w:rPr>
          <w:sz w:val="24"/>
          <w:szCs w:val="24"/>
        </w:rPr>
      </w:pPr>
    </w:p>
    <w:p w:rsidR="007C4B26" w:rsidRPr="001110FC" w:rsidRDefault="007C4B26" w:rsidP="007C4B26">
      <w:pPr>
        <w:rPr>
          <w:sz w:val="24"/>
          <w:szCs w:val="24"/>
        </w:rPr>
      </w:pPr>
      <w:r w:rsidRPr="001110FC">
        <w:rPr>
          <w:b/>
          <w:bCs/>
          <w:sz w:val="24"/>
          <w:szCs w:val="24"/>
        </w:rPr>
        <w:t>Title 40: Protection of Environment</w:t>
      </w:r>
      <w:bookmarkStart w:id="0" w:name="PartTop"/>
      <w:bookmarkEnd w:id="0"/>
    </w:p>
    <w:p w:rsidR="007C4B26" w:rsidRPr="001110FC" w:rsidRDefault="007C4B26" w:rsidP="007C4B26">
      <w:pPr>
        <w:rPr>
          <w:b/>
          <w:bCs/>
          <w:sz w:val="24"/>
          <w:szCs w:val="24"/>
        </w:rPr>
      </w:pPr>
      <w:r w:rsidRPr="001110FC">
        <w:rPr>
          <w:b/>
          <w:bCs/>
          <w:sz w:val="24"/>
          <w:szCs w:val="24"/>
        </w:rPr>
        <w:t>PART 51—REQUIREMENTS FOR PREPARATION, ADOPTION, AND SUBMITTAL OF IMPLEMENTATION PLANS</w:t>
      </w:r>
    </w:p>
    <w:p w:rsidR="007C4B26" w:rsidRPr="001110FC" w:rsidRDefault="007C4B26" w:rsidP="007C4B26">
      <w:pPr>
        <w:rPr>
          <w:b/>
          <w:bCs/>
          <w:sz w:val="24"/>
          <w:szCs w:val="24"/>
        </w:rPr>
      </w:pPr>
      <w:bookmarkStart w:id="1" w:name="40:2.0.1.1.2.6"/>
      <w:r w:rsidRPr="001110FC">
        <w:rPr>
          <w:b/>
          <w:bCs/>
          <w:sz w:val="24"/>
          <w:szCs w:val="24"/>
        </w:rPr>
        <w:t>Subpart I—Review of New Sources and Modifications</w:t>
      </w:r>
    </w:p>
    <w:bookmarkEnd w:id="1"/>
    <w:p w:rsidR="007C4B26" w:rsidRDefault="007C4B26">
      <w:pPr>
        <w:rPr>
          <w:sz w:val="24"/>
          <w:szCs w:val="24"/>
        </w:rPr>
      </w:pPr>
      <w:r>
        <w:rPr>
          <w:sz w:val="24"/>
          <w:szCs w:val="24"/>
        </w:rPr>
        <w:t>51.165(b</w:t>
      </w:r>
      <w:proofErr w:type="gramStart"/>
      <w:r>
        <w:rPr>
          <w:sz w:val="24"/>
          <w:szCs w:val="24"/>
        </w:rPr>
        <w:t>)(</w:t>
      </w:r>
      <w:proofErr w:type="gramEnd"/>
      <w:r>
        <w:rPr>
          <w:sz w:val="24"/>
          <w:szCs w:val="24"/>
        </w:rPr>
        <w:t>2)</w:t>
      </w:r>
    </w:p>
    <w:p w:rsidR="007C4B26" w:rsidRPr="007C4B26" w:rsidRDefault="007C4B26" w:rsidP="007C4B26">
      <w:pPr>
        <w:rPr>
          <w:sz w:val="24"/>
          <w:szCs w:val="24"/>
        </w:rPr>
      </w:pPr>
      <w:r w:rsidRPr="007C4B26">
        <w:rPr>
          <w:sz w:val="24"/>
          <w:szCs w:val="24"/>
        </w:rPr>
        <w:t>(b)(1) Each plan shall include a preconstruction review permit program or its equivalent to satisfy the requirements of section 110(a)(2)(D)(</w:t>
      </w:r>
      <w:proofErr w:type="spellStart"/>
      <w:r w:rsidRPr="007C4B26">
        <w:rPr>
          <w:sz w:val="24"/>
          <w:szCs w:val="24"/>
        </w:rPr>
        <w:t>i</w:t>
      </w:r>
      <w:proofErr w:type="spellEnd"/>
      <w:r w:rsidRPr="007C4B26">
        <w:rPr>
          <w:sz w:val="24"/>
          <w:szCs w:val="24"/>
        </w:rPr>
        <w:t>) of the Act for any new major stationary source or major modification as defined in paragraphs (a)(1) (iv) and (v) of this section. Such a program shall apply to any such source or modification that would locate in any area designated as attainment or unclassifiable for any national ambient air quality standard pursuant to section 107 of the Act, when it would cause or contribute to a violation of any national ambient air quality standard.</w:t>
      </w:r>
    </w:p>
    <w:p w:rsidR="007C4B26" w:rsidRPr="007C4B26" w:rsidRDefault="007C4B26" w:rsidP="007C4B26">
      <w:pPr>
        <w:rPr>
          <w:sz w:val="24"/>
          <w:szCs w:val="24"/>
        </w:rPr>
      </w:pPr>
      <w:r w:rsidRPr="007C4B26">
        <w:rPr>
          <w:sz w:val="24"/>
          <w:szCs w:val="24"/>
        </w:rPr>
        <w:t>(2) A major source or major modification will be considered to cause or contribute to a violation of a national ambient air quality standard when such source or modification would, at a minimum, exceed the following significance levels at any locality that does not or would not meet the applicable national standard:</w:t>
      </w:r>
    </w:p>
    <w:tbl>
      <w:tblPr>
        <w:tblW w:w="3706"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tblPr>
      <w:tblGrid>
        <w:gridCol w:w="1184"/>
        <w:gridCol w:w="1251"/>
        <w:gridCol w:w="1168"/>
        <w:gridCol w:w="855"/>
        <w:gridCol w:w="1327"/>
        <w:gridCol w:w="1170"/>
      </w:tblGrid>
      <w:tr w:rsidR="007C4B26" w:rsidRPr="007C4B26" w:rsidTr="005136F5">
        <w:tc>
          <w:tcPr>
            <w:tcW w:w="851" w:type="pct"/>
            <w:vMerge w:val="restart"/>
            <w:tcBorders>
              <w:top w:val="single" w:sz="4" w:space="0" w:color="000000"/>
              <w:left w:val="single" w:sz="4" w:space="0" w:color="000000"/>
              <w:bottom w:val="single" w:sz="4" w:space="0" w:color="000000"/>
              <w:right w:val="single" w:sz="4" w:space="0" w:color="000000"/>
            </w:tcBorders>
            <w:vAlign w:val="bottom"/>
            <w:hideMark/>
          </w:tcPr>
          <w:p w:rsidR="007C4B26" w:rsidRPr="007C4B26" w:rsidRDefault="007C4B26" w:rsidP="005136F5">
            <w:pPr>
              <w:rPr>
                <w:b/>
                <w:bCs/>
              </w:rPr>
            </w:pPr>
            <w:r w:rsidRPr="007C4B26">
              <w:rPr>
                <w:b/>
                <w:bCs/>
              </w:rPr>
              <w:t>Pollutant</w:t>
            </w:r>
          </w:p>
        </w:tc>
        <w:tc>
          <w:tcPr>
            <w:tcW w:w="899" w:type="pct"/>
            <w:vMerge w:val="restart"/>
            <w:tcBorders>
              <w:top w:val="single" w:sz="4" w:space="0" w:color="000000"/>
              <w:left w:val="single" w:sz="4" w:space="0" w:color="000000"/>
              <w:bottom w:val="single" w:sz="4" w:space="0" w:color="000000"/>
              <w:right w:val="single" w:sz="4" w:space="0" w:color="000000"/>
            </w:tcBorders>
            <w:vAlign w:val="bottom"/>
            <w:hideMark/>
          </w:tcPr>
          <w:p w:rsidR="007C4B26" w:rsidRPr="007C4B26" w:rsidRDefault="007C4B26" w:rsidP="005136F5">
            <w:pPr>
              <w:rPr>
                <w:b/>
                <w:bCs/>
              </w:rPr>
            </w:pPr>
            <w:r w:rsidRPr="007C4B26">
              <w:rPr>
                <w:b/>
                <w:bCs/>
              </w:rPr>
              <w:t>Annual</w:t>
            </w:r>
          </w:p>
        </w:tc>
        <w:tc>
          <w:tcPr>
            <w:tcW w:w="3250" w:type="pct"/>
            <w:gridSpan w:val="4"/>
            <w:tcBorders>
              <w:top w:val="single" w:sz="4" w:space="0" w:color="000000"/>
              <w:left w:val="single" w:sz="4" w:space="0" w:color="000000"/>
              <w:bottom w:val="single" w:sz="4" w:space="0" w:color="000000"/>
              <w:right w:val="single" w:sz="4" w:space="0" w:color="000000"/>
            </w:tcBorders>
            <w:vAlign w:val="bottom"/>
            <w:hideMark/>
          </w:tcPr>
          <w:p w:rsidR="007C4B26" w:rsidRPr="007C4B26" w:rsidRDefault="007C4B26" w:rsidP="005136F5">
            <w:pPr>
              <w:jc w:val="center"/>
              <w:rPr>
                <w:b/>
                <w:bCs/>
              </w:rPr>
            </w:pPr>
            <w:r w:rsidRPr="007C4B26">
              <w:rPr>
                <w:b/>
                <w:bCs/>
              </w:rPr>
              <w:t>Averaging time (hours)</w:t>
            </w:r>
          </w:p>
        </w:tc>
      </w:tr>
      <w:tr w:rsidR="007C4B26" w:rsidRPr="007C4B26" w:rsidTr="005136F5">
        <w:tc>
          <w:tcPr>
            <w:tcW w:w="851" w:type="pct"/>
            <w:vMerge/>
            <w:tcBorders>
              <w:top w:val="single" w:sz="4" w:space="0" w:color="000000"/>
              <w:left w:val="single" w:sz="4" w:space="0" w:color="000000"/>
              <w:bottom w:val="single" w:sz="4" w:space="0" w:color="000000"/>
              <w:right w:val="single" w:sz="4" w:space="0" w:color="000000"/>
            </w:tcBorders>
            <w:vAlign w:val="center"/>
            <w:hideMark/>
          </w:tcPr>
          <w:p w:rsidR="007C4B26" w:rsidRPr="007C4B26" w:rsidRDefault="007C4B26" w:rsidP="005136F5">
            <w:pPr>
              <w:rPr>
                <w:b/>
                <w:bCs/>
              </w:rPr>
            </w:pPr>
          </w:p>
        </w:tc>
        <w:tc>
          <w:tcPr>
            <w:tcW w:w="899" w:type="pct"/>
            <w:vMerge/>
            <w:tcBorders>
              <w:top w:val="single" w:sz="4" w:space="0" w:color="000000"/>
              <w:left w:val="single" w:sz="4" w:space="0" w:color="000000"/>
              <w:bottom w:val="single" w:sz="4" w:space="0" w:color="000000"/>
              <w:right w:val="single" w:sz="4" w:space="0" w:color="000000"/>
            </w:tcBorders>
            <w:vAlign w:val="center"/>
            <w:hideMark/>
          </w:tcPr>
          <w:p w:rsidR="007C4B26" w:rsidRPr="007C4B26" w:rsidRDefault="007C4B26" w:rsidP="005136F5">
            <w:pPr>
              <w:rPr>
                <w:b/>
                <w:bCs/>
              </w:rPr>
            </w:pPr>
          </w:p>
        </w:tc>
        <w:tc>
          <w:tcPr>
            <w:tcW w:w="840" w:type="pct"/>
            <w:tcBorders>
              <w:top w:val="single" w:sz="4" w:space="0" w:color="000000"/>
              <w:left w:val="single" w:sz="4" w:space="0" w:color="000000"/>
              <w:bottom w:val="single" w:sz="4" w:space="0" w:color="000000"/>
              <w:right w:val="single" w:sz="4" w:space="0" w:color="000000"/>
            </w:tcBorders>
            <w:vAlign w:val="bottom"/>
            <w:hideMark/>
          </w:tcPr>
          <w:p w:rsidR="007C4B26" w:rsidRPr="007C4B26" w:rsidRDefault="007C4B26" w:rsidP="005136F5">
            <w:pPr>
              <w:jc w:val="center"/>
              <w:rPr>
                <w:b/>
                <w:bCs/>
              </w:rPr>
            </w:pPr>
            <w:r w:rsidRPr="007C4B26">
              <w:rPr>
                <w:b/>
                <w:bCs/>
              </w:rPr>
              <w:t>24</w:t>
            </w:r>
          </w:p>
        </w:tc>
        <w:tc>
          <w:tcPr>
            <w:tcW w:w="615" w:type="pct"/>
            <w:tcBorders>
              <w:top w:val="single" w:sz="4" w:space="0" w:color="000000"/>
              <w:left w:val="single" w:sz="4" w:space="0" w:color="000000"/>
              <w:bottom w:val="single" w:sz="4" w:space="0" w:color="000000"/>
              <w:right w:val="single" w:sz="4" w:space="0" w:color="000000"/>
            </w:tcBorders>
            <w:vAlign w:val="bottom"/>
            <w:hideMark/>
          </w:tcPr>
          <w:p w:rsidR="007C4B26" w:rsidRPr="007C4B26" w:rsidRDefault="007C4B26" w:rsidP="005136F5">
            <w:pPr>
              <w:jc w:val="center"/>
              <w:rPr>
                <w:b/>
                <w:bCs/>
              </w:rPr>
            </w:pPr>
            <w:r w:rsidRPr="007C4B26">
              <w:rPr>
                <w:b/>
                <w:bCs/>
              </w:rPr>
              <w:t>8</w:t>
            </w:r>
          </w:p>
        </w:tc>
        <w:tc>
          <w:tcPr>
            <w:tcW w:w="954" w:type="pct"/>
            <w:tcBorders>
              <w:top w:val="single" w:sz="4" w:space="0" w:color="000000"/>
              <w:left w:val="single" w:sz="4" w:space="0" w:color="000000"/>
              <w:bottom w:val="single" w:sz="4" w:space="0" w:color="000000"/>
              <w:right w:val="single" w:sz="4" w:space="0" w:color="000000"/>
            </w:tcBorders>
            <w:vAlign w:val="bottom"/>
            <w:hideMark/>
          </w:tcPr>
          <w:p w:rsidR="007C4B26" w:rsidRPr="007C4B26" w:rsidRDefault="007C4B26" w:rsidP="005136F5">
            <w:pPr>
              <w:jc w:val="center"/>
              <w:rPr>
                <w:b/>
                <w:bCs/>
              </w:rPr>
            </w:pPr>
            <w:r w:rsidRPr="007C4B26">
              <w:rPr>
                <w:b/>
                <w:bCs/>
              </w:rPr>
              <w:t>3</w:t>
            </w:r>
          </w:p>
        </w:tc>
        <w:tc>
          <w:tcPr>
            <w:tcW w:w="841" w:type="pct"/>
            <w:tcBorders>
              <w:top w:val="single" w:sz="4" w:space="0" w:color="000000"/>
              <w:left w:val="single" w:sz="4" w:space="0" w:color="000000"/>
              <w:bottom w:val="single" w:sz="4" w:space="0" w:color="000000"/>
              <w:right w:val="single" w:sz="4" w:space="0" w:color="000000"/>
            </w:tcBorders>
            <w:vAlign w:val="bottom"/>
            <w:hideMark/>
          </w:tcPr>
          <w:p w:rsidR="007C4B26" w:rsidRPr="007C4B26" w:rsidRDefault="007C4B26" w:rsidP="005136F5">
            <w:pPr>
              <w:jc w:val="center"/>
              <w:rPr>
                <w:b/>
                <w:bCs/>
              </w:rPr>
            </w:pPr>
            <w:r w:rsidRPr="007C4B26">
              <w:rPr>
                <w:b/>
                <w:bCs/>
              </w:rPr>
              <w:t>1</w:t>
            </w:r>
          </w:p>
        </w:tc>
      </w:tr>
      <w:tr w:rsidR="007C4B26" w:rsidRPr="007C4B26" w:rsidTr="005136F5">
        <w:tc>
          <w:tcPr>
            <w:tcW w:w="851"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r w:rsidRPr="007C4B26">
              <w:lastRenderedPageBreak/>
              <w:t>SO</w:t>
            </w:r>
            <w:r w:rsidRPr="007C4B26">
              <w:rPr>
                <w:vertAlign w:val="subscript"/>
              </w:rPr>
              <w:t>2</w:t>
            </w:r>
          </w:p>
        </w:tc>
        <w:tc>
          <w:tcPr>
            <w:tcW w:w="899"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r w:rsidRPr="007C4B26">
              <w:t>1.0 µg/m</w:t>
            </w:r>
            <w:r w:rsidRPr="007C4B26">
              <w:rPr>
                <w:vertAlign w:val="superscript"/>
              </w:rPr>
              <w:t>3</w:t>
            </w:r>
          </w:p>
        </w:tc>
        <w:tc>
          <w:tcPr>
            <w:tcW w:w="840"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r w:rsidRPr="007C4B26">
              <w:t>5 µg/m</w:t>
            </w:r>
            <w:r w:rsidRPr="007C4B26">
              <w:rPr>
                <w:vertAlign w:val="superscript"/>
              </w:rPr>
              <w:t>3</w:t>
            </w:r>
          </w:p>
        </w:tc>
        <w:tc>
          <w:tcPr>
            <w:tcW w:w="615"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c>
          <w:tcPr>
            <w:tcW w:w="954"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r w:rsidRPr="007C4B26">
              <w:t>25 µg/m</w:t>
            </w:r>
            <w:r w:rsidRPr="007C4B26">
              <w:rPr>
                <w:vertAlign w:val="superscript"/>
              </w:rPr>
              <w:t>3</w:t>
            </w:r>
          </w:p>
        </w:tc>
        <w:tc>
          <w:tcPr>
            <w:tcW w:w="841"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r>
      <w:tr w:rsidR="007C4B26" w:rsidRPr="007C4B26" w:rsidTr="005136F5">
        <w:tc>
          <w:tcPr>
            <w:tcW w:w="851"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r w:rsidRPr="007C4B26">
              <w:t>PM</w:t>
            </w:r>
            <w:r w:rsidRPr="007C4B26">
              <w:rPr>
                <w:vertAlign w:val="subscript"/>
              </w:rPr>
              <w:t>10</w:t>
            </w:r>
          </w:p>
        </w:tc>
        <w:tc>
          <w:tcPr>
            <w:tcW w:w="899"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r w:rsidRPr="007C4B26">
              <w:t>1.0 µg/m</w:t>
            </w:r>
            <w:r w:rsidRPr="007C4B26">
              <w:rPr>
                <w:vertAlign w:val="superscript"/>
              </w:rPr>
              <w:t>3</w:t>
            </w:r>
          </w:p>
        </w:tc>
        <w:tc>
          <w:tcPr>
            <w:tcW w:w="840"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r w:rsidRPr="007C4B26">
              <w:t>5 µg/m</w:t>
            </w:r>
            <w:r w:rsidRPr="007C4B26">
              <w:rPr>
                <w:vertAlign w:val="superscript"/>
              </w:rPr>
              <w:t>3</w:t>
            </w:r>
          </w:p>
        </w:tc>
        <w:tc>
          <w:tcPr>
            <w:tcW w:w="615"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c>
          <w:tcPr>
            <w:tcW w:w="954"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c>
          <w:tcPr>
            <w:tcW w:w="841"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r>
      <w:tr w:rsidR="007C4B26" w:rsidRPr="007C4B26" w:rsidTr="005136F5">
        <w:tc>
          <w:tcPr>
            <w:tcW w:w="851"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r w:rsidRPr="007C4B26">
              <w:t>PM</w:t>
            </w:r>
            <w:r w:rsidRPr="007C4B26">
              <w:rPr>
                <w:vertAlign w:val="subscript"/>
              </w:rPr>
              <w:t>2.5</w:t>
            </w:r>
          </w:p>
        </w:tc>
        <w:tc>
          <w:tcPr>
            <w:tcW w:w="899"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r w:rsidRPr="007C4B26">
              <w:t>0.3 µg/m</w:t>
            </w:r>
            <w:r w:rsidRPr="007C4B26">
              <w:rPr>
                <w:vertAlign w:val="superscript"/>
              </w:rPr>
              <w:t>3</w:t>
            </w:r>
          </w:p>
        </w:tc>
        <w:tc>
          <w:tcPr>
            <w:tcW w:w="840"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r w:rsidRPr="007C4B26">
              <w:t>1.2 µg/m</w:t>
            </w:r>
            <w:r w:rsidRPr="007C4B26">
              <w:rPr>
                <w:vertAlign w:val="superscript"/>
              </w:rPr>
              <w:t>3</w:t>
            </w:r>
          </w:p>
        </w:tc>
        <w:tc>
          <w:tcPr>
            <w:tcW w:w="615"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c>
          <w:tcPr>
            <w:tcW w:w="954"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c>
          <w:tcPr>
            <w:tcW w:w="841"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r>
      <w:tr w:rsidR="007C4B26" w:rsidRPr="007C4B26" w:rsidTr="005136F5">
        <w:tc>
          <w:tcPr>
            <w:tcW w:w="851"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r w:rsidRPr="007C4B26">
              <w:t>NO</w:t>
            </w:r>
            <w:r w:rsidRPr="007C4B26">
              <w:rPr>
                <w:vertAlign w:val="subscript"/>
              </w:rPr>
              <w:t>2</w:t>
            </w:r>
          </w:p>
        </w:tc>
        <w:tc>
          <w:tcPr>
            <w:tcW w:w="899"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r w:rsidRPr="007C4B26">
              <w:t>1.0 µg/m</w:t>
            </w:r>
            <w:r w:rsidRPr="007C4B26">
              <w:rPr>
                <w:vertAlign w:val="superscript"/>
              </w:rPr>
              <w:t>3</w:t>
            </w:r>
          </w:p>
        </w:tc>
        <w:tc>
          <w:tcPr>
            <w:tcW w:w="840"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c>
          <w:tcPr>
            <w:tcW w:w="615"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c>
          <w:tcPr>
            <w:tcW w:w="954"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c>
          <w:tcPr>
            <w:tcW w:w="841"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r>
      <w:tr w:rsidR="007C4B26" w:rsidRPr="007C4B26" w:rsidTr="005136F5">
        <w:tc>
          <w:tcPr>
            <w:tcW w:w="851"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r w:rsidRPr="007C4B26">
              <w:t>CO</w:t>
            </w:r>
          </w:p>
        </w:tc>
        <w:tc>
          <w:tcPr>
            <w:tcW w:w="899"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tc>
        <w:tc>
          <w:tcPr>
            <w:tcW w:w="840"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c>
          <w:tcPr>
            <w:tcW w:w="615"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r w:rsidRPr="007C4B26">
              <w:t>0.5 mg/m</w:t>
            </w:r>
            <w:r w:rsidRPr="007C4B26">
              <w:rPr>
                <w:vertAlign w:val="superscript"/>
              </w:rPr>
              <w:t>3</w:t>
            </w:r>
          </w:p>
        </w:tc>
        <w:tc>
          <w:tcPr>
            <w:tcW w:w="954"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p>
        </w:tc>
        <w:tc>
          <w:tcPr>
            <w:tcW w:w="841" w:type="pct"/>
            <w:tcBorders>
              <w:top w:val="single" w:sz="4" w:space="0" w:color="000000"/>
              <w:left w:val="single" w:sz="4" w:space="0" w:color="000000"/>
              <w:bottom w:val="single" w:sz="4" w:space="0" w:color="000000"/>
              <w:right w:val="single" w:sz="4" w:space="0" w:color="000000"/>
            </w:tcBorders>
            <w:hideMark/>
          </w:tcPr>
          <w:p w:rsidR="007C4B26" w:rsidRPr="007C4B26" w:rsidRDefault="007C4B26" w:rsidP="005136F5">
            <w:pPr>
              <w:jc w:val="center"/>
            </w:pPr>
            <w:r w:rsidRPr="007C4B26">
              <w:t>2 mg/m</w:t>
            </w:r>
            <w:r w:rsidRPr="007C4B26">
              <w:rPr>
                <w:vertAlign w:val="superscript"/>
              </w:rPr>
              <w:t>3</w:t>
            </w:r>
          </w:p>
        </w:tc>
      </w:tr>
    </w:tbl>
    <w:p w:rsidR="007C4B26" w:rsidRPr="007C4B26" w:rsidRDefault="007C4B26" w:rsidP="007C4B26">
      <w:pPr>
        <w:rPr>
          <w:sz w:val="24"/>
          <w:szCs w:val="24"/>
        </w:rPr>
      </w:pPr>
      <w:r w:rsidRPr="007C4B26">
        <w:rPr>
          <w:sz w:val="24"/>
          <w:szCs w:val="24"/>
        </w:rPr>
        <w:t>(3) Such a program may include a provision which allows a proposed major source or major modification subject to paragraph (b) of this section to reduce the impact of its emissions upon air quality by obtaining sufficient emission reductions to, at a minimum, compensate for its adverse ambient impact where the major source or major modification would otherwise cause or contribute to a violation of any national ambient air quality standard. The plan shall require that, in the absence of such emission reductions, the State or local agency shall deny the proposed construction.</w:t>
      </w:r>
    </w:p>
    <w:p w:rsidR="007C4B26" w:rsidRPr="001110FC" w:rsidRDefault="007C4B26" w:rsidP="007C4B26">
      <w:pPr>
        <w:rPr>
          <w:sz w:val="24"/>
          <w:szCs w:val="24"/>
        </w:rPr>
      </w:pPr>
      <w:r w:rsidRPr="007C4B26">
        <w:rPr>
          <w:sz w:val="24"/>
          <w:szCs w:val="24"/>
        </w:rPr>
        <w:t>(4) The requirements of paragraph (b) of this section shall not apply to a major stationary source or major modification with respect to a particular pollutant if the owner or operator demonstrates that, as to that pollutant, the source or modification is located in an area designated as nonattainment pursuant to section 107 of the Act.</w:t>
      </w:r>
    </w:p>
    <w:p w:rsidR="007C4B26" w:rsidRDefault="007C4B26">
      <w:pPr>
        <w:rPr>
          <w:sz w:val="24"/>
          <w:szCs w:val="24"/>
        </w:rPr>
      </w:pPr>
    </w:p>
    <w:p w:rsidR="00BA6035" w:rsidRDefault="00BA6035">
      <w:pPr>
        <w:rPr>
          <w:sz w:val="24"/>
          <w:szCs w:val="24"/>
        </w:rPr>
      </w:pPr>
    </w:p>
    <w:p w:rsidR="00BA6035" w:rsidRDefault="00BA6035">
      <w:pPr>
        <w:rPr>
          <w:sz w:val="24"/>
          <w:szCs w:val="24"/>
        </w:rPr>
      </w:pPr>
      <w:r w:rsidRPr="00BA6035">
        <w:rPr>
          <w:b/>
          <w:bCs/>
          <w:sz w:val="24"/>
          <w:szCs w:val="24"/>
        </w:rPr>
        <w:t>§ 51.166   Prevention of significant deterioration of air quality</w:t>
      </w:r>
    </w:p>
    <w:p w:rsidR="00BA6035" w:rsidRPr="001110FC" w:rsidRDefault="00BA6035" w:rsidP="00BA6035">
      <w:pPr>
        <w:rPr>
          <w:sz w:val="24"/>
          <w:szCs w:val="24"/>
        </w:rPr>
      </w:pPr>
      <w:r w:rsidRPr="001110FC">
        <w:rPr>
          <w:sz w:val="24"/>
          <w:szCs w:val="24"/>
        </w:rPr>
        <w:t xml:space="preserve">(k) </w:t>
      </w:r>
      <w:r w:rsidRPr="001110FC">
        <w:rPr>
          <w:i/>
          <w:iCs/>
          <w:sz w:val="24"/>
          <w:szCs w:val="24"/>
        </w:rPr>
        <w:t xml:space="preserve">Source impact analysis </w:t>
      </w:r>
      <w:proofErr w:type="gramStart"/>
      <w:r w:rsidRPr="001110FC">
        <w:rPr>
          <w:sz w:val="24"/>
          <w:szCs w:val="24"/>
        </w:rPr>
        <w:t>—(</w:t>
      </w:r>
      <w:proofErr w:type="gramEnd"/>
      <w:r w:rsidRPr="001110FC">
        <w:rPr>
          <w:sz w:val="24"/>
          <w:szCs w:val="24"/>
        </w:rPr>
        <w:t xml:space="preserve">1) </w:t>
      </w:r>
      <w:r w:rsidRPr="001110FC">
        <w:rPr>
          <w:i/>
          <w:iCs/>
          <w:sz w:val="24"/>
          <w:szCs w:val="24"/>
        </w:rPr>
        <w:t xml:space="preserve">Required demonstration. </w:t>
      </w:r>
      <w:r w:rsidRPr="001110FC">
        <w:rPr>
          <w:sz w:val="24"/>
          <w:szCs w:val="24"/>
        </w:rPr>
        <w:t>The plan shall provide that the owner or operator of the proposed source or modification shall demonstrate that allowable emission increases from the proposed source or modification, in conjunction with all other applicable emissions increases or reduction (including secondary emissions), would not cause or contribute to air pollution in violation of:</w:t>
      </w:r>
    </w:p>
    <w:p w:rsidR="00BA6035" w:rsidRPr="001110FC" w:rsidRDefault="00BA6035" w:rsidP="00BA6035">
      <w:pPr>
        <w:rPr>
          <w:sz w:val="24"/>
          <w:szCs w:val="24"/>
        </w:rPr>
      </w:pPr>
      <w:r w:rsidRPr="001110FC">
        <w:rPr>
          <w:sz w:val="24"/>
          <w:szCs w:val="24"/>
        </w:rPr>
        <w:t>(</w:t>
      </w:r>
      <w:proofErr w:type="spellStart"/>
      <w:r w:rsidRPr="001110FC">
        <w:rPr>
          <w:sz w:val="24"/>
          <w:szCs w:val="24"/>
        </w:rPr>
        <w:t>i</w:t>
      </w:r>
      <w:proofErr w:type="spellEnd"/>
      <w:r w:rsidRPr="001110FC">
        <w:rPr>
          <w:sz w:val="24"/>
          <w:szCs w:val="24"/>
        </w:rPr>
        <w:t>) Any national ambient air quality standard in any air quality control region; or</w:t>
      </w:r>
    </w:p>
    <w:p w:rsidR="00BA6035" w:rsidRPr="001110FC" w:rsidRDefault="00BA6035" w:rsidP="00BA6035">
      <w:pPr>
        <w:rPr>
          <w:sz w:val="24"/>
          <w:szCs w:val="24"/>
        </w:rPr>
      </w:pPr>
      <w:r w:rsidRPr="001110FC">
        <w:rPr>
          <w:sz w:val="24"/>
          <w:szCs w:val="24"/>
        </w:rPr>
        <w:t>(ii) Any applicable maximum allowable increase over the baseline concentration in any area.</w:t>
      </w:r>
    </w:p>
    <w:p w:rsidR="00BA6035" w:rsidRPr="001110FC" w:rsidRDefault="00BA6035" w:rsidP="00BA6035">
      <w:pPr>
        <w:rPr>
          <w:sz w:val="24"/>
          <w:szCs w:val="24"/>
        </w:rPr>
      </w:pPr>
      <w:r w:rsidRPr="001110FC">
        <w:rPr>
          <w:sz w:val="24"/>
          <w:szCs w:val="24"/>
        </w:rPr>
        <w:t xml:space="preserve">(2) </w:t>
      </w:r>
      <w:r w:rsidRPr="001110FC">
        <w:rPr>
          <w:i/>
          <w:iCs/>
          <w:sz w:val="24"/>
          <w:szCs w:val="24"/>
        </w:rPr>
        <w:t xml:space="preserve">Significant impact levels. </w:t>
      </w:r>
      <w:r w:rsidRPr="001110FC">
        <w:rPr>
          <w:sz w:val="24"/>
          <w:szCs w:val="24"/>
        </w:rPr>
        <w:t>The plan may provide that, for purposes of PM</w:t>
      </w:r>
      <w:r w:rsidRPr="001110FC">
        <w:rPr>
          <w:sz w:val="24"/>
          <w:szCs w:val="24"/>
          <w:vertAlign w:val="subscript"/>
        </w:rPr>
        <w:t>2.5</w:t>
      </w:r>
      <w:r w:rsidRPr="001110FC">
        <w:rPr>
          <w:sz w:val="24"/>
          <w:szCs w:val="24"/>
        </w:rPr>
        <w:t>, the demonstration required in paragraph (k)(1) of this section is deemed to have been made if the emissions increase from the new stationary source alone or from the modification alone would cause, in all areas, air quality impacts less than the following amounts:</w:t>
      </w:r>
    </w:p>
    <w:tbl>
      <w:tblPr>
        <w:tblW w:w="3456"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tblPr>
      <w:tblGrid>
        <w:gridCol w:w="1103"/>
        <w:gridCol w:w="1480"/>
        <w:gridCol w:w="1327"/>
        <w:gridCol w:w="1171"/>
        <w:gridCol w:w="1405"/>
      </w:tblGrid>
      <w:tr w:rsidR="00BA6035" w:rsidRPr="001735AD" w:rsidTr="005136F5">
        <w:tc>
          <w:tcPr>
            <w:tcW w:w="850" w:type="pct"/>
            <w:tcBorders>
              <w:top w:val="single" w:sz="4" w:space="0" w:color="000000"/>
              <w:left w:val="single" w:sz="4" w:space="0" w:color="000000"/>
              <w:bottom w:val="single" w:sz="4" w:space="0" w:color="000000"/>
              <w:right w:val="single" w:sz="4" w:space="0" w:color="000000"/>
            </w:tcBorders>
            <w:vAlign w:val="bottom"/>
            <w:hideMark/>
          </w:tcPr>
          <w:p w:rsidR="00BA6035" w:rsidRPr="001735AD" w:rsidRDefault="00BA6035" w:rsidP="005136F5">
            <w:pPr>
              <w:rPr>
                <w:b/>
                <w:bCs/>
              </w:rPr>
            </w:pPr>
            <w:r w:rsidRPr="001735AD">
              <w:rPr>
                <w:b/>
                <w:bCs/>
              </w:rPr>
              <w:t>Pollutant</w:t>
            </w:r>
          </w:p>
        </w:tc>
        <w:tc>
          <w:tcPr>
            <w:tcW w:w="1141" w:type="pct"/>
            <w:tcBorders>
              <w:top w:val="single" w:sz="4" w:space="0" w:color="000000"/>
              <w:left w:val="single" w:sz="4" w:space="0" w:color="000000"/>
              <w:bottom w:val="single" w:sz="4" w:space="0" w:color="000000"/>
              <w:right w:val="single" w:sz="4" w:space="0" w:color="000000"/>
            </w:tcBorders>
            <w:vAlign w:val="bottom"/>
            <w:hideMark/>
          </w:tcPr>
          <w:p w:rsidR="00BA6035" w:rsidRPr="001735AD" w:rsidRDefault="00BA6035" w:rsidP="005136F5">
            <w:pPr>
              <w:rPr>
                <w:b/>
                <w:bCs/>
              </w:rPr>
            </w:pPr>
            <w:r w:rsidRPr="001735AD">
              <w:rPr>
                <w:b/>
                <w:bCs/>
              </w:rPr>
              <w:t>Averaging time</w:t>
            </w:r>
          </w:p>
        </w:tc>
        <w:tc>
          <w:tcPr>
            <w:tcW w:w="1023" w:type="pct"/>
            <w:tcBorders>
              <w:top w:val="single" w:sz="4" w:space="0" w:color="000000"/>
              <w:left w:val="single" w:sz="4" w:space="0" w:color="000000"/>
              <w:bottom w:val="single" w:sz="4" w:space="0" w:color="000000"/>
              <w:right w:val="single" w:sz="4" w:space="0" w:color="000000"/>
            </w:tcBorders>
            <w:vAlign w:val="bottom"/>
            <w:hideMark/>
          </w:tcPr>
          <w:p w:rsidR="00BA6035" w:rsidRPr="001735AD" w:rsidRDefault="00BA6035" w:rsidP="005136F5">
            <w:pPr>
              <w:rPr>
                <w:b/>
                <w:bCs/>
              </w:rPr>
            </w:pPr>
            <w:r w:rsidRPr="001735AD">
              <w:rPr>
                <w:b/>
                <w:bCs/>
              </w:rPr>
              <w:t>Class I</w:t>
            </w:r>
            <w:r w:rsidRPr="001735AD">
              <w:rPr>
                <w:b/>
                <w:bCs/>
              </w:rPr>
              <w:br/>
              <w:t>area</w:t>
            </w:r>
          </w:p>
        </w:tc>
        <w:tc>
          <w:tcPr>
            <w:tcW w:w="903" w:type="pct"/>
            <w:tcBorders>
              <w:top w:val="single" w:sz="4" w:space="0" w:color="000000"/>
              <w:left w:val="single" w:sz="4" w:space="0" w:color="000000"/>
              <w:bottom w:val="single" w:sz="4" w:space="0" w:color="000000"/>
              <w:right w:val="single" w:sz="4" w:space="0" w:color="000000"/>
            </w:tcBorders>
            <w:vAlign w:val="bottom"/>
            <w:hideMark/>
          </w:tcPr>
          <w:p w:rsidR="00BA6035" w:rsidRPr="001735AD" w:rsidRDefault="00BA6035" w:rsidP="005136F5">
            <w:pPr>
              <w:rPr>
                <w:b/>
                <w:bCs/>
              </w:rPr>
            </w:pPr>
            <w:r w:rsidRPr="001735AD">
              <w:rPr>
                <w:b/>
                <w:bCs/>
              </w:rPr>
              <w:t>Class II</w:t>
            </w:r>
            <w:r w:rsidRPr="001735AD">
              <w:rPr>
                <w:b/>
                <w:bCs/>
              </w:rPr>
              <w:br/>
              <w:t>area</w:t>
            </w:r>
          </w:p>
        </w:tc>
        <w:tc>
          <w:tcPr>
            <w:tcW w:w="1083" w:type="pct"/>
            <w:tcBorders>
              <w:top w:val="single" w:sz="4" w:space="0" w:color="000000"/>
              <w:left w:val="single" w:sz="4" w:space="0" w:color="000000"/>
              <w:bottom w:val="single" w:sz="4" w:space="0" w:color="000000"/>
              <w:right w:val="single" w:sz="4" w:space="0" w:color="000000"/>
            </w:tcBorders>
            <w:vAlign w:val="bottom"/>
            <w:hideMark/>
          </w:tcPr>
          <w:p w:rsidR="00BA6035" w:rsidRPr="001735AD" w:rsidRDefault="00BA6035" w:rsidP="005136F5">
            <w:pPr>
              <w:rPr>
                <w:b/>
                <w:bCs/>
              </w:rPr>
            </w:pPr>
            <w:r w:rsidRPr="001735AD">
              <w:rPr>
                <w:b/>
                <w:bCs/>
              </w:rPr>
              <w:t>Class III</w:t>
            </w:r>
            <w:r w:rsidRPr="001735AD">
              <w:rPr>
                <w:b/>
                <w:bCs/>
              </w:rPr>
              <w:br/>
              <w:t>area</w:t>
            </w:r>
          </w:p>
        </w:tc>
      </w:tr>
      <w:tr w:rsidR="00BA6035" w:rsidRPr="001735AD" w:rsidTr="005136F5">
        <w:tc>
          <w:tcPr>
            <w:tcW w:w="850" w:type="pct"/>
            <w:tcBorders>
              <w:top w:val="single" w:sz="4" w:space="0" w:color="000000"/>
              <w:left w:val="single" w:sz="4" w:space="0" w:color="000000"/>
              <w:bottom w:val="single" w:sz="4" w:space="0" w:color="000000"/>
              <w:right w:val="single" w:sz="4" w:space="0" w:color="000000"/>
            </w:tcBorders>
            <w:hideMark/>
          </w:tcPr>
          <w:p w:rsidR="00BA6035" w:rsidRPr="001735AD" w:rsidRDefault="00BA6035" w:rsidP="005136F5">
            <w:r w:rsidRPr="001735AD">
              <w:t>PM</w:t>
            </w:r>
            <w:r w:rsidRPr="001735AD">
              <w:rPr>
                <w:vertAlign w:val="subscript"/>
              </w:rPr>
              <w:t>2.5</w:t>
            </w:r>
          </w:p>
        </w:tc>
        <w:tc>
          <w:tcPr>
            <w:tcW w:w="1141" w:type="pct"/>
            <w:tcBorders>
              <w:top w:val="single" w:sz="4" w:space="0" w:color="000000"/>
              <w:left w:val="single" w:sz="4" w:space="0" w:color="000000"/>
              <w:bottom w:val="single" w:sz="4" w:space="0" w:color="000000"/>
              <w:right w:val="single" w:sz="4" w:space="0" w:color="000000"/>
            </w:tcBorders>
            <w:hideMark/>
          </w:tcPr>
          <w:p w:rsidR="00BA6035" w:rsidRPr="001735AD" w:rsidRDefault="00BA6035" w:rsidP="005136F5">
            <w:r w:rsidRPr="001735AD">
              <w:t>Annual</w:t>
            </w:r>
          </w:p>
        </w:tc>
        <w:tc>
          <w:tcPr>
            <w:tcW w:w="1023" w:type="pct"/>
            <w:tcBorders>
              <w:top w:val="single" w:sz="4" w:space="0" w:color="000000"/>
              <w:left w:val="single" w:sz="4" w:space="0" w:color="000000"/>
              <w:bottom w:val="single" w:sz="4" w:space="0" w:color="000000"/>
              <w:right w:val="single" w:sz="4" w:space="0" w:color="000000"/>
            </w:tcBorders>
            <w:hideMark/>
          </w:tcPr>
          <w:p w:rsidR="00BA6035" w:rsidRPr="001735AD" w:rsidRDefault="00BA6035" w:rsidP="005136F5">
            <w:r w:rsidRPr="001735AD">
              <w:t>0.06 µg/m</w:t>
            </w:r>
            <w:r w:rsidRPr="001735AD">
              <w:rPr>
                <w:vertAlign w:val="superscript"/>
              </w:rPr>
              <w:t>3</w:t>
            </w:r>
          </w:p>
        </w:tc>
        <w:tc>
          <w:tcPr>
            <w:tcW w:w="903" w:type="pct"/>
            <w:tcBorders>
              <w:top w:val="single" w:sz="4" w:space="0" w:color="000000"/>
              <w:left w:val="single" w:sz="4" w:space="0" w:color="000000"/>
              <w:bottom w:val="single" w:sz="4" w:space="0" w:color="000000"/>
              <w:right w:val="single" w:sz="4" w:space="0" w:color="000000"/>
            </w:tcBorders>
            <w:hideMark/>
          </w:tcPr>
          <w:p w:rsidR="00BA6035" w:rsidRPr="001735AD" w:rsidRDefault="00BA6035" w:rsidP="005136F5">
            <w:r w:rsidRPr="001735AD">
              <w:t>0.3 µg/m</w:t>
            </w:r>
            <w:r w:rsidRPr="001735AD">
              <w:rPr>
                <w:vertAlign w:val="superscript"/>
              </w:rPr>
              <w:t>3</w:t>
            </w:r>
          </w:p>
        </w:tc>
        <w:tc>
          <w:tcPr>
            <w:tcW w:w="1083" w:type="pct"/>
            <w:tcBorders>
              <w:top w:val="single" w:sz="4" w:space="0" w:color="000000"/>
              <w:left w:val="single" w:sz="4" w:space="0" w:color="000000"/>
              <w:bottom w:val="single" w:sz="4" w:space="0" w:color="000000"/>
              <w:right w:val="single" w:sz="4" w:space="0" w:color="000000"/>
            </w:tcBorders>
            <w:hideMark/>
          </w:tcPr>
          <w:p w:rsidR="00BA6035" w:rsidRPr="001735AD" w:rsidRDefault="00BA6035" w:rsidP="005136F5">
            <w:r w:rsidRPr="001735AD">
              <w:t>0.3 µg/m</w:t>
            </w:r>
            <w:r w:rsidRPr="001735AD">
              <w:rPr>
                <w:vertAlign w:val="superscript"/>
              </w:rPr>
              <w:t>3</w:t>
            </w:r>
          </w:p>
        </w:tc>
      </w:tr>
      <w:tr w:rsidR="00BA6035" w:rsidRPr="001735AD" w:rsidTr="005136F5">
        <w:tc>
          <w:tcPr>
            <w:tcW w:w="850" w:type="pct"/>
            <w:tcBorders>
              <w:top w:val="single" w:sz="4" w:space="0" w:color="000000"/>
              <w:left w:val="single" w:sz="4" w:space="0" w:color="000000"/>
              <w:bottom w:val="single" w:sz="4" w:space="0" w:color="000000"/>
              <w:right w:val="single" w:sz="4" w:space="0" w:color="000000"/>
            </w:tcBorders>
            <w:hideMark/>
          </w:tcPr>
          <w:p w:rsidR="00BA6035" w:rsidRPr="001735AD" w:rsidRDefault="00BA6035" w:rsidP="005136F5">
            <w:r w:rsidRPr="001735AD">
              <w:t>  </w:t>
            </w:r>
          </w:p>
        </w:tc>
        <w:tc>
          <w:tcPr>
            <w:tcW w:w="1141" w:type="pct"/>
            <w:tcBorders>
              <w:top w:val="single" w:sz="4" w:space="0" w:color="000000"/>
              <w:left w:val="single" w:sz="4" w:space="0" w:color="000000"/>
              <w:bottom w:val="single" w:sz="4" w:space="0" w:color="000000"/>
              <w:right w:val="single" w:sz="4" w:space="0" w:color="000000"/>
            </w:tcBorders>
            <w:hideMark/>
          </w:tcPr>
          <w:p w:rsidR="00BA6035" w:rsidRPr="001735AD" w:rsidRDefault="00BA6035" w:rsidP="005136F5">
            <w:r w:rsidRPr="001735AD">
              <w:t>24-hour</w:t>
            </w:r>
          </w:p>
        </w:tc>
        <w:tc>
          <w:tcPr>
            <w:tcW w:w="1023" w:type="pct"/>
            <w:tcBorders>
              <w:top w:val="single" w:sz="4" w:space="0" w:color="000000"/>
              <w:left w:val="single" w:sz="4" w:space="0" w:color="000000"/>
              <w:bottom w:val="single" w:sz="4" w:space="0" w:color="000000"/>
              <w:right w:val="single" w:sz="4" w:space="0" w:color="000000"/>
            </w:tcBorders>
            <w:hideMark/>
          </w:tcPr>
          <w:p w:rsidR="00BA6035" w:rsidRPr="001735AD" w:rsidRDefault="00BA6035" w:rsidP="005136F5">
            <w:r w:rsidRPr="001735AD">
              <w:t>0.07 µg/m</w:t>
            </w:r>
            <w:r w:rsidRPr="001735AD">
              <w:rPr>
                <w:vertAlign w:val="superscript"/>
              </w:rPr>
              <w:t>3</w:t>
            </w:r>
          </w:p>
        </w:tc>
        <w:tc>
          <w:tcPr>
            <w:tcW w:w="903" w:type="pct"/>
            <w:tcBorders>
              <w:top w:val="single" w:sz="4" w:space="0" w:color="000000"/>
              <w:left w:val="single" w:sz="4" w:space="0" w:color="000000"/>
              <w:bottom w:val="single" w:sz="4" w:space="0" w:color="000000"/>
              <w:right w:val="single" w:sz="4" w:space="0" w:color="000000"/>
            </w:tcBorders>
            <w:hideMark/>
          </w:tcPr>
          <w:p w:rsidR="00BA6035" w:rsidRPr="001735AD" w:rsidRDefault="00BA6035" w:rsidP="005136F5">
            <w:r w:rsidRPr="001735AD">
              <w:t>1.2 µg/m</w:t>
            </w:r>
            <w:r w:rsidRPr="001735AD">
              <w:rPr>
                <w:vertAlign w:val="superscript"/>
              </w:rPr>
              <w:t>3</w:t>
            </w:r>
          </w:p>
        </w:tc>
        <w:tc>
          <w:tcPr>
            <w:tcW w:w="1083" w:type="pct"/>
            <w:tcBorders>
              <w:top w:val="single" w:sz="4" w:space="0" w:color="000000"/>
              <w:left w:val="single" w:sz="4" w:space="0" w:color="000000"/>
              <w:bottom w:val="single" w:sz="4" w:space="0" w:color="000000"/>
              <w:right w:val="single" w:sz="4" w:space="0" w:color="000000"/>
            </w:tcBorders>
            <w:hideMark/>
          </w:tcPr>
          <w:p w:rsidR="00BA6035" w:rsidRPr="001735AD" w:rsidRDefault="00BA6035" w:rsidP="005136F5">
            <w:r w:rsidRPr="001735AD">
              <w:t>1.2 µg/m</w:t>
            </w:r>
            <w:r w:rsidRPr="001735AD">
              <w:rPr>
                <w:vertAlign w:val="superscript"/>
              </w:rPr>
              <w:t>3</w:t>
            </w:r>
          </w:p>
        </w:tc>
      </w:tr>
    </w:tbl>
    <w:p w:rsidR="00BA6035" w:rsidRPr="001110FC" w:rsidRDefault="00BA6035" w:rsidP="00BA6035">
      <w:pPr>
        <w:rPr>
          <w:sz w:val="24"/>
          <w:szCs w:val="24"/>
        </w:rPr>
      </w:pPr>
      <w:r w:rsidRPr="001110FC">
        <w:rPr>
          <w:sz w:val="24"/>
          <w:szCs w:val="24"/>
        </w:rPr>
        <w:t xml:space="preserve">(l) </w:t>
      </w:r>
      <w:r w:rsidRPr="001110FC">
        <w:rPr>
          <w:i/>
          <w:iCs/>
          <w:sz w:val="24"/>
          <w:szCs w:val="24"/>
        </w:rPr>
        <w:t xml:space="preserve">Air quality models. </w:t>
      </w:r>
      <w:r w:rsidRPr="001110FC">
        <w:rPr>
          <w:sz w:val="24"/>
          <w:szCs w:val="24"/>
        </w:rPr>
        <w:t>The plan shall provide for procedures which specify that—</w:t>
      </w:r>
    </w:p>
    <w:p w:rsidR="00BA6035" w:rsidRPr="001110FC" w:rsidRDefault="00BA6035" w:rsidP="00BA6035">
      <w:pPr>
        <w:rPr>
          <w:sz w:val="24"/>
          <w:szCs w:val="24"/>
        </w:rPr>
      </w:pPr>
      <w:r w:rsidRPr="001110FC">
        <w:rPr>
          <w:sz w:val="24"/>
          <w:szCs w:val="24"/>
        </w:rPr>
        <w:t>(1) All applications of air quality modeling involved in this subpart shall be based on the applicable models, data bases, and other requirements specified in appendix W of this part (Guideline on Air Quality Models).</w:t>
      </w:r>
    </w:p>
    <w:p w:rsidR="00BA6035" w:rsidRPr="001110FC" w:rsidRDefault="00BA6035" w:rsidP="00BA6035">
      <w:pPr>
        <w:rPr>
          <w:sz w:val="24"/>
          <w:szCs w:val="24"/>
        </w:rPr>
      </w:pPr>
      <w:r w:rsidRPr="001110FC">
        <w:rPr>
          <w:sz w:val="24"/>
          <w:szCs w:val="24"/>
        </w:rPr>
        <w:t>(2) Where an air quality model specified in appendix W of this part (Guideline on Air Quality Models) is inappropriate, the model may be modified or another model substituted. Such a modification or substitution of a model may be made on a case-by-case basis or, where appropriate, on a generic basis for a specific State program. Written approval of the Administrator must be obtained for any modification or substitution. In addition, use of a modified or substituted model must be subject to notice and opportunity for public comment under procedures set forth in §51.102.</w:t>
      </w:r>
    </w:p>
    <w:p w:rsidR="00BA6035" w:rsidRPr="001110FC" w:rsidRDefault="00BA6035" w:rsidP="00BA6035">
      <w:pPr>
        <w:rPr>
          <w:sz w:val="24"/>
          <w:szCs w:val="24"/>
        </w:rPr>
      </w:pPr>
      <w:r w:rsidRPr="001110FC">
        <w:rPr>
          <w:sz w:val="24"/>
          <w:szCs w:val="24"/>
        </w:rPr>
        <w:t xml:space="preserve">(m) </w:t>
      </w:r>
      <w:r w:rsidRPr="001110FC">
        <w:rPr>
          <w:i/>
          <w:iCs/>
          <w:sz w:val="24"/>
          <w:szCs w:val="24"/>
        </w:rPr>
        <w:t xml:space="preserve">Air quality analysis </w:t>
      </w:r>
      <w:proofErr w:type="gramStart"/>
      <w:r w:rsidRPr="001110FC">
        <w:rPr>
          <w:sz w:val="24"/>
          <w:szCs w:val="24"/>
        </w:rPr>
        <w:t>—(</w:t>
      </w:r>
      <w:proofErr w:type="gramEnd"/>
      <w:r w:rsidRPr="001110FC">
        <w:rPr>
          <w:sz w:val="24"/>
          <w:szCs w:val="24"/>
        </w:rPr>
        <w:t xml:space="preserve">1) </w:t>
      </w:r>
      <w:proofErr w:type="spellStart"/>
      <w:r w:rsidRPr="001110FC">
        <w:rPr>
          <w:i/>
          <w:iCs/>
          <w:sz w:val="24"/>
          <w:szCs w:val="24"/>
        </w:rPr>
        <w:t>Preapplication</w:t>
      </w:r>
      <w:proofErr w:type="spellEnd"/>
      <w:r w:rsidRPr="001110FC">
        <w:rPr>
          <w:i/>
          <w:iCs/>
          <w:sz w:val="24"/>
          <w:szCs w:val="24"/>
        </w:rPr>
        <w:t xml:space="preserve"> analysis. </w:t>
      </w:r>
      <w:r w:rsidRPr="001110FC">
        <w:rPr>
          <w:sz w:val="24"/>
          <w:szCs w:val="24"/>
        </w:rPr>
        <w:t>(</w:t>
      </w:r>
      <w:proofErr w:type="spellStart"/>
      <w:r w:rsidRPr="001110FC">
        <w:rPr>
          <w:sz w:val="24"/>
          <w:szCs w:val="24"/>
        </w:rPr>
        <w:t>i</w:t>
      </w:r>
      <w:proofErr w:type="spellEnd"/>
      <w:r w:rsidRPr="001110FC">
        <w:rPr>
          <w:sz w:val="24"/>
          <w:szCs w:val="24"/>
        </w:rPr>
        <w:t>) The plan shall provide that any application for a permit under regulations approved pursuant to this section shall contain an analysis of ambient air quality in the area that the major stationary source or major modification would affect for each of the following pollutants:</w:t>
      </w:r>
    </w:p>
    <w:p w:rsidR="00BA6035" w:rsidRPr="001110FC" w:rsidRDefault="00BA6035" w:rsidP="00BA6035">
      <w:pPr>
        <w:rPr>
          <w:sz w:val="24"/>
          <w:szCs w:val="24"/>
        </w:rPr>
      </w:pPr>
      <w:proofErr w:type="gramStart"/>
      <w:r w:rsidRPr="001110FC">
        <w:rPr>
          <w:sz w:val="24"/>
          <w:szCs w:val="24"/>
        </w:rPr>
        <w:t xml:space="preserve">( </w:t>
      </w:r>
      <w:r w:rsidRPr="001110FC">
        <w:rPr>
          <w:i/>
          <w:iCs/>
          <w:sz w:val="24"/>
          <w:szCs w:val="24"/>
        </w:rPr>
        <w:t>a</w:t>
      </w:r>
      <w:proofErr w:type="gramEnd"/>
      <w:r w:rsidRPr="001110FC">
        <w:rPr>
          <w:i/>
          <w:iCs/>
          <w:sz w:val="24"/>
          <w:szCs w:val="24"/>
        </w:rPr>
        <w:t xml:space="preserve"> </w:t>
      </w:r>
      <w:r w:rsidRPr="001110FC">
        <w:rPr>
          <w:sz w:val="24"/>
          <w:szCs w:val="24"/>
        </w:rPr>
        <w:t>) For the source, each pollutant that it would have the potential to emit in a significant amount;</w:t>
      </w:r>
    </w:p>
    <w:p w:rsidR="00BA6035" w:rsidRPr="001110FC" w:rsidRDefault="00BA6035" w:rsidP="00BA6035">
      <w:pPr>
        <w:rPr>
          <w:sz w:val="24"/>
          <w:szCs w:val="24"/>
        </w:rPr>
      </w:pPr>
      <w:proofErr w:type="gramStart"/>
      <w:r w:rsidRPr="001110FC">
        <w:rPr>
          <w:sz w:val="24"/>
          <w:szCs w:val="24"/>
        </w:rPr>
        <w:t xml:space="preserve">( </w:t>
      </w:r>
      <w:r w:rsidRPr="001110FC">
        <w:rPr>
          <w:i/>
          <w:iCs/>
          <w:sz w:val="24"/>
          <w:szCs w:val="24"/>
        </w:rPr>
        <w:t>b</w:t>
      </w:r>
      <w:proofErr w:type="gramEnd"/>
      <w:r w:rsidRPr="001110FC">
        <w:rPr>
          <w:i/>
          <w:iCs/>
          <w:sz w:val="24"/>
          <w:szCs w:val="24"/>
        </w:rPr>
        <w:t xml:space="preserve"> </w:t>
      </w:r>
      <w:r w:rsidRPr="001110FC">
        <w:rPr>
          <w:sz w:val="24"/>
          <w:szCs w:val="24"/>
        </w:rPr>
        <w:t>) For the modification, each pollutant for which it would result in a significant net emissions increase.</w:t>
      </w:r>
    </w:p>
    <w:p w:rsidR="00BA6035" w:rsidRPr="001110FC" w:rsidRDefault="00BA6035" w:rsidP="00BA6035">
      <w:pPr>
        <w:rPr>
          <w:sz w:val="24"/>
          <w:szCs w:val="24"/>
        </w:rPr>
      </w:pPr>
      <w:r w:rsidRPr="001110FC">
        <w:rPr>
          <w:sz w:val="24"/>
          <w:szCs w:val="24"/>
        </w:rPr>
        <w:t>(ii) The plan shall provide that, with respect to any such pollutant for which no National Ambient Air Quality Standard exists, the analysis shall contain such air quality monitoring data as the reviewing authority determines is necessary to assess ambient air quality for that pollutant in any area that the emissions of that pollutant would affect.</w:t>
      </w:r>
    </w:p>
    <w:p w:rsidR="00BA6035" w:rsidRPr="001110FC" w:rsidRDefault="00BA6035" w:rsidP="00BA6035">
      <w:pPr>
        <w:rPr>
          <w:sz w:val="24"/>
          <w:szCs w:val="24"/>
        </w:rPr>
      </w:pPr>
      <w:r w:rsidRPr="001110FC">
        <w:rPr>
          <w:sz w:val="24"/>
          <w:szCs w:val="24"/>
        </w:rPr>
        <w:t xml:space="preserve">(iii) The plan shall provide that with respect to any such pollutant (other than nonmethane hydrocarbons) for which such a standard does exist, the analysis shall contain continuous air quality monitoring data gathered for purposes of determining whether emissions of that pollutant would cause or contribute to a violation of the standard or any </w:t>
      </w:r>
      <w:proofErr w:type="spellStart"/>
      <w:r w:rsidRPr="001110FC">
        <w:rPr>
          <w:sz w:val="24"/>
          <w:szCs w:val="24"/>
        </w:rPr>
        <w:t>maxiumum</w:t>
      </w:r>
      <w:proofErr w:type="spellEnd"/>
      <w:r w:rsidRPr="001110FC">
        <w:rPr>
          <w:sz w:val="24"/>
          <w:szCs w:val="24"/>
        </w:rPr>
        <w:t xml:space="preserve"> allowable increase.</w:t>
      </w:r>
    </w:p>
    <w:p w:rsidR="00BA6035" w:rsidRPr="001110FC" w:rsidRDefault="00BA6035" w:rsidP="00BA6035">
      <w:pPr>
        <w:rPr>
          <w:sz w:val="24"/>
          <w:szCs w:val="24"/>
        </w:rPr>
      </w:pPr>
      <w:r w:rsidRPr="001110FC">
        <w:rPr>
          <w:sz w:val="24"/>
          <w:szCs w:val="24"/>
        </w:rPr>
        <w:t>(iv) The plan shall provide that, in general, the continuous air monitoring data that is required shall have been gathered over a period of one year and shall represent the year preceding receipt of the application, except that, if the reviewing authority determines that a complete and adequate analysis can be accomplished with monitoring data gathered over a period shorter than one year (but not to be less than four months), the data that is required shall have been gathered over at least that shorter period.</w:t>
      </w:r>
    </w:p>
    <w:p w:rsidR="00BA6035" w:rsidRPr="001110FC" w:rsidRDefault="00BA6035" w:rsidP="00BA6035">
      <w:pPr>
        <w:rPr>
          <w:sz w:val="24"/>
          <w:szCs w:val="24"/>
        </w:rPr>
      </w:pPr>
      <w:r w:rsidRPr="001110FC">
        <w:rPr>
          <w:sz w:val="24"/>
          <w:szCs w:val="24"/>
        </w:rPr>
        <w:t xml:space="preserve">(v) The plan may provide that the owner or operator of a proposed major stationary source or major modification of volatile organic compounds who satisfies all conditions of 40 CFR part 51 appendix S, section IV may provide </w:t>
      </w:r>
      <w:proofErr w:type="spellStart"/>
      <w:r w:rsidRPr="001110FC">
        <w:rPr>
          <w:sz w:val="24"/>
          <w:szCs w:val="24"/>
        </w:rPr>
        <w:t>postapproval</w:t>
      </w:r>
      <w:proofErr w:type="spellEnd"/>
      <w:r w:rsidRPr="001110FC">
        <w:rPr>
          <w:sz w:val="24"/>
          <w:szCs w:val="24"/>
        </w:rPr>
        <w:t xml:space="preserve"> monitoring data for ozone in lieu of providing preconstruction data as required under paragraph (m)(1) of this section.</w:t>
      </w:r>
    </w:p>
    <w:p w:rsidR="00BA6035" w:rsidRPr="001110FC" w:rsidRDefault="00BA6035" w:rsidP="00BA6035">
      <w:pPr>
        <w:rPr>
          <w:sz w:val="24"/>
          <w:szCs w:val="24"/>
        </w:rPr>
      </w:pPr>
      <w:r w:rsidRPr="001110FC">
        <w:rPr>
          <w:sz w:val="24"/>
          <w:szCs w:val="24"/>
        </w:rPr>
        <w:t xml:space="preserve">(2) </w:t>
      </w:r>
      <w:r w:rsidRPr="001110FC">
        <w:rPr>
          <w:i/>
          <w:iCs/>
          <w:sz w:val="24"/>
          <w:szCs w:val="24"/>
        </w:rPr>
        <w:t xml:space="preserve">Post-construction monitoring. </w:t>
      </w:r>
      <w:r w:rsidRPr="001110FC">
        <w:rPr>
          <w:sz w:val="24"/>
          <w:szCs w:val="24"/>
        </w:rPr>
        <w:t>The plan shall provide that the owner or operator of a major stationary source or major modification shall, after construction of the stationary source or modification, conduct such ambient monitoring as the reviewing authority determines is necessary to determine the effect emissions from the stationary source or modification may have, or are having, on air quality in any area.</w:t>
      </w:r>
    </w:p>
    <w:p w:rsidR="00BA6035" w:rsidRPr="001110FC" w:rsidRDefault="00BA6035" w:rsidP="00BA6035">
      <w:pPr>
        <w:rPr>
          <w:sz w:val="24"/>
          <w:szCs w:val="24"/>
        </w:rPr>
      </w:pPr>
      <w:r w:rsidRPr="001110FC">
        <w:rPr>
          <w:sz w:val="24"/>
          <w:szCs w:val="24"/>
        </w:rPr>
        <w:t xml:space="preserve">(3) </w:t>
      </w:r>
      <w:r w:rsidRPr="001110FC">
        <w:rPr>
          <w:i/>
          <w:iCs/>
          <w:sz w:val="24"/>
          <w:szCs w:val="24"/>
        </w:rPr>
        <w:t xml:space="preserve">Operation of monitoring stations. </w:t>
      </w:r>
      <w:r w:rsidRPr="001110FC">
        <w:rPr>
          <w:sz w:val="24"/>
          <w:szCs w:val="24"/>
        </w:rPr>
        <w:t>The plan shall provide that the owner or operator of a major stationary source or major modification shall meet the requirements of appendix B to part 58 of this chapter during the operation of monitoring stations for purposes of satisfying paragraph (m) of this section.</w:t>
      </w:r>
    </w:p>
    <w:p w:rsidR="00BA6035" w:rsidRPr="001110FC" w:rsidRDefault="00BA6035" w:rsidP="00BA6035">
      <w:pPr>
        <w:rPr>
          <w:sz w:val="24"/>
          <w:szCs w:val="24"/>
        </w:rPr>
      </w:pPr>
      <w:r w:rsidRPr="001110FC">
        <w:rPr>
          <w:sz w:val="24"/>
          <w:szCs w:val="24"/>
        </w:rPr>
        <w:t xml:space="preserve">(n) </w:t>
      </w:r>
      <w:r w:rsidRPr="001110FC">
        <w:rPr>
          <w:i/>
          <w:iCs/>
          <w:sz w:val="24"/>
          <w:szCs w:val="24"/>
        </w:rPr>
        <w:t xml:space="preserve">Source information. </w:t>
      </w:r>
      <w:r w:rsidRPr="001110FC">
        <w:rPr>
          <w:sz w:val="24"/>
          <w:szCs w:val="24"/>
        </w:rPr>
        <w:t>(1) The plan shall provide that the owner or operator of a proposed source or modification shall submit all information necessary to perform any analysis or make any determination required under procedures established in accordance with this section.</w:t>
      </w:r>
    </w:p>
    <w:p w:rsidR="00BA6035" w:rsidRPr="001110FC" w:rsidRDefault="00BA6035" w:rsidP="00BA6035">
      <w:pPr>
        <w:rPr>
          <w:sz w:val="24"/>
          <w:szCs w:val="24"/>
        </w:rPr>
      </w:pPr>
      <w:r w:rsidRPr="001110FC">
        <w:rPr>
          <w:sz w:val="24"/>
          <w:szCs w:val="24"/>
        </w:rPr>
        <w:t>(2) The plan may provide that such information shall include:</w:t>
      </w:r>
    </w:p>
    <w:p w:rsidR="00BA6035" w:rsidRPr="001110FC" w:rsidRDefault="00BA6035" w:rsidP="00BA6035">
      <w:pPr>
        <w:rPr>
          <w:sz w:val="24"/>
          <w:szCs w:val="24"/>
        </w:rPr>
      </w:pPr>
      <w:r w:rsidRPr="001110FC">
        <w:rPr>
          <w:sz w:val="24"/>
          <w:szCs w:val="24"/>
        </w:rPr>
        <w:t>(</w:t>
      </w:r>
      <w:proofErr w:type="spellStart"/>
      <w:r w:rsidRPr="001110FC">
        <w:rPr>
          <w:sz w:val="24"/>
          <w:szCs w:val="24"/>
        </w:rPr>
        <w:t>i</w:t>
      </w:r>
      <w:proofErr w:type="spellEnd"/>
      <w:r w:rsidRPr="001110FC">
        <w:rPr>
          <w:sz w:val="24"/>
          <w:szCs w:val="24"/>
        </w:rPr>
        <w:t>) A description of the nature, location, design capacity, and typical operating schedule of the source or modification, including specifications and drawings showing its design and plant layout;</w:t>
      </w:r>
    </w:p>
    <w:p w:rsidR="00BA6035" w:rsidRPr="001110FC" w:rsidRDefault="00BA6035" w:rsidP="00BA6035">
      <w:pPr>
        <w:rPr>
          <w:sz w:val="24"/>
          <w:szCs w:val="24"/>
        </w:rPr>
      </w:pPr>
      <w:r w:rsidRPr="001110FC">
        <w:rPr>
          <w:sz w:val="24"/>
          <w:szCs w:val="24"/>
        </w:rPr>
        <w:t>(ii) A detailed schedule for construction of the source or modification;</w:t>
      </w:r>
    </w:p>
    <w:p w:rsidR="00BA6035" w:rsidRPr="001110FC" w:rsidRDefault="00BA6035" w:rsidP="00BA6035">
      <w:pPr>
        <w:rPr>
          <w:sz w:val="24"/>
          <w:szCs w:val="24"/>
        </w:rPr>
      </w:pPr>
      <w:r w:rsidRPr="001110FC">
        <w:rPr>
          <w:sz w:val="24"/>
          <w:szCs w:val="24"/>
        </w:rPr>
        <w:t>(iii) A detailed description as to what system of continuous emission reduction is planned by the source or modification, emission estimates, and any other information as necessary to determine that best available control technology as applicable would be applied;</w:t>
      </w:r>
    </w:p>
    <w:p w:rsidR="00BA6035" w:rsidRPr="001110FC" w:rsidRDefault="00BA6035" w:rsidP="00BA6035">
      <w:pPr>
        <w:rPr>
          <w:sz w:val="24"/>
          <w:szCs w:val="24"/>
        </w:rPr>
      </w:pPr>
      <w:r w:rsidRPr="001110FC">
        <w:rPr>
          <w:sz w:val="24"/>
          <w:szCs w:val="24"/>
        </w:rPr>
        <w:t>(3) The plan shall provide that upon request of the State, the owner or operator shall also provide information on:</w:t>
      </w:r>
    </w:p>
    <w:p w:rsidR="00BA6035" w:rsidRPr="001110FC" w:rsidRDefault="00BA6035" w:rsidP="00BA6035">
      <w:pPr>
        <w:rPr>
          <w:sz w:val="24"/>
          <w:szCs w:val="24"/>
        </w:rPr>
      </w:pPr>
      <w:r w:rsidRPr="001110FC">
        <w:rPr>
          <w:sz w:val="24"/>
          <w:szCs w:val="24"/>
        </w:rPr>
        <w:t>(</w:t>
      </w:r>
      <w:proofErr w:type="spellStart"/>
      <w:r w:rsidRPr="001110FC">
        <w:rPr>
          <w:sz w:val="24"/>
          <w:szCs w:val="24"/>
        </w:rPr>
        <w:t>i</w:t>
      </w:r>
      <w:proofErr w:type="spellEnd"/>
      <w:r w:rsidRPr="001110FC">
        <w:rPr>
          <w:sz w:val="24"/>
          <w:szCs w:val="24"/>
        </w:rPr>
        <w:t>) The air quality impact of the source or modification, including meteorological and topographical data necessary to estimate such impact; and</w:t>
      </w:r>
    </w:p>
    <w:p w:rsidR="00BA6035" w:rsidRPr="001110FC" w:rsidRDefault="00BA6035" w:rsidP="00BA6035">
      <w:pPr>
        <w:rPr>
          <w:sz w:val="24"/>
          <w:szCs w:val="24"/>
        </w:rPr>
      </w:pPr>
      <w:r w:rsidRPr="001110FC">
        <w:rPr>
          <w:sz w:val="24"/>
          <w:szCs w:val="24"/>
        </w:rPr>
        <w:t>(ii) The air quality impacts and the nature and extent of any or all general commercial, residential, industrial, and other growth which has occurred since August 7, 1977, in the area the source or modification would affect.</w:t>
      </w:r>
    </w:p>
    <w:p w:rsidR="00BA6035" w:rsidRPr="00FE0F8F" w:rsidRDefault="00BA6035">
      <w:pPr>
        <w:rPr>
          <w:sz w:val="24"/>
          <w:szCs w:val="24"/>
        </w:rPr>
      </w:pPr>
    </w:p>
    <w:sectPr w:rsidR="00BA6035" w:rsidRPr="00FE0F8F"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DD5" w:rsidRDefault="00696DD5" w:rsidP="00696DD5">
      <w:r>
        <w:separator/>
      </w:r>
    </w:p>
  </w:endnote>
  <w:endnote w:type="continuationSeparator" w:id="0">
    <w:p w:rsidR="00696DD5" w:rsidRDefault="00696DD5" w:rsidP="00696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8043"/>
      <w:docPartObj>
        <w:docPartGallery w:val="Page Numbers (Bottom of Page)"/>
        <w:docPartUnique/>
      </w:docPartObj>
    </w:sdtPr>
    <w:sdtContent>
      <w:p w:rsidR="00696DD5" w:rsidRDefault="00696DD5">
        <w:pPr>
          <w:pStyle w:val="Footer"/>
          <w:jc w:val="right"/>
        </w:pPr>
        <w:fldSimple w:instr=" PAGE   \* MERGEFORMAT ">
          <w:r w:rsidR="00BA6035">
            <w:rPr>
              <w:noProof/>
            </w:rPr>
            <w:t>1</w:t>
          </w:r>
        </w:fldSimple>
      </w:p>
    </w:sdtContent>
  </w:sdt>
  <w:p w:rsidR="00696DD5" w:rsidRDefault="00696D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DD5" w:rsidRDefault="00696DD5" w:rsidP="00696DD5">
      <w:r>
        <w:separator/>
      </w:r>
    </w:p>
  </w:footnote>
  <w:footnote w:type="continuationSeparator" w:id="0">
    <w:p w:rsidR="00696DD5" w:rsidRDefault="00696DD5" w:rsidP="00696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2C19C8"/>
    <w:rsid w:val="000B4697"/>
    <w:rsid w:val="000D5C02"/>
    <w:rsid w:val="00195444"/>
    <w:rsid w:val="001A22A5"/>
    <w:rsid w:val="0020056E"/>
    <w:rsid w:val="002C19C8"/>
    <w:rsid w:val="003A60DE"/>
    <w:rsid w:val="00400586"/>
    <w:rsid w:val="00414F67"/>
    <w:rsid w:val="0043117D"/>
    <w:rsid w:val="004809B7"/>
    <w:rsid w:val="004A69AF"/>
    <w:rsid w:val="004D578D"/>
    <w:rsid w:val="00696DD5"/>
    <w:rsid w:val="006F65EA"/>
    <w:rsid w:val="007260E4"/>
    <w:rsid w:val="00732F05"/>
    <w:rsid w:val="00734469"/>
    <w:rsid w:val="007729CF"/>
    <w:rsid w:val="007C4B26"/>
    <w:rsid w:val="007C644B"/>
    <w:rsid w:val="00822FC3"/>
    <w:rsid w:val="00882A13"/>
    <w:rsid w:val="008A12AC"/>
    <w:rsid w:val="008A5039"/>
    <w:rsid w:val="008A7A14"/>
    <w:rsid w:val="009B3E5A"/>
    <w:rsid w:val="00AE1F83"/>
    <w:rsid w:val="00B80CC8"/>
    <w:rsid w:val="00BA6035"/>
    <w:rsid w:val="00BC407B"/>
    <w:rsid w:val="00CF2E54"/>
    <w:rsid w:val="00D5302C"/>
    <w:rsid w:val="00E939D0"/>
    <w:rsid w:val="00ED5A52"/>
    <w:rsid w:val="00F21A48"/>
    <w:rsid w:val="00F40738"/>
    <w:rsid w:val="00F469F5"/>
    <w:rsid w:val="00FA69E6"/>
    <w:rsid w:val="00FE0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Header">
    <w:name w:val="header"/>
    <w:basedOn w:val="Normal"/>
    <w:link w:val="HeaderChar"/>
    <w:uiPriority w:val="99"/>
    <w:semiHidden/>
    <w:unhideWhenUsed/>
    <w:rsid w:val="00696DD5"/>
    <w:pPr>
      <w:tabs>
        <w:tab w:val="center" w:pos="4680"/>
        <w:tab w:val="right" w:pos="9360"/>
      </w:tabs>
    </w:pPr>
  </w:style>
  <w:style w:type="character" w:customStyle="1" w:styleId="HeaderChar">
    <w:name w:val="Header Char"/>
    <w:basedOn w:val="DefaultParagraphFont"/>
    <w:link w:val="Header"/>
    <w:uiPriority w:val="99"/>
    <w:semiHidden/>
    <w:rsid w:val="00696DD5"/>
  </w:style>
  <w:style w:type="paragraph" w:styleId="Footer">
    <w:name w:val="footer"/>
    <w:basedOn w:val="Normal"/>
    <w:link w:val="FooterChar"/>
    <w:uiPriority w:val="99"/>
    <w:unhideWhenUsed/>
    <w:rsid w:val="00696DD5"/>
    <w:pPr>
      <w:tabs>
        <w:tab w:val="center" w:pos="4680"/>
        <w:tab w:val="right" w:pos="9360"/>
      </w:tabs>
    </w:pPr>
  </w:style>
  <w:style w:type="character" w:customStyle="1" w:styleId="FooterChar">
    <w:name w:val="Footer Char"/>
    <w:basedOn w:val="DefaultParagraphFont"/>
    <w:link w:val="Footer"/>
    <w:uiPriority w:val="99"/>
    <w:rsid w:val="00696D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cp:revision>
  <dcterms:created xsi:type="dcterms:W3CDTF">2013-03-15T16:48:00Z</dcterms:created>
  <dcterms:modified xsi:type="dcterms:W3CDTF">2013-03-15T20:13:00Z</dcterms:modified>
</cp:coreProperties>
</file>