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039" w:rsidRPr="000857A3" w:rsidRDefault="003555EE" w:rsidP="001911B5">
      <w:pPr>
        <w:jc w:val="center"/>
        <w:rPr>
          <w:sz w:val="24"/>
          <w:szCs w:val="24"/>
        </w:rPr>
      </w:pPr>
      <w:r w:rsidRPr="000857A3">
        <w:rPr>
          <w:sz w:val="24"/>
          <w:szCs w:val="24"/>
        </w:rPr>
        <w:t>Items to discuss at the</w:t>
      </w:r>
      <w:r w:rsidR="00062E02" w:rsidRPr="000857A3">
        <w:rPr>
          <w:sz w:val="24"/>
          <w:szCs w:val="24"/>
        </w:rPr>
        <w:t xml:space="preserve"> 05/07/13 Rulewriting Meeting:</w:t>
      </w:r>
    </w:p>
    <w:p w:rsidR="00062E02" w:rsidRPr="000857A3" w:rsidRDefault="00062E02">
      <w:pPr>
        <w:rPr>
          <w:sz w:val="24"/>
          <w:szCs w:val="24"/>
        </w:rPr>
      </w:pPr>
    </w:p>
    <w:p w:rsidR="000857A3" w:rsidRPr="000857A3" w:rsidRDefault="000857A3" w:rsidP="000857A3">
      <w:pPr>
        <w:rPr>
          <w:sz w:val="24"/>
          <w:szCs w:val="24"/>
        </w:rPr>
      </w:pPr>
      <w:r w:rsidRPr="000857A3">
        <w:rPr>
          <w:sz w:val="24"/>
          <w:szCs w:val="24"/>
        </w:rPr>
        <w:t>Divisions:</w:t>
      </w:r>
    </w:p>
    <w:p w:rsidR="000857A3" w:rsidRPr="000857A3" w:rsidRDefault="000857A3" w:rsidP="000857A3">
      <w:pPr>
        <w:rPr>
          <w:sz w:val="24"/>
          <w:szCs w:val="24"/>
        </w:rPr>
      </w:pPr>
    </w:p>
    <w:p w:rsidR="000857A3" w:rsidRPr="000857A3" w:rsidRDefault="000857A3" w:rsidP="000857A3">
      <w:pPr>
        <w:rPr>
          <w:sz w:val="24"/>
          <w:szCs w:val="24"/>
        </w:rPr>
      </w:pPr>
      <w:r w:rsidRPr="000857A3">
        <w:rPr>
          <w:sz w:val="24"/>
          <w:szCs w:val="24"/>
        </w:rPr>
        <w:t>200, 222, 224, 225</w:t>
      </w:r>
      <w:r w:rsidR="00BB4B78">
        <w:rPr>
          <w:sz w:val="24"/>
          <w:szCs w:val="24"/>
        </w:rPr>
        <w:t>, 264</w:t>
      </w:r>
    </w:p>
    <w:p w:rsidR="000857A3" w:rsidRPr="000857A3" w:rsidRDefault="000857A3" w:rsidP="000857A3">
      <w:pPr>
        <w:rPr>
          <w:sz w:val="24"/>
          <w:szCs w:val="24"/>
        </w:rPr>
      </w:pPr>
    </w:p>
    <w:p w:rsidR="000857A3" w:rsidRPr="000857A3" w:rsidRDefault="000857A3" w:rsidP="000857A3">
      <w:pPr>
        <w:rPr>
          <w:sz w:val="24"/>
          <w:szCs w:val="24"/>
        </w:rPr>
      </w:pPr>
    </w:p>
    <w:tbl>
      <w:tblPr>
        <w:tblStyle w:val="TableGrid"/>
        <w:tblW w:w="0" w:type="auto"/>
        <w:tblLook w:val="04A0"/>
      </w:tblPr>
      <w:tblGrid>
        <w:gridCol w:w="7308"/>
        <w:gridCol w:w="2070"/>
      </w:tblGrid>
      <w:tr w:rsidR="000857A3" w:rsidRPr="000857A3" w:rsidTr="001911B5">
        <w:tc>
          <w:tcPr>
            <w:tcW w:w="7308" w:type="dxa"/>
            <w:shd w:val="clear" w:color="auto" w:fill="auto"/>
          </w:tcPr>
          <w:p w:rsidR="000857A3" w:rsidRPr="000857A3" w:rsidRDefault="000857A3" w:rsidP="000857A3">
            <w:pPr>
              <w:rPr>
                <w:sz w:val="24"/>
                <w:szCs w:val="24"/>
              </w:rPr>
            </w:pPr>
            <w:r w:rsidRPr="000857A3">
              <w:rPr>
                <w:sz w:val="24"/>
                <w:szCs w:val="24"/>
              </w:rPr>
              <w:t xml:space="preserve">Internal Review </w:t>
            </w:r>
            <w:r w:rsidRPr="000857A3">
              <w:rPr>
                <w:b/>
                <w:sz w:val="24"/>
                <w:szCs w:val="24"/>
              </w:rPr>
              <w:t>Emission Limit Rules</w:t>
            </w:r>
            <w:r w:rsidRPr="000857A3">
              <w:rPr>
                <w:sz w:val="24"/>
                <w:szCs w:val="24"/>
              </w:rPr>
              <w:t xml:space="preserve"> 200, 206, 208, 212, 214 (less CAM provisions),226, 228, 232, 234, 236, 240, 242, 262</w:t>
            </w:r>
            <w:bookmarkStart w:id="0" w:name="_GoBack"/>
            <w:bookmarkEnd w:id="0"/>
            <w:r w:rsidRPr="000857A3">
              <w:rPr>
                <w:sz w:val="24"/>
                <w:szCs w:val="24"/>
              </w:rPr>
              <w:t>) – EPA internal</w:t>
            </w:r>
          </w:p>
          <w:p w:rsidR="000857A3" w:rsidRPr="000857A3" w:rsidRDefault="000857A3" w:rsidP="000857A3">
            <w:pPr>
              <w:rPr>
                <w:sz w:val="24"/>
                <w:szCs w:val="24"/>
              </w:rPr>
            </w:pPr>
            <w:r w:rsidRPr="000857A3">
              <w:rPr>
                <w:sz w:val="24"/>
                <w:szCs w:val="24"/>
              </w:rPr>
              <w:t xml:space="preserve">Focused revision review 3 (cluster 3 = </w:t>
            </w:r>
            <w:r w:rsidRPr="000857A3">
              <w:rPr>
                <w:b/>
                <w:sz w:val="24"/>
                <w:szCs w:val="24"/>
              </w:rPr>
              <w:t>Title V Rules</w:t>
            </w:r>
            <w:r w:rsidRPr="000857A3">
              <w:rPr>
                <w:sz w:val="24"/>
                <w:szCs w:val="24"/>
              </w:rPr>
              <w:t xml:space="preserve"> 218, 220, 214 CAM provisions)</w:t>
            </w:r>
          </w:p>
        </w:tc>
        <w:tc>
          <w:tcPr>
            <w:tcW w:w="2070" w:type="dxa"/>
            <w:shd w:val="clear" w:color="auto" w:fill="auto"/>
          </w:tcPr>
          <w:p w:rsidR="000857A3" w:rsidRPr="000857A3" w:rsidRDefault="000857A3" w:rsidP="000857A3">
            <w:pPr>
              <w:rPr>
                <w:sz w:val="24"/>
                <w:szCs w:val="24"/>
              </w:rPr>
            </w:pPr>
            <w:r w:rsidRPr="000857A3">
              <w:rPr>
                <w:sz w:val="24"/>
                <w:szCs w:val="24"/>
              </w:rPr>
              <w:t xml:space="preserve"> June 4, 2013</w:t>
            </w:r>
          </w:p>
        </w:tc>
      </w:tr>
      <w:tr w:rsidR="000857A3" w:rsidRPr="000857A3" w:rsidTr="001911B5">
        <w:trPr>
          <w:trHeight w:val="602"/>
        </w:trPr>
        <w:tc>
          <w:tcPr>
            <w:tcW w:w="7308" w:type="dxa"/>
            <w:tcBorders>
              <w:bottom w:val="single" w:sz="4" w:space="0" w:color="auto"/>
            </w:tcBorders>
            <w:shd w:val="clear" w:color="auto" w:fill="auto"/>
          </w:tcPr>
          <w:p w:rsidR="000857A3" w:rsidRPr="000857A3" w:rsidRDefault="000857A3" w:rsidP="000857A3">
            <w:pPr>
              <w:rPr>
                <w:sz w:val="24"/>
                <w:szCs w:val="24"/>
              </w:rPr>
            </w:pPr>
            <w:r w:rsidRPr="000857A3">
              <w:rPr>
                <w:sz w:val="24"/>
                <w:szCs w:val="24"/>
              </w:rPr>
              <w:t>VTC with ODEQ</w:t>
            </w:r>
          </w:p>
        </w:tc>
        <w:tc>
          <w:tcPr>
            <w:tcW w:w="2070" w:type="dxa"/>
            <w:tcBorders>
              <w:bottom w:val="single" w:sz="4" w:space="0" w:color="auto"/>
            </w:tcBorders>
            <w:shd w:val="clear" w:color="auto" w:fill="auto"/>
          </w:tcPr>
          <w:p w:rsidR="000857A3" w:rsidRPr="000857A3" w:rsidRDefault="000857A3" w:rsidP="000857A3">
            <w:pPr>
              <w:rPr>
                <w:sz w:val="24"/>
                <w:szCs w:val="24"/>
              </w:rPr>
            </w:pPr>
            <w:r w:rsidRPr="000857A3">
              <w:rPr>
                <w:sz w:val="24"/>
                <w:szCs w:val="24"/>
              </w:rPr>
              <w:t>June 5, 2013</w:t>
            </w:r>
            <w:r w:rsidR="001911B5">
              <w:rPr>
                <w:sz w:val="24"/>
                <w:szCs w:val="24"/>
              </w:rPr>
              <w:t xml:space="preserve"> (</w:t>
            </w:r>
            <w:r w:rsidRPr="000857A3">
              <w:rPr>
                <w:sz w:val="24"/>
                <w:szCs w:val="24"/>
              </w:rPr>
              <w:t>June 6, 2013 if needed)</w:t>
            </w:r>
          </w:p>
        </w:tc>
      </w:tr>
      <w:tr w:rsidR="000857A3" w:rsidRPr="000857A3" w:rsidTr="001911B5">
        <w:tc>
          <w:tcPr>
            <w:tcW w:w="7308" w:type="dxa"/>
            <w:shd w:val="clear" w:color="auto" w:fill="auto"/>
          </w:tcPr>
          <w:p w:rsidR="000857A3" w:rsidRPr="000857A3" w:rsidRDefault="000857A3" w:rsidP="000857A3">
            <w:pPr>
              <w:rPr>
                <w:sz w:val="24"/>
                <w:szCs w:val="24"/>
              </w:rPr>
            </w:pPr>
            <w:r w:rsidRPr="000857A3">
              <w:rPr>
                <w:sz w:val="24"/>
                <w:szCs w:val="24"/>
              </w:rPr>
              <w:t xml:space="preserve">Internal Review:  </w:t>
            </w:r>
            <w:r w:rsidRPr="000857A3">
              <w:rPr>
                <w:b/>
                <w:sz w:val="24"/>
                <w:szCs w:val="24"/>
              </w:rPr>
              <w:t>Permitting Rules</w:t>
            </w:r>
            <w:r w:rsidRPr="000857A3">
              <w:rPr>
                <w:sz w:val="24"/>
                <w:szCs w:val="24"/>
              </w:rPr>
              <w:t xml:space="preserve"> 200, 202, 204, 209, 210, 216, 222, 224, 225, 268) – EPA internal</w:t>
            </w:r>
          </w:p>
        </w:tc>
        <w:tc>
          <w:tcPr>
            <w:tcW w:w="2070" w:type="dxa"/>
            <w:shd w:val="clear" w:color="auto" w:fill="auto"/>
          </w:tcPr>
          <w:p w:rsidR="000857A3" w:rsidRPr="000857A3" w:rsidRDefault="000857A3" w:rsidP="000857A3">
            <w:pPr>
              <w:rPr>
                <w:sz w:val="24"/>
                <w:szCs w:val="24"/>
              </w:rPr>
            </w:pPr>
            <w:r w:rsidRPr="000857A3">
              <w:rPr>
                <w:sz w:val="24"/>
                <w:szCs w:val="24"/>
              </w:rPr>
              <w:t>June 11, 2013</w:t>
            </w:r>
          </w:p>
        </w:tc>
      </w:tr>
      <w:tr w:rsidR="000857A3" w:rsidRPr="000857A3" w:rsidTr="001911B5">
        <w:tc>
          <w:tcPr>
            <w:tcW w:w="7308" w:type="dxa"/>
            <w:shd w:val="clear" w:color="auto" w:fill="auto"/>
          </w:tcPr>
          <w:p w:rsidR="000857A3" w:rsidRPr="000857A3" w:rsidRDefault="000857A3" w:rsidP="000857A3">
            <w:pPr>
              <w:rPr>
                <w:sz w:val="24"/>
                <w:szCs w:val="24"/>
              </w:rPr>
            </w:pPr>
            <w:r w:rsidRPr="000857A3">
              <w:rPr>
                <w:sz w:val="24"/>
                <w:szCs w:val="24"/>
              </w:rPr>
              <w:t>VTC with ODEQ</w:t>
            </w:r>
          </w:p>
        </w:tc>
        <w:tc>
          <w:tcPr>
            <w:tcW w:w="2070" w:type="dxa"/>
            <w:shd w:val="clear" w:color="auto" w:fill="auto"/>
          </w:tcPr>
          <w:p w:rsidR="000857A3" w:rsidRPr="000857A3" w:rsidRDefault="000857A3" w:rsidP="000857A3">
            <w:pPr>
              <w:rPr>
                <w:sz w:val="24"/>
                <w:szCs w:val="24"/>
              </w:rPr>
            </w:pPr>
            <w:r w:rsidRPr="000857A3">
              <w:rPr>
                <w:sz w:val="24"/>
                <w:szCs w:val="24"/>
              </w:rPr>
              <w:t>June 13, 2013</w:t>
            </w:r>
          </w:p>
        </w:tc>
      </w:tr>
    </w:tbl>
    <w:p w:rsidR="009C5573" w:rsidRDefault="009C5573" w:rsidP="000857A3">
      <w:pPr>
        <w:rPr>
          <w:sz w:val="24"/>
          <w:szCs w:val="24"/>
        </w:rPr>
      </w:pPr>
    </w:p>
    <w:p w:rsidR="009C5573" w:rsidRDefault="009C5573">
      <w:pPr>
        <w:rPr>
          <w:sz w:val="24"/>
          <w:szCs w:val="24"/>
        </w:rPr>
      </w:pPr>
      <w:r>
        <w:rPr>
          <w:sz w:val="24"/>
          <w:szCs w:val="24"/>
        </w:rPr>
        <w:br w:type="page"/>
      </w:r>
    </w:p>
    <w:p w:rsidR="000857A3" w:rsidRDefault="000857A3" w:rsidP="000857A3">
      <w:pPr>
        <w:rPr>
          <w:sz w:val="24"/>
          <w:szCs w:val="24"/>
        </w:rPr>
      </w:pPr>
    </w:p>
    <w:tbl>
      <w:tblPr>
        <w:tblW w:w="14575"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tblPr>
      <w:tblGrid>
        <w:gridCol w:w="918"/>
        <w:gridCol w:w="1350"/>
        <w:gridCol w:w="990"/>
        <w:gridCol w:w="1350"/>
        <w:gridCol w:w="4860"/>
        <w:gridCol w:w="4320"/>
        <w:gridCol w:w="787"/>
      </w:tblGrid>
      <w:tr w:rsidR="00582C6C" w:rsidRPr="006E233D" w:rsidTr="00582C6C">
        <w:tc>
          <w:tcPr>
            <w:tcW w:w="918" w:type="dxa"/>
            <w:tcBorders>
              <w:top w:val="double" w:sz="6" w:space="0" w:color="auto"/>
              <w:left w:val="double" w:sz="6" w:space="0" w:color="auto"/>
              <w:bottom w:val="double" w:sz="6" w:space="0" w:color="auto"/>
              <w:right w:val="double" w:sz="6" w:space="0" w:color="auto"/>
            </w:tcBorders>
          </w:tcPr>
          <w:p w:rsidR="00582C6C" w:rsidRPr="00582C6C" w:rsidRDefault="00582C6C" w:rsidP="001E3FB2">
            <w:pPr>
              <w:rPr>
                <w:sz w:val="24"/>
                <w:szCs w:val="24"/>
              </w:rPr>
            </w:pPr>
            <w:r w:rsidRPr="00582C6C">
              <w:rPr>
                <w:sz w:val="24"/>
                <w:szCs w:val="24"/>
              </w:rPr>
              <w:t>200</w:t>
            </w:r>
          </w:p>
          <w:p w:rsidR="00582C6C" w:rsidRPr="00582C6C" w:rsidRDefault="00582C6C" w:rsidP="001E3FB2">
            <w:pPr>
              <w:rPr>
                <w:sz w:val="24"/>
                <w:szCs w:val="24"/>
              </w:rPr>
            </w:pPr>
            <w:r w:rsidRPr="00582C6C">
              <w:rPr>
                <w:sz w:val="24"/>
                <w:szCs w:val="24"/>
              </w:rPr>
              <w:t>232</w:t>
            </w:r>
          </w:p>
          <w:p w:rsidR="00582C6C" w:rsidRPr="00582C6C" w:rsidRDefault="00582C6C" w:rsidP="001E3FB2">
            <w:pPr>
              <w:rPr>
                <w:sz w:val="24"/>
                <w:szCs w:val="24"/>
              </w:rPr>
            </w:pPr>
            <w:r w:rsidRPr="00582C6C">
              <w:rPr>
                <w:sz w:val="24"/>
                <w:szCs w:val="24"/>
              </w:rPr>
              <w:t>234</w:t>
            </w:r>
          </w:p>
          <w:p w:rsidR="00582C6C" w:rsidRPr="00582C6C" w:rsidRDefault="00582C6C" w:rsidP="001E3FB2">
            <w:pPr>
              <w:rPr>
                <w:sz w:val="24"/>
                <w:szCs w:val="24"/>
              </w:rPr>
            </w:pPr>
            <w:r w:rsidRPr="00582C6C">
              <w:rPr>
                <w:sz w:val="24"/>
                <w:szCs w:val="24"/>
              </w:rPr>
              <w:t>240</w:t>
            </w:r>
          </w:p>
        </w:tc>
        <w:tc>
          <w:tcPr>
            <w:tcW w:w="1350" w:type="dxa"/>
            <w:tcBorders>
              <w:top w:val="double" w:sz="6" w:space="0" w:color="auto"/>
              <w:left w:val="double" w:sz="6" w:space="0" w:color="auto"/>
              <w:bottom w:val="double" w:sz="6" w:space="0" w:color="auto"/>
              <w:right w:val="double" w:sz="6" w:space="0" w:color="auto"/>
            </w:tcBorders>
          </w:tcPr>
          <w:p w:rsidR="00582C6C" w:rsidRPr="00582C6C" w:rsidRDefault="00582C6C" w:rsidP="001E3FB2">
            <w:pPr>
              <w:rPr>
                <w:sz w:val="24"/>
                <w:szCs w:val="24"/>
              </w:rPr>
            </w:pPr>
            <w:r w:rsidRPr="00582C6C">
              <w:rPr>
                <w:sz w:val="24"/>
                <w:szCs w:val="24"/>
              </w:rPr>
              <w:t>0020(94)</w:t>
            </w:r>
          </w:p>
          <w:p w:rsidR="00582C6C" w:rsidRPr="00582C6C" w:rsidRDefault="00582C6C" w:rsidP="001E3FB2">
            <w:pPr>
              <w:rPr>
                <w:sz w:val="24"/>
                <w:szCs w:val="24"/>
              </w:rPr>
            </w:pPr>
            <w:r w:rsidRPr="00582C6C">
              <w:rPr>
                <w:sz w:val="24"/>
                <w:szCs w:val="24"/>
              </w:rPr>
              <w:t>0030(54)</w:t>
            </w:r>
          </w:p>
          <w:p w:rsidR="00582C6C" w:rsidRPr="00582C6C" w:rsidRDefault="00582C6C" w:rsidP="001E3FB2">
            <w:pPr>
              <w:rPr>
                <w:sz w:val="24"/>
                <w:szCs w:val="24"/>
              </w:rPr>
            </w:pPr>
            <w:r w:rsidRPr="00582C6C">
              <w:rPr>
                <w:sz w:val="24"/>
                <w:szCs w:val="24"/>
              </w:rPr>
              <w:t>0010(30)</w:t>
            </w:r>
          </w:p>
          <w:p w:rsidR="00582C6C" w:rsidRPr="00582C6C" w:rsidRDefault="00582C6C" w:rsidP="001E3FB2">
            <w:pPr>
              <w:rPr>
                <w:sz w:val="24"/>
                <w:szCs w:val="24"/>
              </w:rPr>
            </w:pPr>
            <w:r w:rsidRPr="00582C6C">
              <w:rPr>
                <w:sz w:val="24"/>
                <w:szCs w:val="24"/>
              </w:rPr>
              <w:t>0030(34)</w:t>
            </w:r>
          </w:p>
        </w:tc>
        <w:tc>
          <w:tcPr>
            <w:tcW w:w="990" w:type="dxa"/>
            <w:tcBorders>
              <w:top w:val="double" w:sz="6" w:space="0" w:color="auto"/>
              <w:left w:val="double" w:sz="6" w:space="0" w:color="auto"/>
              <w:bottom w:val="double" w:sz="6" w:space="0" w:color="auto"/>
              <w:right w:val="double" w:sz="6" w:space="0" w:color="auto"/>
            </w:tcBorders>
          </w:tcPr>
          <w:p w:rsidR="00582C6C" w:rsidRPr="00582C6C" w:rsidRDefault="00582C6C" w:rsidP="00582C6C">
            <w:pPr>
              <w:rPr>
                <w:sz w:val="24"/>
                <w:szCs w:val="24"/>
              </w:rPr>
            </w:pPr>
            <w:r w:rsidRPr="00582C6C">
              <w:rPr>
                <w:sz w:val="24"/>
                <w:szCs w:val="24"/>
              </w:rPr>
              <w:t>200</w:t>
            </w:r>
          </w:p>
        </w:tc>
        <w:tc>
          <w:tcPr>
            <w:tcW w:w="1350" w:type="dxa"/>
            <w:tcBorders>
              <w:top w:val="double" w:sz="6" w:space="0" w:color="auto"/>
              <w:left w:val="double" w:sz="6" w:space="0" w:color="auto"/>
              <w:bottom w:val="double" w:sz="6" w:space="0" w:color="auto"/>
              <w:right w:val="double" w:sz="6" w:space="0" w:color="auto"/>
            </w:tcBorders>
          </w:tcPr>
          <w:p w:rsidR="00582C6C" w:rsidRPr="00582C6C" w:rsidRDefault="00582C6C" w:rsidP="00582C6C">
            <w:pPr>
              <w:rPr>
                <w:sz w:val="24"/>
                <w:szCs w:val="24"/>
              </w:rPr>
            </w:pPr>
            <w:r w:rsidRPr="00582C6C">
              <w:rPr>
                <w:sz w:val="24"/>
                <w:szCs w:val="24"/>
              </w:rPr>
              <w:t>0020(112)</w:t>
            </w:r>
          </w:p>
        </w:tc>
        <w:tc>
          <w:tcPr>
            <w:tcW w:w="4860" w:type="dxa"/>
            <w:tcBorders>
              <w:top w:val="double" w:sz="6" w:space="0" w:color="auto"/>
              <w:left w:val="double" w:sz="6" w:space="0" w:color="auto"/>
              <w:bottom w:val="double" w:sz="6" w:space="0" w:color="auto"/>
              <w:right w:val="double" w:sz="6" w:space="0" w:color="auto"/>
            </w:tcBorders>
          </w:tcPr>
          <w:p w:rsidR="00582C6C" w:rsidRPr="00582C6C" w:rsidRDefault="00582C6C" w:rsidP="001E3FB2">
            <w:pPr>
              <w:rPr>
                <w:sz w:val="24"/>
                <w:szCs w:val="24"/>
              </w:rPr>
            </w:pPr>
            <w:r w:rsidRPr="00582C6C">
              <w:rPr>
                <w:sz w:val="24"/>
                <w:szCs w:val="24"/>
              </w:rPr>
              <w:t>Delete the definition of “person” and use the definition from division 232</w:t>
            </w:r>
          </w:p>
          <w:p w:rsidR="00582C6C" w:rsidRPr="00582C6C" w:rsidRDefault="00582C6C" w:rsidP="001E3FB2">
            <w:pPr>
              <w:rPr>
                <w:sz w:val="24"/>
                <w:szCs w:val="24"/>
              </w:rPr>
            </w:pPr>
          </w:p>
          <w:p w:rsidR="00582C6C" w:rsidRPr="00582C6C" w:rsidRDefault="00582C6C" w:rsidP="001E3FB2">
            <w:pPr>
              <w:rPr>
                <w:sz w:val="24"/>
                <w:szCs w:val="24"/>
              </w:rPr>
            </w:pPr>
            <w:r w:rsidRPr="00582C6C">
              <w:rPr>
                <w:sz w:val="24"/>
                <w:szCs w:val="24"/>
              </w:rPr>
              <w:t>(112) "Person" means the federal government, any state, individual, public or private corporation, political subdivision, governmental agency, municipality, industry, co-partnership, association, firm, trust, estate, or any other legal entity whatsoever.</w:t>
            </w:r>
          </w:p>
          <w:p w:rsidR="00582C6C" w:rsidRPr="00582C6C" w:rsidRDefault="00582C6C" w:rsidP="001E3FB2">
            <w:pPr>
              <w:rPr>
                <w:sz w:val="24"/>
                <w:szCs w:val="24"/>
              </w:rPr>
            </w:pPr>
          </w:p>
          <w:p w:rsidR="00582C6C" w:rsidRPr="00582C6C" w:rsidRDefault="00C157B1" w:rsidP="001E3FB2">
            <w:pPr>
              <w:rPr>
                <w:sz w:val="24"/>
                <w:szCs w:val="24"/>
              </w:rPr>
            </w:pPr>
            <w:r w:rsidRPr="00C157B1">
              <w:rPr>
                <w:sz w:val="24"/>
                <w:szCs w:val="24"/>
                <w:highlight w:val="magenta"/>
              </w:rPr>
              <w:t>USE EXISTING 200 DEFINITION AND GET RID OF THE REST</w:t>
            </w:r>
          </w:p>
          <w:p w:rsidR="00582C6C" w:rsidRPr="00582C6C" w:rsidRDefault="00582C6C" w:rsidP="001E3FB2">
            <w:pPr>
              <w:rPr>
                <w:sz w:val="24"/>
                <w:szCs w:val="24"/>
              </w:rPr>
            </w:pPr>
            <w:r w:rsidRPr="00582C6C">
              <w:rPr>
                <w:sz w:val="24"/>
                <w:szCs w:val="24"/>
              </w:rPr>
              <w:t> </w:t>
            </w:r>
          </w:p>
          <w:p w:rsidR="00582C6C" w:rsidRPr="00582C6C" w:rsidRDefault="00582C6C" w:rsidP="001E3FB2">
            <w:pPr>
              <w:rPr>
                <w:sz w:val="24"/>
                <w:szCs w:val="24"/>
              </w:rPr>
            </w:pPr>
            <w:r w:rsidRPr="00582C6C">
              <w:rPr>
                <w:sz w:val="24"/>
                <w:szCs w:val="24"/>
              </w:rPr>
              <w:t> </w:t>
            </w:r>
          </w:p>
          <w:p w:rsidR="00582C6C" w:rsidRPr="00582C6C" w:rsidRDefault="00DA6A8D" w:rsidP="001E3FB2">
            <w:pPr>
              <w:rPr>
                <w:sz w:val="24"/>
                <w:szCs w:val="24"/>
              </w:rPr>
            </w:pPr>
            <w:hyperlink r:id="rId5" w:tooltip="United States Code" w:history="1">
              <w:r w:rsidR="00582C6C" w:rsidRPr="00582C6C">
                <w:rPr>
                  <w:rStyle w:val="Hyperlink"/>
                  <w:sz w:val="24"/>
                  <w:szCs w:val="24"/>
                </w:rPr>
                <w:t>USC</w:t>
              </w:r>
            </w:hyperlink>
            <w:r w:rsidR="00582C6C" w:rsidRPr="00582C6C">
              <w:rPr>
                <w:sz w:val="24"/>
                <w:szCs w:val="24"/>
              </w:rPr>
              <w:t xml:space="preserve"> › </w:t>
            </w:r>
            <w:hyperlink r:id="rId6" w:tooltip="Title 42 - THE PUBLIC HEALTH AND WELFARE" w:history="1">
              <w:r w:rsidR="00582C6C" w:rsidRPr="00582C6C">
                <w:rPr>
                  <w:rStyle w:val="Hyperlink"/>
                  <w:sz w:val="24"/>
                  <w:szCs w:val="24"/>
                </w:rPr>
                <w:t>Title 42</w:t>
              </w:r>
            </w:hyperlink>
            <w:r w:rsidR="00582C6C" w:rsidRPr="00582C6C">
              <w:rPr>
                <w:sz w:val="24"/>
                <w:szCs w:val="24"/>
              </w:rPr>
              <w:t xml:space="preserve"> › </w:t>
            </w:r>
            <w:hyperlink r:id="rId7" w:tooltip="Chapter 85 - AIR POLLUTION PREVENTION AND CONTROL" w:history="1">
              <w:r w:rsidR="00582C6C" w:rsidRPr="00582C6C">
                <w:rPr>
                  <w:rStyle w:val="Hyperlink"/>
                  <w:sz w:val="24"/>
                  <w:szCs w:val="24"/>
                </w:rPr>
                <w:t>Chapter 85</w:t>
              </w:r>
            </w:hyperlink>
            <w:r w:rsidR="00582C6C" w:rsidRPr="00582C6C">
              <w:rPr>
                <w:sz w:val="24"/>
                <w:szCs w:val="24"/>
              </w:rPr>
              <w:t xml:space="preserve"> › </w:t>
            </w:r>
            <w:hyperlink r:id="rId8" w:tooltip="Subchapter III - GENERAL PROVISIONS" w:history="1">
              <w:r w:rsidR="00582C6C" w:rsidRPr="00582C6C">
                <w:rPr>
                  <w:rStyle w:val="Hyperlink"/>
                  <w:sz w:val="24"/>
                  <w:szCs w:val="24"/>
                </w:rPr>
                <w:t>Subchapter III</w:t>
              </w:r>
            </w:hyperlink>
            <w:r w:rsidR="00582C6C" w:rsidRPr="00582C6C">
              <w:rPr>
                <w:sz w:val="24"/>
                <w:szCs w:val="24"/>
              </w:rPr>
              <w:t xml:space="preserve"> › § 7602</w:t>
            </w:r>
          </w:p>
          <w:p w:rsidR="00582C6C" w:rsidRPr="00582C6C" w:rsidRDefault="00582C6C" w:rsidP="001E3FB2">
            <w:pPr>
              <w:rPr>
                <w:sz w:val="24"/>
                <w:szCs w:val="24"/>
              </w:rPr>
            </w:pPr>
            <w:r w:rsidRPr="00582C6C">
              <w:rPr>
                <w:sz w:val="24"/>
                <w:szCs w:val="24"/>
              </w:rPr>
              <w:t>42 USC § 7602 - Definitions</w:t>
            </w:r>
          </w:p>
          <w:p w:rsidR="00582C6C" w:rsidRPr="00582C6C" w:rsidRDefault="00582C6C" w:rsidP="001E3FB2">
            <w:pPr>
              <w:rPr>
                <w:sz w:val="24"/>
                <w:szCs w:val="24"/>
              </w:rPr>
            </w:pPr>
            <w:bookmarkStart w:id="1" w:name="e"/>
            <w:bookmarkEnd w:id="1"/>
            <w:r w:rsidRPr="00582C6C">
              <w:rPr>
                <w:sz w:val="24"/>
                <w:szCs w:val="24"/>
              </w:rPr>
              <w:t xml:space="preserve">(e) The term “person” includes an individual, corporation, partnership, association, State, municipality, political subdivision of a State, and any agency, department, or instrumentality of the United States and any officer, agent, or </w:t>
            </w:r>
            <w:r w:rsidRPr="00582C6C">
              <w:rPr>
                <w:sz w:val="24"/>
                <w:szCs w:val="24"/>
              </w:rPr>
              <w:lastRenderedPageBreak/>
              <w:t xml:space="preserve">employee thereof. </w:t>
            </w:r>
          </w:p>
          <w:p w:rsidR="00582C6C" w:rsidRPr="00582C6C" w:rsidRDefault="00582C6C" w:rsidP="001E3FB2">
            <w:pPr>
              <w:rPr>
                <w:sz w:val="24"/>
                <w:szCs w:val="24"/>
              </w:rPr>
            </w:pPr>
          </w:p>
        </w:tc>
        <w:tc>
          <w:tcPr>
            <w:tcW w:w="4320" w:type="dxa"/>
            <w:tcBorders>
              <w:top w:val="double" w:sz="6" w:space="0" w:color="auto"/>
              <w:left w:val="double" w:sz="6" w:space="0" w:color="auto"/>
              <w:bottom w:val="double" w:sz="6" w:space="0" w:color="auto"/>
              <w:right w:val="double" w:sz="6" w:space="0" w:color="auto"/>
            </w:tcBorders>
          </w:tcPr>
          <w:p w:rsidR="00582C6C" w:rsidRPr="00582C6C" w:rsidRDefault="00582C6C" w:rsidP="001E3FB2">
            <w:pPr>
              <w:rPr>
                <w:sz w:val="24"/>
                <w:szCs w:val="24"/>
              </w:rPr>
            </w:pPr>
            <w:r w:rsidRPr="00582C6C">
              <w:rPr>
                <w:sz w:val="24"/>
                <w:szCs w:val="24"/>
                <w:highlight w:val="cyan"/>
              </w:rPr>
              <w:lastRenderedPageBreak/>
              <w:t xml:space="preserve">340-232-0030(54) "Person" means the federal government, any state, individual, public or private corporation, political subdivision, governmental agency, municipality, industry, </w:t>
            </w:r>
            <w:r w:rsidRPr="00582C6C">
              <w:rPr>
                <w:sz w:val="24"/>
                <w:szCs w:val="24"/>
                <w:highlight w:val="lightGray"/>
              </w:rPr>
              <w:t>co-</w:t>
            </w:r>
            <w:r w:rsidRPr="00582C6C">
              <w:rPr>
                <w:sz w:val="24"/>
                <w:szCs w:val="24"/>
                <w:highlight w:val="cyan"/>
              </w:rPr>
              <w:t>partnership, association, firm, trust, estate, or any other legal entity whatsoever.</w:t>
            </w:r>
          </w:p>
          <w:p w:rsidR="00582C6C" w:rsidRPr="00582C6C" w:rsidRDefault="00582C6C" w:rsidP="001E3FB2">
            <w:pPr>
              <w:rPr>
                <w:sz w:val="24"/>
                <w:szCs w:val="24"/>
              </w:rPr>
            </w:pPr>
          </w:p>
          <w:p w:rsidR="00582C6C" w:rsidRPr="00582C6C" w:rsidRDefault="00582C6C" w:rsidP="001E3FB2">
            <w:pPr>
              <w:rPr>
                <w:sz w:val="24"/>
                <w:szCs w:val="24"/>
                <w:highlight w:val="yellow"/>
              </w:rPr>
            </w:pPr>
            <w:r w:rsidRPr="00582C6C">
              <w:rPr>
                <w:sz w:val="24"/>
                <w:szCs w:val="24"/>
                <w:highlight w:val="yellow"/>
              </w:rPr>
              <w:t xml:space="preserve">340-234-0010(30) "Person" includes individuals, corporations, associations, firms, partnerships, joint stock companies, public and municipal corporations, political subdivisions, the state and any agencies thereof, and the Federal Government and any agencies thereof. </w:t>
            </w:r>
          </w:p>
          <w:p w:rsidR="00582C6C" w:rsidRPr="00582C6C" w:rsidRDefault="00582C6C" w:rsidP="001E3FB2">
            <w:pPr>
              <w:rPr>
                <w:sz w:val="24"/>
                <w:szCs w:val="24"/>
                <w:highlight w:val="yellow"/>
              </w:rPr>
            </w:pPr>
          </w:p>
          <w:p w:rsidR="00582C6C" w:rsidRPr="00582C6C" w:rsidRDefault="00582C6C" w:rsidP="001E3FB2">
            <w:pPr>
              <w:rPr>
                <w:sz w:val="24"/>
                <w:szCs w:val="24"/>
              </w:rPr>
            </w:pPr>
            <w:r w:rsidRPr="00582C6C">
              <w:rPr>
                <w:sz w:val="24"/>
                <w:szCs w:val="24"/>
                <w:highlight w:val="yellow"/>
              </w:rPr>
              <w:t xml:space="preserve">340-240-0030(34) "Person" includes individuals, corporations, associations, firms, partnerships, joint stock companies, public and municipal corporations, political subdivisions, the state and any </w:t>
            </w:r>
            <w:r w:rsidRPr="00582C6C">
              <w:rPr>
                <w:sz w:val="24"/>
                <w:szCs w:val="24"/>
                <w:highlight w:val="yellow"/>
              </w:rPr>
              <w:lastRenderedPageBreak/>
              <w:t>agencies thereof, and the federal government and any agencies thereof.</w:t>
            </w:r>
            <w:r w:rsidRPr="00582C6C">
              <w:rPr>
                <w:sz w:val="24"/>
                <w:szCs w:val="24"/>
              </w:rPr>
              <w:t xml:space="preserve"> </w:t>
            </w:r>
          </w:p>
          <w:p w:rsidR="00582C6C" w:rsidRPr="00582C6C" w:rsidRDefault="00582C6C" w:rsidP="001E3FB2">
            <w:pPr>
              <w:rPr>
                <w:sz w:val="24"/>
                <w:szCs w:val="24"/>
              </w:rPr>
            </w:pPr>
          </w:p>
          <w:p w:rsidR="00582C6C" w:rsidRPr="00582C6C" w:rsidRDefault="00582C6C" w:rsidP="001E3FB2">
            <w:pPr>
              <w:rPr>
                <w:sz w:val="24"/>
                <w:szCs w:val="24"/>
              </w:rPr>
            </w:pPr>
            <w:bookmarkStart w:id="2" w:name="_Toc313017130"/>
            <w:r w:rsidRPr="00582C6C">
              <w:rPr>
                <w:sz w:val="24"/>
                <w:szCs w:val="24"/>
                <w:highlight w:val="cyan"/>
              </w:rPr>
              <w:t>340-242-0610</w:t>
            </w:r>
            <w:bookmarkEnd w:id="2"/>
            <w:r w:rsidRPr="00582C6C">
              <w:rPr>
                <w:sz w:val="24"/>
                <w:szCs w:val="24"/>
                <w:highlight w:val="cyan"/>
              </w:rPr>
              <w:t>(9) "Person" means the federal government, any state, individual, public or private corporation, political subdivision, governmental agency, municipality, partnership, association, firm, trust, estate, or any other legal entity whatsoever.</w:t>
            </w:r>
          </w:p>
          <w:p w:rsidR="00582C6C" w:rsidRPr="00582C6C" w:rsidRDefault="00582C6C" w:rsidP="001E3FB2">
            <w:pPr>
              <w:rPr>
                <w:sz w:val="24"/>
                <w:szCs w:val="24"/>
              </w:rPr>
            </w:pPr>
          </w:p>
          <w:p w:rsidR="00582C6C" w:rsidRDefault="00582C6C" w:rsidP="001E3FB2">
            <w:pPr>
              <w:rPr>
                <w:sz w:val="24"/>
                <w:szCs w:val="24"/>
              </w:rPr>
            </w:pPr>
            <w:r w:rsidRPr="00582C6C">
              <w:rPr>
                <w:sz w:val="24"/>
                <w:szCs w:val="24"/>
                <w:highlight w:val="green"/>
              </w:rPr>
              <w:t>The definition in division 232 is more comprehensive.</w:t>
            </w:r>
          </w:p>
          <w:p w:rsidR="00C157B1" w:rsidRDefault="00C157B1" w:rsidP="001E3FB2">
            <w:pPr>
              <w:rPr>
                <w:sz w:val="24"/>
                <w:szCs w:val="24"/>
              </w:rPr>
            </w:pPr>
          </w:p>
          <w:p w:rsidR="00C157B1" w:rsidRDefault="00C157B1" w:rsidP="001E3FB2">
            <w:pPr>
              <w:rPr>
                <w:sz w:val="24"/>
                <w:szCs w:val="24"/>
              </w:rPr>
            </w:pPr>
          </w:p>
          <w:p w:rsidR="00C157B1" w:rsidRPr="00582C6C" w:rsidRDefault="00C157B1" w:rsidP="001E3FB2">
            <w:pPr>
              <w:rPr>
                <w:sz w:val="24"/>
                <w:szCs w:val="24"/>
              </w:rPr>
            </w:pPr>
          </w:p>
        </w:tc>
        <w:tc>
          <w:tcPr>
            <w:tcW w:w="787" w:type="dxa"/>
            <w:tcBorders>
              <w:top w:val="double" w:sz="6" w:space="0" w:color="auto"/>
              <w:left w:val="double" w:sz="6" w:space="0" w:color="auto"/>
              <w:bottom w:val="double" w:sz="6" w:space="0" w:color="auto"/>
              <w:right w:val="double" w:sz="6" w:space="0" w:color="auto"/>
            </w:tcBorders>
          </w:tcPr>
          <w:p w:rsidR="00582C6C" w:rsidRPr="00582C6C" w:rsidRDefault="00582C6C" w:rsidP="001E3FB2">
            <w:pPr>
              <w:rPr>
                <w:sz w:val="24"/>
                <w:szCs w:val="24"/>
              </w:rPr>
            </w:pPr>
            <w:r w:rsidRPr="00582C6C">
              <w:rPr>
                <w:sz w:val="24"/>
                <w:szCs w:val="24"/>
              </w:rPr>
              <w:lastRenderedPageBreak/>
              <w:t>done</w:t>
            </w:r>
          </w:p>
        </w:tc>
      </w:tr>
      <w:tr w:rsidR="00582C6C" w:rsidRPr="006E233D" w:rsidTr="001E3FB2">
        <w:tc>
          <w:tcPr>
            <w:tcW w:w="918" w:type="dxa"/>
          </w:tcPr>
          <w:p w:rsidR="00582C6C" w:rsidRPr="006E233D" w:rsidRDefault="00582C6C" w:rsidP="001E3FB2">
            <w:r w:rsidRPr="006E233D">
              <w:lastRenderedPageBreak/>
              <w:t>208</w:t>
            </w:r>
          </w:p>
          <w:p w:rsidR="00582C6C" w:rsidRPr="006E233D" w:rsidRDefault="00582C6C" w:rsidP="001E3FB2">
            <w:r w:rsidRPr="006E233D">
              <w:t>226</w:t>
            </w:r>
          </w:p>
          <w:p w:rsidR="00582C6C" w:rsidRPr="006E233D" w:rsidRDefault="00582C6C" w:rsidP="001E3FB2">
            <w:r w:rsidRPr="006E233D">
              <w:t>228</w:t>
            </w:r>
          </w:p>
        </w:tc>
        <w:tc>
          <w:tcPr>
            <w:tcW w:w="1350" w:type="dxa"/>
          </w:tcPr>
          <w:p w:rsidR="00582C6C" w:rsidRPr="006E233D" w:rsidRDefault="00582C6C" w:rsidP="001E3FB2">
            <w:pPr>
              <w:jc w:val="center"/>
            </w:pPr>
            <w:r w:rsidRPr="006E233D">
              <w:t>0010(12)</w:t>
            </w:r>
          </w:p>
          <w:p w:rsidR="00582C6C" w:rsidRPr="006E233D" w:rsidRDefault="00582C6C" w:rsidP="001E3FB2">
            <w:pPr>
              <w:jc w:val="center"/>
            </w:pPr>
            <w:r w:rsidRPr="006E233D">
              <w:t>0010(5)</w:t>
            </w:r>
          </w:p>
          <w:p w:rsidR="00582C6C" w:rsidRPr="006E233D" w:rsidRDefault="00582C6C" w:rsidP="001E3FB2">
            <w:pPr>
              <w:jc w:val="center"/>
            </w:pPr>
            <w:r w:rsidRPr="006E233D">
              <w:t>0020(6)</w:t>
            </w:r>
          </w:p>
        </w:tc>
        <w:tc>
          <w:tcPr>
            <w:tcW w:w="990" w:type="dxa"/>
          </w:tcPr>
          <w:p w:rsidR="00582C6C" w:rsidRPr="006E233D" w:rsidRDefault="00582C6C" w:rsidP="001E3FB2">
            <w:pPr>
              <w:jc w:val="center"/>
            </w:pPr>
            <w:r w:rsidRPr="006E233D">
              <w:t>200</w:t>
            </w:r>
          </w:p>
        </w:tc>
        <w:tc>
          <w:tcPr>
            <w:tcW w:w="1350" w:type="dxa"/>
          </w:tcPr>
          <w:p w:rsidR="00582C6C" w:rsidRPr="006E233D" w:rsidRDefault="00582C6C" w:rsidP="001E3FB2">
            <w:pPr>
              <w:jc w:val="center"/>
            </w:pPr>
            <w:r w:rsidRPr="006E233D">
              <w:t>0020(159)</w:t>
            </w:r>
          </w:p>
        </w:tc>
        <w:tc>
          <w:tcPr>
            <w:tcW w:w="4860" w:type="dxa"/>
          </w:tcPr>
          <w:p w:rsidR="00582C6C" w:rsidRPr="00C157B1" w:rsidRDefault="00582C6C" w:rsidP="001E3FB2">
            <w:r w:rsidRPr="00C157B1">
              <w:t>Add definition of “standard conditions”</w:t>
            </w:r>
          </w:p>
          <w:p w:rsidR="00582C6C" w:rsidRPr="00C157B1" w:rsidRDefault="00582C6C" w:rsidP="001E3FB2"/>
          <w:p w:rsidR="00C157B1" w:rsidRPr="00C157B1" w:rsidRDefault="00582C6C" w:rsidP="001E3FB2">
            <w:pPr>
              <w:rPr>
                <w:highlight w:val="magenta"/>
              </w:rPr>
            </w:pPr>
            <w:r w:rsidRPr="00C157B1">
              <w:rPr>
                <w:highlight w:val="magenta"/>
              </w:rPr>
              <w:t xml:space="preserve">(159) "Standard Conditions" means a temperature of 68° Fahrenheit and a pressure of </w:t>
            </w:r>
            <w:r w:rsidR="00C157B1" w:rsidRPr="00C157B1">
              <w:rPr>
                <w:highlight w:val="magenta"/>
              </w:rPr>
              <w:t xml:space="preserve">one atmosphere </w:t>
            </w:r>
            <w:r w:rsidRPr="00C157B1">
              <w:rPr>
                <w:highlight w:val="magenta"/>
              </w:rPr>
              <w:t xml:space="preserve">absolute. </w:t>
            </w:r>
          </w:p>
          <w:p w:rsidR="00582C6C" w:rsidRPr="00C157B1" w:rsidRDefault="00C157B1" w:rsidP="001E3FB2">
            <w:r w:rsidRPr="00C157B1">
              <w:rPr>
                <w:highlight w:val="magenta"/>
              </w:rPr>
              <w:t>USE THIS ONE AND GET RID OF THE REST</w:t>
            </w:r>
          </w:p>
          <w:p w:rsidR="00582C6C" w:rsidRPr="00C157B1" w:rsidRDefault="00582C6C" w:rsidP="001E3FB2"/>
          <w:p w:rsidR="00582C6C" w:rsidRPr="00C157B1" w:rsidRDefault="00582C6C" w:rsidP="001E3FB2">
            <w:pPr>
              <w:rPr>
                <w:bCs/>
              </w:rPr>
            </w:pPr>
            <w:r w:rsidRPr="00C157B1">
              <w:rPr>
                <w:bCs/>
              </w:rPr>
              <w:t>Compendium Method IO-2.4</w:t>
            </w:r>
          </w:p>
          <w:p w:rsidR="00582C6C" w:rsidRPr="00C157B1" w:rsidRDefault="00582C6C" w:rsidP="001E3FB2">
            <w:pPr>
              <w:rPr>
                <w:bCs/>
              </w:rPr>
            </w:pPr>
            <w:r w:rsidRPr="00C157B1">
              <w:rPr>
                <w:bCs/>
              </w:rPr>
              <w:t>CALCULATIONS</w:t>
            </w:r>
          </w:p>
          <w:p w:rsidR="00582C6C" w:rsidRPr="00C157B1" w:rsidRDefault="00582C6C" w:rsidP="001E3FB2">
            <w:pPr>
              <w:rPr>
                <w:bCs/>
              </w:rPr>
            </w:pPr>
            <w:r w:rsidRPr="00C157B1">
              <w:rPr>
                <w:bCs/>
              </w:rPr>
              <w:t>FOR</w:t>
            </w:r>
          </w:p>
          <w:p w:rsidR="00582C6C" w:rsidRPr="00C157B1" w:rsidRDefault="00582C6C" w:rsidP="001E3FB2">
            <w:r w:rsidRPr="00C157B1">
              <w:rPr>
                <w:bCs/>
              </w:rPr>
              <w:t>STANDARD VOLUME</w:t>
            </w:r>
          </w:p>
          <w:p w:rsidR="00582C6C" w:rsidRPr="00C157B1" w:rsidRDefault="00582C6C" w:rsidP="001E3FB2">
            <w:pPr>
              <w:rPr>
                <w:bCs/>
              </w:rPr>
            </w:pPr>
            <w:r w:rsidRPr="00C157B1">
              <w:rPr>
                <w:bCs/>
              </w:rPr>
              <w:t>2. Calculation of Volume to STP</w:t>
            </w:r>
          </w:p>
          <w:p w:rsidR="00582C6C" w:rsidRPr="00C157B1" w:rsidRDefault="00582C6C" w:rsidP="001E3FB2">
            <w:r w:rsidRPr="00C157B1">
              <w:rPr>
                <w:bCs/>
              </w:rPr>
              <w:t xml:space="preserve">2.1 </w:t>
            </w:r>
            <w:r w:rsidRPr="00C157B1">
              <w:t>To compare gas sampling data collected by various agencies and organizations from around the country,</w:t>
            </w:r>
          </w:p>
          <w:p w:rsidR="00582C6C" w:rsidRPr="00C157B1" w:rsidRDefault="00582C6C" w:rsidP="001E3FB2">
            <w:r w:rsidRPr="00C157B1">
              <w:t>EPA has specified that all gas volumes must be corrected to a set of predetermined standard conditions. For</w:t>
            </w:r>
          </w:p>
          <w:p w:rsidR="00582C6C" w:rsidRPr="00C157B1" w:rsidRDefault="00582C6C" w:rsidP="001E3FB2">
            <w:proofErr w:type="gramStart"/>
            <w:r w:rsidRPr="00C157B1">
              <w:t>atmospheric</w:t>
            </w:r>
            <w:proofErr w:type="gramEnd"/>
            <w:r w:rsidRPr="00C157B1">
              <w:t xml:space="preserve"> or ambient sampling, these conditions are 25EC or 298K and 760 mm Hg.</w:t>
            </w:r>
          </w:p>
          <w:p w:rsidR="00582C6C" w:rsidRPr="00C157B1" w:rsidRDefault="00582C6C" w:rsidP="001E3FB2"/>
          <w:p w:rsidR="00582C6C" w:rsidRPr="00C157B1" w:rsidRDefault="00582C6C" w:rsidP="001E3FB2">
            <w:r w:rsidRPr="00C157B1">
              <w:t xml:space="preserve">In chemistry, IUPAC established </w:t>
            </w:r>
            <w:r w:rsidRPr="00C157B1">
              <w:rPr>
                <w:bCs/>
              </w:rPr>
              <w:t>standard temperature and pressure</w:t>
            </w:r>
            <w:r w:rsidRPr="00C157B1">
              <w:t xml:space="preserve"> (informally abbreviated as </w:t>
            </w:r>
            <w:r w:rsidRPr="00C157B1">
              <w:rPr>
                <w:bCs/>
              </w:rPr>
              <w:t>STP</w:t>
            </w:r>
            <w:r w:rsidRPr="00C157B1">
              <w:t xml:space="preserve">) as a </w:t>
            </w:r>
            <w:hyperlink r:id="rId9" w:tooltip="Temperature" w:history="1">
              <w:r w:rsidRPr="00C157B1">
                <w:rPr>
                  <w:rStyle w:val="Hyperlink"/>
                </w:rPr>
                <w:t>temperature</w:t>
              </w:r>
            </w:hyperlink>
            <w:r w:rsidRPr="00C157B1">
              <w:t xml:space="preserve"> of 273.15 </w:t>
            </w:r>
            <w:hyperlink r:id="rId10" w:tooltip="Kelvin" w:history="1">
              <w:r w:rsidRPr="00C157B1">
                <w:rPr>
                  <w:rStyle w:val="Hyperlink"/>
                </w:rPr>
                <w:t>K</w:t>
              </w:r>
            </w:hyperlink>
            <w:r w:rsidRPr="00C157B1">
              <w:t xml:space="preserve"> (0 °C, 32 °F) and an </w:t>
            </w:r>
            <w:hyperlink r:id="rId11" w:tooltip="Absolute pressure" w:history="1">
              <w:r w:rsidRPr="00C157B1">
                <w:rPr>
                  <w:rStyle w:val="Hyperlink"/>
                </w:rPr>
                <w:t>absolute pressure</w:t>
              </w:r>
            </w:hyperlink>
            <w:r w:rsidRPr="00C157B1">
              <w:t xml:space="preserve"> of 100 </w:t>
            </w:r>
            <w:proofErr w:type="spellStart"/>
            <w:r w:rsidR="00DA6A8D" w:rsidRPr="00C157B1">
              <w:fldChar w:fldCharType="begin"/>
            </w:r>
            <w:r w:rsidRPr="00C157B1">
              <w:instrText xml:space="preserve"> HYPERLINK "http://en.wikipedia.org/wiki/Pascal_(unit)" \o "Pascal (unit)" </w:instrText>
            </w:r>
            <w:r w:rsidR="00DA6A8D" w:rsidRPr="00C157B1">
              <w:fldChar w:fldCharType="separate"/>
            </w:r>
            <w:r w:rsidRPr="00C157B1">
              <w:rPr>
                <w:rStyle w:val="Hyperlink"/>
              </w:rPr>
              <w:t>kPa</w:t>
            </w:r>
            <w:proofErr w:type="spellEnd"/>
            <w:r w:rsidR="00DA6A8D" w:rsidRPr="00C157B1">
              <w:fldChar w:fldCharType="end"/>
            </w:r>
            <w:r w:rsidRPr="00C157B1">
              <w:t xml:space="preserve"> (14.504 </w:t>
            </w:r>
            <w:hyperlink r:id="rId12" w:tooltip="Pound-force per square inch" w:history="1">
              <w:r w:rsidRPr="00C157B1">
                <w:rPr>
                  <w:rStyle w:val="Hyperlink"/>
                </w:rPr>
                <w:t>psi</w:t>
              </w:r>
            </w:hyperlink>
            <w:r w:rsidRPr="00C157B1">
              <w:t xml:space="preserve">, 0.986 </w:t>
            </w:r>
            <w:hyperlink r:id="rId13" w:tooltip="Atmosphere (unit)" w:history="1">
              <w:proofErr w:type="spellStart"/>
              <w:r w:rsidRPr="00C157B1">
                <w:rPr>
                  <w:rStyle w:val="Hyperlink"/>
                </w:rPr>
                <w:t>atm</w:t>
              </w:r>
              <w:proofErr w:type="spellEnd"/>
            </w:hyperlink>
            <w:r w:rsidRPr="00C157B1">
              <w:t xml:space="preserve">, </w:t>
            </w:r>
            <w:hyperlink r:id="rId14" w:tooltip="Bar (unit)" w:history="1">
              <w:r w:rsidRPr="00C157B1">
                <w:rPr>
                  <w:rStyle w:val="Hyperlink"/>
                </w:rPr>
                <w:t>1 bar</w:t>
              </w:r>
            </w:hyperlink>
            <w:r w:rsidRPr="00C157B1">
              <w:t>).</w:t>
            </w:r>
          </w:p>
          <w:p w:rsidR="00582C6C" w:rsidRPr="00C157B1" w:rsidRDefault="00DA6A8D" w:rsidP="001E3FB2">
            <w:hyperlink r:id="rId15" w:tooltip="National Institute of Standards and Technology" w:history="1">
              <w:r w:rsidR="00582C6C" w:rsidRPr="00C157B1">
                <w:rPr>
                  <w:rStyle w:val="Hyperlink"/>
                </w:rPr>
                <w:t>NIST</w:t>
              </w:r>
            </w:hyperlink>
            <w:r w:rsidR="00582C6C" w:rsidRPr="00C157B1">
              <w:t xml:space="preserve"> uses a temperature of 20 °C (293.15 K, 68 °F) and an absolute pressure of 101.325 </w:t>
            </w:r>
            <w:proofErr w:type="spellStart"/>
            <w:r w:rsidR="00582C6C" w:rsidRPr="00C157B1">
              <w:t>kPa</w:t>
            </w:r>
            <w:proofErr w:type="spellEnd"/>
            <w:r w:rsidR="00582C6C" w:rsidRPr="00C157B1">
              <w:t xml:space="preserve"> (14.696 psi, 1 </w:t>
            </w:r>
            <w:proofErr w:type="spellStart"/>
            <w:r w:rsidR="00582C6C" w:rsidRPr="00C157B1">
              <w:t>atm</w:t>
            </w:r>
            <w:proofErr w:type="spellEnd"/>
            <w:r w:rsidR="00582C6C" w:rsidRPr="00C157B1">
              <w:t>).</w:t>
            </w:r>
          </w:p>
          <w:p w:rsidR="00582C6C" w:rsidRPr="00C157B1" w:rsidRDefault="00582C6C" w:rsidP="001E3FB2"/>
        </w:tc>
        <w:tc>
          <w:tcPr>
            <w:tcW w:w="4320" w:type="dxa"/>
          </w:tcPr>
          <w:p w:rsidR="00582C6C" w:rsidRPr="006E233D" w:rsidRDefault="00582C6C" w:rsidP="001E3FB2">
            <w:r w:rsidRPr="006E233D">
              <w:rPr>
                <w:bCs/>
              </w:rPr>
              <w:t>340-208-0010</w:t>
            </w:r>
            <w:r w:rsidRPr="006E233D">
              <w:t xml:space="preserve"> (12) "Standard conditions" means a temperature of 68° Fahrenheit and a pressure of 14.7 pounds per square inch absolute.</w:t>
            </w:r>
          </w:p>
          <w:p w:rsidR="00582C6C" w:rsidRPr="006E233D" w:rsidRDefault="00582C6C" w:rsidP="001E3FB2"/>
          <w:p w:rsidR="00582C6C" w:rsidRPr="006E233D" w:rsidRDefault="00582C6C" w:rsidP="001E3FB2">
            <w:r w:rsidRPr="006E233D">
              <w:rPr>
                <w:bCs/>
              </w:rPr>
              <w:t>340-226-0010</w:t>
            </w:r>
            <w:r w:rsidRPr="006E233D">
              <w:t xml:space="preserve"> (5) "Standard conditions" means a temperature of 68° Fahrenheit and a pressure of 14.7 pounds per square inch absolute. </w:t>
            </w:r>
          </w:p>
          <w:p w:rsidR="00582C6C" w:rsidRPr="006E233D" w:rsidRDefault="00582C6C" w:rsidP="001E3FB2"/>
          <w:p w:rsidR="00582C6C" w:rsidRPr="006E233D" w:rsidRDefault="00582C6C" w:rsidP="001E3FB2">
            <w:r w:rsidRPr="006E233D">
              <w:rPr>
                <w:bCs/>
              </w:rPr>
              <w:t>340-228-0020</w:t>
            </w:r>
            <w:r w:rsidRPr="006E233D">
              <w:t xml:space="preserve"> (6) "Standard conditions" means a temperature of 68° Fahrenheit and a pressure of 14.7 pounds per square inch absolute. </w:t>
            </w:r>
          </w:p>
          <w:p w:rsidR="00582C6C" w:rsidRPr="006E233D" w:rsidRDefault="00582C6C" w:rsidP="001E3FB2"/>
          <w:p w:rsidR="00582C6C" w:rsidRPr="006E233D" w:rsidRDefault="00582C6C" w:rsidP="001E3FB2">
            <w:r w:rsidRPr="006E233D">
              <w:rPr>
                <w:bCs/>
              </w:rPr>
              <w:t>340-240-0030</w:t>
            </w:r>
            <w:r w:rsidRPr="006E233D">
              <w:t xml:space="preserve">(38) "Standard Conditions" means a temperature of 60° Fahrenheit (15.6° Celsius) and a pressure of 14.7 pounds per square inch absolute (1.03 Kilograms per square centimeter). </w:t>
            </w:r>
          </w:p>
          <w:p w:rsidR="00582C6C" w:rsidRPr="006E233D" w:rsidRDefault="00582C6C" w:rsidP="001E3FB2"/>
          <w:p w:rsidR="00582C6C" w:rsidRPr="006E233D" w:rsidRDefault="00582C6C" w:rsidP="001E3FB2">
            <w:r w:rsidRPr="006E233D">
              <w:t>Move from division 208, 226, and 228.  The definition of standard conditions in division in 240 needs correction for temperature.</w:t>
            </w:r>
          </w:p>
        </w:tc>
        <w:tc>
          <w:tcPr>
            <w:tcW w:w="787" w:type="dxa"/>
          </w:tcPr>
          <w:p w:rsidR="00582C6C" w:rsidRPr="006E233D" w:rsidRDefault="00582C6C" w:rsidP="001E3FB2">
            <w:r w:rsidRPr="006E233D">
              <w:t>done</w:t>
            </w:r>
          </w:p>
        </w:tc>
      </w:tr>
      <w:tr w:rsidR="00582C6C" w:rsidRPr="00582C6C" w:rsidTr="001E3FB2">
        <w:tc>
          <w:tcPr>
            <w:tcW w:w="918" w:type="dxa"/>
          </w:tcPr>
          <w:p w:rsidR="00582C6C" w:rsidRPr="00582C6C" w:rsidRDefault="00582C6C" w:rsidP="00582C6C">
            <w:pPr>
              <w:rPr>
                <w:sz w:val="24"/>
                <w:szCs w:val="24"/>
              </w:rPr>
            </w:pPr>
            <w:r w:rsidRPr="00582C6C">
              <w:rPr>
                <w:sz w:val="24"/>
                <w:szCs w:val="24"/>
              </w:rPr>
              <w:t>214</w:t>
            </w:r>
          </w:p>
        </w:tc>
        <w:tc>
          <w:tcPr>
            <w:tcW w:w="1350" w:type="dxa"/>
          </w:tcPr>
          <w:p w:rsidR="00582C6C" w:rsidRPr="00582C6C" w:rsidRDefault="00582C6C" w:rsidP="00582C6C">
            <w:pPr>
              <w:rPr>
                <w:sz w:val="24"/>
                <w:szCs w:val="24"/>
              </w:rPr>
            </w:pPr>
            <w:r w:rsidRPr="00582C6C">
              <w:rPr>
                <w:sz w:val="24"/>
                <w:szCs w:val="24"/>
              </w:rPr>
              <w:t>0350(2)</w:t>
            </w:r>
          </w:p>
        </w:tc>
        <w:tc>
          <w:tcPr>
            <w:tcW w:w="990" w:type="dxa"/>
          </w:tcPr>
          <w:p w:rsidR="00582C6C" w:rsidRPr="00582C6C" w:rsidRDefault="00582C6C" w:rsidP="00582C6C">
            <w:pPr>
              <w:rPr>
                <w:sz w:val="24"/>
                <w:szCs w:val="24"/>
              </w:rPr>
            </w:pPr>
            <w:r w:rsidRPr="00582C6C">
              <w:rPr>
                <w:sz w:val="24"/>
                <w:szCs w:val="24"/>
              </w:rPr>
              <w:t>NA</w:t>
            </w:r>
          </w:p>
        </w:tc>
        <w:tc>
          <w:tcPr>
            <w:tcW w:w="1350" w:type="dxa"/>
          </w:tcPr>
          <w:p w:rsidR="00582C6C" w:rsidRPr="00582C6C" w:rsidRDefault="00582C6C" w:rsidP="00582C6C">
            <w:pPr>
              <w:rPr>
                <w:sz w:val="24"/>
                <w:szCs w:val="24"/>
              </w:rPr>
            </w:pPr>
            <w:r w:rsidRPr="00582C6C">
              <w:rPr>
                <w:sz w:val="24"/>
                <w:szCs w:val="24"/>
              </w:rPr>
              <w:t>NA</w:t>
            </w:r>
          </w:p>
        </w:tc>
        <w:tc>
          <w:tcPr>
            <w:tcW w:w="4860" w:type="dxa"/>
          </w:tcPr>
          <w:p w:rsidR="00582C6C" w:rsidRPr="00582C6C" w:rsidRDefault="00582C6C" w:rsidP="00582C6C">
            <w:pPr>
              <w:rPr>
                <w:sz w:val="24"/>
                <w:szCs w:val="24"/>
              </w:rPr>
            </w:pPr>
            <w:r w:rsidRPr="00582C6C">
              <w:rPr>
                <w:sz w:val="24"/>
                <w:szCs w:val="24"/>
              </w:rPr>
              <w:t>Add “Whether any federal New Source Performance Standard or National Emission Standard for Hazardous Air Pollutants apply and whether the excess emission event caused a violation of the federal standard;”</w:t>
            </w:r>
          </w:p>
        </w:tc>
        <w:tc>
          <w:tcPr>
            <w:tcW w:w="4320" w:type="dxa"/>
          </w:tcPr>
          <w:p w:rsidR="00582C6C" w:rsidRPr="00582C6C" w:rsidRDefault="00582C6C" w:rsidP="00582C6C">
            <w:pPr>
              <w:rPr>
                <w:sz w:val="24"/>
                <w:szCs w:val="24"/>
              </w:rPr>
            </w:pPr>
            <w:r w:rsidRPr="00582C6C">
              <w:rPr>
                <w:sz w:val="24"/>
                <w:szCs w:val="24"/>
              </w:rPr>
              <w:t xml:space="preserve">Add this provision to the criteria for determining whether to take enforcement action for excess emissions.  </w:t>
            </w:r>
            <w:r w:rsidR="006310D5">
              <w:rPr>
                <w:sz w:val="24"/>
                <w:szCs w:val="24"/>
              </w:rPr>
              <w:t xml:space="preserve">The general standard still applies even when there is a specific one.  According to NSPS or NESHAP, there is a source specific standard.  Because they are complying with the source specific standard, we can use enforcement discretion if they are exceeding the general standard.  The source specific standards have an exception during startup/shutdown so the general standard is more stringent during those times.  </w:t>
            </w:r>
            <w:r w:rsidRPr="00582C6C">
              <w:rPr>
                <w:sz w:val="24"/>
                <w:szCs w:val="24"/>
                <w:highlight w:val="green"/>
              </w:rPr>
              <w:t>EPA can approve a SIP revision that creates an affirmative defense to claims for penalties in enforcement actions regarding excess emissions caused by malfunctions as long as the defense does not apply to SIP provisions that derive from federally promulgated performance standards or emission limits, such as new source performance standards (NSPS) and national emissions standards for hazardous air pollutants (NESHAPS).</w:t>
            </w:r>
          </w:p>
        </w:tc>
        <w:tc>
          <w:tcPr>
            <w:tcW w:w="787" w:type="dxa"/>
          </w:tcPr>
          <w:p w:rsidR="00582C6C" w:rsidRPr="00582C6C" w:rsidRDefault="00582C6C" w:rsidP="00582C6C">
            <w:pPr>
              <w:rPr>
                <w:sz w:val="24"/>
                <w:szCs w:val="24"/>
              </w:rPr>
            </w:pPr>
            <w:r w:rsidRPr="00582C6C">
              <w:rPr>
                <w:sz w:val="24"/>
                <w:szCs w:val="24"/>
              </w:rPr>
              <w:t>done</w:t>
            </w:r>
          </w:p>
        </w:tc>
      </w:tr>
      <w:tr w:rsidR="00F074C2" w:rsidRPr="006E233D" w:rsidTr="00F074C2">
        <w:tc>
          <w:tcPr>
            <w:tcW w:w="918" w:type="dxa"/>
            <w:tcBorders>
              <w:top w:val="double" w:sz="6" w:space="0" w:color="auto"/>
              <w:left w:val="double" w:sz="6" w:space="0" w:color="auto"/>
              <w:bottom w:val="double" w:sz="6" w:space="0" w:color="auto"/>
              <w:right w:val="double" w:sz="6" w:space="0" w:color="auto"/>
            </w:tcBorders>
          </w:tcPr>
          <w:p w:rsidR="00F074C2" w:rsidRPr="00F074C2" w:rsidRDefault="00F074C2" w:rsidP="001E3FB2">
            <w:pPr>
              <w:rPr>
                <w:sz w:val="24"/>
                <w:szCs w:val="24"/>
              </w:rPr>
            </w:pPr>
            <w:r w:rsidRPr="00F074C2">
              <w:rPr>
                <w:sz w:val="24"/>
                <w:szCs w:val="24"/>
              </w:rPr>
              <w:t>240</w:t>
            </w:r>
          </w:p>
        </w:tc>
        <w:tc>
          <w:tcPr>
            <w:tcW w:w="1350" w:type="dxa"/>
            <w:tcBorders>
              <w:top w:val="double" w:sz="6" w:space="0" w:color="auto"/>
              <w:left w:val="double" w:sz="6" w:space="0" w:color="auto"/>
              <w:bottom w:val="double" w:sz="6" w:space="0" w:color="auto"/>
              <w:right w:val="double" w:sz="6" w:space="0" w:color="auto"/>
            </w:tcBorders>
          </w:tcPr>
          <w:p w:rsidR="00F074C2" w:rsidRPr="00F074C2" w:rsidRDefault="00F074C2" w:rsidP="001E3FB2">
            <w:pPr>
              <w:rPr>
                <w:sz w:val="24"/>
                <w:szCs w:val="24"/>
              </w:rPr>
            </w:pPr>
            <w:r w:rsidRPr="00F074C2">
              <w:rPr>
                <w:sz w:val="24"/>
                <w:szCs w:val="24"/>
              </w:rPr>
              <w:t>0400</w:t>
            </w:r>
          </w:p>
        </w:tc>
        <w:tc>
          <w:tcPr>
            <w:tcW w:w="990" w:type="dxa"/>
            <w:tcBorders>
              <w:top w:val="double" w:sz="6" w:space="0" w:color="auto"/>
              <w:left w:val="double" w:sz="6" w:space="0" w:color="auto"/>
              <w:bottom w:val="double" w:sz="6" w:space="0" w:color="auto"/>
              <w:right w:val="double" w:sz="6" w:space="0" w:color="auto"/>
            </w:tcBorders>
          </w:tcPr>
          <w:p w:rsidR="00F074C2" w:rsidRPr="00F074C2" w:rsidRDefault="00F074C2" w:rsidP="00F074C2">
            <w:pPr>
              <w:rPr>
                <w:sz w:val="24"/>
                <w:szCs w:val="24"/>
              </w:rPr>
            </w:pPr>
            <w:r w:rsidRPr="00F074C2">
              <w:rPr>
                <w:sz w:val="24"/>
                <w:szCs w:val="24"/>
              </w:rPr>
              <w:t>NA</w:t>
            </w:r>
          </w:p>
        </w:tc>
        <w:tc>
          <w:tcPr>
            <w:tcW w:w="1350" w:type="dxa"/>
            <w:tcBorders>
              <w:top w:val="double" w:sz="6" w:space="0" w:color="auto"/>
              <w:left w:val="double" w:sz="6" w:space="0" w:color="auto"/>
              <w:bottom w:val="double" w:sz="6" w:space="0" w:color="auto"/>
              <w:right w:val="double" w:sz="6" w:space="0" w:color="auto"/>
            </w:tcBorders>
          </w:tcPr>
          <w:p w:rsidR="00F074C2" w:rsidRPr="00F074C2" w:rsidRDefault="00F074C2" w:rsidP="00F074C2">
            <w:pPr>
              <w:rPr>
                <w:sz w:val="24"/>
                <w:szCs w:val="24"/>
              </w:rPr>
            </w:pPr>
            <w:r w:rsidRPr="00F074C2">
              <w:rPr>
                <w:sz w:val="24"/>
                <w:szCs w:val="24"/>
              </w:rPr>
              <w:t>NA</w:t>
            </w:r>
          </w:p>
        </w:tc>
        <w:tc>
          <w:tcPr>
            <w:tcW w:w="4860" w:type="dxa"/>
            <w:tcBorders>
              <w:top w:val="double" w:sz="6" w:space="0" w:color="auto"/>
              <w:left w:val="double" w:sz="6" w:space="0" w:color="auto"/>
              <w:bottom w:val="double" w:sz="6" w:space="0" w:color="auto"/>
              <w:right w:val="double" w:sz="6" w:space="0" w:color="auto"/>
            </w:tcBorders>
          </w:tcPr>
          <w:p w:rsidR="00F074C2" w:rsidRDefault="00F074C2" w:rsidP="001E3FB2">
            <w:pPr>
              <w:rPr>
                <w:sz w:val="24"/>
                <w:szCs w:val="24"/>
              </w:rPr>
            </w:pPr>
            <w:r w:rsidRPr="00F074C2">
              <w:rPr>
                <w:sz w:val="24"/>
                <w:szCs w:val="24"/>
                <w:highlight w:val="green"/>
              </w:rPr>
              <w:t xml:space="preserve">Add other types of </w:t>
            </w:r>
            <w:proofErr w:type="gramStart"/>
            <w:r w:rsidRPr="006C314D">
              <w:rPr>
                <w:sz w:val="24"/>
                <w:szCs w:val="24"/>
                <w:highlight w:val="green"/>
              </w:rPr>
              <w:t xml:space="preserve">sources  </w:t>
            </w:r>
            <w:r w:rsidR="006310D5">
              <w:rPr>
                <w:sz w:val="24"/>
                <w:szCs w:val="24"/>
              </w:rPr>
              <w:t>NO</w:t>
            </w:r>
            <w:proofErr w:type="gramEnd"/>
            <w:r w:rsidR="006310D5">
              <w:rPr>
                <w:sz w:val="24"/>
                <w:szCs w:val="24"/>
              </w:rPr>
              <w:t xml:space="preserve">, WE CANNOT ADD ANY OTHER SOURCES BECAUSE THE ONES IDENTIFIED WERE ADDED FOR THE MAINTENANCE PLAN.  </w:t>
            </w:r>
          </w:p>
          <w:p w:rsidR="00F074C2" w:rsidRDefault="00F074C2" w:rsidP="001E3FB2">
            <w:pPr>
              <w:rPr>
                <w:sz w:val="24"/>
                <w:szCs w:val="24"/>
              </w:rPr>
            </w:pPr>
          </w:p>
          <w:p w:rsidR="00F074C2" w:rsidRPr="00F074C2" w:rsidRDefault="00F074C2" w:rsidP="00F074C2">
            <w:pPr>
              <w:rPr>
                <w:sz w:val="24"/>
                <w:szCs w:val="24"/>
              </w:rPr>
            </w:pPr>
            <w:r w:rsidRPr="00F074C2">
              <w:rPr>
                <w:b/>
                <w:bCs/>
                <w:sz w:val="24"/>
                <w:szCs w:val="24"/>
              </w:rPr>
              <w:t>The Lakeview Urban Growth Area</w:t>
            </w:r>
            <w:r w:rsidRPr="00F074C2">
              <w:rPr>
                <w:sz w:val="24"/>
                <w:szCs w:val="24"/>
              </w:rPr>
              <w:t xml:space="preserve"> </w:t>
            </w:r>
          </w:p>
          <w:p w:rsidR="00F074C2" w:rsidRPr="00F074C2" w:rsidRDefault="00F074C2" w:rsidP="00F074C2">
            <w:pPr>
              <w:rPr>
                <w:sz w:val="24"/>
                <w:szCs w:val="24"/>
              </w:rPr>
            </w:pPr>
            <w:r w:rsidRPr="00F074C2">
              <w:rPr>
                <w:b/>
                <w:bCs/>
                <w:sz w:val="24"/>
                <w:szCs w:val="24"/>
              </w:rPr>
              <w:t>340-240-0400</w:t>
            </w:r>
          </w:p>
          <w:p w:rsidR="00F074C2" w:rsidRPr="00F074C2" w:rsidRDefault="00F074C2" w:rsidP="00F074C2">
            <w:pPr>
              <w:rPr>
                <w:sz w:val="24"/>
                <w:szCs w:val="24"/>
              </w:rPr>
            </w:pPr>
            <w:r w:rsidRPr="00F074C2">
              <w:rPr>
                <w:b/>
                <w:bCs/>
                <w:sz w:val="24"/>
                <w:szCs w:val="24"/>
              </w:rPr>
              <w:t>Applicability</w:t>
            </w:r>
          </w:p>
          <w:p w:rsidR="00F074C2" w:rsidRPr="00F074C2" w:rsidRDefault="00F074C2" w:rsidP="00F074C2">
            <w:pPr>
              <w:rPr>
                <w:sz w:val="24"/>
                <w:szCs w:val="24"/>
              </w:rPr>
            </w:pPr>
            <w:proofErr w:type="gramStart"/>
            <w:r w:rsidRPr="00F074C2">
              <w:rPr>
                <w:sz w:val="24"/>
                <w:szCs w:val="24"/>
              </w:rPr>
              <w:t>OAR 340-240-0400 through 340-240-0440 apply</w:t>
            </w:r>
            <w:proofErr w:type="gramEnd"/>
            <w:r w:rsidRPr="00F074C2">
              <w:rPr>
                <w:sz w:val="24"/>
                <w:szCs w:val="24"/>
              </w:rPr>
              <w:t xml:space="preserve"> to the Lakeview Urban Growth Area.</w:t>
            </w:r>
          </w:p>
          <w:p w:rsidR="00F074C2" w:rsidRDefault="00F074C2" w:rsidP="001E3FB2">
            <w:pPr>
              <w:rPr>
                <w:sz w:val="24"/>
                <w:szCs w:val="24"/>
              </w:rPr>
            </w:pPr>
          </w:p>
          <w:p w:rsidR="00F074C2" w:rsidRPr="00F074C2" w:rsidRDefault="00F074C2" w:rsidP="00F074C2">
            <w:pPr>
              <w:rPr>
                <w:sz w:val="24"/>
                <w:szCs w:val="24"/>
              </w:rPr>
            </w:pPr>
            <w:r w:rsidRPr="00F074C2">
              <w:rPr>
                <w:b/>
                <w:bCs/>
                <w:sz w:val="24"/>
                <w:szCs w:val="24"/>
              </w:rPr>
              <w:t xml:space="preserve">340-240-0420 </w:t>
            </w:r>
          </w:p>
          <w:p w:rsidR="00F074C2" w:rsidRPr="00F074C2" w:rsidRDefault="00F074C2" w:rsidP="00F074C2">
            <w:pPr>
              <w:rPr>
                <w:sz w:val="24"/>
                <w:szCs w:val="24"/>
              </w:rPr>
            </w:pPr>
            <w:r w:rsidRPr="00F074C2">
              <w:rPr>
                <w:b/>
                <w:bCs/>
                <w:sz w:val="24"/>
                <w:szCs w:val="24"/>
              </w:rPr>
              <w:t xml:space="preserve">Requirement for Operation and Maintenance Plans </w:t>
            </w:r>
          </w:p>
          <w:p w:rsidR="00F074C2" w:rsidRPr="00F074C2" w:rsidRDefault="00F074C2" w:rsidP="00F074C2">
            <w:pPr>
              <w:rPr>
                <w:sz w:val="24"/>
                <w:szCs w:val="24"/>
              </w:rPr>
            </w:pPr>
            <w:r w:rsidRPr="00F074C2">
              <w:rPr>
                <w:sz w:val="24"/>
                <w:szCs w:val="24"/>
              </w:rPr>
              <w:t xml:space="preserve">(1) Operation and Maintenance Plans must be prepared by all holders of Permits other than a </w:t>
            </w:r>
            <w:r w:rsidRPr="006C314D">
              <w:rPr>
                <w:sz w:val="24"/>
                <w:szCs w:val="24"/>
                <w:highlight w:val="green"/>
              </w:rPr>
              <w:t>Regulated Source ACDP</w:t>
            </w:r>
            <w:r w:rsidRPr="00F074C2">
              <w:rPr>
                <w:sz w:val="24"/>
                <w:szCs w:val="24"/>
              </w:rPr>
              <w:t>. All sources subject to regular permit requirements are subject to operation and maintenance requirements.</w:t>
            </w:r>
          </w:p>
          <w:p w:rsidR="00F074C2" w:rsidRPr="00F074C2" w:rsidRDefault="00F074C2" w:rsidP="00F074C2">
            <w:pPr>
              <w:rPr>
                <w:sz w:val="24"/>
                <w:szCs w:val="24"/>
              </w:rPr>
            </w:pPr>
            <w:r w:rsidRPr="00F074C2">
              <w:rPr>
                <w:sz w:val="24"/>
                <w:szCs w:val="24"/>
              </w:rPr>
              <w:t>(2) The purposes of the operation and maintenance plans are to:</w:t>
            </w:r>
          </w:p>
          <w:p w:rsidR="00F074C2" w:rsidRPr="00F074C2" w:rsidRDefault="00F074C2" w:rsidP="001E3FB2">
            <w:pPr>
              <w:rPr>
                <w:sz w:val="24"/>
                <w:szCs w:val="24"/>
              </w:rPr>
            </w:pPr>
          </w:p>
        </w:tc>
        <w:tc>
          <w:tcPr>
            <w:tcW w:w="4320" w:type="dxa"/>
            <w:tcBorders>
              <w:top w:val="double" w:sz="6" w:space="0" w:color="auto"/>
              <w:left w:val="double" w:sz="6" w:space="0" w:color="auto"/>
              <w:bottom w:val="double" w:sz="6" w:space="0" w:color="auto"/>
              <w:right w:val="double" w:sz="6" w:space="0" w:color="auto"/>
            </w:tcBorders>
          </w:tcPr>
          <w:p w:rsidR="00F074C2" w:rsidRDefault="00F074C2" w:rsidP="001E3FB2">
            <w:pPr>
              <w:rPr>
                <w:sz w:val="24"/>
                <w:szCs w:val="24"/>
              </w:rPr>
            </w:pPr>
            <w:r w:rsidRPr="00F074C2">
              <w:rPr>
                <w:sz w:val="24"/>
                <w:szCs w:val="24"/>
              </w:rPr>
              <w:t>Do they exist in Lakeview?</w:t>
            </w:r>
          </w:p>
          <w:p w:rsidR="006C314D" w:rsidRDefault="006C314D" w:rsidP="001E3FB2">
            <w:pPr>
              <w:rPr>
                <w:sz w:val="24"/>
                <w:szCs w:val="24"/>
              </w:rPr>
            </w:pPr>
          </w:p>
          <w:p w:rsidR="006C314D" w:rsidRPr="00F074C2" w:rsidRDefault="006C314D" w:rsidP="001E3FB2">
            <w:pPr>
              <w:rPr>
                <w:sz w:val="24"/>
                <w:szCs w:val="24"/>
              </w:rPr>
            </w:pPr>
            <w:r>
              <w:rPr>
                <w:sz w:val="24"/>
                <w:szCs w:val="24"/>
              </w:rPr>
              <w:t>WHAT IS A REGULATED SOURCE ACDP?</w:t>
            </w:r>
          </w:p>
        </w:tc>
        <w:tc>
          <w:tcPr>
            <w:tcW w:w="787" w:type="dxa"/>
            <w:tcBorders>
              <w:top w:val="double" w:sz="6" w:space="0" w:color="auto"/>
              <w:left w:val="double" w:sz="6" w:space="0" w:color="auto"/>
              <w:bottom w:val="double" w:sz="6" w:space="0" w:color="auto"/>
              <w:right w:val="double" w:sz="6" w:space="0" w:color="auto"/>
            </w:tcBorders>
          </w:tcPr>
          <w:p w:rsidR="00F074C2" w:rsidRPr="00F074C2" w:rsidRDefault="00F074C2" w:rsidP="001E3FB2">
            <w:pPr>
              <w:rPr>
                <w:sz w:val="24"/>
                <w:szCs w:val="24"/>
              </w:rPr>
            </w:pPr>
          </w:p>
        </w:tc>
      </w:tr>
    </w:tbl>
    <w:p w:rsidR="00582C6C" w:rsidRDefault="00582C6C" w:rsidP="000857A3">
      <w:pPr>
        <w:rPr>
          <w:sz w:val="24"/>
          <w:szCs w:val="24"/>
        </w:rPr>
      </w:pPr>
    </w:p>
    <w:p w:rsidR="00046262" w:rsidRDefault="00046262" w:rsidP="000857A3">
      <w:pPr>
        <w:rPr>
          <w:sz w:val="24"/>
          <w:szCs w:val="24"/>
        </w:rPr>
      </w:pPr>
    </w:p>
    <w:p w:rsidR="00046262" w:rsidRDefault="00046262" w:rsidP="000857A3">
      <w:pPr>
        <w:rPr>
          <w:sz w:val="24"/>
          <w:szCs w:val="24"/>
        </w:rPr>
      </w:pPr>
    </w:p>
    <w:p w:rsidR="00046262" w:rsidRPr="00046262" w:rsidRDefault="00046262" w:rsidP="00046262">
      <w:pPr>
        <w:rPr>
          <w:sz w:val="24"/>
          <w:szCs w:val="24"/>
        </w:rPr>
      </w:pPr>
      <w:r w:rsidRPr="00046262">
        <w:rPr>
          <w:b/>
          <w:bCs/>
          <w:sz w:val="24"/>
          <w:szCs w:val="24"/>
        </w:rPr>
        <w:t xml:space="preserve">340-225-0090 </w:t>
      </w:r>
    </w:p>
    <w:p w:rsidR="00046262" w:rsidRPr="00046262" w:rsidRDefault="00046262" w:rsidP="00046262">
      <w:pPr>
        <w:rPr>
          <w:b/>
          <w:bCs/>
          <w:sz w:val="24"/>
          <w:szCs w:val="24"/>
        </w:rPr>
      </w:pPr>
    </w:p>
    <w:p w:rsidR="00046262" w:rsidRPr="00046262" w:rsidRDefault="00046262" w:rsidP="00046262">
      <w:pPr>
        <w:rPr>
          <w:sz w:val="24"/>
          <w:szCs w:val="24"/>
        </w:rPr>
      </w:pPr>
      <w:r w:rsidRPr="00046262">
        <w:rPr>
          <w:b/>
          <w:bCs/>
          <w:sz w:val="24"/>
          <w:szCs w:val="24"/>
        </w:rPr>
        <w:t>Requirements for Demonstrating a Net Air Quality Benefit</w:t>
      </w:r>
    </w:p>
    <w:p w:rsidR="00046262" w:rsidRPr="00046262" w:rsidRDefault="00046262" w:rsidP="00046262">
      <w:pPr>
        <w:rPr>
          <w:sz w:val="24"/>
          <w:szCs w:val="24"/>
        </w:rPr>
      </w:pPr>
      <w:r w:rsidRPr="00046262">
        <w:rPr>
          <w:sz w:val="24"/>
          <w:szCs w:val="24"/>
        </w:rPr>
        <w:t xml:space="preserve">(c) For a source locating inside or causing a significant air quality impact on a designated maintenance area, the owner or operator must either provide offsets sufficient to reduce modeled impacts below the significant air quality impact level (OAR 340-200-0020) at all receptors within the designated maintenance area or obtain an allocation from an available growth allowance as allowed by an applicable maintenance plan. These offsets may come from within or outside the designated maintenance area.  </w:t>
      </w:r>
    </w:p>
    <w:p w:rsidR="00046262" w:rsidRPr="00046262" w:rsidRDefault="00046262" w:rsidP="00046262">
      <w:pPr>
        <w:rPr>
          <w:sz w:val="24"/>
          <w:szCs w:val="24"/>
        </w:rPr>
      </w:pPr>
      <w:commentRangeStart w:id="3"/>
      <w:r w:rsidRPr="00046262">
        <w:rPr>
          <w:sz w:val="24"/>
          <w:szCs w:val="24"/>
        </w:rPr>
        <w:t xml:space="preserve">(A) </w:t>
      </w:r>
      <w:commentRangeEnd w:id="3"/>
      <w:r w:rsidRPr="00046262">
        <w:rPr>
          <w:sz w:val="24"/>
          <w:szCs w:val="24"/>
        </w:rPr>
        <w:commentReference w:id="3"/>
      </w:r>
      <w:r w:rsidRPr="00046262">
        <w:rPr>
          <w:sz w:val="24"/>
          <w:szCs w:val="24"/>
        </w:rPr>
        <w:t>Medford-Ashland AQMA: Proposed new major PM10 sources or major PM10 modifications locating within the AQMA that are required to provide emission offsets under OAR 340-224-0060(2</w:t>
      </w:r>
      <w:proofErr w:type="gramStart"/>
      <w:r w:rsidRPr="00046262">
        <w:rPr>
          <w:sz w:val="24"/>
          <w:szCs w:val="24"/>
        </w:rPr>
        <w:t>)(</w:t>
      </w:r>
      <w:proofErr w:type="gramEnd"/>
      <w:r w:rsidRPr="00046262">
        <w:rPr>
          <w:sz w:val="24"/>
          <w:szCs w:val="24"/>
        </w:rPr>
        <w:t xml:space="preserve">a) must provide reductions in PM10 emissions equal to 1.2 times the emissions increase over the netting basis from the new or modified source, and must provide a net air quality benefit within the AQMA. "Net Air Quality Benefit" means: </w:t>
      </w:r>
    </w:p>
    <w:p w:rsidR="00046262" w:rsidRPr="00046262" w:rsidRDefault="00046262" w:rsidP="00046262">
      <w:pPr>
        <w:rPr>
          <w:sz w:val="24"/>
          <w:szCs w:val="24"/>
        </w:rPr>
      </w:pPr>
      <w:r w:rsidRPr="00046262">
        <w:rPr>
          <w:sz w:val="24"/>
          <w:szCs w:val="24"/>
        </w:rPr>
        <w:t>(</w:t>
      </w:r>
      <w:proofErr w:type="spellStart"/>
      <w:proofErr w:type="gramStart"/>
      <w:r w:rsidRPr="00046262">
        <w:rPr>
          <w:sz w:val="24"/>
          <w:szCs w:val="24"/>
        </w:rPr>
        <w:t>i</w:t>
      </w:r>
      <w:proofErr w:type="spellEnd"/>
      <w:proofErr w:type="gramEnd"/>
      <w:r w:rsidRPr="00046262">
        <w:rPr>
          <w:sz w:val="24"/>
          <w:szCs w:val="24"/>
        </w:rPr>
        <w:t xml:space="preserve">)A reduction in concentration at a majority of the modeled receptors and less than a significant impact level increase at all modeled receptors; or </w:t>
      </w:r>
    </w:p>
    <w:p w:rsidR="00046262" w:rsidRPr="00046262" w:rsidRDefault="00046262" w:rsidP="00046262">
      <w:pPr>
        <w:rPr>
          <w:sz w:val="24"/>
          <w:szCs w:val="24"/>
        </w:rPr>
      </w:pPr>
      <w:r w:rsidRPr="00046262">
        <w:rPr>
          <w:sz w:val="24"/>
          <w:szCs w:val="24"/>
        </w:rPr>
        <w:t xml:space="preserve"> (ii) For a small scale local energy project and any infrastructure related to that project located in the same area, a reduction of the maintenance pollutant emissions equal to the ratio specified in this paragraph, provided that the proposed major source or major modification would not cause or contribute to a violation of the national ambient air quality standard or otherwise pose a material threat to compliance with air quality standards in the maintenance area. </w:t>
      </w:r>
    </w:p>
    <w:p w:rsidR="00046262" w:rsidRPr="00046262" w:rsidRDefault="00046262" w:rsidP="00046262">
      <w:pPr>
        <w:rPr>
          <w:sz w:val="24"/>
          <w:szCs w:val="24"/>
        </w:rPr>
      </w:pPr>
      <w:r w:rsidRPr="00046262">
        <w:rPr>
          <w:sz w:val="24"/>
          <w:szCs w:val="24"/>
        </w:rPr>
        <w:t xml:space="preserve">(B) Medford-Ashland AQMA: Proposed new major PM10 sources or major PM10 modifications located outside the Medford-Ashland AQMA that cause a significant air quality impact on the AQMA must provide reductions in PM10 emissions sufficient to reduce modeled impacts below the significant air quality impact level (OAR 340-200-0020) at all receptors within the AQMA. </w:t>
      </w:r>
    </w:p>
    <w:p w:rsidR="00046262" w:rsidRDefault="00046262" w:rsidP="000857A3">
      <w:pPr>
        <w:rPr>
          <w:sz w:val="24"/>
          <w:szCs w:val="24"/>
        </w:rPr>
      </w:pPr>
    </w:p>
    <w:p w:rsidR="007673FA" w:rsidRDefault="007673FA" w:rsidP="000857A3">
      <w:pPr>
        <w:rPr>
          <w:sz w:val="24"/>
          <w:szCs w:val="24"/>
        </w:rPr>
      </w:pPr>
    </w:p>
    <w:p w:rsidR="007673FA" w:rsidRDefault="007673FA" w:rsidP="000857A3">
      <w:pPr>
        <w:rPr>
          <w:sz w:val="24"/>
          <w:szCs w:val="24"/>
        </w:rPr>
      </w:pPr>
    </w:p>
    <w:p w:rsidR="007673FA" w:rsidRPr="007673FA" w:rsidRDefault="007673FA" w:rsidP="007673FA">
      <w:pPr>
        <w:rPr>
          <w:sz w:val="24"/>
          <w:szCs w:val="24"/>
        </w:rPr>
      </w:pPr>
      <w:r w:rsidRPr="007673FA">
        <w:rPr>
          <w:b/>
          <w:bCs/>
          <w:sz w:val="24"/>
          <w:szCs w:val="24"/>
        </w:rPr>
        <w:t xml:space="preserve">340-224-0060 </w:t>
      </w:r>
    </w:p>
    <w:p w:rsidR="007673FA" w:rsidRPr="007673FA" w:rsidRDefault="007673FA" w:rsidP="007673FA">
      <w:pPr>
        <w:rPr>
          <w:sz w:val="24"/>
          <w:szCs w:val="24"/>
        </w:rPr>
      </w:pPr>
      <w:r w:rsidRPr="007673FA">
        <w:rPr>
          <w:b/>
          <w:bCs/>
          <w:sz w:val="24"/>
          <w:szCs w:val="24"/>
        </w:rPr>
        <w:t>Requirements for Sources in Maintenance Areas</w:t>
      </w:r>
    </w:p>
    <w:p w:rsidR="007673FA" w:rsidRPr="007673FA" w:rsidRDefault="007673FA" w:rsidP="007673FA">
      <w:pPr>
        <w:rPr>
          <w:sz w:val="24"/>
          <w:szCs w:val="24"/>
        </w:rPr>
      </w:pPr>
    </w:p>
    <w:p w:rsidR="007673FA" w:rsidRPr="007673FA" w:rsidRDefault="007673FA" w:rsidP="007673FA">
      <w:pPr>
        <w:rPr>
          <w:sz w:val="24"/>
          <w:szCs w:val="24"/>
        </w:rPr>
      </w:pPr>
      <w:r w:rsidRPr="007673FA">
        <w:rPr>
          <w:sz w:val="24"/>
          <w:szCs w:val="24"/>
        </w:rPr>
        <w:t xml:space="preserve">Within a designated maintenance area, proposed major sources and major modifications of a maintenance pollutant, including VOC or NOx in a designated ozone maintenance area or SO2 or NOx in a designated PM2.5 maintenance area, must meet the requirements listed below: </w:t>
      </w:r>
    </w:p>
    <w:p w:rsidR="007673FA" w:rsidRPr="007673FA" w:rsidRDefault="007673FA" w:rsidP="007673FA">
      <w:pPr>
        <w:rPr>
          <w:sz w:val="24"/>
          <w:szCs w:val="24"/>
        </w:rPr>
      </w:pPr>
      <w:r w:rsidRPr="007673FA">
        <w:rPr>
          <w:sz w:val="24"/>
          <w:szCs w:val="24"/>
        </w:rPr>
        <w:t xml:space="preserve">(1) The owner or operator must comply with the </w:t>
      </w:r>
      <w:r w:rsidRPr="007673FA">
        <w:rPr>
          <w:bCs/>
          <w:sz w:val="24"/>
          <w:szCs w:val="24"/>
        </w:rPr>
        <w:t xml:space="preserve">Prevention of Significant Deterioration Requirements for Sources in Attainment or Unclassified Areas </w:t>
      </w:r>
      <w:r w:rsidRPr="007673FA">
        <w:rPr>
          <w:sz w:val="24"/>
          <w:szCs w:val="24"/>
        </w:rPr>
        <w:t>in OAR 340-224-0070; and</w:t>
      </w:r>
    </w:p>
    <w:p w:rsidR="007673FA" w:rsidRPr="007673FA" w:rsidRDefault="007673FA" w:rsidP="007673FA">
      <w:pPr>
        <w:rPr>
          <w:sz w:val="24"/>
          <w:szCs w:val="24"/>
        </w:rPr>
      </w:pPr>
      <w:r w:rsidRPr="007673FA">
        <w:rPr>
          <w:sz w:val="24"/>
          <w:szCs w:val="24"/>
        </w:rPr>
        <w:t>(2) Net Air Quality Benefit:  The owner or operator must demonstrate Net Air Quality Benefit by satisfying one of the requirements listed below:</w:t>
      </w:r>
    </w:p>
    <w:p w:rsidR="007673FA" w:rsidRPr="007673FA" w:rsidRDefault="007673FA" w:rsidP="007673FA">
      <w:pPr>
        <w:rPr>
          <w:sz w:val="24"/>
          <w:szCs w:val="24"/>
        </w:rPr>
      </w:pPr>
      <w:r w:rsidRPr="007673FA">
        <w:rPr>
          <w:sz w:val="24"/>
          <w:szCs w:val="24"/>
        </w:rPr>
        <w:t xml:space="preserve">(a) </w:t>
      </w:r>
      <w:proofErr w:type="gramStart"/>
      <w:r w:rsidRPr="007673FA">
        <w:rPr>
          <w:sz w:val="24"/>
          <w:szCs w:val="24"/>
        </w:rPr>
        <w:t>obtain</w:t>
      </w:r>
      <w:proofErr w:type="gramEnd"/>
      <w:r w:rsidRPr="007673FA">
        <w:rPr>
          <w:sz w:val="24"/>
          <w:szCs w:val="24"/>
        </w:rPr>
        <w:t xml:space="preserve"> offsets in accordance with OAR 340-224-5010 for ozone areas or </w:t>
      </w:r>
      <w:commentRangeStart w:id="4"/>
      <w:r w:rsidRPr="007673FA">
        <w:rPr>
          <w:sz w:val="24"/>
          <w:szCs w:val="24"/>
        </w:rPr>
        <w:t xml:space="preserve">340-224-5020(3) </w:t>
      </w:r>
      <w:commentRangeEnd w:id="4"/>
      <w:r w:rsidRPr="007673FA">
        <w:rPr>
          <w:sz w:val="24"/>
          <w:szCs w:val="24"/>
        </w:rPr>
        <w:commentReference w:id="4"/>
      </w:r>
      <w:r w:rsidRPr="007673FA">
        <w:rPr>
          <w:sz w:val="24"/>
          <w:szCs w:val="24"/>
        </w:rPr>
        <w:t>and (4) for non-ozone areas, whichever is applicable, except as allowed by subsections (d) and (e); or</w:t>
      </w:r>
    </w:p>
    <w:p w:rsidR="007673FA" w:rsidRPr="007673FA" w:rsidRDefault="007673FA" w:rsidP="007673FA">
      <w:pPr>
        <w:rPr>
          <w:sz w:val="24"/>
          <w:szCs w:val="24"/>
        </w:rPr>
      </w:pPr>
      <w:r w:rsidRPr="007673FA">
        <w:rPr>
          <w:sz w:val="24"/>
          <w:szCs w:val="24"/>
        </w:rPr>
        <w:t xml:space="preserve">(b) </w:t>
      </w:r>
      <w:proofErr w:type="gramStart"/>
      <w:r w:rsidRPr="007673FA">
        <w:rPr>
          <w:sz w:val="24"/>
          <w:szCs w:val="24"/>
        </w:rPr>
        <w:t>comply</w:t>
      </w:r>
      <w:proofErr w:type="gramEnd"/>
      <w:r w:rsidRPr="007673FA">
        <w:rPr>
          <w:sz w:val="24"/>
          <w:szCs w:val="24"/>
        </w:rPr>
        <w:t xml:space="preserve"> with the limits in OAR 340-202-0225 by performing the analysis specified in OAR 340-225-0045; or</w:t>
      </w:r>
    </w:p>
    <w:p w:rsidR="007673FA" w:rsidRDefault="007673FA" w:rsidP="000857A3">
      <w:pPr>
        <w:rPr>
          <w:sz w:val="24"/>
          <w:szCs w:val="24"/>
        </w:rPr>
      </w:pPr>
    </w:p>
    <w:p w:rsidR="00323715" w:rsidRDefault="00323715" w:rsidP="000857A3">
      <w:pPr>
        <w:rPr>
          <w:sz w:val="24"/>
          <w:szCs w:val="24"/>
        </w:rPr>
      </w:pPr>
    </w:p>
    <w:p w:rsidR="00323715" w:rsidRPr="00323715" w:rsidRDefault="008E78CB" w:rsidP="00323715">
      <w:pPr>
        <w:rPr>
          <w:sz w:val="24"/>
          <w:szCs w:val="24"/>
        </w:rPr>
      </w:pPr>
      <w:r w:rsidRPr="00323715">
        <w:rPr>
          <w:sz w:val="24"/>
          <w:szCs w:val="24"/>
        </w:rPr>
        <w:t xml:space="preserve"> </w:t>
      </w:r>
      <w:r w:rsidR="00323715" w:rsidRPr="00323715">
        <w:rPr>
          <w:sz w:val="24"/>
          <w:szCs w:val="24"/>
        </w:rPr>
        <w:t xml:space="preserve">(c) In a carbon monoxide maintenance area, a proposed carbon monoxide major source or major modification is exempt from subsections (a) and (b) of this section if the owner or operator can demonstrate that the source or modification will not cause or contribute to an air quality impact equal to or greater than 0.5 mg/m3 (8 hour average) and 2 mg/m3 (1-hour average). The demonstration must comply with the requirements of OAR 340-225-0045. </w:t>
      </w:r>
    </w:p>
    <w:p w:rsidR="00323715" w:rsidRPr="00323715" w:rsidRDefault="00323715" w:rsidP="00323715">
      <w:pPr>
        <w:rPr>
          <w:sz w:val="24"/>
          <w:szCs w:val="24"/>
        </w:rPr>
      </w:pPr>
      <w:r w:rsidRPr="00323715">
        <w:rPr>
          <w:sz w:val="24"/>
          <w:szCs w:val="24"/>
        </w:rPr>
        <w:t xml:space="preserve">(d) In a PM10 maintenance area, a proposed PM10 major source or major modification is exempt from subsection (a) of this section if the owner or operator can demonstrate, pursuant to the requirements of OAR 340-225-0045, that the source or modification will not cause or contribute to an air quality impact in excess of: </w:t>
      </w:r>
    </w:p>
    <w:p w:rsidR="00323715" w:rsidRPr="00323715" w:rsidRDefault="00323715" w:rsidP="00323715">
      <w:pPr>
        <w:rPr>
          <w:sz w:val="24"/>
          <w:szCs w:val="24"/>
        </w:rPr>
      </w:pPr>
      <w:proofErr w:type="gramStart"/>
      <w:r w:rsidRPr="00323715">
        <w:rPr>
          <w:sz w:val="24"/>
          <w:szCs w:val="24"/>
        </w:rPr>
        <w:t>(A) 120 ug/m3 (24-hour average)</w:t>
      </w:r>
      <w:proofErr w:type="gramEnd"/>
      <w:r w:rsidRPr="00323715">
        <w:rPr>
          <w:sz w:val="24"/>
          <w:szCs w:val="24"/>
        </w:rPr>
        <w:t xml:space="preserve"> or 40 ug/m3 (annual average) in the Grants Pass PM10 maintenance area; </w:t>
      </w:r>
    </w:p>
    <w:p w:rsidR="00323715" w:rsidRPr="00323715" w:rsidRDefault="00323715" w:rsidP="00323715">
      <w:pPr>
        <w:rPr>
          <w:sz w:val="24"/>
          <w:szCs w:val="24"/>
        </w:rPr>
      </w:pPr>
      <w:r w:rsidRPr="00323715">
        <w:rPr>
          <w:sz w:val="24"/>
          <w:szCs w:val="24"/>
        </w:rPr>
        <w:t xml:space="preserve">(B) 140 ug/m3 (24-hour average) or 47 ug/m3 (annual average) in the Klamath Falls PM10 maintenance area; or </w:t>
      </w:r>
    </w:p>
    <w:p w:rsidR="00323715" w:rsidRPr="00323715" w:rsidRDefault="00323715" w:rsidP="00323715">
      <w:pPr>
        <w:rPr>
          <w:sz w:val="24"/>
          <w:szCs w:val="24"/>
        </w:rPr>
      </w:pPr>
      <w:proofErr w:type="gramStart"/>
      <w:r w:rsidRPr="00323715">
        <w:rPr>
          <w:sz w:val="24"/>
          <w:szCs w:val="24"/>
        </w:rPr>
        <w:t>(C) 140 ug/m3 (24-hour average)</w:t>
      </w:r>
      <w:proofErr w:type="gramEnd"/>
      <w:r w:rsidRPr="00323715">
        <w:rPr>
          <w:sz w:val="24"/>
          <w:szCs w:val="24"/>
        </w:rPr>
        <w:t xml:space="preserve"> or 45 ug/m3 (annual average) in the Lakeview PM10 maintenance area. In addition, a single source impact is limited to an increase </w:t>
      </w:r>
      <w:proofErr w:type="gramStart"/>
      <w:r w:rsidRPr="00323715">
        <w:rPr>
          <w:sz w:val="24"/>
          <w:szCs w:val="24"/>
        </w:rPr>
        <w:t>of 5 ug/m3 (24-hour average) in the Lakeview PM10 maintenance area</w:t>
      </w:r>
      <w:proofErr w:type="gramEnd"/>
      <w:r w:rsidRPr="00323715">
        <w:rPr>
          <w:sz w:val="24"/>
          <w:szCs w:val="24"/>
        </w:rPr>
        <w:t xml:space="preserve">. </w:t>
      </w:r>
    </w:p>
    <w:p w:rsidR="00323715" w:rsidRPr="000857A3" w:rsidRDefault="00323715" w:rsidP="000857A3">
      <w:pPr>
        <w:rPr>
          <w:sz w:val="24"/>
          <w:szCs w:val="24"/>
        </w:rPr>
      </w:pPr>
    </w:p>
    <w:sectPr w:rsidR="00323715" w:rsidRPr="000857A3" w:rsidSect="00582C6C">
      <w:pgSz w:w="15840" w:h="12240" w:orient="landscape"/>
      <w:pgMar w:top="720"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 w:author="Preferred Customer" w:date="2013-04-18T14:49:00Z" w:initials="JSI">
    <w:p w:rsidR="00046262" w:rsidRDefault="00046262" w:rsidP="00046262">
      <w:pPr>
        <w:pStyle w:val="CommentText"/>
      </w:pPr>
      <w:r>
        <w:rPr>
          <w:rStyle w:val="CommentReference"/>
        </w:rPr>
        <w:annotationRef/>
      </w:r>
      <w:r>
        <w:t xml:space="preserve">Move to OAR 340-224-5020(1)?  </w:t>
      </w:r>
      <w:r>
        <w:rPr>
          <w:highlight w:val="green"/>
        </w:rPr>
        <w:t>Did we want to reduce the offset ratio to 1.0:1 for these sources?</w:t>
      </w:r>
      <w:r>
        <w:t xml:space="preserve">  </w:t>
      </w:r>
    </w:p>
  </w:comment>
  <w:comment w:id="4" w:author="jinahar" w:date="2013-04-22T09:39:00Z" w:initials="j">
    <w:p w:rsidR="007673FA" w:rsidRDefault="007673FA" w:rsidP="007673FA">
      <w:pPr>
        <w:pStyle w:val="CommentText"/>
      </w:pPr>
      <w:r w:rsidRPr="002D4F7D">
        <w:rPr>
          <w:rStyle w:val="CommentReference"/>
          <w:highlight w:val="green"/>
        </w:rPr>
        <w:annotationRef/>
      </w:r>
      <w:r w:rsidRPr="002D4F7D">
        <w:rPr>
          <w:highlight w:val="green"/>
        </w:rPr>
        <w:t>Allows for 0.5:1 offsets if using priority sources.  Keep at 1.0:1 for no backsliding?</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abstractNum w:abstractNumId="1">
    <w:nsid w:val="4E5D0CA1"/>
    <w:multiLevelType w:val="hybridMultilevel"/>
    <w:tmpl w:val="168A0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compat/>
  <w:rsids>
    <w:rsidRoot w:val="00062E02"/>
    <w:rsid w:val="00045FBC"/>
    <w:rsid w:val="00046262"/>
    <w:rsid w:val="00062E02"/>
    <w:rsid w:val="000857A3"/>
    <w:rsid w:val="000B4697"/>
    <w:rsid w:val="000D5C02"/>
    <w:rsid w:val="001439D1"/>
    <w:rsid w:val="001911B5"/>
    <w:rsid w:val="00195444"/>
    <w:rsid w:val="001A22A5"/>
    <w:rsid w:val="001B444B"/>
    <w:rsid w:val="0020056E"/>
    <w:rsid w:val="00242DAD"/>
    <w:rsid w:val="00265D5E"/>
    <w:rsid w:val="00323715"/>
    <w:rsid w:val="003555EE"/>
    <w:rsid w:val="003A60DE"/>
    <w:rsid w:val="00400586"/>
    <w:rsid w:val="00414F67"/>
    <w:rsid w:val="0043117D"/>
    <w:rsid w:val="004A69AF"/>
    <w:rsid w:val="004D578D"/>
    <w:rsid w:val="00582C6C"/>
    <w:rsid w:val="006310D5"/>
    <w:rsid w:val="006B066B"/>
    <w:rsid w:val="006C314D"/>
    <w:rsid w:val="006F65EA"/>
    <w:rsid w:val="007260E4"/>
    <w:rsid w:val="00732F05"/>
    <w:rsid w:val="00734469"/>
    <w:rsid w:val="007673FA"/>
    <w:rsid w:val="007C644B"/>
    <w:rsid w:val="00822FC3"/>
    <w:rsid w:val="00882A13"/>
    <w:rsid w:val="0089300F"/>
    <w:rsid w:val="008A12AC"/>
    <w:rsid w:val="008A5039"/>
    <w:rsid w:val="008A7A14"/>
    <w:rsid w:val="008E78CB"/>
    <w:rsid w:val="009B3E5A"/>
    <w:rsid w:val="009C5573"/>
    <w:rsid w:val="00A54499"/>
    <w:rsid w:val="00AE1F83"/>
    <w:rsid w:val="00B112A0"/>
    <w:rsid w:val="00B7060C"/>
    <w:rsid w:val="00B80CC8"/>
    <w:rsid w:val="00BB4B78"/>
    <w:rsid w:val="00BC407B"/>
    <w:rsid w:val="00BF40F6"/>
    <w:rsid w:val="00C157B1"/>
    <w:rsid w:val="00CF2E54"/>
    <w:rsid w:val="00DA6A8D"/>
    <w:rsid w:val="00E778DB"/>
    <w:rsid w:val="00E939D0"/>
    <w:rsid w:val="00ED5A52"/>
    <w:rsid w:val="00F074C2"/>
    <w:rsid w:val="00F21A48"/>
    <w:rsid w:val="00F40738"/>
    <w:rsid w:val="00F469F5"/>
    <w:rsid w:val="00F76441"/>
    <w:rsid w:val="00FA69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table" w:styleId="TableGrid">
    <w:name w:val="Table Grid"/>
    <w:basedOn w:val="TableNormal"/>
    <w:uiPriority w:val="59"/>
    <w:rsid w:val="000857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C6C"/>
    <w:rPr>
      <w:color w:val="0000FF"/>
      <w:u w:val="single"/>
    </w:rPr>
  </w:style>
  <w:style w:type="paragraph" w:styleId="CommentText">
    <w:name w:val="annotation text"/>
    <w:basedOn w:val="Normal"/>
    <w:link w:val="CommentTextChar"/>
    <w:uiPriority w:val="99"/>
    <w:unhideWhenUsed/>
    <w:rsid w:val="00046262"/>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046262"/>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046262"/>
    <w:rPr>
      <w:sz w:val="16"/>
      <w:szCs w:val="16"/>
    </w:rPr>
  </w:style>
  <w:style w:type="paragraph" w:styleId="BalloonText">
    <w:name w:val="Balloon Text"/>
    <w:basedOn w:val="Normal"/>
    <w:link w:val="BalloonTextChar"/>
    <w:uiPriority w:val="99"/>
    <w:semiHidden/>
    <w:unhideWhenUsed/>
    <w:rsid w:val="00046262"/>
    <w:rPr>
      <w:rFonts w:ascii="Tahoma" w:hAnsi="Tahoma" w:cs="Tahoma"/>
      <w:sz w:val="16"/>
      <w:szCs w:val="16"/>
    </w:rPr>
  </w:style>
  <w:style w:type="character" w:customStyle="1" w:styleId="BalloonTextChar">
    <w:name w:val="Balloon Text Char"/>
    <w:basedOn w:val="DefaultParagraphFont"/>
    <w:link w:val="BalloonText"/>
    <w:uiPriority w:val="99"/>
    <w:semiHidden/>
    <w:rsid w:val="000462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1342196">
      <w:bodyDiv w:val="1"/>
      <w:marLeft w:val="0"/>
      <w:marRight w:val="0"/>
      <w:marTop w:val="0"/>
      <w:marBottom w:val="0"/>
      <w:divBdr>
        <w:top w:val="none" w:sz="0" w:space="0" w:color="auto"/>
        <w:left w:val="none" w:sz="0" w:space="0" w:color="auto"/>
        <w:bottom w:val="none" w:sz="0" w:space="0" w:color="auto"/>
        <w:right w:val="none" w:sz="0" w:space="0" w:color="auto"/>
      </w:divBdr>
    </w:div>
    <w:div w:id="393234110">
      <w:bodyDiv w:val="1"/>
      <w:marLeft w:val="0"/>
      <w:marRight w:val="0"/>
      <w:marTop w:val="0"/>
      <w:marBottom w:val="0"/>
      <w:divBdr>
        <w:top w:val="none" w:sz="0" w:space="0" w:color="auto"/>
        <w:left w:val="none" w:sz="0" w:space="0" w:color="auto"/>
        <w:bottom w:val="none" w:sz="0" w:space="0" w:color="auto"/>
        <w:right w:val="none" w:sz="0" w:space="0" w:color="auto"/>
      </w:divBdr>
    </w:div>
    <w:div w:id="794449494">
      <w:bodyDiv w:val="1"/>
      <w:marLeft w:val="0"/>
      <w:marRight w:val="0"/>
      <w:marTop w:val="0"/>
      <w:marBottom w:val="0"/>
      <w:divBdr>
        <w:top w:val="none" w:sz="0" w:space="0" w:color="auto"/>
        <w:left w:val="none" w:sz="0" w:space="0" w:color="auto"/>
        <w:bottom w:val="none" w:sz="0" w:space="0" w:color="auto"/>
        <w:right w:val="none" w:sz="0" w:space="0" w:color="auto"/>
      </w:divBdr>
    </w:div>
    <w:div w:id="809053269">
      <w:bodyDiv w:val="1"/>
      <w:marLeft w:val="0"/>
      <w:marRight w:val="0"/>
      <w:marTop w:val="0"/>
      <w:marBottom w:val="0"/>
      <w:divBdr>
        <w:top w:val="none" w:sz="0" w:space="0" w:color="auto"/>
        <w:left w:val="none" w:sz="0" w:space="0" w:color="auto"/>
        <w:bottom w:val="none" w:sz="0" w:space="0" w:color="auto"/>
        <w:right w:val="none" w:sz="0" w:space="0" w:color="auto"/>
      </w:divBdr>
    </w:div>
    <w:div w:id="1273250012">
      <w:bodyDiv w:val="1"/>
      <w:marLeft w:val="0"/>
      <w:marRight w:val="0"/>
      <w:marTop w:val="0"/>
      <w:marBottom w:val="0"/>
      <w:divBdr>
        <w:top w:val="none" w:sz="0" w:space="0" w:color="auto"/>
        <w:left w:val="none" w:sz="0" w:space="0" w:color="auto"/>
        <w:bottom w:val="none" w:sz="0" w:space="0" w:color="auto"/>
        <w:right w:val="none" w:sz="0" w:space="0" w:color="auto"/>
      </w:divBdr>
    </w:div>
    <w:div w:id="1376810276">
      <w:bodyDiv w:val="1"/>
      <w:marLeft w:val="0"/>
      <w:marRight w:val="0"/>
      <w:marTop w:val="0"/>
      <w:marBottom w:val="0"/>
      <w:divBdr>
        <w:top w:val="none" w:sz="0" w:space="0" w:color="auto"/>
        <w:left w:val="none" w:sz="0" w:space="0" w:color="auto"/>
        <w:bottom w:val="none" w:sz="0" w:space="0" w:color="auto"/>
        <w:right w:val="none" w:sz="0" w:space="0" w:color="auto"/>
      </w:divBdr>
    </w:div>
    <w:div w:id="1465388670">
      <w:bodyDiv w:val="1"/>
      <w:marLeft w:val="0"/>
      <w:marRight w:val="0"/>
      <w:marTop w:val="0"/>
      <w:marBottom w:val="0"/>
      <w:divBdr>
        <w:top w:val="none" w:sz="0" w:space="0" w:color="auto"/>
        <w:left w:val="none" w:sz="0" w:space="0" w:color="auto"/>
        <w:bottom w:val="none" w:sz="0" w:space="0" w:color="auto"/>
        <w:right w:val="none" w:sz="0" w:space="0" w:color="auto"/>
      </w:divBdr>
    </w:div>
    <w:div w:id="1667589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aw.cornell.edu/uscode/text/42/usc_sup_01_42_10_85_20_III" TargetMode="External"/><Relationship Id="rId13" Type="http://schemas.openxmlformats.org/officeDocument/2006/relationships/hyperlink" Target="http://en.wikipedia.org/wiki/Atmosphere_(un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aw.cornell.edu/uscode/text/42/usc_sup_01_42_10_85" TargetMode="External"/><Relationship Id="rId12" Type="http://schemas.openxmlformats.org/officeDocument/2006/relationships/hyperlink" Target="http://en.wikipedia.org/wiki/Pound-force_per_square_inch"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omments" Target="comments.xml"/><Relationship Id="rId1" Type="http://schemas.openxmlformats.org/officeDocument/2006/relationships/numbering" Target="numbering.xml"/><Relationship Id="rId6" Type="http://schemas.openxmlformats.org/officeDocument/2006/relationships/hyperlink" Target="http://www.law.cornell.edu/uscode/text/42/usc_sup_01_42" TargetMode="External"/><Relationship Id="rId11" Type="http://schemas.openxmlformats.org/officeDocument/2006/relationships/hyperlink" Target="http://en.wikipedia.org/wiki/Absolute_pressure" TargetMode="External"/><Relationship Id="rId5" Type="http://schemas.openxmlformats.org/officeDocument/2006/relationships/hyperlink" Target="http://www.law.cornell.edu/uscode/text" TargetMode="External"/><Relationship Id="rId15" Type="http://schemas.openxmlformats.org/officeDocument/2006/relationships/hyperlink" Target="http://en.wikipedia.org/wiki/National_Institute_of_Standards_and_Technology" TargetMode="External"/><Relationship Id="rId10" Type="http://schemas.openxmlformats.org/officeDocument/2006/relationships/hyperlink" Target="http://en.wikipedia.org/wiki/Kelvin"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en.wikipedia.org/wiki/Temperature" TargetMode="External"/><Relationship Id="rId14" Type="http://schemas.openxmlformats.org/officeDocument/2006/relationships/hyperlink" Target="http://en.wikipedia.org/wiki/Bar_(un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6</Pages>
  <Words>1685</Words>
  <Characters>9609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11272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pcuser</cp:lastModifiedBy>
  <cp:revision>14</cp:revision>
  <dcterms:created xsi:type="dcterms:W3CDTF">2013-04-15T18:35:00Z</dcterms:created>
  <dcterms:modified xsi:type="dcterms:W3CDTF">2013-05-07T16:58:00Z</dcterms:modified>
</cp:coreProperties>
</file>