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B" w:rsidRPr="00D1171D" w:rsidRDefault="00893D1B" w:rsidP="00893D1B">
      <w:pPr>
        <w:pStyle w:val="Heading4"/>
      </w:pPr>
      <w:r w:rsidRPr="00D1171D">
        <w:t>State of Oregon</w:t>
      </w:r>
    </w:p>
    <w:p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893D1B" w:rsidRPr="00D1171D" w:rsidRDefault="001C5FA5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C7648A">
        <w:rPr>
          <w:rFonts w:ascii="Times New Roman" w:hAnsi="Times New Roman"/>
        </w:rPr>
        <w:t>May 30</w:t>
      </w:r>
      <w:r w:rsidR="006E7804">
        <w:rPr>
          <w:rFonts w:ascii="Times New Roman" w:hAnsi="Times New Roman"/>
        </w:rPr>
        <w:t>, 20</w:t>
      </w:r>
      <w:r w:rsidR="0037589C">
        <w:rPr>
          <w:rFonts w:ascii="Times New Roman" w:hAnsi="Times New Roman"/>
        </w:rPr>
        <w:t>13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  <w:t>Environmental Quality Commission</w:t>
      </w:r>
    </w:p>
    <w:p w:rsidR="00893D1B" w:rsidRPr="00D1171D" w:rsidRDefault="00893D1B" w:rsidP="00893D1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  <w:t>Dick Pederse</w:t>
      </w:r>
      <w:r w:rsidRPr="00D1171D">
        <w:rPr>
          <w:rFonts w:ascii="Times New Roman" w:hAnsi="Times New Roman"/>
        </w:rPr>
        <w:t>n, Director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item </w:t>
      </w:r>
      <w:r w:rsidR="00C7648A">
        <w:rPr>
          <w:rFonts w:ascii="Times New Roman" w:hAnsi="Times New Roman"/>
        </w:rPr>
        <w:t>E</w:t>
      </w:r>
      <w:r w:rsidRPr="00D1171D">
        <w:rPr>
          <w:rFonts w:ascii="Times New Roman" w:hAnsi="Times New Roman"/>
        </w:rPr>
        <w:t xml:space="preserve">, </w:t>
      </w:r>
      <w:bookmarkEnd w:id="0"/>
      <w:r w:rsidR="00156EF5">
        <w:rPr>
          <w:rFonts w:ascii="Times New Roman" w:hAnsi="Times New Roman"/>
        </w:rPr>
        <w:t>Informational</w:t>
      </w:r>
      <w:r w:rsidR="00C07BC5">
        <w:rPr>
          <w:rFonts w:ascii="Times New Roman" w:hAnsi="Times New Roman"/>
        </w:rPr>
        <w:t xml:space="preserve"> item</w:t>
      </w:r>
      <w:r w:rsidR="00120648" w:rsidRPr="00D1171D">
        <w:rPr>
          <w:rFonts w:ascii="Times New Roman" w:hAnsi="Times New Roman"/>
        </w:rPr>
        <w:t xml:space="preserve">: </w:t>
      </w:r>
      <w:r w:rsidR="0037589C">
        <w:rPr>
          <w:rFonts w:ascii="Times New Roman" w:hAnsi="Times New Roman"/>
        </w:rPr>
        <w:t xml:space="preserve">Conversion </w:t>
      </w:r>
      <w:r w:rsidR="005D1D3A">
        <w:rPr>
          <w:rFonts w:ascii="Times New Roman" w:hAnsi="Times New Roman"/>
        </w:rPr>
        <w:t>t</w:t>
      </w:r>
      <w:r w:rsidR="0037589C">
        <w:rPr>
          <w:rFonts w:ascii="Times New Roman" w:hAnsi="Times New Roman"/>
        </w:rPr>
        <w:t xml:space="preserve">echnology </w:t>
      </w:r>
      <w:r w:rsidR="005D1D3A">
        <w:rPr>
          <w:rFonts w:ascii="Times New Roman" w:hAnsi="Times New Roman"/>
        </w:rPr>
        <w:t>r</w:t>
      </w:r>
      <w:r w:rsidR="0037589C">
        <w:rPr>
          <w:rFonts w:ascii="Times New Roman" w:hAnsi="Times New Roman"/>
        </w:rPr>
        <w:t>ule</w:t>
      </w:r>
      <w:r w:rsidR="00375522">
        <w:rPr>
          <w:rFonts w:ascii="Times New Roman" w:hAnsi="Times New Roman"/>
        </w:rPr>
        <w:t>making</w: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</w:rPr>
      </w:pPr>
      <w:r w:rsidRPr="00D1171D">
        <w:rPr>
          <w:rFonts w:ascii="Times New Roman" w:hAnsi="Times New Roman"/>
          <w:b/>
        </w:rPr>
        <w:tab/>
      </w:r>
      <w:r w:rsidRPr="00D1171D">
        <w:rPr>
          <w:rFonts w:ascii="Times New Roman" w:hAnsi="Times New Roman"/>
          <w:b/>
        </w:rPr>
        <w:tab/>
      </w:r>
      <w:r w:rsidR="0037589C">
        <w:rPr>
          <w:rFonts w:ascii="Times New Roman" w:hAnsi="Times New Roman"/>
        </w:rPr>
        <w:t>June</w:t>
      </w:r>
      <w:r w:rsidR="00C96391">
        <w:rPr>
          <w:rFonts w:ascii="Times New Roman" w:hAnsi="Times New Roman"/>
        </w:rPr>
        <w:t xml:space="preserve"> </w:t>
      </w:r>
      <w:r w:rsidR="00C574A5">
        <w:rPr>
          <w:rFonts w:ascii="Times New Roman" w:hAnsi="Times New Roman"/>
        </w:rPr>
        <w:t>19-</w:t>
      </w:r>
      <w:r w:rsidR="0037589C">
        <w:rPr>
          <w:rFonts w:ascii="Times New Roman" w:hAnsi="Times New Roman"/>
        </w:rPr>
        <w:t>20</w:t>
      </w:r>
      <w:r w:rsidR="00C96391">
        <w:rPr>
          <w:rFonts w:ascii="Times New Roman" w:hAnsi="Times New Roman"/>
        </w:rPr>
        <w:t xml:space="preserve">, </w:t>
      </w:r>
      <w:r w:rsidR="0037589C">
        <w:rPr>
          <w:rFonts w:ascii="Times New Roman" w:hAnsi="Times New Roman"/>
        </w:rPr>
        <w:t>2013</w:t>
      </w:r>
      <w:r w:rsidR="00120648" w:rsidRPr="00D1171D">
        <w:rPr>
          <w:rFonts w:ascii="Times New Roman" w:hAnsi="Times New Roman"/>
        </w:rPr>
        <w:t>, EQC m</w:t>
      </w:r>
      <w:r w:rsidRPr="00D1171D">
        <w:rPr>
          <w:rFonts w:ascii="Times New Roman" w:hAnsi="Times New Roman"/>
        </w:rPr>
        <w:t>eeting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28"/>
        <w:gridCol w:w="7128"/>
      </w:tblGrid>
      <w:tr w:rsidR="00893D1B" w:rsidRPr="00D1171D">
        <w:tc>
          <w:tcPr>
            <w:tcW w:w="1728" w:type="dxa"/>
          </w:tcPr>
          <w:p w:rsidR="00893D1B" w:rsidRPr="00D1171D" w:rsidRDefault="001D08C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Why this is important</w:t>
            </w:r>
          </w:p>
        </w:tc>
        <w:tc>
          <w:tcPr>
            <w:tcW w:w="7128" w:type="dxa"/>
          </w:tcPr>
          <w:p w:rsidR="001D08CB" w:rsidRPr="00D1171D" w:rsidRDefault="00CF3052" w:rsidP="00CE5EB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CF3052">
              <w:rPr>
                <w:rFonts w:ascii="Times New Roman" w:hAnsi="Times New Roman"/>
                <w:spacing w:val="-3"/>
              </w:rPr>
              <w:t xml:space="preserve">DEQ plans to propose final rules </w:t>
            </w:r>
            <w:r w:rsidR="00CE5EB3">
              <w:rPr>
                <w:rFonts w:ascii="Times New Roman" w:hAnsi="Times New Roman"/>
                <w:spacing w:val="-3"/>
              </w:rPr>
              <w:t xml:space="preserve">to the </w:t>
            </w:r>
            <w:r w:rsidRPr="00CF3052">
              <w:rPr>
                <w:rFonts w:ascii="Times New Roman" w:hAnsi="Times New Roman"/>
                <w:spacing w:val="-3"/>
              </w:rPr>
              <w:t xml:space="preserve">commission </w:t>
            </w:r>
            <w:r w:rsidR="00CE5EB3">
              <w:rPr>
                <w:rFonts w:ascii="Times New Roman" w:hAnsi="Times New Roman"/>
                <w:spacing w:val="-3"/>
              </w:rPr>
              <w:t xml:space="preserve">later this </w:t>
            </w:r>
            <w:proofErr w:type="gramStart"/>
            <w:r w:rsidR="00CE5EB3">
              <w:rPr>
                <w:rFonts w:ascii="Times New Roman" w:hAnsi="Times New Roman"/>
                <w:spacing w:val="-3"/>
              </w:rPr>
              <w:t xml:space="preserve">summer </w:t>
            </w:r>
            <w:r w:rsidR="00C574A5">
              <w:rPr>
                <w:rFonts w:ascii="Times New Roman" w:hAnsi="Times New Roman"/>
                <w:spacing w:val="-3"/>
              </w:rPr>
              <w:t xml:space="preserve"> and</w:t>
            </w:r>
            <w:proofErr w:type="gramEnd"/>
            <w:r w:rsidR="00C574A5">
              <w:rPr>
                <w:rFonts w:ascii="Times New Roman" w:hAnsi="Times New Roman"/>
                <w:spacing w:val="-3"/>
              </w:rPr>
              <w:t xml:space="preserve"> </w:t>
            </w:r>
            <w:r w:rsidR="00CE5EB3">
              <w:rPr>
                <w:rFonts w:ascii="Times New Roman" w:hAnsi="Times New Roman"/>
                <w:spacing w:val="-3"/>
              </w:rPr>
              <w:t>would like</w:t>
            </w:r>
            <w:r w:rsidR="00C574A5">
              <w:rPr>
                <w:rFonts w:ascii="Times New Roman" w:hAnsi="Times New Roman"/>
                <w:spacing w:val="-3"/>
              </w:rPr>
              <w:t xml:space="preserve"> to share i</w:t>
            </w:r>
            <w:r w:rsidR="00C574A5" w:rsidRPr="00CF3052">
              <w:rPr>
                <w:rFonts w:ascii="Times New Roman" w:hAnsi="Times New Roman"/>
                <w:spacing w:val="-3"/>
              </w:rPr>
              <w:t>nformation about the solid waste conversion technology rules under development</w:t>
            </w:r>
            <w:r w:rsidR="00CE5EB3">
              <w:rPr>
                <w:rFonts w:ascii="Times New Roman" w:hAnsi="Times New Roman"/>
                <w:spacing w:val="-3"/>
              </w:rPr>
              <w:t xml:space="preserve"> before the commission takes action in August</w:t>
            </w:r>
            <w:r w:rsidR="00C574A5" w:rsidRPr="00CF3052">
              <w:rPr>
                <w:rFonts w:ascii="Times New Roman" w:hAnsi="Times New Roman"/>
                <w:spacing w:val="-3"/>
              </w:rPr>
              <w:t>.</w:t>
            </w:r>
          </w:p>
        </w:tc>
      </w:tr>
      <w:tr w:rsidR="00630AAC" w:rsidRPr="00D1171D">
        <w:tc>
          <w:tcPr>
            <w:tcW w:w="1728" w:type="dxa"/>
          </w:tcPr>
          <w:p w:rsidR="00630AAC" w:rsidRDefault="00630AAC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630AAC" w:rsidRDefault="00630AAC" w:rsidP="00F8329D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Background </w:t>
            </w:r>
            <w:r w:rsidR="00825E7B">
              <w:rPr>
                <w:rFonts w:ascii="Times New Roman" w:hAnsi="Times New Roman"/>
                <w:b/>
                <w:spacing w:val="-3"/>
                <w:sz w:val="22"/>
              </w:rPr>
              <w:t>and other information</w:t>
            </w: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3707FF" w:rsidRDefault="002636AA" w:rsidP="003707FF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is a general update on </w:t>
            </w:r>
            <w:r w:rsidR="00375522">
              <w:rPr>
                <w:rFonts w:ascii="Times New Roman" w:hAnsi="Times New Roman"/>
              </w:rPr>
              <w:t xml:space="preserve">rulemaking progress, stakeholder involvement and current status. </w:t>
            </w:r>
          </w:p>
          <w:p w:rsidR="003707FF" w:rsidRDefault="003707FF" w:rsidP="003707FF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07FF" w:rsidRPr="003707FF" w:rsidRDefault="00375522" w:rsidP="003707FF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</w:t>
            </w:r>
            <w:r>
              <w:t>proposed rules would establish a new cla</w:t>
            </w:r>
            <w:r w:rsidR="00B17477">
              <w:t xml:space="preserve">ss of </w:t>
            </w:r>
            <w:r w:rsidR="00C574A5">
              <w:t>s</w:t>
            </w:r>
            <w:r w:rsidR="00B17477">
              <w:t xml:space="preserve">olid </w:t>
            </w:r>
            <w:r w:rsidR="00C574A5">
              <w:t>w</w:t>
            </w:r>
            <w:r w:rsidR="00B17477">
              <w:t>aste disposal site</w:t>
            </w:r>
            <w:r>
              <w:t xml:space="preserve"> called </w:t>
            </w:r>
            <w:r w:rsidR="005E4D39" w:rsidRPr="005E4D39">
              <w:rPr>
                <w:i/>
              </w:rPr>
              <w:t>conversion technology facilities</w:t>
            </w:r>
            <w:r>
              <w:t>, which use</w:t>
            </w:r>
            <w:r w:rsidR="00CE5EB3">
              <w:t>s</w:t>
            </w:r>
            <w:r>
              <w:t xml:space="preserve"> chemical or thermal processes to convert solid waste to chemicals, fuels or other useful products.</w:t>
            </w:r>
            <w:r w:rsidR="001C15A3">
              <w:t xml:space="preserve"> </w:t>
            </w:r>
            <w:r>
              <w:t xml:space="preserve">An </w:t>
            </w:r>
            <w:r w:rsidR="00B17477">
              <w:t>example</w:t>
            </w:r>
            <w:r>
              <w:t xml:space="preserve"> </w:t>
            </w:r>
            <w:r w:rsidR="00C574A5">
              <w:t xml:space="preserve">of conversion technology </w:t>
            </w:r>
            <w:r>
              <w:t>is</w:t>
            </w:r>
            <w:r w:rsidR="00B17477">
              <w:t xml:space="preserve"> using a low oxygen, high heat and pressure process called pyrolysis to convert</w:t>
            </w:r>
            <w:r>
              <w:t xml:space="preserve"> waste tires to diesel fuel or activated carbon.</w:t>
            </w:r>
          </w:p>
          <w:p w:rsidR="00C548ED" w:rsidRDefault="00C548ED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C3D83" w:rsidRDefault="00C548ED" w:rsidP="00B17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January 2012</w:t>
            </w:r>
            <w:r w:rsidR="008923EA">
              <w:rPr>
                <w:rFonts w:ascii="Times New Roman" w:hAnsi="Times New Roman"/>
              </w:rPr>
              <w:t xml:space="preserve">, DEQ </w:t>
            </w:r>
            <w:r w:rsidR="00544914">
              <w:rPr>
                <w:rFonts w:ascii="Times New Roman" w:hAnsi="Times New Roman"/>
              </w:rPr>
              <w:t>convened</w:t>
            </w:r>
            <w:r>
              <w:rPr>
                <w:rFonts w:ascii="Times New Roman" w:hAnsi="Times New Roman"/>
              </w:rPr>
              <w:t xml:space="preserve"> an advisory committee</w:t>
            </w:r>
            <w:r w:rsidR="008923EA">
              <w:rPr>
                <w:rFonts w:ascii="Times New Roman" w:hAnsi="Times New Roman"/>
              </w:rPr>
              <w:t xml:space="preserve"> to </w:t>
            </w:r>
            <w:r w:rsidR="00CE5EB3">
              <w:rPr>
                <w:rFonts w:ascii="Times New Roman" w:hAnsi="Times New Roman"/>
              </w:rPr>
              <w:t xml:space="preserve">help </w:t>
            </w:r>
            <w:r w:rsidR="008923EA">
              <w:rPr>
                <w:rFonts w:ascii="Times New Roman" w:hAnsi="Times New Roman"/>
              </w:rPr>
              <w:t>develop proposed</w:t>
            </w:r>
            <w:r w:rsidR="00CE5EB3">
              <w:rPr>
                <w:rFonts w:ascii="Times New Roman" w:hAnsi="Times New Roman"/>
              </w:rPr>
              <w:t xml:space="preserve"> </w:t>
            </w:r>
            <w:r w:rsidR="008923EA">
              <w:rPr>
                <w:rFonts w:ascii="Times New Roman" w:hAnsi="Times New Roman"/>
              </w:rPr>
              <w:t xml:space="preserve">rules </w:t>
            </w:r>
            <w:r w:rsidR="00CE5EB3">
              <w:rPr>
                <w:rFonts w:ascii="Times New Roman" w:hAnsi="Times New Roman"/>
              </w:rPr>
              <w:t xml:space="preserve">to regulate </w:t>
            </w:r>
            <w:r w:rsidR="008923EA">
              <w:rPr>
                <w:rFonts w:ascii="Times New Roman" w:hAnsi="Times New Roman"/>
              </w:rPr>
              <w:t>convers</w:t>
            </w:r>
            <w:r>
              <w:rPr>
                <w:rFonts w:ascii="Times New Roman" w:hAnsi="Times New Roman"/>
              </w:rPr>
              <w:t xml:space="preserve">ion technology facilities. </w:t>
            </w:r>
            <w:r w:rsidR="00375522">
              <w:rPr>
                <w:rFonts w:ascii="Times New Roman" w:hAnsi="Times New Roman"/>
              </w:rPr>
              <w:t>DEQ complete</w:t>
            </w:r>
            <w:r w:rsidR="0079306B">
              <w:rPr>
                <w:rFonts w:ascii="Times New Roman" w:hAnsi="Times New Roman"/>
              </w:rPr>
              <w:t>d</w:t>
            </w:r>
            <w:r w:rsidR="00375522">
              <w:rPr>
                <w:rFonts w:ascii="Times New Roman" w:hAnsi="Times New Roman"/>
              </w:rPr>
              <w:t xml:space="preserve"> </w:t>
            </w:r>
            <w:r w:rsidR="00CE5EB3">
              <w:rPr>
                <w:rFonts w:ascii="Times New Roman" w:hAnsi="Times New Roman"/>
              </w:rPr>
              <w:t>the</w:t>
            </w:r>
            <w:r w:rsidR="00375522">
              <w:rPr>
                <w:rFonts w:ascii="Times New Roman" w:hAnsi="Times New Roman"/>
              </w:rPr>
              <w:t xml:space="preserve"> draft rules and posted them for public comment in January 2013. </w:t>
            </w:r>
            <w:r w:rsidR="00F97074">
              <w:rPr>
                <w:rFonts w:ascii="Times New Roman" w:hAnsi="Times New Roman"/>
              </w:rPr>
              <w:t xml:space="preserve">DEQ </w:t>
            </w:r>
            <w:r w:rsidR="005504C9">
              <w:rPr>
                <w:rFonts w:ascii="Times New Roman" w:hAnsi="Times New Roman"/>
              </w:rPr>
              <w:t xml:space="preserve">received a number of comments and </w:t>
            </w:r>
            <w:r w:rsidR="00F97074">
              <w:rPr>
                <w:rFonts w:ascii="Times New Roman" w:hAnsi="Times New Roman"/>
              </w:rPr>
              <w:t xml:space="preserve">decided to extend the </w:t>
            </w:r>
            <w:r w:rsidR="00CE5EB3">
              <w:rPr>
                <w:rFonts w:ascii="Times New Roman" w:hAnsi="Times New Roman"/>
              </w:rPr>
              <w:t xml:space="preserve">rulemaking </w:t>
            </w:r>
            <w:r w:rsidR="00F97074">
              <w:rPr>
                <w:rFonts w:ascii="Times New Roman" w:hAnsi="Times New Roman"/>
              </w:rPr>
              <w:t xml:space="preserve">timeline to consider </w:t>
            </w:r>
            <w:r w:rsidR="009A675B">
              <w:rPr>
                <w:rFonts w:ascii="Times New Roman" w:hAnsi="Times New Roman"/>
              </w:rPr>
              <w:t>revisions to the draft rules</w:t>
            </w:r>
            <w:r w:rsidR="00F97074">
              <w:rPr>
                <w:rFonts w:ascii="Times New Roman" w:hAnsi="Times New Roman"/>
              </w:rPr>
              <w:t xml:space="preserve"> where appropriate and to address stakeholder</w:t>
            </w:r>
            <w:r w:rsidR="00B17477">
              <w:rPr>
                <w:rFonts w:ascii="Times New Roman" w:hAnsi="Times New Roman"/>
              </w:rPr>
              <w:t xml:space="preserve"> concerns</w:t>
            </w:r>
            <w:r w:rsidR="00C574A5">
              <w:rPr>
                <w:rFonts w:ascii="Times New Roman" w:hAnsi="Times New Roman"/>
              </w:rPr>
              <w:t xml:space="preserve">. Key areas of concern or </w:t>
            </w:r>
            <w:r w:rsidR="00F97074">
              <w:rPr>
                <w:rFonts w:ascii="Times New Roman" w:hAnsi="Times New Roman"/>
              </w:rPr>
              <w:t>misunderstandings of the proposed rules</w:t>
            </w:r>
            <w:r w:rsidR="00C574A5">
              <w:rPr>
                <w:rFonts w:ascii="Times New Roman" w:hAnsi="Times New Roman"/>
              </w:rPr>
              <w:t xml:space="preserve"> include</w:t>
            </w:r>
            <w:r w:rsidR="00DC3D83">
              <w:rPr>
                <w:rFonts w:ascii="Times New Roman" w:hAnsi="Times New Roman"/>
              </w:rPr>
              <w:t>:</w:t>
            </w:r>
          </w:p>
          <w:p w:rsidR="00DC3D83" w:rsidRPr="00DC3D83" w:rsidRDefault="00DC3D83" w:rsidP="00DC3D83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DC3D83">
              <w:rPr>
                <w:rFonts w:ascii="Times New Roman" w:hAnsi="Times New Roman"/>
              </w:rPr>
              <w:t>Why conversion technology feedstocks meet the state definition of solid waste</w:t>
            </w:r>
          </w:p>
          <w:p w:rsidR="00DC3D83" w:rsidRPr="00DC3D83" w:rsidRDefault="00DC3D83" w:rsidP="00DC3D83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DC3D83">
              <w:rPr>
                <w:rFonts w:ascii="Times New Roman" w:hAnsi="Times New Roman"/>
              </w:rPr>
              <w:t xml:space="preserve">Why there </w:t>
            </w:r>
            <w:r w:rsidR="00163C85">
              <w:rPr>
                <w:rFonts w:ascii="Times New Roman" w:hAnsi="Times New Roman"/>
              </w:rPr>
              <w:t xml:space="preserve">is </w:t>
            </w:r>
            <w:r w:rsidRPr="00DC3D83">
              <w:rPr>
                <w:rFonts w:ascii="Times New Roman" w:hAnsi="Times New Roman"/>
              </w:rPr>
              <w:t>a need for a separate conversion technology permit category</w:t>
            </w:r>
          </w:p>
          <w:p w:rsidR="00893D1B" w:rsidRPr="00DC3D83" w:rsidRDefault="00DC3D83" w:rsidP="00DC3D83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DC3D83">
              <w:rPr>
                <w:rFonts w:ascii="Times New Roman" w:hAnsi="Times New Roman"/>
              </w:rPr>
              <w:t xml:space="preserve">Questions about permit </w:t>
            </w:r>
            <w:r>
              <w:rPr>
                <w:rFonts w:ascii="Times New Roman" w:hAnsi="Times New Roman"/>
              </w:rPr>
              <w:t>exemptions</w:t>
            </w:r>
            <w:r w:rsidRPr="00DC3D83">
              <w:rPr>
                <w:rFonts w:ascii="Times New Roman" w:hAnsi="Times New Roman"/>
              </w:rPr>
              <w:t xml:space="preserve"> included in the proposed rules</w:t>
            </w:r>
            <w:r w:rsidR="001C15A3">
              <w:rPr>
                <w:rFonts w:ascii="Times New Roman" w:hAnsi="Times New Roman"/>
              </w:rPr>
              <w:t xml:space="preserve"> </w:t>
            </w:r>
          </w:p>
        </w:tc>
      </w:tr>
      <w:tr w:rsidR="00630AAC" w:rsidRPr="00D1171D">
        <w:tc>
          <w:tcPr>
            <w:tcW w:w="1728" w:type="dxa"/>
          </w:tcPr>
          <w:p w:rsidR="00630AAC" w:rsidRDefault="00630AAC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630AAC" w:rsidRDefault="00630AAC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07BC5" w:rsidRPr="00D1171D">
        <w:tc>
          <w:tcPr>
            <w:tcW w:w="1728" w:type="dxa"/>
          </w:tcPr>
          <w:p w:rsidR="00A51F4E" w:rsidRDefault="00C07BC5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Public outreach</w:t>
            </w:r>
          </w:p>
          <w:p w:rsidR="00A51F4E" w:rsidRPr="00A51F4E" w:rsidRDefault="00A51F4E" w:rsidP="00A51F4E">
            <w:pPr>
              <w:rPr>
                <w:rFonts w:ascii="Times New Roman" w:hAnsi="Times New Roman"/>
                <w:sz w:val="22"/>
              </w:rPr>
            </w:pPr>
          </w:p>
          <w:p w:rsidR="00A51F4E" w:rsidRPr="00A51F4E" w:rsidRDefault="00A51F4E" w:rsidP="00A51F4E">
            <w:pPr>
              <w:rPr>
                <w:rFonts w:ascii="Times New Roman" w:hAnsi="Times New Roman"/>
                <w:sz w:val="22"/>
              </w:rPr>
            </w:pPr>
          </w:p>
          <w:p w:rsidR="00A51F4E" w:rsidRDefault="00A51F4E" w:rsidP="00A51F4E">
            <w:pPr>
              <w:rPr>
                <w:rFonts w:ascii="Times New Roman" w:hAnsi="Times New Roman"/>
                <w:sz w:val="22"/>
              </w:rPr>
            </w:pPr>
          </w:p>
          <w:p w:rsidR="00C07BC5" w:rsidRPr="00A51F4E" w:rsidRDefault="00C07BC5" w:rsidP="00A51F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128" w:type="dxa"/>
          </w:tcPr>
          <w:p w:rsidR="00C548ED" w:rsidRPr="00C548ED" w:rsidRDefault="00C548ED" w:rsidP="00C548ED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548ED">
              <w:rPr>
                <w:rFonts w:ascii="Times New Roman" w:hAnsi="Times New Roman"/>
              </w:rPr>
              <w:t xml:space="preserve">DEQ used an advisory committee process to help develop the proposed conversion technology rules. </w:t>
            </w:r>
            <w:r w:rsidR="00CE5EB3">
              <w:rPr>
                <w:rFonts w:ascii="Times New Roman" w:hAnsi="Times New Roman"/>
              </w:rPr>
              <w:t xml:space="preserve">Fifteen </w:t>
            </w:r>
            <w:r w:rsidRPr="00C548ED">
              <w:rPr>
                <w:rFonts w:ascii="Times New Roman" w:hAnsi="Times New Roman"/>
              </w:rPr>
              <w:t>committee members represent</w:t>
            </w:r>
            <w:r w:rsidR="00CE5EB3">
              <w:rPr>
                <w:rFonts w:ascii="Times New Roman" w:hAnsi="Times New Roman"/>
              </w:rPr>
              <w:t>ed</w:t>
            </w:r>
            <w:r w:rsidRPr="00C548ED">
              <w:rPr>
                <w:rFonts w:ascii="Times New Roman" w:hAnsi="Times New Roman"/>
              </w:rPr>
              <w:t xml:space="preserve"> varied interests: waste conversion technology facility operators</w:t>
            </w:r>
            <w:r w:rsidR="00C574A5">
              <w:rPr>
                <w:rFonts w:ascii="Times New Roman" w:hAnsi="Times New Roman"/>
              </w:rPr>
              <w:t xml:space="preserve">, </w:t>
            </w:r>
            <w:r w:rsidRPr="00C548ED">
              <w:rPr>
                <w:rFonts w:ascii="Times New Roman" w:hAnsi="Times New Roman"/>
              </w:rPr>
              <w:t>anaerobic digestion facility operators</w:t>
            </w:r>
            <w:r w:rsidR="00C574A5">
              <w:rPr>
                <w:rFonts w:ascii="Times New Roman" w:hAnsi="Times New Roman"/>
              </w:rPr>
              <w:t>,</w:t>
            </w:r>
            <w:r w:rsidRPr="00C548ED">
              <w:rPr>
                <w:rFonts w:ascii="Times New Roman" w:hAnsi="Times New Roman"/>
              </w:rPr>
              <w:t xml:space="preserve"> technology consultants</w:t>
            </w:r>
            <w:r w:rsidR="00C574A5">
              <w:rPr>
                <w:rFonts w:ascii="Times New Roman" w:hAnsi="Times New Roman"/>
              </w:rPr>
              <w:t xml:space="preserve">, </w:t>
            </w:r>
            <w:r w:rsidRPr="00C548ED">
              <w:rPr>
                <w:rFonts w:ascii="Times New Roman" w:hAnsi="Times New Roman"/>
              </w:rPr>
              <w:t>solid waste haulers</w:t>
            </w:r>
            <w:r w:rsidR="00C574A5">
              <w:rPr>
                <w:rFonts w:ascii="Times New Roman" w:hAnsi="Times New Roman"/>
              </w:rPr>
              <w:t xml:space="preserve">, </w:t>
            </w:r>
            <w:r w:rsidRPr="00C548ED">
              <w:rPr>
                <w:rFonts w:ascii="Times New Roman" w:hAnsi="Times New Roman"/>
              </w:rPr>
              <w:t>local governments</w:t>
            </w:r>
            <w:r w:rsidR="00C574A5">
              <w:rPr>
                <w:rFonts w:ascii="Times New Roman" w:hAnsi="Times New Roman"/>
              </w:rPr>
              <w:t xml:space="preserve">, </w:t>
            </w:r>
            <w:r w:rsidRPr="00C548ED">
              <w:rPr>
                <w:rFonts w:ascii="Times New Roman" w:hAnsi="Times New Roman"/>
              </w:rPr>
              <w:t>renewable energy advocates</w:t>
            </w:r>
            <w:r w:rsidR="00C574A5">
              <w:rPr>
                <w:rFonts w:ascii="Times New Roman" w:hAnsi="Times New Roman"/>
              </w:rPr>
              <w:t xml:space="preserve">, </w:t>
            </w:r>
            <w:proofErr w:type="gramStart"/>
            <w:r w:rsidRPr="00C548ED">
              <w:rPr>
                <w:rFonts w:ascii="Times New Roman" w:hAnsi="Times New Roman"/>
              </w:rPr>
              <w:t>the</w:t>
            </w:r>
            <w:proofErr w:type="gramEnd"/>
            <w:r w:rsidRPr="00C548ED">
              <w:rPr>
                <w:rFonts w:ascii="Times New Roman" w:hAnsi="Times New Roman"/>
              </w:rPr>
              <w:t xml:space="preserve"> public and environmental groups. In addition, DEQ consulted with two affected state agencies, the Oregon Department of Agriculture and the Oregon Department of Energy, as part of this rule development. </w:t>
            </w:r>
          </w:p>
          <w:p w:rsidR="00C548ED" w:rsidRPr="00C548ED" w:rsidRDefault="00C548ED" w:rsidP="00C548ED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07BC5" w:rsidRPr="00630AAC" w:rsidRDefault="00C548ED" w:rsidP="00CE5EB3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548ED">
              <w:rPr>
                <w:rFonts w:ascii="Times New Roman" w:hAnsi="Times New Roman"/>
              </w:rPr>
              <w:t>The advisory committee met four times over seven months</w:t>
            </w:r>
            <w:r w:rsidR="00CE5EB3">
              <w:rPr>
                <w:rFonts w:ascii="Times New Roman" w:hAnsi="Times New Roman"/>
              </w:rPr>
              <w:t xml:space="preserve">, and </w:t>
            </w:r>
            <w:r w:rsidRPr="00C548ED">
              <w:rPr>
                <w:rFonts w:ascii="Times New Roman" w:hAnsi="Times New Roman"/>
              </w:rPr>
              <w:t xml:space="preserve">reviewed and commented on rule drafts and made important technical and practical recommendations. </w:t>
            </w:r>
          </w:p>
        </w:tc>
      </w:tr>
      <w:tr w:rsidR="00630AAC" w:rsidRPr="00D1171D">
        <w:tc>
          <w:tcPr>
            <w:tcW w:w="1728" w:type="dxa"/>
          </w:tcPr>
          <w:p w:rsidR="00630AAC" w:rsidRDefault="00630AAC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630AAC" w:rsidRDefault="00630AAC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Next </w:t>
            </w:r>
            <w:r w:rsidR="00F8329D">
              <w:rPr>
                <w:rFonts w:ascii="Times New Roman" w:hAnsi="Times New Roman"/>
                <w:b/>
                <w:spacing w:val="-3"/>
                <w:sz w:val="22"/>
              </w:rPr>
              <w:t>s</w:t>
            </w: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  <w:r w:rsidR="00825E7B">
              <w:rPr>
                <w:rFonts w:ascii="Times New Roman" w:hAnsi="Times New Roman"/>
                <w:b/>
                <w:spacing w:val="-3"/>
                <w:sz w:val="22"/>
              </w:rPr>
              <w:t xml:space="preserve"> and commission involvement</w:t>
            </w:r>
          </w:p>
        </w:tc>
        <w:tc>
          <w:tcPr>
            <w:tcW w:w="7128" w:type="dxa"/>
          </w:tcPr>
          <w:p w:rsidR="00893D1B" w:rsidRPr="00C96391" w:rsidRDefault="00000496" w:rsidP="0079306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There is no request for </w:t>
            </w:r>
            <w:r w:rsidR="00B17477">
              <w:rPr>
                <w:rFonts w:ascii="Times New Roman" w:hAnsi="Times New Roman"/>
              </w:rPr>
              <w:t xml:space="preserve">commission </w:t>
            </w:r>
            <w:r w:rsidR="00C7648A">
              <w:rPr>
                <w:rFonts w:ascii="Times New Roman" w:hAnsi="Times New Roman"/>
              </w:rPr>
              <w:t xml:space="preserve">action at this time. </w:t>
            </w:r>
            <w:r w:rsidR="00F97074">
              <w:rPr>
                <w:rFonts w:ascii="Times New Roman" w:hAnsi="Times New Roman"/>
              </w:rPr>
              <w:t xml:space="preserve">DEQ </w:t>
            </w:r>
            <w:r w:rsidR="0079306B">
              <w:rPr>
                <w:rFonts w:ascii="Times New Roman" w:hAnsi="Times New Roman"/>
              </w:rPr>
              <w:t xml:space="preserve">plans to </w:t>
            </w:r>
            <w:r w:rsidR="00F97074">
              <w:rPr>
                <w:rFonts w:ascii="Times New Roman" w:hAnsi="Times New Roman"/>
              </w:rPr>
              <w:t>present a staff report for commission review and consideration as part of the request for adoption of the conversion technology rules at the August EQC meeting.</w:t>
            </w:r>
            <w:r w:rsidR="001C15A3">
              <w:rPr>
                <w:rFonts w:ascii="Times New Roman" w:hAnsi="Times New Roman"/>
              </w:rPr>
              <w:t xml:space="preserve"> </w:t>
            </w: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7128" w:type="dxa"/>
          </w:tcPr>
          <w:p w:rsidR="00893D1B" w:rsidRPr="00D1171D" w:rsidRDefault="00C7648A" w:rsidP="00F97074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None</w:t>
            </w:r>
          </w:p>
        </w:tc>
      </w:tr>
      <w:tr w:rsidR="00630AAC" w:rsidRPr="00D1171D">
        <w:tc>
          <w:tcPr>
            <w:tcW w:w="1728" w:type="dxa"/>
          </w:tcPr>
          <w:p w:rsidR="00630AAC" w:rsidRPr="00D1171D" w:rsidRDefault="00630AAC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630AAC" w:rsidRPr="003E1D1D" w:rsidRDefault="00630AAC" w:rsidP="00630AAC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B821B5" w:rsidP="00C7648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Available </w:t>
            </w:r>
            <w:r w:rsidR="00C07BC5">
              <w:rPr>
                <w:rFonts w:ascii="Times New Roman" w:hAnsi="Times New Roman"/>
                <w:b/>
                <w:spacing w:val="-3"/>
                <w:sz w:val="22"/>
              </w:rPr>
              <w:t xml:space="preserve">online </w:t>
            </w:r>
          </w:p>
        </w:tc>
        <w:tc>
          <w:tcPr>
            <w:tcW w:w="7128" w:type="dxa"/>
          </w:tcPr>
          <w:p w:rsidR="00893D1B" w:rsidRDefault="001C5FA5" w:rsidP="003E1D1D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hyperlink r:id="rId10" w:history="1">
              <w:r w:rsidR="00F97074" w:rsidRPr="00F97074">
                <w:rPr>
                  <w:rStyle w:val="Hyperlink"/>
                  <w:rFonts w:ascii="Times New Roman" w:hAnsi="Times New Roman"/>
                </w:rPr>
                <w:t>DEQ’s Conversion Technology Rulemaking website</w:t>
              </w:r>
            </w:hyperlink>
          </w:p>
          <w:p w:rsidR="00893D1B" w:rsidRPr="00F8329D" w:rsidRDefault="00893D1B" w:rsidP="00F97074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ind w:left="360"/>
              <w:rPr>
                <w:rFonts w:ascii="Times New Roman" w:hAnsi="Times New Roman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893D1B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ind w:left="360"/>
              <w:rPr>
                <w:rFonts w:ascii="Times New Roman" w:hAnsi="Times New Roman"/>
              </w:rPr>
            </w:pPr>
          </w:p>
        </w:tc>
      </w:tr>
    </w:tbl>
    <w:p w:rsidR="00893D1B" w:rsidRPr="00D1171D" w:rsidRDefault="00893D1B" w:rsidP="00893D1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</w:p>
    <w:p w:rsidR="00893D1B" w:rsidRPr="00D1171D" w:rsidRDefault="00D1171D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3D1B" w:rsidRPr="00D1171D">
        <w:rPr>
          <w:rFonts w:ascii="Times New Roman" w:hAnsi="Times New Roman"/>
        </w:rPr>
        <w:t>Approved: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D1171D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Section: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Pr="00D1171D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</w:t>
      </w:r>
      <w:r w:rsidR="00893D1B" w:rsidRPr="00D1171D">
        <w:rPr>
          <w:rFonts w:ascii="Times New Roman" w:hAnsi="Times New Roman"/>
        </w:rPr>
        <w:t xml:space="preserve">y: </w:t>
      </w:r>
      <w:r w:rsidR="007B2FC2">
        <w:rPr>
          <w:rFonts w:ascii="Times New Roman" w:hAnsi="Times New Roman"/>
        </w:rPr>
        <w:t>Bob Barrows</w:t>
      </w:r>
    </w:p>
    <w:p w:rsidR="00893D1B" w:rsidRPr="00D1171D" w:rsidRDefault="007B2FC2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rPr>
          <w:rFonts w:ascii="Times New Roman" w:hAnsi="Times New Roman"/>
        </w:rPr>
      </w:pPr>
    </w:p>
    <w:p w:rsidR="00893D1B" w:rsidRPr="00D1171D" w:rsidRDefault="00893D1B">
      <w:pPr>
        <w:rPr>
          <w:rFonts w:ascii="Times New Roman" w:hAnsi="Times New Roman"/>
        </w:rPr>
      </w:pPr>
    </w:p>
    <w:sectPr w:rsidR="00893D1B" w:rsidRPr="00D1171D" w:rsidSect="00893D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83" w:rsidRDefault="00DC3D83" w:rsidP="00893D1B">
      <w:r>
        <w:separator/>
      </w:r>
    </w:p>
  </w:endnote>
  <w:endnote w:type="continuationSeparator" w:id="0">
    <w:p w:rsidR="00DC3D83" w:rsidRDefault="00DC3D83" w:rsidP="0089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0E" w:rsidRDefault="002A4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0E" w:rsidRDefault="002A4F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0E" w:rsidRDefault="002A4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83" w:rsidRDefault="00DC3D83" w:rsidP="00893D1B">
      <w:r>
        <w:separator/>
      </w:r>
    </w:p>
  </w:footnote>
  <w:footnote w:type="continuationSeparator" w:id="0">
    <w:p w:rsidR="00DC3D83" w:rsidRDefault="00DC3D83" w:rsidP="00893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0E" w:rsidRDefault="002A4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83" w:rsidRPr="00B821B5" w:rsidRDefault="00DC3D83" w:rsidP="00893D1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 i</w:t>
    </w:r>
    <w:r w:rsidRPr="00B821B5">
      <w:rPr>
        <w:rFonts w:ascii="Arial" w:hAnsi="Arial" w:cs="Arial"/>
        <w:sz w:val="20"/>
      </w:rPr>
      <w:t xml:space="preserve">tem: </w:t>
    </w:r>
    <w:r>
      <w:rPr>
        <w:rFonts w:ascii="Arial" w:hAnsi="Arial" w:cs="Arial"/>
        <w:sz w:val="20"/>
      </w:rPr>
      <w:t xml:space="preserve">Conversion </w:t>
    </w:r>
    <w:r w:rsidR="002A4F0E">
      <w:rPr>
        <w:rFonts w:ascii="Arial" w:hAnsi="Arial" w:cs="Arial"/>
        <w:sz w:val="20"/>
      </w:rPr>
      <w:t>t</w:t>
    </w:r>
    <w:r>
      <w:rPr>
        <w:rFonts w:ascii="Arial" w:hAnsi="Arial" w:cs="Arial"/>
        <w:sz w:val="20"/>
      </w:rPr>
      <w:t xml:space="preserve">echnology </w:t>
    </w:r>
    <w:r w:rsidR="00C7648A">
      <w:rPr>
        <w:rFonts w:ascii="Arial" w:hAnsi="Arial" w:cs="Arial"/>
        <w:sz w:val="20"/>
      </w:rPr>
      <w:t>rules</w:t>
    </w:r>
  </w:p>
  <w:p w:rsidR="00DC3D83" w:rsidRPr="00B821B5" w:rsidRDefault="00DC3D83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19-20</w:t>
    </w:r>
    <w:r w:rsidRPr="00B821B5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>2013</w:t>
    </w:r>
    <w:r w:rsidRPr="00B821B5">
      <w:rPr>
        <w:rFonts w:ascii="Arial" w:hAnsi="Arial" w:cs="Arial"/>
        <w:sz w:val="20"/>
      </w:rPr>
      <w:t>, EQC meeting</w:t>
    </w:r>
  </w:p>
  <w:p w:rsidR="00DC3D83" w:rsidRPr="00B821B5" w:rsidRDefault="00DC3D83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1C5FA5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1C5FA5" w:rsidRPr="00B821B5">
      <w:rPr>
        <w:rStyle w:val="PageNumber"/>
        <w:rFonts w:ascii="Arial" w:hAnsi="Arial" w:cs="Arial"/>
        <w:sz w:val="20"/>
      </w:rPr>
      <w:fldChar w:fldCharType="separate"/>
    </w:r>
    <w:r w:rsidR="00163C85">
      <w:rPr>
        <w:rStyle w:val="PageNumber"/>
        <w:rFonts w:ascii="Arial" w:hAnsi="Arial" w:cs="Arial"/>
        <w:noProof/>
        <w:sz w:val="20"/>
      </w:rPr>
      <w:t>2</w:t>
    </w:r>
    <w:r w:rsidR="001C5FA5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:rsidR="00DC3D83" w:rsidRPr="00D849B9" w:rsidRDefault="00DC3D83" w:rsidP="00893D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0E" w:rsidRDefault="002A4F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0255450"/>
    <w:multiLevelType w:val="hybridMultilevel"/>
    <w:tmpl w:val="855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02493B"/>
    <w:multiLevelType w:val="hybridMultilevel"/>
    <w:tmpl w:val="2F56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D41"/>
    <w:rsid w:val="00000496"/>
    <w:rsid w:val="0007638F"/>
    <w:rsid w:val="00091E94"/>
    <w:rsid w:val="000C3D56"/>
    <w:rsid w:val="0010080E"/>
    <w:rsid w:val="0011753D"/>
    <w:rsid w:val="00120648"/>
    <w:rsid w:val="00155F02"/>
    <w:rsid w:val="00156EF5"/>
    <w:rsid w:val="00163C85"/>
    <w:rsid w:val="001C15A3"/>
    <w:rsid w:val="001C5FA5"/>
    <w:rsid w:val="001D08CB"/>
    <w:rsid w:val="00216D26"/>
    <w:rsid w:val="002636AA"/>
    <w:rsid w:val="002A4F0E"/>
    <w:rsid w:val="002F4761"/>
    <w:rsid w:val="00356CEA"/>
    <w:rsid w:val="003707FF"/>
    <w:rsid w:val="00375522"/>
    <w:rsid w:val="0037589C"/>
    <w:rsid w:val="003825F9"/>
    <w:rsid w:val="003E1D1D"/>
    <w:rsid w:val="003E7951"/>
    <w:rsid w:val="00433965"/>
    <w:rsid w:val="004D50A5"/>
    <w:rsid w:val="004E3364"/>
    <w:rsid w:val="004F1746"/>
    <w:rsid w:val="00500175"/>
    <w:rsid w:val="00500D2E"/>
    <w:rsid w:val="00544914"/>
    <w:rsid w:val="005504C9"/>
    <w:rsid w:val="005523A3"/>
    <w:rsid w:val="005801D6"/>
    <w:rsid w:val="005856B9"/>
    <w:rsid w:val="005B469C"/>
    <w:rsid w:val="005D1D3A"/>
    <w:rsid w:val="005E4D39"/>
    <w:rsid w:val="00630AAC"/>
    <w:rsid w:val="006670D6"/>
    <w:rsid w:val="0068132B"/>
    <w:rsid w:val="006E7804"/>
    <w:rsid w:val="00702CC6"/>
    <w:rsid w:val="007226DD"/>
    <w:rsid w:val="00790D41"/>
    <w:rsid w:val="0079306B"/>
    <w:rsid w:val="007B2FC2"/>
    <w:rsid w:val="00825DEA"/>
    <w:rsid w:val="00825E7B"/>
    <w:rsid w:val="008923EA"/>
    <w:rsid w:val="00893D1B"/>
    <w:rsid w:val="0095705B"/>
    <w:rsid w:val="009A675B"/>
    <w:rsid w:val="009E027C"/>
    <w:rsid w:val="00A02859"/>
    <w:rsid w:val="00A2264A"/>
    <w:rsid w:val="00A51F4E"/>
    <w:rsid w:val="00A70C42"/>
    <w:rsid w:val="00AB3D7E"/>
    <w:rsid w:val="00AF7C02"/>
    <w:rsid w:val="00B07B62"/>
    <w:rsid w:val="00B17477"/>
    <w:rsid w:val="00B215A9"/>
    <w:rsid w:val="00B55799"/>
    <w:rsid w:val="00B821B5"/>
    <w:rsid w:val="00BA24C1"/>
    <w:rsid w:val="00BD1AD8"/>
    <w:rsid w:val="00C07BC5"/>
    <w:rsid w:val="00C548ED"/>
    <w:rsid w:val="00C574A5"/>
    <w:rsid w:val="00C7648A"/>
    <w:rsid w:val="00C96391"/>
    <w:rsid w:val="00CC4875"/>
    <w:rsid w:val="00CE5EB3"/>
    <w:rsid w:val="00CF3052"/>
    <w:rsid w:val="00D1171D"/>
    <w:rsid w:val="00D34A16"/>
    <w:rsid w:val="00DA2F90"/>
    <w:rsid w:val="00DC3D83"/>
    <w:rsid w:val="00DF03A6"/>
    <w:rsid w:val="00E238B9"/>
    <w:rsid w:val="00E36FDC"/>
    <w:rsid w:val="00E74C9D"/>
    <w:rsid w:val="00EA2B28"/>
    <w:rsid w:val="00EA7E92"/>
    <w:rsid w:val="00F120F6"/>
    <w:rsid w:val="00F127AA"/>
    <w:rsid w:val="00F55AEC"/>
    <w:rsid w:val="00F8329D"/>
    <w:rsid w:val="00F97074"/>
    <w:rsid w:val="00FB71AF"/>
    <w:rsid w:val="00FC6C1E"/>
    <w:rsid w:val="00FD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375522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574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deq.state.or.us/lq/sw/conversiontechnolog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row\AppData\Local\Microsoft\Windows\Temporary%20Internet%20Files\Content.Outlook\94JI7JUM\EQCStaffReportInfoIt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656C18D4DBE4292CE263017775E95" ma:contentTypeVersion="" ma:contentTypeDescription="Create a new document." ma:contentTypeScope="" ma:versionID="ca4800440f6b6a57c0918e65985ab1e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31158f6cb0f12d2dbed72cac5b3342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03A9-A175-4B26-B03E-D244E31C04A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353BE-AF08-4446-B2F3-3852E7572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48794-37E4-49D2-9200-5254EA3E3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EQCStaffReportInfoItem</Template>
  <TotalTime>1</TotalTime>
  <Pages>1</Pages>
  <Words>414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3014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bbarrow</dc:creator>
  <cp:lastModifiedBy>jinahar</cp:lastModifiedBy>
  <cp:revision>2</cp:revision>
  <cp:lastPrinted>2010-11-12T17:16:00Z</cp:lastPrinted>
  <dcterms:created xsi:type="dcterms:W3CDTF">2013-06-27T15:44:00Z</dcterms:created>
  <dcterms:modified xsi:type="dcterms:W3CDTF">2013-06-27T15:44:00Z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0x01010056F656C18D4DBE4292CE263017775E95</vt:lpwstr>
  </property>
</Properties>
</file>