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pPr w:leftFromText="180" w:rightFromText="180" w:vertAnchor="text" w:tblpX="105" w:tblpY="1"/>
        <w:tblOverlap w:val="never"/>
        <w:tblW w:w="8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tblPr>
      <w:tblGrid>
        <w:gridCol w:w="8640"/>
      </w:tblGrid>
      <w:tr w:rsidR="009C1D45" w:rsidTr="00CE05BD">
        <w:trPr>
          <w:trHeight w:val="5760"/>
        </w:trPr>
        <w:tc>
          <w:tcPr>
            <w:tcW w:w="8640" w:type="dxa"/>
          </w:tcPr>
          <w:p w:rsidR="00FE1F9C" w:rsidRPr="00FE1F9C" w:rsidRDefault="00C0126A" w:rsidP="00CE05BD">
            <w:pPr>
              <w:pStyle w:val="NoSpacing"/>
              <w:spacing w:before="240" w:line="480" w:lineRule="auto"/>
              <w:rPr>
                <w:highlight w:val="yellow"/>
              </w:rPr>
            </w:pPr>
            <w:r w:rsidRPr="00C0126A">
              <w:rPr>
                <w:noProof/>
                <w:highlight w:val="yellow"/>
              </w:rPr>
              <w:pict>
                <v:shapetype id="_x0000_t202" coordsize="21600,21600" o:spt="202" path="m,l,21600r21600,l21600,xe">
                  <v:stroke joinstyle="miter"/>
                  <v:path gradientshapeok="t" o:connecttype="rect"/>
                </v:shapetype>
                <v:shape id="_x0000_s1026" type="#_x0000_t202" style="position:absolute;margin-left:53.4pt;margin-top:34.6pt;width:150pt;height:66.75pt;z-index:251662336" strokecolor="white [3212]">
                  <v:textbox style="mso-next-textbox:#_x0000_s1026">
                    <w:txbxContent>
                      <w:p w:rsidR="002172B8" w:rsidRPr="000A4267" w:rsidRDefault="002172B8" w:rsidP="000A4267">
                        <w:pPr>
                          <w:pStyle w:val="NoSpacing"/>
                          <w:rPr>
                            <w:noProof/>
                            <w:sz w:val="16"/>
                            <w:szCs w:val="16"/>
                          </w:rPr>
                        </w:pPr>
                        <w:r w:rsidRPr="000A4267">
                          <w:rPr>
                            <w:noProof/>
                            <w:sz w:val="16"/>
                            <w:szCs w:val="16"/>
                          </w:rPr>
                          <w:t>Department of Environmental Quality</w:t>
                        </w:r>
                      </w:p>
                      <w:p w:rsidR="002172B8" w:rsidRPr="000A4267" w:rsidRDefault="002172B8" w:rsidP="000A4267">
                        <w:pPr>
                          <w:pStyle w:val="NoSpacing"/>
                          <w:rPr>
                            <w:noProof/>
                            <w:sz w:val="16"/>
                            <w:szCs w:val="16"/>
                          </w:rPr>
                        </w:pPr>
                        <w:r>
                          <w:rPr>
                            <w:noProof/>
                            <w:sz w:val="16"/>
                            <w:szCs w:val="16"/>
                          </w:rPr>
                          <w:t xml:space="preserve">Air </w:t>
                        </w:r>
                        <w:r w:rsidRPr="000A4267">
                          <w:rPr>
                            <w:noProof/>
                            <w:sz w:val="16"/>
                            <w:szCs w:val="16"/>
                          </w:rPr>
                          <w:t>Quality</w:t>
                        </w:r>
                      </w:p>
                      <w:p w:rsidR="002172B8" w:rsidRPr="000A4267" w:rsidRDefault="002172B8" w:rsidP="000A4267">
                        <w:pPr>
                          <w:pStyle w:val="NoSpacing"/>
                          <w:rPr>
                            <w:noProof/>
                            <w:sz w:val="16"/>
                            <w:szCs w:val="16"/>
                          </w:rPr>
                        </w:pPr>
                        <w:r w:rsidRPr="000A4267">
                          <w:rPr>
                            <w:noProof/>
                            <w:sz w:val="16"/>
                            <w:szCs w:val="16"/>
                          </w:rPr>
                          <w:t>811 SW 6</w:t>
                        </w:r>
                        <w:r w:rsidRPr="000A4267">
                          <w:rPr>
                            <w:noProof/>
                            <w:sz w:val="16"/>
                            <w:szCs w:val="16"/>
                            <w:vertAlign w:val="superscript"/>
                          </w:rPr>
                          <w:t>th</w:t>
                        </w:r>
                        <w:r w:rsidRPr="000A4267">
                          <w:rPr>
                            <w:noProof/>
                            <w:sz w:val="16"/>
                            <w:szCs w:val="16"/>
                          </w:rPr>
                          <w:t xml:space="preserve"> Ave</w:t>
                        </w:r>
                      </w:p>
                      <w:p w:rsidR="002172B8" w:rsidRPr="000A4267" w:rsidRDefault="002172B8" w:rsidP="000A4267">
                        <w:pPr>
                          <w:pStyle w:val="NoSpacing"/>
                          <w:rPr>
                            <w:noProof/>
                            <w:sz w:val="16"/>
                            <w:szCs w:val="16"/>
                          </w:rPr>
                        </w:pPr>
                        <w:r w:rsidRPr="000A4267">
                          <w:rPr>
                            <w:noProof/>
                            <w:sz w:val="16"/>
                            <w:szCs w:val="16"/>
                          </w:rPr>
                          <w:t>Portland, OR 97204</w:t>
                        </w:r>
                      </w:p>
                      <w:p w:rsidR="002172B8" w:rsidRDefault="002172B8" w:rsidP="000A4267">
                        <w:pPr>
                          <w:pStyle w:val="NoSpacing"/>
                          <w:rPr>
                            <w:noProof/>
                            <w:sz w:val="16"/>
                            <w:szCs w:val="16"/>
                          </w:rPr>
                        </w:pPr>
                      </w:p>
                      <w:p w:rsidR="002172B8" w:rsidRPr="000A4267" w:rsidRDefault="002172B8" w:rsidP="000A4267">
                        <w:pPr>
                          <w:pStyle w:val="NoSpacing"/>
                          <w:rPr>
                            <w:noProof/>
                            <w:sz w:val="16"/>
                            <w:szCs w:val="16"/>
                          </w:rPr>
                        </w:pPr>
                        <w:r w:rsidRPr="000A4267">
                          <w:rPr>
                            <w:noProof/>
                            <w:sz w:val="16"/>
                            <w:szCs w:val="16"/>
                          </w:rPr>
                          <w:t xml:space="preserve">ADDRESS </w:t>
                        </w:r>
                        <w:r>
                          <w:rPr>
                            <w:noProof/>
                            <w:sz w:val="16"/>
                            <w:szCs w:val="16"/>
                          </w:rPr>
                          <w:t>SERVICE</w:t>
                        </w:r>
                        <w:r w:rsidRPr="000A4267">
                          <w:rPr>
                            <w:noProof/>
                            <w:sz w:val="16"/>
                            <w:szCs w:val="16"/>
                          </w:rPr>
                          <w:t xml:space="preserve"> REQUESTED</w:t>
                        </w:r>
                      </w:p>
                      <w:p w:rsidR="002172B8" w:rsidRDefault="002172B8" w:rsidP="00C86BF9">
                        <w:pPr>
                          <w:rPr>
                            <w:noProof/>
                          </w:rPr>
                        </w:pPr>
                      </w:p>
                      <w:p w:rsidR="002172B8" w:rsidRDefault="002172B8" w:rsidP="00C86BF9"/>
                    </w:txbxContent>
                  </v:textbox>
                </v:shape>
              </w:pict>
            </w:r>
            <w:r w:rsidR="008B3BFB" w:rsidRPr="00FE1F9C">
              <w:rPr>
                <w:highlight w:val="yellow"/>
              </w:rPr>
              <w:t xml:space="preserve">  </w:t>
            </w:r>
          </w:p>
          <w:p w:rsidR="00FE1F9C" w:rsidRPr="00FE1F9C" w:rsidRDefault="009115DB" w:rsidP="00CE05BD">
            <w:pPr>
              <w:rPr>
                <w:highlight w:val="yellow"/>
              </w:rPr>
            </w:pPr>
            <w:r>
              <w:rPr>
                <w:noProof/>
              </w:rPr>
              <w:drawing>
                <wp:anchor distT="0" distB="0" distL="114300" distR="114300" simplePos="0" relativeHeight="251669504" behindDoc="0" locked="0" layoutInCell="1" allowOverlap="1">
                  <wp:simplePos x="0" y="0"/>
                  <wp:positionH relativeFrom="column">
                    <wp:posOffset>364490</wp:posOffset>
                  </wp:positionH>
                  <wp:positionV relativeFrom="paragraph">
                    <wp:posOffset>16510</wp:posOffset>
                  </wp:positionV>
                  <wp:extent cx="308610" cy="731520"/>
                  <wp:effectExtent l="19050" t="0" r="0" b="0"/>
                  <wp:wrapNone/>
                  <wp:docPr id="5" name="Picture 1" descr="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all"/>
                          <pic:cNvPicPr>
                            <a:picLocks noChangeAspect="1" noChangeArrowheads="1"/>
                          </pic:cNvPicPr>
                        </pic:nvPicPr>
                        <pic:blipFill>
                          <a:blip r:embed="rId6" cstate="print"/>
                          <a:srcRect/>
                          <a:stretch>
                            <a:fillRect/>
                          </a:stretch>
                        </pic:blipFill>
                        <pic:spPr bwMode="auto">
                          <a:xfrm>
                            <a:off x="0" y="0"/>
                            <a:ext cx="308610" cy="731520"/>
                          </a:xfrm>
                          <a:prstGeom prst="rect">
                            <a:avLst/>
                          </a:prstGeom>
                          <a:noFill/>
                          <a:ln w="9525">
                            <a:noFill/>
                            <a:miter lim="800000"/>
                            <a:headEnd/>
                            <a:tailEnd/>
                          </a:ln>
                        </pic:spPr>
                      </pic:pic>
                    </a:graphicData>
                  </a:graphic>
                </wp:anchor>
              </w:drawing>
            </w:r>
          </w:p>
          <w:p w:rsidR="00FE1F9C" w:rsidRDefault="00532175" w:rsidP="00CE05BD">
            <w:pPr>
              <w:rPr>
                <w:highlight w:val="yellow"/>
              </w:rPr>
            </w:pPr>
            <w:r>
              <w:rPr>
                <w:highlight w:val="yellow"/>
              </w:rPr>
              <w:t xml:space="preserve">    </w:t>
            </w:r>
          </w:p>
          <w:p w:rsidR="00FE1F9C" w:rsidRDefault="00FE1F9C" w:rsidP="00CE05BD">
            <w:pPr>
              <w:jc w:val="center"/>
              <w:rPr>
                <w:highlight w:val="yellow"/>
              </w:rPr>
            </w:pPr>
          </w:p>
          <w:p w:rsidR="004821A8" w:rsidRDefault="004821A8" w:rsidP="00CE05BD">
            <w:pPr>
              <w:jc w:val="center"/>
              <w:rPr>
                <w:highlight w:val="yellow"/>
              </w:rPr>
            </w:pPr>
          </w:p>
          <w:p w:rsidR="004821A8" w:rsidRDefault="004821A8" w:rsidP="00CE05BD">
            <w:pPr>
              <w:jc w:val="center"/>
              <w:rPr>
                <w:highlight w:val="yellow"/>
              </w:rPr>
            </w:pPr>
          </w:p>
          <w:p w:rsidR="00816D6D" w:rsidRDefault="00816D6D" w:rsidP="00CE05BD">
            <w:pPr>
              <w:ind w:left="3690"/>
            </w:pPr>
          </w:p>
          <w:p w:rsidR="00816D6D" w:rsidRDefault="00816D6D" w:rsidP="00CE05BD">
            <w:pPr>
              <w:ind w:left="3690"/>
            </w:pPr>
          </w:p>
          <w:p w:rsidR="002323E7" w:rsidRDefault="002323E7" w:rsidP="00CE05BD">
            <w:pPr>
              <w:ind w:left="3690"/>
            </w:pPr>
          </w:p>
          <w:p w:rsidR="002323E7" w:rsidRDefault="002323E7" w:rsidP="00CE05BD">
            <w:pPr>
              <w:ind w:left="3690"/>
            </w:pPr>
          </w:p>
          <w:p w:rsidR="002323E7" w:rsidRDefault="00CE05BD" w:rsidP="00CE05BD">
            <w:pPr>
              <w:ind w:left="3690"/>
            </w:pPr>
            <w:r>
              <w:t xml:space="preserve"> </w:t>
            </w:r>
          </w:p>
          <w:p w:rsidR="00202F7F" w:rsidRPr="00816D6D" w:rsidRDefault="002323E7" w:rsidP="00CE05BD">
            <w:pPr>
              <w:ind w:left="3690"/>
            </w:pPr>
            <w:r>
              <w:t xml:space="preserve"> </w:t>
            </w:r>
            <w:r w:rsidR="00FC6C7F">
              <w:t xml:space="preserve"> </w:t>
            </w:r>
          </w:p>
          <w:p w:rsidR="00816D6D" w:rsidRDefault="00816D6D" w:rsidP="00CE05BD">
            <w:pPr>
              <w:ind w:left="3690"/>
              <w:rPr>
                <w:highlight w:val="yellow"/>
              </w:rPr>
            </w:pPr>
            <w:r>
              <w:t xml:space="preserve"> </w:t>
            </w:r>
            <w:r w:rsidRPr="00816D6D">
              <w:t xml:space="preserve">  </w:t>
            </w:r>
            <w:r>
              <w:t xml:space="preserve"> </w:t>
            </w:r>
          </w:p>
          <w:p w:rsidR="00DE795E" w:rsidRDefault="00DE795E" w:rsidP="00CE05BD">
            <w:pPr>
              <w:jc w:val="center"/>
              <w:rPr>
                <w:highlight w:val="yellow"/>
              </w:rPr>
            </w:pPr>
          </w:p>
          <w:p w:rsidR="00DE795E" w:rsidRDefault="00DE795E" w:rsidP="00CE05BD">
            <w:pPr>
              <w:jc w:val="center"/>
              <w:rPr>
                <w:highlight w:val="yellow"/>
              </w:rPr>
            </w:pPr>
          </w:p>
          <w:p w:rsidR="00816D6D" w:rsidRPr="00FE1F9C" w:rsidRDefault="001A583F" w:rsidP="00CE05BD">
            <w:pPr>
              <w:rPr>
                <w:highlight w:val="yellow"/>
              </w:rPr>
            </w:pPr>
            <w:r>
              <w:rPr>
                <w:highlight w:val="yellow"/>
              </w:rPr>
              <w:t xml:space="preserve"> </w:t>
            </w:r>
            <w:r w:rsidR="00816D6D">
              <w:rPr>
                <w:highlight w:val="yellow"/>
              </w:rPr>
              <w:t xml:space="preserve">        </w:t>
            </w:r>
            <w:r w:rsidR="00816D6D" w:rsidRPr="00816D6D">
              <w:t xml:space="preserve">       </w:t>
            </w:r>
          </w:p>
        </w:tc>
      </w:tr>
      <w:tr w:rsidR="009C1D45" w:rsidTr="00CE05BD">
        <w:trPr>
          <w:trHeight w:val="5760"/>
        </w:trPr>
        <w:tc>
          <w:tcPr>
            <w:tcW w:w="8640" w:type="dxa"/>
          </w:tcPr>
          <w:p w:rsidR="00DE795E" w:rsidRDefault="00DE795E" w:rsidP="00CE05BD">
            <w:pPr>
              <w:spacing w:before="240"/>
            </w:pPr>
            <w:r>
              <w:t xml:space="preserve"> </w:t>
            </w:r>
          </w:p>
          <w:p w:rsidR="00DE795E" w:rsidRPr="00DE795E" w:rsidRDefault="00367E53" w:rsidP="00CE05BD">
            <w:r>
              <w:rPr>
                <w:noProof/>
              </w:rPr>
              <w:drawing>
                <wp:anchor distT="0" distB="0" distL="114300" distR="114300" simplePos="0" relativeHeight="251672576" behindDoc="0" locked="0" layoutInCell="1" allowOverlap="1">
                  <wp:simplePos x="0" y="0"/>
                  <wp:positionH relativeFrom="column">
                    <wp:posOffset>334010</wp:posOffset>
                  </wp:positionH>
                  <wp:positionV relativeFrom="paragraph">
                    <wp:posOffset>133350</wp:posOffset>
                  </wp:positionV>
                  <wp:extent cx="308610" cy="731520"/>
                  <wp:effectExtent l="19050" t="0" r="0" b="0"/>
                  <wp:wrapNone/>
                  <wp:docPr id="1" name="Picture 1" descr="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all"/>
                          <pic:cNvPicPr>
                            <a:picLocks noChangeAspect="1" noChangeArrowheads="1"/>
                          </pic:cNvPicPr>
                        </pic:nvPicPr>
                        <pic:blipFill>
                          <a:blip r:embed="rId6" cstate="print"/>
                          <a:srcRect/>
                          <a:stretch>
                            <a:fillRect/>
                          </a:stretch>
                        </pic:blipFill>
                        <pic:spPr bwMode="auto">
                          <a:xfrm>
                            <a:off x="0" y="0"/>
                            <a:ext cx="308610" cy="731520"/>
                          </a:xfrm>
                          <a:prstGeom prst="rect">
                            <a:avLst/>
                          </a:prstGeom>
                          <a:noFill/>
                          <a:ln w="9525">
                            <a:noFill/>
                            <a:miter lim="800000"/>
                            <a:headEnd/>
                            <a:tailEnd/>
                          </a:ln>
                        </pic:spPr>
                      </pic:pic>
                    </a:graphicData>
                  </a:graphic>
                </wp:anchor>
              </w:drawing>
            </w:r>
            <w:r>
              <w:rPr>
                <w:noProof/>
              </w:rPr>
              <w:pict>
                <v:shape id="_x0000_s1028" type="#_x0000_t202" style="position:absolute;margin-left:51pt;margin-top:7.95pt;width:150pt;height:66.75pt;z-index:251670528;mso-position-horizontal-relative:text;mso-position-vertical-relative:text" strokecolor="white [3212]" strokeweight="1pt">
                  <v:textbox style="mso-next-textbox:#_x0000_s1028">
                    <w:txbxContent>
                      <w:p w:rsidR="002172B8" w:rsidRPr="000A4267" w:rsidRDefault="002172B8" w:rsidP="000A4267">
                        <w:pPr>
                          <w:pStyle w:val="NoSpacing"/>
                          <w:rPr>
                            <w:noProof/>
                            <w:sz w:val="16"/>
                            <w:szCs w:val="16"/>
                          </w:rPr>
                        </w:pPr>
                        <w:r w:rsidRPr="000A4267">
                          <w:rPr>
                            <w:noProof/>
                            <w:sz w:val="16"/>
                            <w:szCs w:val="16"/>
                          </w:rPr>
                          <w:t>Department of Environmental Quality</w:t>
                        </w:r>
                      </w:p>
                      <w:p w:rsidR="002172B8" w:rsidRPr="000A4267" w:rsidRDefault="002172B8" w:rsidP="000A4267">
                        <w:pPr>
                          <w:pStyle w:val="NoSpacing"/>
                          <w:rPr>
                            <w:noProof/>
                            <w:sz w:val="16"/>
                            <w:szCs w:val="16"/>
                          </w:rPr>
                        </w:pPr>
                        <w:r>
                          <w:rPr>
                            <w:noProof/>
                            <w:sz w:val="16"/>
                            <w:szCs w:val="16"/>
                          </w:rPr>
                          <w:t xml:space="preserve">Air </w:t>
                        </w:r>
                        <w:r w:rsidRPr="000A4267">
                          <w:rPr>
                            <w:noProof/>
                            <w:sz w:val="16"/>
                            <w:szCs w:val="16"/>
                          </w:rPr>
                          <w:t>Quality</w:t>
                        </w:r>
                      </w:p>
                      <w:p w:rsidR="002172B8" w:rsidRPr="000A4267" w:rsidRDefault="002172B8" w:rsidP="000A4267">
                        <w:pPr>
                          <w:pStyle w:val="NoSpacing"/>
                          <w:rPr>
                            <w:noProof/>
                            <w:sz w:val="16"/>
                            <w:szCs w:val="16"/>
                          </w:rPr>
                        </w:pPr>
                        <w:r w:rsidRPr="000A4267">
                          <w:rPr>
                            <w:noProof/>
                            <w:sz w:val="16"/>
                            <w:szCs w:val="16"/>
                          </w:rPr>
                          <w:t>811 SW 6</w:t>
                        </w:r>
                        <w:r w:rsidRPr="000A4267">
                          <w:rPr>
                            <w:noProof/>
                            <w:sz w:val="16"/>
                            <w:szCs w:val="16"/>
                            <w:vertAlign w:val="superscript"/>
                          </w:rPr>
                          <w:t>th</w:t>
                        </w:r>
                        <w:r w:rsidRPr="000A4267">
                          <w:rPr>
                            <w:noProof/>
                            <w:sz w:val="16"/>
                            <w:szCs w:val="16"/>
                          </w:rPr>
                          <w:t xml:space="preserve"> Ave</w:t>
                        </w:r>
                      </w:p>
                      <w:p w:rsidR="002172B8" w:rsidRPr="000A4267" w:rsidRDefault="002172B8" w:rsidP="000A4267">
                        <w:pPr>
                          <w:pStyle w:val="NoSpacing"/>
                          <w:rPr>
                            <w:noProof/>
                            <w:sz w:val="16"/>
                            <w:szCs w:val="16"/>
                          </w:rPr>
                        </w:pPr>
                        <w:r w:rsidRPr="000A4267">
                          <w:rPr>
                            <w:noProof/>
                            <w:sz w:val="16"/>
                            <w:szCs w:val="16"/>
                          </w:rPr>
                          <w:t>Portland, OR 97204</w:t>
                        </w:r>
                      </w:p>
                      <w:p w:rsidR="002172B8" w:rsidRDefault="002172B8" w:rsidP="000A4267">
                        <w:pPr>
                          <w:pStyle w:val="NoSpacing"/>
                          <w:rPr>
                            <w:noProof/>
                            <w:sz w:val="16"/>
                            <w:szCs w:val="16"/>
                          </w:rPr>
                        </w:pPr>
                      </w:p>
                      <w:p w:rsidR="002172B8" w:rsidRPr="000A4267" w:rsidRDefault="002172B8" w:rsidP="000A4267">
                        <w:pPr>
                          <w:pStyle w:val="NoSpacing"/>
                          <w:rPr>
                            <w:noProof/>
                            <w:sz w:val="16"/>
                            <w:szCs w:val="16"/>
                          </w:rPr>
                        </w:pPr>
                        <w:r w:rsidRPr="000A4267">
                          <w:rPr>
                            <w:noProof/>
                            <w:sz w:val="16"/>
                            <w:szCs w:val="16"/>
                          </w:rPr>
                          <w:t xml:space="preserve">ADDRESS </w:t>
                        </w:r>
                        <w:r>
                          <w:rPr>
                            <w:noProof/>
                            <w:sz w:val="16"/>
                            <w:szCs w:val="16"/>
                          </w:rPr>
                          <w:t>SERVICE</w:t>
                        </w:r>
                        <w:r w:rsidRPr="000A4267">
                          <w:rPr>
                            <w:noProof/>
                            <w:sz w:val="16"/>
                            <w:szCs w:val="16"/>
                          </w:rPr>
                          <w:t xml:space="preserve"> REQUESTED</w:t>
                        </w:r>
                      </w:p>
                      <w:p w:rsidR="002172B8" w:rsidRDefault="002172B8" w:rsidP="000A4267">
                        <w:pPr>
                          <w:rPr>
                            <w:noProof/>
                          </w:rPr>
                        </w:pPr>
                      </w:p>
                      <w:p w:rsidR="002172B8" w:rsidRDefault="002172B8" w:rsidP="000A4267"/>
                    </w:txbxContent>
                  </v:textbox>
                </v:shape>
              </w:pict>
            </w:r>
          </w:p>
          <w:p w:rsidR="00DE795E" w:rsidRPr="00DE795E" w:rsidRDefault="00DE795E" w:rsidP="00CE05BD"/>
          <w:p w:rsidR="00DE795E" w:rsidRPr="00DE795E" w:rsidRDefault="00DE795E" w:rsidP="00CE05BD"/>
          <w:p w:rsidR="00DE795E" w:rsidRDefault="00DE795E" w:rsidP="00CE05BD"/>
          <w:p w:rsidR="00DE795E" w:rsidRDefault="00DE795E" w:rsidP="00CE05BD"/>
          <w:p w:rsidR="00DE795E" w:rsidRDefault="00DE795E" w:rsidP="00CE05BD"/>
          <w:p w:rsidR="00816D6D" w:rsidRDefault="00816D6D" w:rsidP="00CE05BD">
            <w:pPr>
              <w:ind w:left="3690"/>
            </w:pPr>
          </w:p>
          <w:p w:rsidR="00816D6D" w:rsidRDefault="00816D6D" w:rsidP="00CE05BD">
            <w:pPr>
              <w:ind w:left="3690"/>
            </w:pPr>
          </w:p>
          <w:p w:rsidR="002323E7" w:rsidRDefault="002323E7" w:rsidP="00CE05BD">
            <w:r>
              <w:t xml:space="preserve">                                                                           </w:t>
            </w:r>
          </w:p>
          <w:p w:rsidR="002323E7" w:rsidRDefault="002323E7" w:rsidP="00CE05BD">
            <w:r>
              <w:t xml:space="preserve">                                                                           </w:t>
            </w:r>
            <w:r w:rsidR="00CE05BD">
              <w:t xml:space="preserve"> </w:t>
            </w:r>
          </w:p>
          <w:p w:rsidR="00CE05BD" w:rsidRDefault="00CE05BD" w:rsidP="00CE05BD"/>
          <w:p w:rsidR="00CE05BD" w:rsidRDefault="00CE05BD" w:rsidP="00CE05BD"/>
          <w:p w:rsidR="00816D6D" w:rsidRDefault="00816D6D" w:rsidP="00CE05BD"/>
          <w:p w:rsidR="002323E7" w:rsidRDefault="002323E7" w:rsidP="00CE05BD"/>
          <w:p w:rsidR="002323E7" w:rsidRDefault="002323E7" w:rsidP="00CE05BD"/>
          <w:p w:rsidR="002323E7" w:rsidRDefault="002323E7" w:rsidP="00CE05BD"/>
          <w:p w:rsidR="00816D6D" w:rsidRDefault="00816D6D" w:rsidP="00CE05BD"/>
          <w:p w:rsidR="00816D6D" w:rsidRDefault="00816D6D" w:rsidP="00CE05BD"/>
          <w:p w:rsidR="00DE795E" w:rsidRPr="00DE795E" w:rsidRDefault="00CF760A" w:rsidP="00CE05BD">
            <w:r>
              <w:t xml:space="preserve">         </w:t>
            </w:r>
            <w:r w:rsidR="001A583F">
              <w:t xml:space="preserve"> </w:t>
            </w:r>
          </w:p>
        </w:tc>
      </w:tr>
      <w:tr w:rsidR="009C1D45" w:rsidTr="00CE05BD">
        <w:trPr>
          <w:trHeight w:val="5760"/>
        </w:trPr>
        <w:tc>
          <w:tcPr>
            <w:tcW w:w="8640" w:type="dxa"/>
          </w:tcPr>
          <w:p w:rsidR="009C1D45" w:rsidRDefault="00C0126A" w:rsidP="00CE05BD">
            <w:r>
              <w:rPr>
                <w:noProof/>
              </w:rPr>
              <w:lastRenderedPageBreak/>
              <w:pict>
                <v:shape id="_x0000_s1027" type="#_x0000_t202" style="position:absolute;margin-left:27pt;margin-top:31pt;width:373.5pt;height:275pt;z-index:251665408;mso-position-horizontal-relative:text;mso-position-vertical-relative:text" filled="f" stroked="f">
                  <v:textbox style="mso-next-textbox:#_x0000_s1027">
                    <w:txbxContent>
                      <w:p w:rsidR="004165DA" w:rsidRPr="004165DA" w:rsidRDefault="004165DA" w:rsidP="004165DA">
                        <w:pPr>
                          <w:jc w:val="center"/>
                          <w:rPr>
                            <w:rFonts w:ascii="Arial" w:hAnsi="Arial" w:cs="Arial"/>
                            <w:b/>
                            <w:sz w:val="24"/>
                            <w:szCs w:val="24"/>
                          </w:rPr>
                        </w:pPr>
                        <w:r w:rsidRPr="004165DA">
                          <w:rPr>
                            <w:rFonts w:ascii="Arial" w:hAnsi="Arial" w:cs="Arial"/>
                            <w:b/>
                            <w:sz w:val="24"/>
                            <w:szCs w:val="24"/>
                          </w:rPr>
                          <w:t>Stakeholder meeting invitation on DEQ’s potential air quality rule revisions</w:t>
                        </w:r>
                      </w:p>
                      <w:p w:rsidR="004165DA" w:rsidRPr="004165DA" w:rsidRDefault="004165DA" w:rsidP="004165DA">
                        <w:pPr>
                          <w:rPr>
                            <w:rFonts w:ascii="Arial" w:hAnsi="Arial" w:cs="Arial"/>
                            <w:sz w:val="24"/>
                            <w:szCs w:val="24"/>
                          </w:rPr>
                        </w:pPr>
                      </w:p>
                      <w:p w:rsidR="004165DA" w:rsidRPr="004165DA" w:rsidRDefault="004165DA" w:rsidP="004165DA">
                        <w:pPr>
                          <w:rPr>
                            <w:rFonts w:ascii="Arial" w:hAnsi="Arial" w:cs="Arial"/>
                            <w:sz w:val="24"/>
                            <w:szCs w:val="24"/>
                          </w:rPr>
                        </w:pPr>
                        <w:r w:rsidRPr="004165DA">
                          <w:rPr>
                            <w:rFonts w:ascii="Arial" w:hAnsi="Arial" w:cs="Arial"/>
                            <w:sz w:val="24"/>
                            <w:szCs w:val="24"/>
                          </w:rPr>
                          <w:t>You hold an air quality permit with Oregon DEQ. You are invited to participate in stakeholder meetings to discuss potential air quality rule revisions. DEQ is holding stakeholder meetings in Portland, Pendleton, Eugene, and Medford during the month of August to discuss potential air quality rule revisions prior to releasing the proposed rules for public comment.  Potential revisions include:</w:t>
                        </w:r>
                      </w:p>
                      <w:p w:rsidR="004165DA" w:rsidRPr="004165DA" w:rsidRDefault="004165DA" w:rsidP="004165DA">
                        <w:pPr>
                          <w:numPr>
                            <w:ilvl w:val="0"/>
                            <w:numId w:val="1"/>
                          </w:numPr>
                          <w:rPr>
                            <w:rFonts w:ascii="Arial" w:hAnsi="Arial" w:cs="Arial"/>
                            <w:sz w:val="24"/>
                            <w:szCs w:val="24"/>
                          </w:rPr>
                        </w:pPr>
                        <w:r w:rsidRPr="004165DA">
                          <w:rPr>
                            <w:rFonts w:ascii="Arial" w:hAnsi="Arial" w:cs="Arial"/>
                            <w:sz w:val="24"/>
                            <w:szCs w:val="24"/>
                          </w:rPr>
                          <w:t>Changes to particulate matter and opacity standards</w:t>
                        </w:r>
                      </w:p>
                      <w:p w:rsidR="004165DA" w:rsidRPr="004165DA" w:rsidRDefault="004165DA" w:rsidP="004165DA">
                        <w:pPr>
                          <w:numPr>
                            <w:ilvl w:val="0"/>
                            <w:numId w:val="1"/>
                          </w:numPr>
                          <w:rPr>
                            <w:rFonts w:ascii="Arial" w:hAnsi="Arial" w:cs="Arial"/>
                            <w:sz w:val="24"/>
                            <w:szCs w:val="24"/>
                          </w:rPr>
                        </w:pPr>
                        <w:r w:rsidRPr="004165DA">
                          <w:rPr>
                            <w:rFonts w:ascii="Arial" w:hAnsi="Arial" w:cs="Arial"/>
                            <w:sz w:val="24"/>
                            <w:szCs w:val="24"/>
                          </w:rPr>
                          <w:t>Changes to the New Source Review program</w:t>
                        </w:r>
                      </w:p>
                      <w:p w:rsidR="004165DA" w:rsidRPr="004165DA" w:rsidRDefault="004165DA" w:rsidP="004165DA">
                        <w:pPr>
                          <w:numPr>
                            <w:ilvl w:val="0"/>
                            <w:numId w:val="1"/>
                          </w:numPr>
                          <w:rPr>
                            <w:rFonts w:ascii="Arial" w:hAnsi="Arial" w:cs="Arial"/>
                            <w:sz w:val="24"/>
                            <w:szCs w:val="24"/>
                          </w:rPr>
                        </w:pPr>
                        <w:r w:rsidRPr="004165DA">
                          <w:rPr>
                            <w:rFonts w:ascii="Arial" w:hAnsi="Arial" w:cs="Arial"/>
                            <w:sz w:val="24"/>
                            <w:szCs w:val="24"/>
                          </w:rPr>
                          <w:t>Changes to make air quality rules clearer</w:t>
                        </w:r>
                      </w:p>
                      <w:p w:rsidR="004165DA" w:rsidRPr="004165DA" w:rsidRDefault="004165DA" w:rsidP="004165DA">
                        <w:pPr>
                          <w:numPr>
                            <w:ilvl w:val="0"/>
                            <w:numId w:val="1"/>
                          </w:numPr>
                          <w:rPr>
                            <w:rFonts w:ascii="Arial" w:hAnsi="Arial" w:cs="Arial"/>
                            <w:sz w:val="24"/>
                            <w:szCs w:val="24"/>
                          </w:rPr>
                        </w:pPr>
                        <w:r w:rsidRPr="004165DA">
                          <w:rPr>
                            <w:rFonts w:ascii="Arial" w:hAnsi="Arial" w:cs="Arial"/>
                            <w:sz w:val="24"/>
                            <w:szCs w:val="24"/>
                          </w:rPr>
                          <w:t>Changes to the definition of categorically insignificant activities</w:t>
                        </w:r>
                      </w:p>
                      <w:p w:rsidR="004165DA" w:rsidRPr="004165DA" w:rsidRDefault="004165DA" w:rsidP="004165DA">
                        <w:pPr>
                          <w:rPr>
                            <w:rFonts w:ascii="Arial" w:hAnsi="Arial" w:cs="Arial"/>
                            <w:sz w:val="24"/>
                            <w:szCs w:val="24"/>
                          </w:rPr>
                        </w:pPr>
                        <w:r w:rsidRPr="004165DA">
                          <w:rPr>
                            <w:rFonts w:ascii="Arial" w:hAnsi="Arial" w:cs="Arial"/>
                            <w:sz w:val="24"/>
                            <w:szCs w:val="24"/>
                          </w:rPr>
                          <w:t>For more information on the stakeholder meetings, see D</w:t>
                        </w:r>
                        <w:r w:rsidRPr="004165DA">
                          <w:rPr>
                            <w:rFonts w:ascii="Arial" w:hAnsi="Arial" w:cs="Arial"/>
                            <w:sz w:val="24"/>
                            <w:szCs w:val="24"/>
                          </w:rPr>
                          <w:t>E</w:t>
                        </w:r>
                        <w:r w:rsidRPr="004165DA">
                          <w:rPr>
                            <w:rFonts w:ascii="Arial" w:hAnsi="Arial" w:cs="Arial"/>
                            <w:sz w:val="24"/>
                            <w:szCs w:val="24"/>
                          </w:rPr>
                          <w:t xml:space="preserve">Q’s website at </w:t>
                        </w:r>
                        <w:hyperlink r:id="rId7" w:history="1">
                          <w:r w:rsidR="000370E1" w:rsidRPr="00680751">
                            <w:rPr>
                              <w:rStyle w:val="Hyperlink"/>
                              <w:rFonts w:ascii="Arial" w:hAnsi="Arial" w:cs="Arial"/>
                              <w:sz w:val="24"/>
                              <w:szCs w:val="24"/>
                            </w:rPr>
                            <w:t>http://www.deq.state.or.us/aq/permit/index.htm</w:t>
                          </w:r>
                        </w:hyperlink>
                        <w:r w:rsidR="000370E1">
                          <w:rPr>
                            <w:rFonts w:ascii="Arial" w:hAnsi="Arial" w:cs="Arial"/>
                            <w:sz w:val="24"/>
                            <w:szCs w:val="24"/>
                          </w:rPr>
                          <w:t xml:space="preserve"> or contact Jill Inahara at 503-229-5001, inahara.jill@deq.state.or.us</w:t>
                        </w:r>
                        <w:r w:rsidRPr="004165DA">
                          <w:rPr>
                            <w:rFonts w:ascii="Arial" w:hAnsi="Arial" w:cs="Arial"/>
                            <w:sz w:val="24"/>
                            <w:szCs w:val="24"/>
                          </w:rPr>
                          <w:t>. DEQ plans to release the proposed rules for public comment in October 2013.</w:t>
                        </w:r>
                      </w:p>
                      <w:p w:rsidR="002172B8" w:rsidRPr="000965A2" w:rsidRDefault="002172B8" w:rsidP="00D63E51">
                        <w:pPr>
                          <w:rPr>
                            <w:rFonts w:ascii="Cambria" w:hAnsi="Cambria" w:cs="Arial"/>
                            <w:sz w:val="20"/>
                            <w:szCs w:val="20"/>
                          </w:rPr>
                        </w:pPr>
                      </w:p>
                    </w:txbxContent>
                  </v:textbox>
                </v:shape>
              </w:pict>
            </w:r>
            <w:r w:rsidR="002B6C3C">
              <w:t xml:space="preserve"> </w:t>
            </w:r>
          </w:p>
        </w:tc>
      </w:tr>
      <w:tr w:rsidR="009C1D45" w:rsidTr="00CE05BD">
        <w:trPr>
          <w:trHeight w:val="5760"/>
        </w:trPr>
        <w:tc>
          <w:tcPr>
            <w:tcW w:w="8640" w:type="dxa"/>
          </w:tcPr>
          <w:p w:rsidR="009C1D45" w:rsidRDefault="00C0126A" w:rsidP="00CE05BD">
            <w:pPr>
              <w:jc w:val="both"/>
            </w:pPr>
            <w:r>
              <w:rPr>
                <w:noProof/>
              </w:rPr>
              <w:pict>
                <v:shape id="_x0000_s1029" type="#_x0000_t202" style="position:absolute;left:0;text-align:left;margin-left:27pt;margin-top:37.2pt;width:373.5pt;height:272.45pt;z-index:251673600;mso-position-horizontal-relative:text;mso-position-vertical-relative:text" filled="f" stroked="f">
                  <v:textbox style="mso-next-textbox:#_x0000_s1029">
                    <w:txbxContent>
                      <w:p w:rsidR="004165DA" w:rsidRPr="004165DA" w:rsidRDefault="004165DA" w:rsidP="004165DA">
                        <w:pPr>
                          <w:rPr>
                            <w:rFonts w:ascii="Arial" w:hAnsi="Arial" w:cs="Arial"/>
                            <w:b/>
                            <w:sz w:val="24"/>
                            <w:szCs w:val="24"/>
                          </w:rPr>
                        </w:pPr>
                        <w:r w:rsidRPr="004165DA">
                          <w:rPr>
                            <w:rFonts w:ascii="Arial" w:hAnsi="Arial" w:cs="Arial"/>
                            <w:b/>
                            <w:sz w:val="24"/>
                            <w:szCs w:val="24"/>
                          </w:rPr>
                          <w:t>Stakeholder meeting invitation on DEQ’s potential air quality rule revisions</w:t>
                        </w:r>
                      </w:p>
                      <w:p w:rsidR="004165DA" w:rsidRPr="004165DA" w:rsidRDefault="004165DA" w:rsidP="004165DA">
                        <w:pPr>
                          <w:rPr>
                            <w:rFonts w:ascii="Arial" w:hAnsi="Arial" w:cs="Arial"/>
                            <w:sz w:val="24"/>
                            <w:szCs w:val="24"/>
                          </w:rPr>
                        </w:pPr>
                      </w:p>
                      <w:p w:rsidR="004165DA" w:rsidRPr="004165DA" w:rsidRDefault="004165DA" w:rsidP="004165DA">
                        <w:pPr>
                          <w:rPr>
                            <w:rFonts w:ascii="Arial" w:hAnsi="Arial" w:cs="Arial"/>
                            <w:sz w:val="24"/>
                            <w:szCs w:val="24"/>
                          </w:rPr>
                        </w:pPr>
                        <w:r w:rsidRPr="004165DA">
                          <w:rPr>
                            <w:rFonts w:ascii="Arial" w:hAnsi="Arial" w:cs="Arial"/>
                            <w:sz w:val="24"/>
                            <w:szCs w:val="24"/>
                          </w:rPr>
                          <w:t>You hold an air quality permit with Oregon DEQ. You are invited to participate in stakeholder meetings to discuss potential air quality rule revisions. DEQ is holding stakeholder meetings in Portland, Pendleton, Eugene, and Medford during the month of August to discuss potential air quality rule revisions prior to releasing the proposed rules for public comment.  Potential revisions include:</w:t>
                        </w:r>
                      </w:p>
                      <w:p w:rsidR="004165DA" w:rsidRPr="004165DA" w:rsidRDefault="004165DA" w:rsidP="004165DA">
                        <w:pPr>
                          <w:numPr>
                            <w:ilvl w:val="0"/>
                            <w:numId w:val="1"/>
                          </w:numPr>
                          <w:rPr>
                            <w:rFonts w:ascii="Arial" w:hAnsi="Arial" w:cs="Arial"/>
                            <w:sz w:val="24"/>
                            <w:szCs w:val="24"/>
                          </w:rPr>
                        </w:pPr>
                        <w:r w:rsidRPr="004165DA">
                          <w:rPr>
                            <w:rFonts w:ascii="Arial" w:hAnsi="Arial" w:cs="Arial"/>
                            <w:sz w:val="24"/>
                            <w:szCs w:val="24"/>
                          </w:rPr>
                          <w:t>Changes to particulate matter and opacity standards</w:t>
                        </w:r>
                      </w:p>
                      <w:p w:rsidR="004165DA" w:rsidRPr="004165DA" w:rsidRDefault="004165DA" w:rsidP="004165DA">
                        <w:pPr>
                          <w:numPr>
                            <w:ilvl w:val="0"/>
                            <w:numId w:val="1"/>
                          </w:numPr>
                          <w:rPr>
                            <w:rFonts w:ascii="Arial" w:hAnsi="Arial" w:cs="Arial"/>
                            <w:sz w:val="24"/>
                            <w:szCs w:val="24"/>
                          </w:rPr>
                        </w:pPr>
                        <w:r w:rsidRPr="004165DA">
                          <w:rPr>
                            <w:rFonts w:ascii="Arial" w:hAnsi="Arial" w:cs="Arial"/>
                            <w:sz w:val="24"/>
                            <w:szCs w:val="24"/>
                          </w:rPr>
                          <w:t>Changes to the New Source Review program</w:t>
                        </w:r>
                      </w:p>
                      <w:p w:rsidR="004165DA" w:rsidRPr="004165DA" w:rsidRDefault="004165DA" w:rsidP="004165DA">
                        <w:pPr>
                          <w:numPr>
                            <w:ilvl w:val="0"/>
                            <w:numId w:val="1"/>
                          </w:numPr>
                          <w:rPr>
                            <w:rFonts w:ascii="Arial" w:hAnsi="Arial" w:cs="Arial"/>
                            <w:sz w:val="24"/>
                            <w:szCs w:val="24"/>
                          </w:rPr>
                        </w:pPr>
                        <w:r w:rsidRPr="004165DA">
                          <w:rPr>
                            <w:rFonts w:ascii="Arial" w:hAnsi="Arial" w:cs="Arial"/>
                            <w:sz w:val="24"/>
                            <w:szCs w:val="24"/>
                          </w:rPr>
                          <w:t>Changes to make air quality rules clearer</w:t>
                        </w:r>
                      </w:p>
                      <w:p w:rsidR="004165DA" w:rsidRPr="004165DA" w:rsidRDefault="004165DA" w:rsidP="004165DA">
                        <w:pPr>
                          <w:numPr>
                            <w:ilvl w:val="0"/>
                            <w:numId w:val="1"/>
                          </w:numPr>
                          <w:rPr>
                            <w:rFonts w:ascii="Arial" w:hAnsi="Arial" w:cs="Arial"/>
                            <w:sz w:val="24"/>
                            <w:szCs w:val="24"/>
                          </w:rPr>
                        </w:pPr>
                        <w:r w:rsidRPr="004165DA">
                          <w:rPr>
                            <w:rFonts w:ascii="Arial" w:hAnsi="Arial" w:cs="Arial"/>
                            <w:sz w:val="24"/>
                            <w:szCs w:val="24"/>
                          </w:rPr>
                          <w:t>Changes to the definition of categorically insignificant activities</w:t>
                        </w:r>
                      </w:p>
                      <w:p w:rsidR="004165DA" w:rsidRPr="004165DA" w:rsidRDefault="004165DA" w:rsidP="004165DA">
                        <w:pPr>
                          <w:rPr>
                            <w:rFonts w:ascii="Arial" w:hAnsi="Arial" w:cs="Arial"/>
                            <w:sz w:val="24"/>
                            <w:szCs w:val="24"/>
                          </w:rPr>
                        </w:pPr>
                        <w:r w:rsidRPr="004165DA">
                          <w:rPr>
                            <w:rFonts w:ascii="Arial" w:hAnsi="Arial" w:cs="Arial"/>
                            <w:sz w:val="24"/>
                            <w:szCs w:val="24"/>
                          </w:rPr>
                          <w:t xml:space="preserve">For more information on the stakeholder meetings, see DEQ’s website at </w:t>
                        </w:r>
                        <w:hyperlink r:id="rId8" w:history="1">
                          <w:r w:rsidR="000370E1" w:rsidRPr="00680751">
                            <w:rPr>
                              <w:rStyle w:val="Hyperlink"/>
                              <w:rFonts w:ascii="Arial" w:hAnsi="Arial" w:cs="Arial"/>
                              <w:sz w:val="24"/>
                              <w:szCs w:val="24"/>
                            </w:rPr>
                            <w:t>http://www.deq.state.or.us/aq/permit/index.htm</w:t>
                          </w:r>
                        </w:hyperlink>
                        <w:r w:rsidR="000370E1" w:rsidRPr="000370E1">
                          <w:rPr>
                            <w:rFonts w:ascii="Arial" w:hAnsi="Arial" w:cs="Arial"/>
                            <w:sz w:val="24"/>
                            <w:szCs w:val="24"/>
                          </w:rPr>
                          <w:t xml:space="preserve"> or contact Jill Inahara at 503-229-5001, </w:t>
                        </w:r>
                        <w:r w:rsidR="00A24858" w:rsidRPr="000370E1">
                          <w:rPr>
                            <w:rFonts w:ascii="Arial" w:hAnsi="Arial" w:cs="Arial"/>
                            <w:sz w:val="24"/>
                            <w:szCs w:val="24"/>
                          </w:rPr>
                          <w:t>inahara.jill@deq.state.or.us</w:t>
                        </w:r>
                        <w:r w:rsidR="00A24858">
                          <w:rPr>
                            <w:rFonts w:ascii="Arial" w:hAnsi="Arial" w:cs="Arial"/>
                            <w:sz w:val="24"/>
                            <w:szCs w:val="24"/>
                          </w:rPr>
                          <w:t xml:space="preserve">. </w:t>
                        </w:r>
                        <w:r w:rsidRPr="004165DA">
                          <w:rPr>
                            <w:rFonts w:ascii="Arial" w:hAnsi="Arial" w:cs="Arial"/>
                            <w:sz w:val="24"/>
                            <w:szCs w:val="24"/>
                          </w:rPr>
                          <w:t>DEQ plans to release the proposed rules for public comment in October 2013.</w:t>
                        </w:r>
                      </w:p>
                      <w:p w:rsidR="006E1DAF" w:rsidRPr="004165DA" w:rsidRDefault="006E1DAF" w:rsidP="004165DA">
                        <w:pPr>
                          <w:rPr>
                            <w:szCs w:val="20"/>
                          </w:rPr>
                        </w:pPr>
                      </w:p>
                    </w:txbxContent>
                  </v:textbox>
                </v:shape>
              </w:pict>
            </w:r>
            <w:r w:rsidR="00A94F53">
              <w:rPr>
                <w:noProof/>
              </w:rPr>
              <w:t xml:space="preserve"> </w:t>
            </w:r>
          </w:p>
        </w:tc>
      </w:tr>
    </w:tbl>
    <w:p w:rsidR="00661B1C" w:rsidRDefault="008B3BFB">
      <w:r>
        <w:br w:type="textWrapping" w:clear="all"/>
      </w:r>
    </w:p>
    <w:sectPr w:rsidR="00661B1C" w:rsidSect="00473384">
      <w:pgSz w:w="12240" w:h="15840"/>
      <w:pgMar w:top="0" w:right="1872" w:bottom="1440" w:left="172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C2379B"/>
    <w:multiLevelType w:val="hybridMultilevel"/>
    <w:tmpl w:val="E1CCC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C1D45"/>
    <w:rsid w:val="000019C7"/>
    <w:rsid w:val="0000588A"/>
    <w:rsid w:val="000160F6"/>
    <w:rsid w:val="00020081"/>
    <w:rsid w:val="00024C5C"/>
    <w:rsid w:val="00024F72"/>
    <w:rsid w:val="00027ED4"/>
    <w:rsid w:val="00030F6E"/>
    <w:rsid w:val="000370E1"/>
    <w:rsid w:val="00037978"/>
    <w:rsid w:val="00041806"/>
    <w:rsid w:val="00044F78"/>
    <w:rsid w:val="00053074"/>
    <w:rsid w:val="00053668"/>
    <w:rsid w:val="0005666E"/>
    <w:rsid w:val="00056CE1"/>
    <w:rsid w:val="000603C1"/>
    <w:rsid w:val="00060673"/>
    <w:rsid w:val="00063CB8"/>
    <w:rsid w:val="00071DA5"/>
    <w:rsid w:val="00074141"/>
    <w:rsid w:val="00083C3B"/>
    <w:rsid w:val="00084FAE"/>
    <w:rsid w:val="000865B8"/>
    <w:rsid w:val="00087C56"/>
    <w:rsid w:val="00090E60"/>
    <w:rsid w:val="00094FB7"/>
    <w:rsid w:val="00096374"/>
    <w:rsid w:val="000965A2"/>
    <w:rsid w:val="0009769A"/>
    <w:rsid w:val="000A389C"/>
    <w:rsid w:val="000A3CA2"/>
    <w:rsid w:val="000A4267"/>
    <w:rsid w:val="000B2926"/>
    <w:rsid w:val="000D06E5"/>
    <w:rsid w:val="000D22C0"/>
    <w:rsid w:val="000D30F3"/>
    <w:rsid w:val="000D5F6C"/>
    <w:rsid w:val="000E00C6"/>
    <w:rsid w:val="000E0C9B"/>
    <w:rsid w:val="000E37AC"/>
    <w:rsid w:val="000F6BE6"/>
    <w:rsid w:val="000F71DB"/>
    <w:rsid w:val="0010069A"/>
    <w:rsid w:val="0010154C"/>
    <w:rsid w:val="00101EC5"/>
    <w:rsid w:val="00102E2F"/>
    <w:rsid w:val="00102EE2"/>
    <w:rsid w:val="00105C9A"/>
    <w:rsid w:val="00112C10"/>
    <w:rsid w:val="00113EF0"/>
    <w:rsid w:val="00114246"/>
    <w:rsid w:val="00125700"/>
    <w:rsid w:val="00125A14"/>
    <w:rsid w:val="00126C2B"/>
    <w:rsid w:val="00126D4F"/>
    <w:rsid w:val="001366A5"/>
    <w:rsid w:val="00137208"/>
    <w:rsid w:val="001419C1"/>
    <w:rsid w:val="00142AFA"/>
    <w:rsid w:val="00150A69"/>
    <w:rsid w:val="00151761"/>
    <w:rsid w:val="0016293F"/>
    <w:rsid w:val="00163DBC"/>
    <w:rsid w:val="00164675"/>
    <w:rsid w:val="00166111"/>
    <w:rsid w:val="00170BBD"/>
    <w:rsid w:val="001745A6"/>
    <w:rsid w:val="0017460D"/>
    <w:rsid w:val="00181A81"/>
    <w:rsid w:val="00183326"/>
    <w:rsid w:val="001947BD"/>
    <w:rsid w:val="001A583F"/>
    <w:rsid w:val="001A6F20"/>
    <w:rsid w:val="001B1993"/>
    <w:rsid w:val="001B4DAE"/>
    <w:rsid w:val="001B5D43"/>
    <w:rsid w:val="001C1089"/>
    <w:rsid w:val="001C20AF"/>
    <w:rsid w:val="001D0D72"/>
    <w:rsid w:val="001E2C5E"/>
    <w:rsid w:val="001E4EE8"/>
    <w:rsid w:val="001E734D"/>
    <w:rsid w:val="001F3318"/>
    <w:rsid w:val="001F6D6D"/>
    <w:rsid w:val="00201F38"/>
    <w:rsid w:val="00202F7F"/>
    <w:rsid w:val="0021351E"/>
    <w:rsid w:val="002172B8"/>
    <w:rsid w:val="0022439B"/>
    <w:rsid w:val="00224498"/>
    <w:rsid w:val="00225AA7"/>
    <w:rsid w:val="002304AC"/>
    <w:rsid w:val="002309A0"/>
    <w:rsid w:val="002323E7"/>
    <w:rsid w:val="002349F1"/>
    <w:rsid w:val="002415D4"/>
    <w:rsid w:val="00242F7D"/>
    <w:rsid w:val="00243376"/>
    <w:rsid w:val="00245A41"/>
    <w:rsid w:val="00245C03"/>
    <w:rsid w:val="00246371"/>
    <w:rsid w:val="00251D1E"/>
    <w:rsid w:val="00253469"/>
    <w:rsid w:val="00253DDA"/>
    <w:rsid w:val="002544AD"/>
    <w:rsid w:val="0025634B"/>
    <w:rsid w:val="00261CA3"/>
    <w:rsid w:val="00263B59"/>
    <w:rsid w:val="0026796C"/>
    <w:rsid w:val="00271D86"/>
    <w:rsid w:val="00274F19"/>
    <w:rsid w:val="00276B5F"/>
    <w:rsid w:val="00276C91"/>
    <w:rsid w:val="00277B12"/>
    <w:rsid w:val="0028163F"/>
    <w:rsid w:val="0028250B"/>
    <w:rsid w:val="00283555"/>
    <w:rsid w:val="00283E25"/>
    <w:rsid w:val="002875FA"/>
    <w:rsid w:val="002909AD"/>
    <w:rsid w:val="0029593E"/>
    <w:rsid w:val="00295C64"/>
    <w:rsid w:val="002966BF"/>
    <w:rsid w:val="00297320"/>
    <w:rsid w:val="002A08AB"/>
    <w:rsid w:val="002A1958"/>
    <w:rsid w:val="002A19B8"/>
    <w:rsid w:val="002A23EC"/>
    <w:rsid w:val="002A5ACB"/>
    <w:rsid w:val="002A629E"/>
    <w:rsid w:val="002A6D99"/>
    <w:rsid w:val="002B5394"/>
    <w:rsid w:val="002B6C3C"/>
    <w:rsid w:val="002B719C"/>
    <w:rsid w:val="002C0AB7"/>
    <w:rsid w:val="002C1093"/>
    <w:rsid w:val="002D0AE8"/>
    <w:rsid w:val="002D2213"/>
    <w:rsid w:val="002D267C"/>
    <w:rsid w:val="002E05D6"/>
    <w:rsid w:val="002E3C4D"/>
    <w:rsid w:val="002E4003"/>
    <w:rsid w:val="002E5221"/>
    <w:rsid w:val="002E6B55"/>
    <w:rsid w:val="002E7B6C"/>
    <w:rsid w:val="002F02D3"/>
    <w:rsid w:val="002F10B5"/>
    <w:rsid w:val="002F72C1"/>
    <w:rsid w:val="00304BE2"/>
    <w:rsid w:val="003052D3"/>
    <w:rsid w:val="00307D83"/>
    <w:rsid w:val="00312E73"/>
    <w:rsid w:val="00312F72"/>
    <w:rsid w:val="003155E2"/>
    <w:rsid w:val="00316B23"/>
    <w:rsid w:val="00316CF5"/>
    <w:rsid w:val="00317B54"/>
    <w:rsid w:val="00323A2D"/>
    <w:rsid w:val="00327EF0"/>
    <w:rsid w:val="00333F8F"/>
    <w:rsid w:val="0033471F"/>
    <w:rsid w:val="00350FF9"/>
    <w:rsid w:val="00357860"/>
    <w:rsid w:val="00362A5D"/>
    <w:rsid w:val="00367412"/>
    <w:rsid w:val="00367C59"/>
    <w:rsid w:val="00367E53"/>
    <w:rsid w:val="00372F09"/>
    <w:rsid w:val="00381565"/>
    <w:rsid w:val="00382B14"/>
    <w:rsid w:val="003920E2"/>
    <w:rsid w:val="0039346F"/>
    <w:rsid w:val="00394C55"/>
    <w:rsid w:val="003A0F12"/>
    <w:rsid w:val="003B1912"/>
    <w:rsid w:val="003B6374"/>
    <w:rsid w:val="003D2F5A"/>
    <w:rsid w:val="003D6B3F"/>
    <w:rsid w:val="003D7CF6"/>
    <w:rsid w:val="003E073E"/>
    <w:rsid w:val="003E40C5"/>
    <w:rsid w:val="003E4288"/>
    <w:rsid w:val="003E7FF8"/>
    <w:rsid w:val="003F2421"/>
    <w:rsid w:val="004013D5"/>
    <w:rsid w:val="004017FD"/>
    <w:rsid w:val="0040333F"/>
    <w:rsid w:val="00404CDE"/>
    <w:rsid w:val="00406DDB"/>
    <w:rsid w:val="00412ECF"/>
    <w:rsid w:val="00413505"/>
    <w:rsid w:val="00414A7E"/>
    <w:rsid w:val="00415268"/>
    <w:rsid w:val="004165DA"/>
    <w:rsid w:val="00417B70"/>
    <w:rsid w:val="004202FB"/>
    <w:rsid w:val="00420BFC"/>
    <w:rsid w:val="00427D7D"/>
    <w:rsid w:val="004300A8"/>
    <w:rsid w:val="0043094A"/>
    <w:rsid w:val="00430AD2"/>
    <w:rsid w:val="004371AD"/>
    <w:rsid w:val="00447FAF"/>
    <w:rsid w:val="00452F44"/>
    <w:rsid w:val="0045404F"/>
    <w:rsid w:val="00455A4E"/>
    <w:rsid w:val="00460158"/>
    <w:rsid w:val="00462C65"/>
    <w:rsid w:val="00467807"/>
    <w:rsid w:val="00467A58"/>
    <w:rsid w:val="00467C1B"/>
    <w:rsid w:val="00467F6D"/>
    <w:rsid w:val="00471FA7"/>
    <w:rsid w:val="00473384"/>
    <w:rsid w:val="00475B3E"/>
    <w:rsid w:val="004821A8"/>
    <w:rsid w:val="004854FB"/>
    <w:rsid w:val="00487156"/>
    <w:rsid w:val="00491159"/>
    <w:rsid w:val="0049408C"/>
    <w:rsid w:val="00495CA1"/>
    <w:rsid w:val="004A0EB1"/>
    <w:rsid w:val="004A11B9"/>
    <w:rsid w:val="004A5955"/>
    <w:rsid w:val="004A79E0"/>
    <w:rsid w:val="004B14CC"/>
    <w:rsid w:val="004B4480"/>
    <w:rsid w:val="004C0BE5"/>
    <w:rsid w:val="004C2FD9"/>
    <w:rsid w:val="004C30E8"/>
    <w:rsid w:val="004D1921"/>
    <w:rsid w:val="004D3311"/>
    <w:rsid w:val="004D5A02"/>
    <w:rsid w:val="004E3354"/>
    <w:rsid w:val="004E5CB4"/>
    <w:rsid w:val="004E6C8C"/>
    <w:rsid w:val="004F09C5"/>
    <w:rsid w:val="004F0ABB"/>
    <w:rsid w:val="004F36FE"/>
    <w:rsid w:val="004F6033"/>
    <w:rsid w:val="005008A7"/>
    <w:rsid w:val="00500D09"/>
    <w:rsid w:val="005015CF"/>
    <w:rsid w:val="0050469C"/>
    <w:rsid w:val="00504735"/>
    <w:rsid w:val="005123E9"/>
    <w:rsid w:val="00512917"/>
    <w:rsid w:val="00525A16"/>
    <w:rsid w:val="00530F35"/>
    <w:rsid w:val="00532175"/>
    <w:rsid w:val="00535A9A"/>
    <w:rsid w:val="00537981"/>
    <w:rsid w:val="0054236C"/>
    <w:rsid w:val="005426CF"/>
    <w:rsid w:val="005427EE"/>
    <w:rsid w:val="0054337C"/>
    <w:rsid w:val="00544740"/>
    <w:rsid w:val="0054544E"/>
    <w:rsid w:val="00546A30"/>
    <w:rsid w:val="00547862"/>
    <w:rsid w:val="005539C6"/>
    <w:rsid w:val="00554B50"/>
    <w:rsid w:val="0055567E"/>
    <w:rsid w:val="00556B5F"/>
    <w:rsid w:val="00557327"/>
    <w:rsid w:val="00562D54"/>
    <w:rsid w:val="005673FA"/>
    <w:rsid w:val="00570B0D"/>
    <w:rsid w:val="00572965"/>
    <w:rsid w:val="0057408F"/>
    <w:rsid w:val="00576B9C"/>
    <w:rsid w:val="00590708"/>
    <w:rsid w:val="00590CF8"/>
    <w:rsid w:val="00594977"/>
    <w:rsid w:val="00597CA6"/>
    <w:rsid w:val="005A2BAF"/>
    <w:rsid w:val="005B760D"/>
    <w:rsid w:val="005C1AE3"/>
    <w:rsid w:val="005C2A68"/>
    <w:rsid w:val="005D1E47"/>
    <w:rsid w:val="005D27D4"/>
    <w:rsid w:val="005D6B23"/>
    <w:rsid w:val="005E4D1D"/>
    <w:rsid w:val="005E6ACA"/>
    <w:rsid w:val="005E7494"/>
    <w:rsid w:val="005E7F20"/>
    <w:rsid w:val="005F13AE"/>
    <w:rsid w:val="005F670C"/>
    <w:rsid w:val="00612F88"/>
    <w:rsid w:val="00614879"/>
    <w:rsid w:val="006170CD"/>
    <w:rsid w:val="00623B81"/>
    <w:rsid w:val="006262A6"/>
    <w:rsid w:val="00626F83"/>
    <w:rsid w:val="00630780"/>
    <w:rsid w:val="00632D0D"/>
    <w:rsid w:val="00642097"/>
    <w:rsid w:val="00643AF5"/>
    <w:rsid w:val="00645896"/>
    <w:rsid w:val="00652E8D"/>
    <w:rsid w:val="00657CB7"/>
    <w:rsid w:val="00661B1C"/>
    <w:rsid w:val="00664026"/>
    <w:rsid w:val="006825F6"/>
    <w:rsid w:val="00682C2E"/>
    <w:rsid w:val="0068311E"/>
    <w:rsid w:val="00686001"/>
    <w:rsid w:val="00686168"/>
    <w:rsid w:val="0068795A"/>
    <w:rsid w:val="0069580D"/>
    <w:rsid w:val="006A15C2"/>
    <w:rsid w:val="006A1A7B"/>
    <w:rsid w:val="006A34C0"/>
    <w:rsid w:val="006A535C"/>
    <w:rsid w:val="006A5498"/>
    <w:rsid w:val="006B0474"/>
    <w:rsid w:val="006B13A0"/>
    <w:rsid w:val="006B34DD"/>
    <w:rsid w:val="006D345C"/>
    <w:rsid w:val="006D34AA"/>
    <w:rsid w:val="006D4E34"/>
    <w:rsid w:val="006E1DAF"/>
    <w:rsid w:val="006E4A8B"/>
    <w:rsid w:val="006E5C31"/>
    <w:rsid w:val="006E7E8D"/>
    <w:rsid w:val="006F0A56"/>
    <w:rsid w:val="006F562F"/>
    <w:rsid w:val="00700F60"/>
    <w:rsid w:val="00705EFE"/>
    <w:rsid w:val="00705F25"/>
    <w:rsid w:val="0070638A"/>
    <w:rsid w:val="0071363B"/>
    <w:rsid w:val="00721015"/>
    <w:rsid w:val="0072455D"/>
    <w:rsid w:val="0072564D"/>
    <w:rsid w:val="007328E5"/>
    <w:rsid w:val="00734660"/>
    <w:rsid w:val="007371AF"/>
    <w:rsid w:val="00741942"/>
    <w:rsid w:val="007432CC"/>
    <w:rsid w:val="00747965"/>
    <w:rsid w:val="00755C6D"/>
    <w:rsid w:val="00766B0A"/>
    <w:rsid w:val="007672E2"/>
    <w:rsid w:val="00770173"/>
    <w:rsid w:val="00770A7D"/>
    <w:rsid w:val="00786604"/>
    <w:rsid w:val="007944DA"/>
    <w:rsid w:val="007977AD"/>
    <w:rsid w:val="007A7FF8"/>
    <w:rsid w:val="007B499A"/>
    <w:rsid w:val="007B7E0D"/>
    <w:rsid w:val="007B7E1A"/>
    <w:rsid w:val="007C74CF"/>
    <w:rsid w:val="007D0434"/>
    <w:rsid w:val="007D1F45"/>
    <w:rsid w:val="007D3555"/>
    <w:rsid w:val="007D58AE"/>
    <w:rsid w:val="007D66D0"/>
    <w:rsid w:val="007E5B78"/>
    <w:rsid w:val="007F18A6"/>
    <w:rsid w:val="008043A4"/>
    <w:rsid w:val="008065B2"/>
    <w:rsid w:val="00806CA3"/>
    <w:rsid w:val="0081163E"/>
    <w:rsid w:val="008140C4"/>
    <w:rsid w:val="008148FF"/>
    <w:rsid w:val="00816D6D"/>
    <w:rsid w:val="008177A6"/>
    <w:rsid w:val="00826927"/>
    <w:rsid w:val="00836449"/>
    <w:rsid w:val="00841A9E"/>
    <w:rsid w:val="008435EA"/>
    <w:rsid w:val="00843C69"/>
    <w:rsid w:val="00845151"/>
    <w:rsid w:val="00854AA2"/>
    <w:rsid w:val="00857F9F"/>
    <w:rsid w:val="008601B5"/>
    <w:rsid w:val="00860514"/>
    <w:rsid w:val="008632D8"/>
    <w:rsid w:val="00864A1F"/>
    <w:rsid w:val="008656D4"/>
    <w:rsid w:val="00867152"/>
    <w:rsid w:val="00867E94"/>
    <w:rsid w:val="00871E48"/>
    <w:rsid w:val="00874AE6"/>
    <w:rsid w:val="00875EC3"/>
    <w:rsid w:val="008769D2"/>
    <w:rsid w:val="00877B53"/>
    <w:rsid w:val="00882087"/>
    <w:rsid w:val="00883B69"/>
    <w:rsid w:val="00884EE3"/>
    <w:rsid w:val="00891A40"/>
    <w:rsid w:val="0089534D"/>
    <w:rsid w:val="008A0C9A"/>
    <w:rsid w:val="008A3B32"/>
    <w:rsid w:val="008A575C"/>
    <w:rsid w:val="008B3BFB"/>
    <w:rsid w:val="008B4BD8"/>
    <w:rsid w:val="008C4DB5"/>
    <w:rsid w:val="008C69EE"/>
    <w:rsid w:val="008D22F7"/>
    <w:rsid w:val="008D383A"/>
    <w:rsid w:val="008D521F"/>
    <w:rsid w:val="008D54C0"/>
    <w:rsid w:val="008D7840"/>
    <w:rsid w:val="008E081F"/>
    <w:rsid w:val="008E3313"/>
    <w:rsid w:val="008E53DB"/>
    <w:rsid w:val="008E5A81"/>
    <w:rsid w:val="008F0BA2"/>
    <w:rsid w:val="008F7BA1"/>
    <w:rsid w:val="008F7C3A"/>
    <w:rsid w:val="008F7C7B"/>
    <w:rsid w:val="00900855"/>
    <w:rsid w:val="00903353"/>
    <w:rsid w:val="0090549A"/>
    <w:rsid w:val="00906EC5"/>
    <w:rsid w:val="009115DB"/>
    <w:rsid w:val="0092794E"/>
    <w:rsid w:val="009316FD"/>
    <w:rsid w:val="00935B5B"/>
    <w:rsid w:val="00944A66"/>
    <w:rsid w:val="00945524"/>
    <w:rsid w:val="00954319"/>
    <w:rsid w:val="00961CD9"/>
    <w:rsid w:val="00962D20"/>
    <w:rsid w:val="00967C28"/>
    <w:rsid w:val="00967F08"/>
    <w:rsid w:val="00976EDC"/>
    <w:rsid w:val="009779AD"/>
    <w:rsid w:val="00982750"/>
    <w:rsid w:val="00983A6F"/>
    <w:rsid w:val="009877E2"/>
    <w:rsid w:val="00990CE5"/>
    <w:rsid w:val="009A24A6"/>
    <w:rsid w:val="009B26EE"/>
    <w:rsid w:val="009B2884"/>
    <w:rsid w:val="009B4BE7"/>
    <w:rsid w:val="009B7B7D"/>
    <w:rsid w:val="009C05A9"/>
    <w:rsid w:val="009C1D45"/>
    <w:rsid w:val="009C1D56"/>
    <w:rsid w:val="009D6ED6"/>
    <w:rsid w:val="009D7653"/>
    <w:rsid w:val="009E05D5"/>
    <w:rsid w:val="009E26D6"/>
    <w:rsid w:val="009E2F5F"/>
    <w:rsid w:val="009E60C1"/>
    <w:rsid w:val="009F4096"/>
    <w:rsid w:val="009F4A18"/>
    <w:rsid w:val="00A03F38"/>
    <w:rsid w:val="00A04A44"/>
    <w:rsid w:val="00A10A41"/>
    <w:rsid w:val="00A111A3"/>
    <w:rsid w:val="00A11BD9"/>
    <w:rsid w:val="00A17097"/>
    <w:rsid w:val="00A23147"/>
    <w:rsid w:val="00A24858"/>
    <w:rsid w:val="00A270C3"/>
    <w:rsid w:val="00A4049B"/>
    <w:rsid w:val="00A4463C"/>
    <w:rsid w:val="00A4719B"/>
    <w:rsid w:val="00A50ECA"/>
    <w:rsid w:val="00A602F8"/>
    <w:rsid w:val="00A634B8"/>
    <w:rsid w:val="00A644CC"/>
    <w:rsid w:val="00A73F27"/>
    <w:rsid w:val="00A741FE"/>
    <w:rsid w:val="00A74DB1"/>
    <w:rsid w:val="00A777B0"/>
    <w:rsid w:val="00A843FD"/>
    <w:rsid w:val="00A93240"/>
    <w:rsid w:val="00A93CB1"/>
    <w:rsid w:val="00A9423E"/>
    <w:rsid w:val="00A94A58"/>
    <w:rsid w:val="00A94F53"/>
    <w:rsid w:val="00A95251"/>
    <w:rsid w:val="00A97A24"/>
    <w:rsid w:val="00AA19E6"/>
    <w:rsid w:val="00AA32A2"/>
    <w:rsid w:val="00AB14E5"/>
    <w:rsid w:val="00AB17FB"/>
    <w:rsid w:val="00AB2F02"/>
    <w:rsid w:val="00AC2749"/>
    <w:rsid w:val="00AD6F87"/>
    <w:rsid w:val="00AE161D"/>
    <w:rsid w:val="00AE1CAD"/>
    <w:rsid w:val="00AE2057"/>
    <w:rsid w:val="00AE2CF3"/>
    <w:rsid w:val="00AE6CD5"/>
    <w:rsid w:val="00AE76C4"/>
    <w:rsid w:val="00AF3D82"/>
    <w:rsid w:val="00AF576A"/>
    <w:rsid w:val="00B02017"/>
    <w:rsid w:val="00B13966"/>
    <w:rsid w:val="00B24C00"/>
    <w:rsid w:val="00B2613A"/>
    <w:rsid w:val="00B30CB2"/>
    <w:rsid w:val="00B313B6"/>
    <w:rsid w:val="00B34988"/>
    <w:rsid w:val="00B473A6"/>
    <w:rsid w:val="00B47E33"/>
    <w:rsid w:val="00B52901"/>
    <w:rsid w:val="00B5720A"/>
    <w:rsid w:val="00B605DC"/>
    <w:rsid w:val="00B63FE1"/>
    <w:rsid w:val="00B83EBC"/>
    <w:rsid w:val="00B846B4"/>
    <w:rsid w:val="00BA292D"/>
    <w:rsid w:val="00BA61C3"/>
    <w:rsid w:val="00BB386C"/>
    <w:rsid w:val="00BB5154"/>
    <w:rsid w:val="00BB5E9D"/>
    <w:rsid w:val="00BB74DD"/>
    <w:rsid w:val="00BC0B76"/>
    <w:rsid w:val="00BC1112"/>
    <w:rsid w:val="00BC5C32"/>
    <w:rsid w:val="00BD3CB7"/>
    <w:rsid w:val="00BD4486"/>
    <w:rsid w:val="00BD676B"/>
    <w:rsid w:val="00BE03E5"/>
    <w:rsid w:val="00BE401B"/>
    <w:rsid w:val="00BF0429"/>
    <w:rsid w:val="00BF0A5A"/>
    <w:rsid w:val="00BF0BE0"/>
    <w:rsid w:val="00C0126A"/>
    <w:rsid w:val="00C0217E"/>
    <w:rsid w:val="00C03AAE"/>
    <w:rsid w:val="00C05D48"/>
    <w:rsid w:val="00C11D11"/>
    <w:rsid w:val="00C13B22"/>
    <w:rsid w:val="00C15A73"/>
    <w:rsid w:val="00C17217"/>
    <w:rsid w:val="00C20E0F"/>
    <w:rsid w:val="00C21F13"/>
    <w:rsid w:val="00C35D79"/>
    <w:rsid w:val="00C35FA8"/>
    <w:rsid w:val="00C43A07"/>
    <w:rsid w:val="00C51D24"/>
    <w:rsid w:val="00C52E03"/>
    <w:rsid w:val="00C54B07"/>
    <w:rsid w:val="00C56769"/>
    <w:rsid w:val="00C61039"/>
    <w:rsid w:val="00C631EE"/>
    <w:rsid w:val="00C672D3"/>
    <w:rsid w:val="00C70BF6"/>
    <w:rsid w:val="00C751BA"/>
    <w:rsid w:val="00C81444"/>
    <w:rsid w:val="00C81D47"/>
    <w:rsid w:val="00C82C86"/>
    <w:rsid w:val="00C8496F"/>
    <w:rsid w:val="00C86417"/>
    <w:rsid w:val="00C86BF9"/>
    <w:rsid w:val="00C95155"/>
    <w:rsid w:val="00CB0872"/>
    <w:rsid w:val="00CC0C8D"/>
    <w:rsid w:val="00CC0E6A"/>
    <w:rsid w:val="00CC1289"/>
    <w:rsid w:val="00CC2053"/>
    <w:rsid w:val="00CC3277"/>
    <w:rsid w:val="00CD0EBB"/>
    <w:rsid w:val="00CD1642"/>
    <w:rsid w:val="00CD179E"/>
    <w:rsid w:val="00CD6E75"/>
    <w:rsid w:val="00CE05BD"/>
    <w:rsid w:val="00CE0E5E"/>
    <w:rsid w:val="00CE2183"/>
    <w:rsid w:val="00CE5DD2"/>
    <w:rsid w:val="00CF760A"/>
    <w:rsid w:val="00D02BB6"/>
    <w:rsid w:val="00D054E4"/>
    <w:rsid w:val="00D07AE1"/>
    <w:rsid w:val="00D07DA3"/>
    <w:rsid w:val="00D1644B"/>
    <w:rsid w:val="00D17D1A"/>
    <w:rsid w:val="00D2092A"/>
    <w:rsid w:val="00D22CBC"/>
    <w:rsid w:val="00D32B4C"/>
    <w:rsid w:val="00D42DC5"/>
    <w:rsid w:val="00D47559"/>
    <w:rsid w:val="00D477B3"/>
    <w:rsid w:val="00D53DEB"/>
    <w:rsid w:val="00D54EAA"/>
    <w:rsid w:val="00D621DA"/>
    <w:rsid w:val="00D63E51"/>
    <w:rsid w:val="00D71C16"/>
    <w:rsid w:val="00D8038D"/>
    <w:rsid w:val="00D82DD3"/>
    <w:rsid w:val="00D91C3F"/>
    <w:rsid w:val="00DA2936"/>
    <w:rsid w:val="00DA2BD3"/>
    <w:rsid w:val="00DA6828"/>
    <w:rsid w:val="00DA70BA"/>
    <w:rsid w:val="00DB09B9"/>
    <w:rsid w:val="00DB44CD"/>
    <w:rsid w:val="00DB63F5"/>
    <w:rsid w:val="00DB7A18"/>
    <w:rsid w:val="00DC356C"/>
    <w:rsid w:val="00DC6CD1"/>
    <w:rsid w:val="00DD0508"/>
    <w:rsid w:val="00DD2433"/>
    <w:rsid w:val="00DD7B57"/>
    <w:rsid w:val="00DE1ACC"/>
    <w:rsid w:val="00DE2AD3"/>
    <w:rsid w:val="00DE5A40"/>
    <w:rsid w:val="00DE795E"/>
    <w:rsid w:val="00DF4B52"/>
    <w:rsid w:val="00DF6397"/>
    <w:rsid w:val="00DF7714"/>
    <w:rsid w:val="00E005F5"/>
    <w:rsid w:val="00E16EA8"/>
    <w:rsid w:val="00E17F21"/>
    <w:rsid w:val="00E24AF5"/>
    <w:rsid w:val="00E25771"/>
    <w:rsid w:val="00E2744E"/>
    <w:rsid w:val="00E34F7E"/>
    <w:rsid w:val="00E4253E"/>
    <w:rsid w:val="00E427F5"/>
    <w:rsid w:val="00E45015"/>
    <w:rsid w:val="00E45A83"/>
    <w:rsid w:val="00E53449"/>
    <w:rsid w:val="00E55FBD"/>
    <w:rsid w:val="00E57066"/>
    <w:rsid w:val="00E635F3"/>
    <w:rsid w:val="00E64540"/>
    <w:rsid w:val="00E657EE"/>
    <w:rsid w:val="00E65CB2"/>
    <w:rsid w:val="00E665AF"/>
    <w:rsid w:val="00E750E3"/>
    <w:rsid w:val="00E85FBD"/>
    <w:rsid w:val="00E87123"/>
    <w:rsid w:val="00E9194E"/>
    <w:rsid w:val="00E9713C"/>
    <w:rsid w:val="00E97D00"/>
    <w:rsid w:val="00EA27D0"/>
    <w:rsid w:val="00EB29D7"/>
    <w:rsid w:val="00EB2B62"/>
    <w:rsid w:val="00EB6790"/>
    <w:rsid w:val="00EC3388"/>
    <w:rsid w:val="00EC4EEF"/>
    <w:rsid w:val="00EC5BC7"/>
    <w:rsid w:val="00EC77DC"/>
    <w:rsid w:val="00ED2015"/>
    <w:rsid w:val="00ED3256"/>
    <w:rsid w:val="00ED4782"/>
    <w:rsid w:val="00EE7392"/>
    <w:rsid w:val="00EF09F2"/>
    <w:rsid w:val="00EF2CA2"/>
    <w:rsid w:val="00EF5E8E"/>
    <w:rsid w:val="00EF6D80"/>
    <w:rsid w:val="00EF75CC"/>
    <w:rsid w:val="00F06CD9"/>
    <w:rsid w:val="00F135C0"/>
    <w:rsid w:val="00F20304"/>
    <w:rsid w:val="00F20458"/>
    <w:rsid w:val="00F23C68"/>
    <w:rsid w:val="00F27C5C"/>
    <w:rsid w:val="00F33503"/>
    <w:rsid w:val="00F4360E"/>
    <w:rsid w:val="00F45184"/>
    <w:rsid w:val="00F47DD2"/>
    <w:rsid w:val="00F555F1"/>
    <w:rsid w:val="00F55DBA"/>
    <w:rsid w:val="00F65451"/>
    <w:rsid w:val="00F65902"/>
    <w:rsid w:val="00F66D95"/>
    <w:rsid w:val="00F7382C"/>
    <w:rsid w:val="00F9241E"/>
    <w:rsid w:val="00F947B2"/>
    <w:rsid w:val="00FA05F5"/>
    <w:rsid w:val="00FA2894"/>
    <w:rsid w:val="00FB00A2"/>
    <w:rsid w:val="00FB610F"/>
    <w:rsid w:val="00FB76A7"/>
    <w:rsid w:val="00FC157A"/>
    <w:rsid w:val="00FC5B2A"/>
    <w:rsid w:val="00FC6C7F"/>
    <w:rsid w:val="00FD59A7"/>
    <w:rsid w:val="00FE0CF7"/>
    <w:rsid w:val="00FE1F9C"/>
    <w:rsid w:val="00FF17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583F"/>
    <w:pPr>
      <w:spacing w:after="0" w:line="240" w:lineRule="auto"/>
    </w:pPr>
    <w:rPr>
      <w:rFonts w:ascii="Calibri"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C1D4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86BF9"/>
    <w:rPr>
      <w:rFonts w:ascii="Tahoma" w:hAnsi="Tahoma" w:cs="Tahoma"/>
      <w:sz w:val="16"/>
      <w:szCs w:val="16"/>
    </w:rPr>
  </w:style>
  <w:style w:type="character" w:customStyle="1" w:styleId="BalloonTextChar">
    <w:name w:val="Balloon Text Char"/>
    <w:basedOn w:val="DefaultParagraphFont"/>
    <w:link w:val="BalloonText"/>
    <w:uiPriority w:val="99"/>
    <w:semiHidden/>
    <w:rsid w:val="00C86BF9"/>
    <w:rPr>
      <w:rFonts w:ascii="Tahoma" w:hAnsi="Tahoma" w:cs="Tahoma"/>
      <w:sz w:val="16"/>
      <w:szCs w:val="16"/>
    </w:rPr>
  </w:style>
  <w:style w:type="paragraph" w:styleId="NoSpacing">
    <w:name w:val="No Spacing"/>
    <w:uiPriority w:val="1"/>
    <w:qFormat/>
    <w:rsid w:val="00C86BF9"/>
    <w:pPr>
      <w:spacing w:after="0" w:line="240" w:lineRule="auto"/>
    </w:pPr>
  </w:style>
  <w:style w:type="character" w:styleId="Hyperlink">
    <w:name w:val="Hyperlink"/>
    <w:basedOn w:val="DefaultParagraphFont"/>
    <w:unhideWhenUsed/>
    <w:rsid w:val="00CC1289"/>
    <w:rPr>
      <w:color w:val="0000FF"/>
      <w:u w:val="single"/>
    </w:rPr>
  </w:style>
  <w:style w:type="character" w:styleId="FollowedHyperlink">
    <w:name w:val="FollowedHyperlink"/>
    <w:basedOn w:val="DefaultParagraphFont"/>
    <w:uiPriority w:val="99"/>
    <w:semiHidden/>
    <w:unhideWhenUsed/>
    <w:rsid w:val="004165DA"/>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442767783">
      <w:bodyDiv w:val="1"/>
      <w:marLeft w:val="0"/>
      <w:marRight w:val="0"/>
      <w:marTop w:val="0"/>
      <w:marBottom w:val="0"/>
      <w:divBdr>
        <w:top w:val="none" w:sz="0" w:space="0" w:color="auto"/>
        <w:left w:val="none" w:sz="0" w:space="0" w:color="auto"/>
        <w:bottom w:val="none" w:sz="0" w:space="0" w:color="auto"/>
        <w:right w:val="none" w:sz="0" w:space="0" w:color="auto"/>
      </w:divBdr>
    </w:div>
    <w:div w:id="608585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deq.state.or.us/aq/permit/index.htm" TargetMode="External"/><Relationship Id="rId3" Type="http://schemas.openxmlformats.org/officeDocument/2006/relationships/styles" Target="styles.xml"/><Relationship Id="rId7" Type="http://schemas.openxmlformats.org/officeDocument/2006/relationships/hyperlink" Target="http://www.deq.state.or.us/aq/permit/index.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4314FA-3E22-4383-9F98-DDC9F4BE6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Words>
  <Characters>207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DEQ</Company>
  <LinksUpToDate>false</LinksUpToDate>
  <CharactersWithSpaces>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wfraser</dc:creator>
  <cp:lastModifiedBy>jinahar</cp:lastModifiedBy>
  <cp:revision>2</cp:revision>
  <cp:lastPrinted>2013-07-18T00:07:00Z</cp:lastPrinted>
  <dcterms:created xsi:type="dcterms:W3CDTF">2013-07-18T00:11:00Z</dcterms:created>
  <dcterms:modified xsi:type="dcterms:W3CDTF">2013-07-18T00:11:00Z</dcterms:modified>
</cp:coreProperties>
</file>