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w:t>
      </w:r>
      <w:ins w:id="1" w:author="pcuser" w:date="2013-07-11T14:36:00Z">
        <w:r w:rsidR="006D38A7">
          <w:rPr>
            <w:bCs/>
          </w:rPr>
          <w:t xml:space="preserve">before add on controls </w:t>
        </w:r>
      </w:ins>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2" w:author="pcuser" w:date="2013-06-11T13:40:00Z"/>
          <w:bCs/>
        </w:rPr>
      </w:pPr>
      <w:del w:id="3"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4" w:author="pcuser" w:date="2013-06-11T13:41:00Z">
        <w:r w:rsidR="00DC586F">
          <w:rPr>
            <w:bCs/>
          </w:rPr>
          <w:t>1</w:t>
        </w:r>
      </w:ins>
      <w:del w:id="5" w:author="pcuser" w:date="2013-06-11T13:41:00Z">
        <w:r w:rsidRPr="003E6D37" w:rsidDel="00DC586F">
          <w:rPr>
            <w:bCs/>
          </w:rPr>
          <w:delText>2</w:delText>
        </w:r>
      </w:del>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w:t>
      </w:r>
      <w:ins w:id="6" w:author="pcuser" w:date="2013-06-11T13:41:00Z">
        <w:r w:rsidR="00DC586F">
          <w:rPr>
            <w:bCs/>
          </w:rPr>
          <w:t>2</w:t>
        </w:r>
      </w:ins>
      <w:del w:id="7" w:author="pcuser" w:date="2013-06-11T13:41:00Z">
        <w:r w:rsidRPr="003E6D37" w:rsidDel="00DC586F">
          <w:rPr>
            <w:bCs/>
          </w:rPr>
          <w:delText>3</w:delText>
        </w:r>
      </w:del>
      <w:r w:rsidRPr="003E6D37">
        <w:rPr>
          <w:bCs/>
        </w:rPr>
        <w:t>) VOC sources located outside the areas cited in section (</w:t>
      </w:r>
      <w:ins w:id="8" w:author="pcuser" w:date="2013-06-11T13:42:00Z">
        <w:r w:rsidR="00DC586F">
          <w:rPr>
            <w:bCs/>
          </w:rPr>
          <w:t>1</w:t>
        </w:r>
      </w:ins>
      <w:del w:id="9" w:author="pcuser" w:date="2013-06-11T13:42:00Z">
        <w:r w:rsidRPr="003E6D37" w:rsidDel="00DC586F">
          <w:rPr>
            <w:bCs/>
          </w:rPr>
          <w:delText>2</w:delText>
        </w:r>
      </w:del>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ins w:id="10" w:author="pcuser" w:date="2013-06-11T13:41:00Z">
        <w:r w:rsidR="00DC586F">
          <w:rPr>
            <w:bCs/>
          </w:rPr>
          <w:t>3</w:t>
        </w:r>
      </w:ins>
      <w:del w:id="11" w:author="pcuser" w:date="2013-06-11T13:41:00Z">
        <w:r w:rsidRPr="003E6D37" w:rsidDel="00DC586F">
          <w:rPr>
            <w:bCs/>
          </w:rPr>
          <w:delText>4</w:delText>
        </w:r>
      </w:del>
      <w:r w:rsidRPr="003E6D37">
        <w:rPr>
          <w:bCs/>
        </w:rPr>
        <w:t>) All new and existing sources in the areas identified in section (</w:t>
      </w:r>
      <w:ins w:id="12" w:author="pcuser" w:date="2013-06-11T13:41:00Z">
        <w:r w:rsidR="00DC586F">
          <w:rPr>
            <w:bCs/>
          </w:rPr>
          <w:t>1</w:t>
        </w:r>
      </w:ins>
      <w:del w:id="13" w:author="pcuser" w:date="2013-06-11T13:41:00Z">
        <w:r w:rsidRPr="003E6D37" w:rsidDel="00DC586F">
          <w:rPr>
            <w:bCs/>
          </w:rPr>
          <w:delText>2</w:delText>
        </w:r>
      </w:del>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4" w:author="Preferred Customer" w:date="2012-12-28T11:11:00Z">
        <w:r w:rsidRPr="003E6D37" w:rsidDel="0056773E">
          <w:rPr>
            <w:bCs/>
          </w:rPr>
          <w:delText>the Department</w:delText>
        </w:r>
      </w:del>
      <w:ins w:id="15" w:author="Preferred Customer" w:date="2012-12-28T11:11:00Z">
        <w:r w:rsidR="0056773E">
          <w:rPr>
            <w:bCs/>
          </w:rPr>
          <w:t>DEQ</w:t>
        </w:r>
      </w:ins>
      <w:r w:rsidRPr="003E6D37">
        <w:rPr>
          <w:bCs/>
        </w:rPr>
        <w:t xml:space="preserve">, or which has been certified by other air pollution control agencies and approved by </w:t>
      </w:r>
      <w:del w:id="16" w:author="Preferred Customer" w:date="2012-12-28T11:11:00Z">
        <w:r w:rsidRPr="003E6D37" w:rsidDel="0056773E">
          <w:rPr>
            <w:bCs/>
          </w:rPr>
          <w:delText>the Department</w:delText>
        </w:r>
      </w:del>
      <w:ins w:id="17"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18" w:author="Preferred Customer" w:date="2012-09-04T07:40:00Z"/>
          <w:bCs/>
        </w:rPr>
      </w:pPr>
      <w:ins w:id="19" w:author="Preferred Customer" w:date="2012-09-04T07:40:00Z">
        <w:r w:rsidRPr="003E6D37" w:rsidDel="00510735">
          <w:rPr>
            <w:bCs/>
          </w:rPr>
          <w:t xml:space="preserve"> </w:t>
        </w:r>
      </w:ins>
      <w:del w:id="20"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21" w:author="Preferred Customer" w:date="2012-09-04T07:45:00Z">
        <w:r w:rsidR="00510735">
          <w:rPr>
            <w:bCs/>
          </w:rPr>
          <w:t>7</w:t>
        </w:r>
      </w:ins>
      <w:del w:id="22"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23" w:author="Preferred Customer" w:date="2012-09-04T07:40:00Z"/>
          <w:bCs/>
        </w:rPr>
      </w:pPr>
      <w:ins w:id="24" w:author="Preferred Customer" w:date="2012-09-04T07:40:00Z">
        <w:r w:rsidRPr="003E6D37" w:rsidDel="00510735">
          <w:rPr>
            <w:bCs/>
          </w:rPr>
          <w:t xml:space="preserve"> </w:t>
        </w:r>
      </w:ins>
      <w:del w:id="25"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26" w:author="Preferred Customer" w:date="2012-09-04T07:45:00Z">
        <w:r w:rsidR="00510735">
          <w:rPr>
            <w:bCs/>
          </w:rPr>
          <w:t>18</w:t>
        </w:r>
      </w:ins>
      <w:del w:id="27"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28" w:author="Preferred Customer" w:date="2012-09-04T07:45:00Z">
        <w:r w:rsidR="00510735">
          <w:rPr>
            <w:bCs/>
          </w:rPr>
          <w:t>19</w:t>
        </w:r>
      </w:ins>
      <w:del w:id="29"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30" w:author="Preferred Customer" w:date="2012-09-04T07:45:00Z">
        <w:r w:rsidR="00510735">
          <w:rPr>
            <w:bCs/>
          </w:rPr>
          <w:t>0</w:t>
        </w:r>
      </w:ins>
      <w:del w:id="31"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32" w:author="Preferred Customer" w:date="2012-09-04T07:45:00Z">
        <w:r w:rsidR="00510735">
          <w:rPr>
            <w:bCs/>
          </w:rPr>
          <w:t>1</w:t>
        </w:r>
      </w:ins>
      <w:del w:id="33"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34" w:author="Preferred Customer" w:date="2012-09-04T07:45:00Z">
        <w:r w:rsidR="00510735">
          <w:rPr>
            <w:bCs/>
          </w:rPr>
          <w:t>2</w:t>
        </w:r>
      </w:ins>
      <w:del w:id="35"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36" w:author="Preferred Customer" w:date="2012-09-04T07:45:00Z">
        <w:r w:rsidR="00510735">
          <w:rPr>
            <w:bCs/>
          </w:rPr>
          <w:t>3</w:t>
        </w:r>
      </w:ins>
      <w:del w:id="37"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38" w:author="Preferred Customer" w:date="2012-09-04T07:45:00Z">
        <w:r w:rsidR="00510735">
          <w:rPr>
            <w:bCs/>
          </w:rPr>
          <w:t>4</w:t>
        </w:r>
      </w:ins>
      <w:del w:id="39"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40" w:author="Preferred Customer" w:date="2012-09-04T07:45:00Z">
        <w:r w:rsidRPr="003E6D37" w:rsidDel="00510735">
          <w:rPr>
            <w:bCs/>
          </w:rPr>
          <w:delText>7</w:delText>
        </w:r>
      </w:del>
      <w:ins w:id="41"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42" w:author="Preferred Customer" w:date="2012-09-04T07:46:00Z">
        <w:r w:rsidRPr="003E6D37" w:rsidDel="00510735">
          <w:rPr>
            <w:bCs/>
          </w:rPr>
          <w:delText>8</w:delText>
        </w:r>
      </w:del>
      <w:ins w:id="43"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44" w:author="Preferred Customer" w:date="2012-09-04T07:46:00Z">
        <w:r w:rsidRPr="003E6D37" w:rsidDel="00510735">
          <w:rPr>
            <w:bCs/>
          </w:rPr>
          <w:delText>9</w:delText>
        </w:r>
      </w:del>
      <w:ins w:id="45"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46" w:author="Preferred Customer" w:date="2012-09-04T07:46:00Z">
        <w:r w:rsidR="00510735">
          <w:rPr>
            <w:bCs/>
          </w:rPr>
          <w:t>28</w:t>
        </w:r>
      </w:ins>
      <w:del w:id="47" w:author="Preferred Customer" w:date="2012-09-04T07:46:00Z">
        <w:r w:rsidRPr="003E6D37" w:rsidDel="00510735">
          <w:rPr>
            <w:bCs/>
          </w:rPr>
          <w:delText>30</w:delText>
        </w:r>
      </w:del>
      <w:r w:rsidRPr="003E6D37">
        <w:rPr>
          <w:bCs/>
        </w:rPr>
        <w:t>) "Gas</w:t>
      </w:r>
      <w:ins w:id="48"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49"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50" w:author="Preferred Customer" w:date="2012-09-04T07:46:00Z">
        <w:r w:rsidR="00510735">
          <w:rPr>
            <w:bCs/>
          </w:rPr>
          <w:t>29</w:t>
        </w:r>
      </w:ins>
      <w:del w:id="51"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52" w:author="Preferred Customer" w:date="2012-09-04T07:46:00Z">
        <w:r w:rsidR="00510735">
          <w:rPr>
            <w:bCs/>
          </w:rPr>
          <w:t>0</w:t>
        </w:r>
      </w:ins>
      <w:del w:id="53"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54" w:author="Preferred Customer" w:date="2012-09-04T07:46:00Z">
        <w:r w:rsidR="00510735">
          <w:rPr>
            <w:bCs/>
          </w:rPr>
          <w:t>1</w:t>
        </w:r>
      </w:ins>
      <w:del w:id="55"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56" w:author="Preferred Customer" w:date="2012-09-04T07:46:00Z">
        <w:r w:rsidR="00510735">
          <w:rPr>
            <w:bCs/>
          </w:rPr>
          <w:t>2</w:t>
        </w:r>
      </w:ins>
      <w:del w:id="57"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58" w:author="Preferred Customer" w:date="2012-09-04T07:46:00Z">
        <w:r w:rsidR="00510735">
          <w:rPr>
            <w:bCs/>
          </w:rPr>
          <w:t>3</w:t>
        </w:r>
      </w:ins>
      <w:del w:id="59"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60" w:author="Preferred Customer" w:date="2012-12-28T11:11:00Z">
        <w:r w:rsidRPr="003E6D37" w:rsidDel="0056773E">
          <w:rPr>
            <w:bCs/>
          </w:rPr>
          <w:delText>the Department</w:delText>
        </w:r>
      </w:del>
      <w:ins w:id="61"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62" w:author="Preferred Customer" w:date="2012-09-04T07:47:00Z">
        <w:r w:rsidR="00510735">
          <w:rPr>
            <w:bCs/>
          </w:rPr>
          <w:t>4</w:t>
        </w:r>
      </w:ins>
      <w:del w:id="63"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64" w:author="Preferred Customer" w:date="2012-09-04T07:47:00Z">
        <w:r w:rsidR="00510735">
          <w:rPr>
            <w:bCs/>
          </w:rPr>
          <w:t>5</w:t>
        </w:r>
      </w:ins>
      <w:del w:id="65"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66" w:author="Preferred Customer" w:date="2012-09-04T07:47:00Z">
        <w:r w:rsidR="00510735">
          <w:rPr>
            <w:bCs/>
          </w:rPr>
          <w:t>6</w:t>
        </w:r>
      </w:ins>
      <w:del w:id="67"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68" w:author="Preferred Customer" w:date="2012-09-04T07:47:00Z">
        <w:r w:rsidR="00510735">
          <w:rPr>
            <w:bCs/>
          </w:rPr>
          <w:t>37</w:t>
        </w:r>
      </w:ins>
      <w:del w:id="69"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70" w:author="Preferred Customer" w:date="2012-12-28T11:17:00Z"/>
          <w:bCs/>
        </w:rPr>
      </w:pPr>
      <w:del w:id="71"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72" w:author="Preferred Customer" w:date="2012-09-04T07:54:00Z"/>
          <w:bCs/>
        </w:rPr>
      </w:pPr>
      <w:del w:id="73"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74" w:author="Preferred Customer" w:date="2012-09-04T07:54:00Z"/>
          <w:bCs/>
        </w:rPr>
      </w:pPr>
      <w:ins w:id="75" w:author="Preferred Customer" w:date="2012-09-04T07:54:00Z">
        <w:r w:rsidRPr="003E6D37" w:rsidDel="0045635C">
          <w:rPr>
            <w:bCs/>
          </w:rPr>
          <w:t xml:space="preserve"> </w:t>
        </w:r>
      </w:ins>
      <w:del w:id="76"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77" w:author="Preferred Customer" w:date="2013-03-31T22:44:00Z">
        <w:r w:rsidR="00B44445">
          <w:rPr>
            <w:bCs/>
          </w:rPr>
          <w:t>38</w:t>
        </w:r>
      </w:ins>
      <w:del w:id="78"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79" w:author="Preferred Customer" w:date="2013-03-31T22:44:00Z">
        <w:r w:rsidR="00B44445">
          <w:rPr>
            <w:bCs/>
          </w:rPr>
          <w:t>39</w:t>
        </w:r>
      </w:ins>
      <w:del w:id="80"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81" w:author="Preferred Customer" w:date="2013-03-31T22:44:00Z">
        <w:r w:rsidR="00B44445">
          <w:rPr>
            <w:bCs/>
          </w:rPr>
          <w:t>0</w:t>
        </w:r>
      </w:ins>
      <w:del w:id="82"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83" w:author="Preferred Customer" w:date="2013-03-31T22:45:00Z">
        <w:r w:rsidR="00B44445">
          <w:rPr>
            <w:bCs/>
          </w:rPr>
          <w:t>1</w:t>
        </w:r>
      </w:ins>
      <w:del w:id="84"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85" w:author="Preferred Customer" w:date="2013-03-31T22:45:00Z">
        <w:r w:rsidR="00B44445">
          <w:rPr>
            <w:bCs/>
          </w:rPr>
          <w:t>2</w:t>
        </w:r>
      </w:ins>
      <w:del w:id="86"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87" w:author="Preferred Customer" w:date="2013-03-31T22:45:00Z">
        <w:r w:rsidR="00B44445">
          <w:rPr>
            <w:bCs/>
          </w:rPr>
          <w:t>3</w:t>
        </w:r>
      </w:ins>
      <w:del w:id="88"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89" w:author="Preferred Customer" w:date="2013-03-31T22:45:00Z">
        <w:r w:rsidR="00B44445">
          <w:rPr>
            <w:bCs/>
          </w:rPr>
          <w:t>44</w:t>
        </w:r>
      </w:ins>
      <w:del w:id="90"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91" w:author="Preferred Customer" w:date="2013-03-31T22:45:00Z">
        <w:r w:rsidR="00B44445">
          <w:rPr>
            <w:bCs/>
          </w:rPr>
          <w:t>45</w:t>
        </w:r>
      </w:ins>
      <w:del w:id="92" w:author="Preferred Customer" w:date="2013-03-31T22:45:00Z">
        <w:r w:rsidRPr="003E6D37" w:rsidDel="00B44445">
          <w:rPr>
            <w:bCs/>
          </w:rPr>
          <w:delText>51</w:delText>
        </w:r>
      </w:del>
      <w:r w:rsidRPr="003E6D37">
        <w:rPr>
          <w:bCs/>
        </w:rPr>
        <w:t>) "Oven</w:t>
      </w:r>
      <w:del w:id="93" w:author="Preferred Customer" w:date="2013-03-31T22:47:00Z">
        <w:r w:rsidRPr="003E6D37" w:rsidDel="009E2191">
          <w:rPr>
            <w:bCs/>
          </w:rPr>
          <w:delText>-</w:delText>
        </w:r>
      </w:del>
      <w:ins w:id="94"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95" w:author="Preferred Customer" w:date="2013-03-31T22:45:00Z">
        <w:r w:rsidR="00B44445">
          <w:rPr>
            <w:bCs/>
          </w:rPr>
          <w:t>46</w:t>
        </w:r>
      </w:ins>
      <w:del w:id="96"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97" w:author="Preferred Customer" w:date="2013-03-31T22:45:00Z">
        <w:r w:rsidR="00B44445">
          <w:rPr>
            <w:bCs/>
          </w:rPr>
          <w:t>47</w:t>
        </w:r>
      </w:ins>
      <w:del w:id="98"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99" w:author="Preferred Customer" w:date="2012-09-04T07:55:00Z"/>
          <w:bCs/>
        </w:rPr>
      </w:pPr>
      <w:ins w:id="100" w:author="Preferred Customer" w:date="2012-09-04T07:55:00Z">
        <w:r w:rsidRPr="003E6D37" w:rsidDel="0045635C">
          <w:rPr>
            <w:bCs/>
          </w:rPr>
          <w:t xml:space="preserve"> </w:t>
        </w:r>
      </w:ins>
      <w:del w:id="101"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02" w:author="Preferred Customer" w:date="2013-03-31T22:45:00Z">
        <w:r w:rsidR="00B44445">
          <w:rPr>
            <w:bCs/>
          </w:rPr>
          <w:t>48</w:t>
        </w:r>
      </w:ins>
      <w:del w:id="103"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04" w:author="Preferred Customer" w:date="2012-12-28T11:20:00Z"/>
          <w:bCs/>
        </w:rPr>
      </w:pPr>
      <w:del w:id="105"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06" w:author="Preferred Customer" w:date="2012-09-04T07:56:00Z"/>
          <w:bCs/>
        </w:rPr>
      </w:pPr>
      <w:del w:id="107"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108" w:author="Preferred Customer" w:date="2012-09-04T07:57:00Z"/>
          <w:bCs/>
        </w:rPr>
      </w:pPr>
      <w:r w:rsidRPr="003E6D37">
        <w:rPr>
          <w:bCs/>
        </w:rPr>
        <w:t>(</w:t>
      </w:r>
      <w:ins w:id="109" w:author="Preferred Customer" w:date="2013-03-31T22:45:00Z">
        <w:r w:rsidR="00B44445">
          <w:rPr>
            <w:bCs/>
          </w:rPr>
          <w:t>49</w:t>
        </w:r>
      </w:ins>
      <w:del w:id="110"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11" w:author="Preferred Customer" w:date="2012-09-04T07:57:00Z" w:name="move334508777"/>
      <w:moveTo w:id="112" w:author="Preferred Customer" w:date="2012-09-04T07:57:00Z">
        <w:r w:rsidRPr="003E6D37">
          <w:rPr>
            <w:bCs/>
          </w:rPr>
          <w:t>(</w:t>
        </w:r>
      </w:moveTo>
      <w:ins w:id="113" w:author="Preferred Customer" w:date="2013-03-31T22:45:00Z">
        <w:r w:rsidR="009E2191">
          <w:rPr>
            <w:bCs/>
          </w:rPr>
          <w:t>50</w:t>
        </w:r>
      </w:ins>
      <w:moveTo w:id="114" w:author="Preferred Customer" w:date="2012-09-04T07:57:00Z">
        <w:del w:id="115"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11"/>
    <w:p w:rsidR="003E6D37" w:rsidRPr="003E6D37" w:rsidRDefault="003E6D37" w:rsidP="003E6D37">
      <w:pPr>
        <w:spacing w:after="0" w:line="240" w:lineRule="auto"/>
        <w:rPr>
          <w:bCs/>
        </w:rPr>
      </w:pPr>
      <w:r w:rsidRPr="003E6D37">
        <w:rPr>
          <w:bCs/>
        </w:rPr>
        <w:t>(5</w:t>
      </w:r>
      <w:ins w:id="116" w:author="Preferred Customer" w:date="2013-03-31T22:45:00Z">
        <w:r w:rsidR="009E2191">
          <w:rPr>
            <w:bCs/>
          </w:rPr>
          <w:t>1</w:t>
        </w:r>
      </w:ins>
      <w:del w:id="117"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18" w:author="Preferred Customer" w:date="2013-03-31T22:45:00Z">
        <w:r w:rsidR="009E2191">
          <w:rPr>
            <w:bCs/>
          </w:rPr>
          <w:t>52</w:t>
        </w:r>
      </w:ins>
      <w:del w:id="119"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0" w:author="Preferred Customer" w:date="2012-09-04T07:57:00Z">
        <w:r w:rsidRPr="003E6D37" w:rsidDel="0045635C">
          <w:rPr>
            <w:bCs/>
          </w:rPr>
          <w:t xml:space="preserve"> </w:t>
        </w:r>
      </w:ins>
      <w:moveFromRangeStart w:id="121" w:author="Preferred Customer" w:date="2012-09-04T07:57:00Z" w:name="move334508777"/>
      <w:moveFrom w:id="122" w:author="Preferred Customer" w:date="2012-09-04T07:57:00Z">
        <w:r w:rsidR="003E6D37" w:rsidRPr="003E6D37" w:rsidDel="0045635C">
          <w:rPr>
            <w:bCs/>
          </w:rPr>
          <w:t>(61) "Prime coat" means the first of two or more films of coating applied in an operation.</w:t>
        </w:r>
      </w:moveFrom>
    </w:p>
    <w:moveFromRangeEnd w:id="121"/>
    <w:p w:rsidR="003E6D37" w:rsidRPr="003E6D37" w:rsidRDefault="003E6D37" w:rsidP="003E6D37">
      <w:pPr>
        <w:spacing w:after="0" w:line="240" w:lineRule="auto"/>
        <w:rPr>
          <w:bCs/>
        </w:rPr>
      </w:pPr>
      <w:r w:rsidRPr="003E6D37">
        <w:rPr>
          <w:bCs/>
        </w:rPr>
        <w:t>(</w:t>
      </w:r>
      <w:ins w:id="123" w:author="jinahar" w:date="2013-04-16T09:11:00Z">
        <w:r w:rsidR="008532B3">
          <w:rPr>
            <w:bCs/>
          </w:rPr>
          <w:t>53</w:t>
        </w:r>
      </w:ins>
      <w:del w:id="124"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25" w:author="Preferred Customer" w:date="2013-03-31T22:46:00Z">
        <w:r w:rsidR="009E2191">
          <w:rPr>
            <w:bCs/>
          </w:rPr>
          <w:t>5</w:t>
        </w:r>
      </w:ins>
      <w:ins w:id="126" w:author="jinahar" w:date="2013-04-16T09:11:00Z">
        <w:r w:rsidR="008532B3">
          <w:rPr>
            <w:bCs/>
          </w:rPr>
          <w:t>4</w:t>
        </w:r>
      </w:ins>
      <w:del w:id="127"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28" w:author="Preferred Customer" w:date="2013-03-31T22:46:00Z">
        <w:r w:rsidR="009E2191">
          <w:rPr>
            <w:bCs/>
          </w:rPr>
          <w:t>5</w:t>
        </w:r>
      </w:ins>
      <w:ins w:id="129" w:author="jinahar" w:date="2013-04-16T09:11:00Z">
        <w:r w:rsidR="008532B3">
          <w:rPr>
            <w:bCs/>
          </w:rPr>
          <w:t>5</w:t>
        </w:r>
      </w:ins>
      <w:del w:id="130"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31" w:author="Preferred Customer" w:date="2013-03-31T22:46:00Z">
        <w:r w:rsidR="009E2191">
          <w:rPr>
            <w:bCs/>
          </w:rPr>
          <w:t>5</w:t>
        </w:r>
      </w:ins>
      <w:ins w:id="132" w:author="jinahar" w:date="2013-04-16T09:11:00Z">
        <w:r w:rsidR="008532B3">
          <w:rPr>
            <w:bCs/>
          </w:rPr>
          <w:t>6</w:t>
        </w:r>
      </w:ins>
      <w:del w:id="133" w:author="Preferred Customer" w:date="2013-03-31T22:52:00Z">
        <w:r w:rsidRPr="003E6D37" w:rsidDel="00C9252E">
          <w:rPr>
            <w:bCs/>
          </w:rPr>
          <w:delText>6</w:delText>
        </w:r>
      </w:del>
      <w:del w:id="134"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35" w:author="Preferred Customer" w:date="2013-03-31T22:46:00Z">
        <w:r w:rsidR="009E2191">
          <w:rPr>
            <w:bCs/>
          </w:rPr>
          <w:t>5</w:t>
        </w:r>
      </w:ins>
      <w:ins w:id="136" w:author="jinahar" w:date="2013-04-16T09:11:00Z">
        <w:r w:rsidR="008532B3">
          <w:rPr>
            <w:bCs/>
          </w:rPr>
          <w:t>7</w:t>
        </w:r>
      </w:ins>
      <w:del w:id="137"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38" w:author="Preferred Customer" w:date="2012-12-28T11:25:00Z"/>
          <w:bCs/>
        </w:rPr>
      </w:pPr>
      <w:del w:id="139"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0" w:author="Preferred Customer" w:date="2012-09-04T08:04:00Z"/>
          <w:bCs/>
        </w:rPr>
      </w:pPr>
      <w:del w:id="141"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42" w:author="Preferred Customer" w:date="2012-09-04T08:05:00Z"/>
          <w:bCs/>
        </w:rPr>
      </w:pPr>
      <w:ins w:id="143" w:author="Preferred Customer" w:date="2012-09-04T08:05:00Z">
        <w:r w:rsidRPr="003E6D37" w:rsidDel="00CA4FE9">
          <w:rPr>
            <w:bCs/>
          </w:rPr>
          <w:t xml:space="preserve"> </w:t>
        </w:r>
      </w:ins>
      <w:del w:id="144"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45" w:author="Preferred Customer" w:date="2013-03-31T22:46:00Z">
        <w:r w:rsidR="009E2191">
          <w:rPr>
            <w:bCs/>
          </w:rPr>
          <w:t>5</w:t>
        </w:r>
      </w:ins>
      <w:ins w:id="146" w:author="jinahar" w:date="2013-04-16T09:11:00Z">
        <w:r w:rsidR="008532B3">
          <w:rPr>
            <w:bCs/>
          </w:rPr>
          <w:t>8</w:t>
        </w:r>
      </w:ins>
      <w:del w:id="147"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48" w:author="Preferred Customer" w:date="2013-03-31T22:46:00Z">
        <w:r w:rsidR="009E2191">
          <w:rPr>
            <w:bCs/>
          </w:rPr>
          <w:t>5</w:t>
        </w:r>
      </w:ins>
      <w:ins w:id="149" w:author="jinahar" w:date="2013-04-16T09:11:00Z">
        <w:r w:rsidR="008532B3">
          <w:rPr>
            <w:bCs/>
          </w:rPr>
          <w:t>9</w:t>
        </w:r>
      </w:ins>
      <w:del w:id="150"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51" w:author="jinahar" w:date="2013-04-16T09:11:00Z">
        <w:r w:rsidR="008532B3">
          <w:rPr>
            <w:bCs/>
          </w:rPr>
          <w:t>60</w:t>
        </w:r>
      </w:ins>
      <w:del w:id="152"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53" w:author="Preferred Customer" w:date="2013-03-31T22:46:00Z">
        <w:r w:rsidR="009E2191">
          <w:rPr>
            <w:bCs/>
          </w:rPr>
          <w:t>6</w:t>
        </w:r>
      </w:ins>
      <w:ins w:id="154" w:author="jinahar" w:date="2013-04-16T09:12:00Z">
        <w:r w:rsidR="008532B3">
          <w:rPr>
            <w:bCs/>
          </w:rPr>
          <w:t>1</w:t>
        </w:r>
      </w:ins>
      <w:del w:id="155"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56" w:author="Preferred Customer" w:date="2013-03-31T22:46:00Z">
        <w:r w:rsidR="009E2191">
          <w:rPr>
            <w:bCs/>
          </w:rPr>
          <w:t>6</w:t>
        </w:r>
      </w:ins>
      <w:ins w:id="157" w:author="jinahar" w:date="2013-04-16T09:12:00Z">
        <w:r w:rsidR="008532B3">
          <w:rPr>
            <w:bCs/>
          </w:rPr>
          <w:t>2</w:t>
        </w:r>
      </w:ins>
      <w:del w:id="158"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59" w:author="Preferred Customer" w:date="2013-03-31T22:46:00Z">
        <w:r w:rsidR="009E2191">
          <w:rPr>
            <w:bCs/>
          </w:rPr>
          <w:t>6</w:t>
        </w:r>
      </w:ins>
      <w:ins w:id="160" w:author="jinahar" w:date="2013-04-16T09:12:00Z">
        <w:r w:rsidR="008532B3">
          <w:rPr>
            <w:bCs/>
          </w:rPr>
          <w:t>3</w:t>
        </w:r>
      </w:ins>
      <w:del w:id="161"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62" w:author="Preferred Customer" w:date="2013-03-31T22:46:00Z">
        <w:r w:rsidR="009E2191">
          <w:rPr>
            <w:bCs/>
          </w:rPr>
          <w:t>6</w:t>
        </w:r>
      </w:ins>
      <w:ins w:id="163" w:author="jinahar" w:date="2013-04-16T09:12:00Z">
        <w:r w:rsidR="008532B3">
          <w:rPr>
            <w:bCs/>
          </w:rPr>
          <w:t>4</w:t>
        </w:r>
      </w:ins>
      <w:del w:id="164"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5</w:t>
        </w:r>
      </w:ins>
      <w:del w:id="167"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68" w:author="Preferred Customer" w:date="2012-12-28T11:11:00Z">
        <w:r w:rsidRPr="003E6D37" w:rsidDel="0056773E">
          <w:rPr>
            <w:bCs/>
          </w:rPr>
          <w:delText>the Department</w:delText>
        </w:r>
      </w:del>
      <w:ins w:id="169"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0" w:author="Preferred Customer" w:date="2012-12-28T11:11:00Z">
        <w:r w:rsidRPr="003E6D37" w:rsidDel="0056773E">
          <w:rPr>
            <w:bCs/>
          </w:rPr>
          <w:delText>the Department</w:delText>
        </w:r>
      </w:del>
      <w:ins w:id="171" w:author="Preferred Customer" w:date="2012-12-28T11:11:00Z">
        <w:r w:rsidR="0056773E">
          <w:rPr>
            <w:bCs/>
          </w:rPr>
          <w:t>DEQ</w:t>
        </w:r>
      </w:ins>
      <w:r w:rsidRPr="003E6D37">
        <w:rPr>
          <w:bCs/>
        </w:rPr>
        <w:t xml:space="preserve"> that their </w:t>
      </w:r>
      <w:commentRangeStart w:id="172"/>
      <w:r w:rsidRPr="003E6D37">
        <w:rPr>
          <w:bCs/>
        </w:rPr>
        <w:t xml:space="preserve">potential emissions </w:t>
      </w:r>
      <w:commentRangeEnd w:id="172"/>
      <w:r w:rsidR="006D33FE">
        <w:rPr>
          <w:rStyle w:val="CommentReference"/>
        </w:rPr>
        <w:commentReference w:id="172"/>
      </w:r>
      <w:r w:rsidR="004D45B4" w:rsidRPr="00285BED">
        <w:rPr>
          <w:bCs/>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73" w:author="Preferred Customer" w:date="2012-12-28T11:11:00Z">
        <w:r w:rsidRPr="003E6D37" w:rsidDel="0056773E">
          <w:rPr>
            <w:bCs/>
          </w:rPr>
          <w:delText>the Department</w:delText>
        </w:r>
      </w:del>
      <w:ins w:id="174"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75" w:author="Preferred Customer" w:date="2012-12-28T11:11:00Z">
        <w:r w:rsidRPr="003E6D37" w:rsidDel="0056773E">
          <w:rPr>
            <w:bCs/>
          </w:rPr>
          <w:delText>the Department</w:delText>
        </w:r>
      </w:del>
      <w:ins w:id="176" w:author="Preferred Customer" w:date="2012-12-28T11:11:00Z">
        <w:r w:rsidR="0056773E">
          <w:rPr>
            <w:bCs/>
          </w:rPr>
          <w:t>DEQ</w:t>
        </w:r>
      </w:ins>
      <w:r w:rsidRPr="003E6D37">
        <w:rPr>
          <w:bCs/>
        </w:rPr>
        <w:t xml:space="preserve"> of the applicability of this rule, or, for good cause shown, up to an additional three months as approved by </w:t>
      </w:r>
      <w:del w:id="177" w:author="Preferred Customer" w:date="2012-12-28T11:11:00Z">
        <w:r w:rsidRPr="003E6D37" w:rsidDel="0056773E">
          <w:rPr>
            <w:bCs/>
          </w:rPr>
          <w:delText>the Department</w:delText>
        </w:r>
      </w:del>
      <w:ins w:id="178" w:author="Preferred Customer" w:date="2012-12-28T11:11:00Z">
        <w:r w:rsidR="0056773E">
          <w:rPr>
            <w:bCs/>
          </w:rPr>
          <w:t>DEQ</w:t>
        </w:r>
      </w:ins>
      <w:r w:rsidRPr="003E6D37">
        <w:rPr>
          <w:bCs/>
        </w:rPr>
        <w:t xml:space="preserve">, the source shall submit to </w:t>
      </w:r>
      <w:del w:id="179" w:author="Preferred Customer" w:date="2012-12-28T11:11:00Z">
        <w:r w:rsidRPr="003E6D37" w:rsidDel="0056773E">
          <w:rPr>
            <w:bCs/>
          </w:rPr>
          <w:delText>the Department</w:delText>
        </w:r>
      </w:del>
      <w:ins w:id="180"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81" w:author="Preferred Customer" w:date="2012-12-28T11:11:00Z">
        <w:r w:rsidRPr="003E6D37" w:rsidDel="0056773E">
          <w:rPr>
            <w:bCs/>
          </w:rPr>
          <w:delText>the Department</w:delText>
        </w:r>
      </w:del>
      <w:ins w:id="182"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83" w:author="Preferred Customer" w:date="2012-12-28T11:11:00Z">
        <w:r w:rsidRPr="003E6D37" w:rsidDel="0056773E">
          <w:rPr>
            <w:bCs/>
          </w:rPr>
          <w:delText>the Department</w:delText>
        </w:r>
      </w:del>
      <w:ins w:id="184"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85" w:author="Preferred Customer" w:date="2012-12-28T11:11:00Z">
        <w:r w:rsidRPr="003E6D37" w:rsidDel="0056773E">
          <w:rPr>
            <w:bCs/>
          </w:rPr>
          <w:delText>the Department</w:delText>
        </w:r>
      </w:del>
      <w:ins w:id="186"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187" w:author="pcuser" w:date="2013-06-11T13:46:00Z"/>
          <w:bCs/>
        </w:rPr>
      </w:pPr>
      <w:r w:rsidRPr="003E6D37">
        <w:rPr>
          <w:bCs/>
        </w:rPr>
        <w:t xml:space="preserve">(1) Certification and test procedures required by this division shall be conducted in accordance with </w:t>
      </w:r>
      <w:del w:id="188" w:author="Preferred Customer" w:date="2012-12-28T11:11:00Z">
        <w:r w:rsidRPr="003E6D37" w:rsidDel="0056773E">
          <w:rPr>
            <w:bCs/>
          </w:rPr>
          <w:delText>the Department</w:delText>
        </w:r>
      </w:del>
      <w:ins w:id="189"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190"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lastRenderedPageBreak/>
        <w:t xml:space="preserve">(2) Approval by </w:t>
      </w:r>
      <w:del w:id="191" w:author="Preferred Customer" w:date="2012-12-28T11:11:00Z">
        <w:r w:rsidRPr="003E6D37" w:rsidDel="0056773E">
          <w:rPr>
            <w:bCs/>
          </w:rPr>
          <w:delText>the Department</w:delText>
        </w:r>
      </w:del>
      <w:ins w:id="192"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193" w:author="jinahar" w:date="2013-06-21T16:11:00Z">
        <w:r w:rsidRPr="003E6D37" w:rsidDel="000A1031">
          <w:rPr>
            <w:bCs/>
          </w:rPr>
          <w:delText>, or equivalent system</w:delText>
        </w:r>
      </w:del>
      <w:del w:id="194" w:author="pcuser" w:date="2013-06-11T13:53:00Z">
        <w:r w:rsidRPr="003E6D37" w:rsidDel="009E7423">
          <w:rPr>
            <w:bCs/>
          </w:rPr>
          <w:delText xml:space="preserve"> </w:delText>
        </w:r>
      </w:del>
      <w:del w:id="195" w:author="pcuser" w:date="2013-06-11T13:48:00Z">
        <w:r w:rsidRPr="003E6D37" w:rsidDel="0062379E">
          <w:rPr>
            <w:bCs/>
          </w:rPr>
          <w:delText xml:space="preserve">as </w:delText>
        </w:r>
      </w:del>
      <w:del w:id="196" w:author="pcuser" w:date="2013-06-11T13:53:00Z">
        <w:r w:rsidR="00837B6F" w:rsidRPr="009E7423" w:rsidDel="009E7423">
          <w:rPr>
            <w:bCs/>
          </w:rPr>
          <w:delText>approved in writing</w:delText>
        </w:r>
        <w:r w:rsidRPr="003E6D37" w:rsidDel="009E7423">
          <w:rPr>
            <w:bCs/>
          </w:rPr>
          <w:delText xml:space="preserve"> by the Department</w:delText>
        </w:r>
      </w:del>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97" w:author="pcuser" w:date="2013-06-11T13:52:00Z">
        <w:r w:rsidRPr="003E6D37" w:rsidDel="0062379E">
          <w:rPr>
            <w:bCs/>
          </w:rPr>
          <w:delText xml:space="preserve"> or some other setting </w:delText>
        </w:r>
        <w:r w:rsidR="00837B6F" w:rsidRPr="0062379E" w:rsidDel="0062379E">
          <w:rPr>
            <w:bCs/>
          </w:rPr>
          <w:delText>approved in writing by the Department</w:delText>
        </w:r>
      </w:del>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833C2D" w:rsidRDefault="00833C2D">
      <w:pPr>
        <w:rPr>
          <w:ins w:id="198" w:author="jinahar" w:date="2013-06-21T15:07:00Z"/>
          <w:b/>
          <w:bCs/>
        </w:rPr>
      </w:pPr>
      <w:ins w:id="199" w:author="jinahar" w:date="2013-06-21T15:07:00Z">
        <w:r>
          <w:rPr>
            <w:b/>
            <w:bCs/>
          </w:rPr>
          <w:br w:type="page"/>
        </w:r>
      </w:ins>
    </w:p>
    <w:p w:rsidR="003E6D37" w:rsidRPr="003E6D37" w:rsidRDefault="003E6D37" w:rsidP="003E6D37">
      <w:pPr>
        <w:spacing w:after="0" w:line="240" w:lineRule="auto"/>
      </w:pPr>
      <w:r w:rsidRPr="003E6D37">
        <w:rPr>
          <w:b/>
          <w:bCs/>
        </w:rPr>
        <w:lastRenderedPageBreak/>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200" w:author="jinahar" w:date="2013-06-21T16:11:00Z">
        <w:r w:rsidRPr="003E6D37" w:rsidDel="000A1031">
          <w:delText xml:space="preserve">, </w:delText>
        </w:r>
      </w:del>
      <w:del w:id="201"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lastRenderedPageBreak/>
        <w:t xml:space="preserve">(2) Compliance with section (1) of this rule shall be determined by testing in accordance with Method 33 on file with </w:t>
      </w:r>
      <w:del w:id="202" w:author="Preferred Customer" w:date="2012-12-28T11:11:00Z">
        <w:r w:rsidRPr="003E6D37" w:rsidDel="0056773E">
          <w:delText>the Department</w:delText>
        </w:r>
      </w:del>
      <w:ins w:id="203"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04" w:author="Preferred Customer" w:date="2012-12-28T11:11:00Z">
        <w:r w:rsidRPr="003E6D37" w:rsidDel="0056773E">
          <w:delText>the Department</w:delText>
        </w:r>
      </w:del>
      <w:ins w:id="205"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206" w:author="Preferred Customer" w:date="2012-12-28T11:11:00Z">
        <w:r w:rsidRPr="003E6D37" w:rsidDel="0056773E">
          <w:delText>the Department</w:delText>
        </w:r>
      </w:del>
      <w:ins w:id="207"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lastRenderedPageBreak/>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08" w:author="Preferred Customer" w:date="2012-12-28T11:11:00Z">
        <w:r w:rsidRPr="003E6D37" w:rsidDel="0056773E">
          <w:delText>the Department</w:delText>
        </w:r>
      </w:del>
      <w:ins w:id="209"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10" w:author="Preferred Customer" w:date="2012-12-28T11:11:00Z">
        <w:r w:rsidRPr="003E6D37" w:rsidDel="0056773E">
          <w:delText>The Department</w:delText>
        </w:r>
      </w:del>
      <w:ins w:id="211" w:author="Preferred Customer" w:date="2012-12-28T11:11:00Z">
        <w:r w:rsidR="0056773E">
          <w:t>DEQ</w:t>
        </w:r>
      </w:ins>
      <w:r w:rsidRPr="003E6D37">
        <w:t xml:space="preserve"> may, at any time, monitor a gasoline tank truck, vapor collection system, or vapor control system, by the methods on file with </w:t>
      </w:r>
      <w:del w:id="212" w:author="Preferred Customer" w:date="2012-12-28T11:11:00Z">
        <w:r w:rsidRPr="003E6D37" w:rsidDel="0056773E">
          <w:delText>the Department</w:delText>
        </w:r>
      </w:del>
      <w:ins w:id="213"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14" w:author="Preferred Customer" w:date="2012-12-28T11:11:00Z">
        <w:r w:rsidRPr="003E6D37" w:rsidDel="0056773E">
          <w:delText>the Department</w:delText>
        </w:r>
      </w:del>
      <w:ins w:id="215"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216"/>
      <w:r w:rsidRPr="003E6D37">
        <w:t xml:space="preserve">Portland </w:t>
      </w:r>
      <w:del w:id="217" w:author="Preferred Customer" w:date="2012-12-28T11:34:00Z">
        <w:r w:rsidRPr="003E6D37" w:rsidDel="00E41424">
          <w:delText>ozone</w:delText>
        </w:r>
      </w:del>
      <w:r w:rsidRPr="003E6D37">
        <w:t xml:space="preserve"> air quality maintenance area</w:t>
      </w:r>
      <w:commentRangeEnd w:id="216"/>
      <w:r w:rsidR="00CA4FE9">
        <w:rPr>
          <w:rStyle w:val="CommentReference"/>
        </w:rPr>
        <w:commentReference w:id="216"/>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lastRenderedPageBreak/>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18" w:author="jinahar" w:date="2013-06-21T16:11:00Z">
        <w:r w:rsidRPr="003E6D37" w:rsidDel="000A1031">
          <w:delText>or other</w:delText>
        </w:r>
      </w:del>
      <w:del w:id="219" w:author="jinahar" w:date="2013-06-21T16:12:00Z">
        <w:r w:rsidRPr="003E6D37" w:rsidDel="000A1031">
          <w:delText xml:space="preserve"> </w:delText>
        </w:r>
        <w:r w:rsidR="000A2F41" w:rsidRPr="00A9779A" w:rsidDel="000A1031">
          <w:delText>methods</w:delText>
        </w:r>
      </w:del>
      <w:ins w:id="220" w:author="pcuser" w:date="2013-06-11T13:57:00Z">
        <w:del w:id="221" w:author="jinahar" w:date="2013-06-21T16:12:00Z">
          <w:r w:rsidR="006161B9" w:rsidRPr="00B23B94" w:rsidDel="000A1031">
            <w:delText>,</w:delText>
          </w:r>
        </w:del>
      </w:ins>
      <w:del w:id="222" w:author="jinahar" w:date="2013-06-21T16:12:00Z">
        <w:r w:rsidR="000A2F41" w:rsidRPr="00B23B94" w:rsidDel="000A1031">
          <w:delText xml:space="preserve"> a</w:delText>
        </w:r>
      </w:del>
      <w:del w:id="223" w:author="pcuser" w:date="2013-06-11T13:57:00Z">
        <w:r w:rsidR="000A2F41" w:rsidRPr="00B23B94">
          <w:delText>pproved in writing by the Department</w:delText>
        </w:r>
        <w:r w:rsidRPr="00B23B94" w:rsidDel="006161B9">
          <w:delText xml:space="preserve"> </w:delText>
        </w:r>
      </w:del>
      <w:r w:rsidRPr="00B23B94">
        <w:t>or</w:t>
      </w:r>
      <w:r w:rsidRPr="003E6D37">
        <w:t xml:space="preserve">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24" w:author="Preferred Customer" w:date="2012-12-28T11:11:00Z">
        <w:r w:rsidRPr="003E6D37" w:rsidDel="0056773E">
          <w:delText>the Department</w:delText>
        </w:r>
      </w:del>
      <w:ins w:id="225" w:author="Preferred Customer" w:date="2012-12-28T11:11:00Z">
        <w:r w:rsidR="0056773E">
          <w:t>DEQ</w:t>
        </w:r>
      </w:ins>
      <w:r w:rsidRPr="003E6D37">
        <w:t xml:space="preserve"> that the vessel is leak free, vapor tight, and in good working order based on an annual inspection using EPA Method 21</w:t>
      </w:r>
      <w:del w:id="226" w:author="jinahar" w:date="2013-07-23T12:17:00Z">
        <w:r w:rsidRPr="003E6D37" w:rsidDel="00B23B94">
          <w:delText xml:space="preserve"> or other </w:delText>
        </w:r>
        <w:r w:rsidR="00B62F66" w:rsidRPr="00B23B94" w:rsidDel="00B23B94">
          <w:delText xml:space="preserve">methods approved </w:delText>
        </w:r>
      </w:del>
      <w:del w:id="227" w:author="pcuser" w:date="2013-06-11T13:57:00Z">
        <w:r w:rsidR="00B62F66" w:rsidRPr="00B23B94">
          <w:delText>in writing by the Department</w:delText>
        </w:r>
      </w:del>
      <w:r w:rsidR="00B62F66" w:rsidRPr="00B23B94">
        <w:t>.</w:t>
      </w:r>
    </w:p>
    <w:p w:rsidR="003E6D37" w:rsidRPr="003E6D37" w:rsidRDefault="003E6D37" w:rsidP="003E6D37">
      <w:pPr>
        <w:spacing w:after="0" w:line="240" w:lineRule="auto"/>
      </w:pPr>
      <w:r w:rsidRPr="003E6D37">
        <w:t>(c) Gaseous leaks must be detected using EPA Method 21</w:t>
      </w:r>
      <w:del w:id="228" w:author="jinahar" w:date="2013-07-23T12:17:00Z">
        <w:r w:rsidRPr="003E6D37" w:rsidDel="00B23B94">
          <w:delText xml:space="preserve"> or other methods </w:delText>
        </w:r>
      </w:del>
      <w:del w:id="229" w:author="pcuser" w:date="2013-06-11T13:58:00Z">
        <w:r w:rsidR="00B62F66" w:rsidRPr="00B23B94">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230" w:author="Preferred Customer" w:date="2012-12-28T11:11:00Z">
        <w:r w:rsidRPr="003E6D37" w:rsidDel="0056773E">
          <w:delText>the Department</w:delText>
        </w:r>
      </w:del>
      <w:ins w:id="231"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32" w:author="pcuser" w:date="2013-06-11T13:58:00Z">
        <w:r w:rsidRPr="003E6D37" w:rsidDel="006161B9">
          <w:delText xml:space="preserve">Department </w:delText>
        </w:r>
      </w:del>
      <w:ins w:id="233"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34" w:author="Preferred Customer" w:date="2012-12-28T11:11:00Z">
        <w:r w:rsidRPr="003E6D37" w:rsidDel="0056773E">
          <w:delText>the Department</w:delText>
        </w:r>
      </w:del>
      <w:ins w:id="235" w:author="Preferred Customer" w:date="2012-12-28T11:11:00Z">
        <w:r w:rsidR="0056773E">
          <w:t>DEQ</w:t>
        </w:r>
      </w:ins>
      <w:r w:rsidRPr="003E6D37">
        <w:t xml:space="preserve"> declares a Clean Air Action (CAA) day. If </w:t>
      </w:r>
      <w:del w:id="236" w:author="Preferred Customer" w:date="2012-12-28T11:11:00Z">
        <w:r w:rsidRPr="003E6D37" w:rsidDel="0056773E">
          <w:delText>the Department</w:delText>
        </w:r>
      </w:del>
      <w:ins w:id="237"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38" w:author="Preferred Customer" w:date="2012-12-28T11:11:00Z">
        <w:r w:rsidRPr="003E6D37" w:rsidDel="0056773E">
          <w:delText>the Department</w:delText>
        </w:r>
      </w:del>
      <w:ins w:id="239"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lastRenderedPageBreak/>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40" w:author="Preferred Customer" w:date="2012-12-28T11:11:00Z">
        <w:r w:rsidRPr="003E6D37" w:rsidDel="0056773E">
          <w:delText>the Department</w:delText>
        </w:r>
      </w:del>
      <w:ins w:id="241"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lastRenderedPageBreak/>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42" w:author="Preferred Customer" w:date="2012-12-28T11:11:00Z">
        <w:r w:rsidRPr="003E6D37" w:rsidDel="0056773E">
          <w:delText>the Department</w:delText>
        </w:r>
      </w:del>
      <w:ins w:id="243"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44" w:author="Preferred Customer" w:date="2012-12-28T11:11:00Z">
        <w:r w:rsidRPr="003E6D37" w:rsidDel="0056773E">
          <w:delText>the Department</w:delText>
        </w:r>
      </w:del>
      <w:ins w:id="245"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46" w:author="Preferred Customer" w:date="2012-12-28T11:11:00Z">
        <w:r w:rsidRPr="003E6D37" w:rsidDel="0056773E">
          <w:delText>The Department</w:delText>
        </w:r>
      </w:del>
      <w:ins w:id="247"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xml:space="preserve">) (1.52 </w:t>
      </w:r>
      <w:proofErr w:type="spellStart"/>
      <w:r w:rsidRPr="003E6D37">
        <w:t>psia</w:t>
      </w:r>
      <w:proofErr w:type="spellEnd"/>
      <w:r w:rsidRPr="003E6D37">
        <w:t>),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48" w:author="pcuser" w:date="2013-03-07T12:48:00Z">
        <w:r w:rsidRPr="003E6D37" w:rsidDel="00B21484">
          <w:delText>,</w:delText>
        </w:r>
      </w:del>
      <w:r w:rsidRPr="003E6D37">
        <w:t xml:space="preserve"> and </w:t>
      </w:r>
      <w:r w:rsidRPr="003E6D37">
        <w:rPr>
          <w:b/>
          <w:bCs/>
        </w:rPr>
        <w:t>Ka</w:t>
      </w:r>
      <w:del w:id="249"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w:t>
      </w:r>
      <w:ins w:id="250" w:author="pcuser" w:date="2013-06-11T14:04:00Z">
        <w:r w:rsidR="000A2F41" w:rsidRPr="005B7646">
          <w:t>; and</w:t>
        </w:r>
      </w:ins>
      <w:del w:id="251" w:author="pcuser" w:date="2013-06-11T14:04:00Z">
        <w:r w:rsidR="000A2F41" w:rsidRPr="005B7646">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252" w:author="Preferred Customer" w:date="2012-12-28T11:11:00Z">
        <w:r w:rsidRPr="003E6D37" w:rsidDel="0056773E">
          <w:delText>the Department</w:delText>
        </w:r>
      </w:del>
      <w:ins w:id="253"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w:t>
      </w:r>
      <w:r w:rsidR="00837B6F" w:rsidRPr="00D14EA3">
        <w:t>approved in writing</w:t>
      </w:r>
      <w:r w:rsidRPr="003E6D37">
        <w:t xml:space="preserve"> by </w:t>
      </w:r>
      <w:del w:id="254" w:author="Preferred Customer" w:date="2012-12-28T11:11:00Z">
        <w:r w:rsidRPr="003E6D37" w:rsidDel="0056773E">
          <w:delText>the Department</w:delText>
        </w:r>
      </w:del>
      <w:ins w:id="255"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256" w:author="Preferred Customer" w:date="2012-12-28T11:11:00Z">
        <w:r w:rsidRPr="003E6D37" w:rsidDel="0056773E">
          <w:delText>the Department</w:delText>
        </w:r>
      </w:del>
      <w:ins w:id="257"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58" w:author="Preferred Customer" w:date="2012-12-28T11:11:00Z">
        <w:r w:rsidRPr="003E6D37" w:rsidDel="0056773E">
          <w:delText>the Department</w:delText>
        </w:r>
      </w:del>
      <w:ins w:id="259"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60" w:author="Preferred Customer" w:date="2012-12-28T11:11:00Z">
        <w:r w:rsidRPr="003E6D37" w:rsidDel="0056773E">
          <w:delText>The Department</w:delText>
        </w:r>
      </w:del>
      <w:ins w:id="261"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w:t>
      </w:r>
      <w:del w:id="262" w:author="jinahar" w:date="2013-07-23T12:35:00Z">
        <w:r w:rsidRPr="003E6D37" w:rsidDel="00FE121B">
          <w:delText xml:space="preserve"> or an alternative method </w:delText>
        </w:r>
        <w:r w:rsidR="00B62F66" w:rsidRPr="00FE121B" w:rsidDel="00FE121B">
          <w:delText>ap</w:delText>
        </w:r>
      </w:del>
      <w:del w:id="263" w:author="pcuser" w:date="2013-06-11T14:06:00Z">
        <w:r w:rsidR="00B62F66" w:rsidRPr="00FE121B">
          <w:delText>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64" w:author="Preferred Customer" w:date="2012-12-28T11:11:00Z">
        <w:r w:rsidRPr="003E6D37" w:rsidDel="0056773E">
          <w:delText>the Department</w:delText>
        </w:r>
      </w:del>
      <w:ins w:id="265" w:author="Preferred Customer" w:date="2012-12-28T11:11:00Z">
        <w:r w:rsidR="0056773E">
          <w:t>DEQ</w:t>
        </w:r>
      </w:ins>
      <w:r w:rsidRPr="003E6D37">
        <w:t xml:space="preserve"> of the intent to test not less than 30 days before the proposed initiation of the tests so </w:t>
      </w:r>
      <w:del w:id="266" w:author="Preferred Customer" w:date="2012-12-28T11:11:00Z">
        <w:r w:rsidRPr="003E6D37" w:rsidDel="0056773E">
          <w:delText>the Department</w:delText>
        </w:r>
      </w:del>
      <w:ins w:id="267"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268" w:author="Preferred Customer" w:date="2012-12-28T11:11:00Z">
        <w:r w:rsidRPr="003E6D37" w:rsidDel="0056773E">
          <w:delText>the Department</w:delText>
        </w:r>
      </w:del>
      <w:ins w:id="269"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del w:id="270" w:author="Preferred Customer" w:date="2012-12-28T11:11:00Z">
        <w:r w:rsidRPr="003E6D37" w:rsidDel="0056773E">
          <w:delText>the Department</w:delText>
        </w:r>
      </w:del>
      <w:ins w:id="271"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w:t>
      </w:r>
      <w:ins w:id="272" w:author="pcuser" w:date="2013-07-11T14:35:00Z">
        <w:r w:rsidR="006D38A7">
          <w:t xml:space="preserve"> </w:t>
        </w:r>
        <w:r w:rsidR="00B62F66" w:rsidRPr="00C23DE4">
          <w:t>before add on controls</w:t>
        </w:r>
      </w:ins>
      <w:r w:rsidRPr="003E6D37">
        <w:t xml:space="preserve">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73" w:author="Preferred Customer" w:date="2012-12-28T11:11:00Z">
        <w:r w:rsidRPr="003E6D37" w:rsidDel="0056773E">
          <w:delText>the Department</w:delText>
        </w:r>
      </w:del>
      <w:ins w:id="274"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275" w:author="Preferred Customer" w:date="2012-12-28T11:11:00Z">
        <w:r w:rsidRPr="003E6D37" w:rsidDel="0056773E">
          <w:delText>the Department</w:delText>
        </w:r>
      </w:del>
      <w:ins w:id="276"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277"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278" w:author="Preferred Customer" w:date="2012-12-28T11:11:00Z">
        <w:r w:rsidRPr="003E6D37" w:rsidDel="0056773E">
          <w:delText>the Department</w:delText>
        </w:r>
      </w:del>
      <w:ins w:id="279"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280" w:author="Preferred Customer" w:date="2012-12-28T11:11:00Z">
        <w:r w:rsidRPr="003E6D37" w:rsidDel="0056773E">
          <w:delText>the Department</w:delText>
        </w:r>
      </w:del>
      <w:ins w:id="281"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282" w:author="Preferred Customer" w:date="2012-12-28T11:11:00Z">
        <w:r w:rsidRPr="003E6D37" w:rsidDel="0056773E">
          <w:delText>the Department</w:delText>
        </w:r>
      </w:del>
      <w:ins w:id="283"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284" w:author="Preferred Customer" w:date="2012-12-28T11:11:00Z">
        <w:r w:rsidRPr="003E6D37" w:rsidDel="0056773E">
          <w:delText>the Department</w:delText>
        </w:r>
      </w:del>
      <w:ins w:id="285"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286" w:author="Preferred Customer" w:date="2012-12-28T11:11:00Z">
        <w:r w:rsidRPr="003E6D37" w:rsidDel="0056773E">
          <w:delText>the Department</w:delText>
        </w:r>
      </w:del>
      <w:ins w:id="287"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288" w:author="Preferred Customer" w:date="2012-12-28T11:11:00Z">
        <w:r w:rsidRPr="003E6D37" w:rsidDel="0056773E">
          <w:delText>the Department</w:delText>
        </w:r>
      </w:del>
      <w:ins w:id="289"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90" w:author="Preferred Customer" w:date="2012-12-28T11:11:00Z">
        <w:r w:rsidRPr="003E6D37" w:rsidDel="0056773E">
          <w:delText>the Department</w:delText>
        </w:r>
      </w:del>
      <w:ins w:id="291"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292" w:author="Preferred Customer" w:date="2012-12-28T11:11:00Z">
        <w:r w:rsidRPr="003E6D37" w:rsidDel="0056773E">
          <w:delText>the Department</w:delText>
        </w:r>
      </w:del>
      <w:ins w:id="293"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w:t>
      </w:r>
      <w:proofErr w:type="gramStart"/>
      <w:r w:rsidRPr="003E6D37">
        <w:rPr>
          <w:b/>
          <w:bCs/>
        </w:rPr>
        <w:t>Appendix</w:t>
      </w:r>
      <w:proofErr w:type="gramEnd"/>
      <w:r w:rsidRPr="003E6D37">
        <w:rPr>
          <w:b/>
          <w:bCs/>
        </w:rPr>
        <w:t xml:space="preserve"> A</w:t>
      </w:r>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294" w:author="Preferred Customer" w:date="2012-12-28T11:11:00Z">
        <w:r w:rsidRPr="003E6D37" w:rsidDel="0056773E">
          <w:delText>the Department</w:delText>
        </w:r>
      </w:del>
      <w:ins w:id="295" w:author="Preferred Customer" w:date="2012-12-28T11:11:00Z">
        <w:r w:rsidR="0056773E">
          <w:t>DEQ</w:t>
        </w:r>
      </w:ins>
      <w:r w:rsidRPr="003E6D37">
        <w:t xml:space="preserve"> and on file with </w:t>
      </w:r>
      <w:del w:id="296" w:author="Preferred Customer" w:date="2012-12-28T11:11:00Z">
        <w:r w:rsidRPr="003E6D37" w:rsidDel="0056773E">
          <w:delText>the Department</w:delText>
        </w:r>
      </w:del>
      <w:ins w:id="297"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298" w:author="Preferred Customer" w:date="2012-12-28T11:11:00Z">
        <w:r w:rsidRPr="003E6D37" w:rsidDel="0056773E">
          <w:delText>the Department</w:delText>
        </w:r>
      </w:del>
      <w:ins w:id="299"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00" w:author="Preferred Customer" w:date="2012-12-28T11:11:00Z">
        <w:r w:rsidRPr="003E6D37" w:rsidDel="0056773E">
          <w:delText>the Department</w:delText>
        </w:r>
      </w:del>
      <w:ins w:id="301"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302" w:author="Preferred Customer" w:date="2012-12-28T11:11:00Z">
        <w:r w:rsidRPr="003E6D37" w:rsidDel="0056773E">
          <w:delText>the Department</w:delText>
        </w:r>
      </w:del>
      <w:ins w:id="303"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04" w:author="Preferred Customer" w:date="2012-12-28T11:11:00Z">
        <w:r w:rsidRPr="003E6D37" w:rsidDel="0056773E">
          <w:delText>the Department</w:delText>
        </w:r>
      </w:del>
      <w:ins w:id="305"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06" w:author="Preferred Customer" w:date="2012-12-28T11:11:00Z">
        <w:r w:rsidRPr="003E6D37" w:rsidDel="0056773E">
          <w:delText>the Department</w:delText>
        </w:r>
      </w:del>
      <w:ins w:id="307"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08" w:author="Preferred Customer" w:date="2012-12-28T11:11:00Z">
        <w:r w:rsidRPr="003E6D37" w:rsidDel="0056773E">
          <w:delText>the Department</w:delText>
        </w:r>
      </w:del>
      <w:ins w:id="309"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10" w:author="Preferred Customer" w:date="2012-12-28T11:11:00Z">
        <w:r w:rsidRPr="003E6D37" w:rsidDel="0056773E">
          <w:delText>the Department</w:delText>
        </w:r>
      </w:del>
      <w:ins w:id="311"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12"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13"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14" w:author="Preferred Customer" w:date="2012-12-28T11:11:00Z">
        <w:r w:rsidRPr="003E6D37" w:rsidDel="0056773E">
          <w:delText>the Department</w:delText>
        </w:r>
      </w:del>
      <w:ins w:id="315"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16" w:author="pcuser" w:date="2013-05-09T15:07:00Z">
        <w:r w:rsidR="00F37356" w:rsidRPr="004C6952">
          <w:delText>emission control system</w:delText>
        </w:r>
      </w:del>
      <w:ins w:id="317"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318" w:author="Preferred Customer" w:date="2012-12-28T11:11:00Z">
        <w:r w:rsidRPr="003E6D37" w:rsidDel="0056773E">
          <w:delText>the Department</w:delText>
        </w:r>
      </w:del>
      <w:ins w:id="319"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20" w:author="Preferred Customer" w:date="2012-12-28T11:11:00Z">
        <w:r w:rsidRPr="003E6D37" w:rsidDel="0056773E">
          <w:delText>the Department</w:delText>
        </w:r>
      </w:del>
      <w:ins w:id="321" w:author="Preferred Customer" w:date="2012-12-28T11:11:00Z">
        <w:r w:rsidR="0056773E">
          <w:t>DEQ</w:t>
        </w:r>
      </w:ins>
      <w:r w:rsidRPr="003E6D37">
        <w:t xml:space="preserve"> of the intent to test not less than 30 days before the proposed initiation of the tests so </w:t>
      </w:r>
      <w:del w:id="322" w:author="Preferred Customer" w:date="2012-12-28T11:11:00Z">
        <w:r w:rsidRPr="003E6D37" w:rsidDel="0056773E">
          <w:delText>the Department</w:delText>
        </w:r>
      </w:del>
      <w:ins w:id="323"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24" w:author="Preferred Customer" w:date="2012-12-28T11:11:00Z">
        <w:r w:rsidRPr="003E6D37" w:rsidDel="0056773E">
          <w:delText>The Department</w:delText>
        </w:r>
      </w:del>
      <w:ins w:id="325"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potential to emit </w:t>
      </w:r>
      <w:ins w:id="326" w:author="pcuser" w:date="2013-07-11T14:35:00Z">
        <w:r w:rsidR="00B62F66" w:rsidRPr="00C23DE4">
          <w:t>before add on controls</w:t>
        </w:r>
        <w:r w:rsidR="006D38A7">
          <w:t xml:space="preserve"> </w:t>
        </w:r>
      </w:ins>
      <w:r w:rsidRPr="003E6D37">
        <w:t>greater than 90 mg/year (100 ton/year), emplo</w:t>
      </w:r>
      <w:bookmarkStart w:id="327" w:name="_GoBack"/>
      <w:bookmarkEnd w:id="327"/>
      <w:r w:rsidRPr="003E6D37">
        <w:t>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28" w:author="Preferred Customer" w:date="2012-09-04T08:17:00Z">
        <w:r w:rsidRPr="003E6D37" w:rsidDel="00CF6297">
          <w:delText>r</w:delText>
        </w:r>
      </w:del>
      <w:ins w:id="329"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330"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331" w:author="pcuser" w:date="2013-05-09T15:05:00Z">
        <w:r w:rsidRPr="004C6952">
          <w:delText>emissions reduction system</w:delText>
        </w:r>
      </w:del>
      <w:ins w:id="332" w:author="pcuser" w:date="2013-05-09T15:05:00Z">
        <w:r w:rsidR="00BA7E64" w:rsidRPr="004C6952">
          <w:t>pollution control device</w:t>
        </w:r>
      </w:ins>
      <w:r w:rsidRPr="004C6952">
        <w:t xml:space="preserve"> demonstrated to have at least </w:t>
      </w:r>
      <w:proofErr w:type="gramStart"/>
      <w:r w:rsidRPr="004C6952">
        <w:t xml:space="preserve">a 90.0 percent </w:t>
      </w:r>
      <w:del w:id="333" w:author="pcuser" w:date="2013-05-09T15:00:00Z">
        <w:r w:rsidRPr="004C6952">
          <w:delText xml:space="preserve">reduction </w:delText>
        </w:r>
      </w:del>
      <w:ins w:id="334" w:author="pcuser" w:date="2013-05-09T15:00:00Z">
        <w:r w:rsidRPr="004C6952">
          <w:t>removal</w:t>
        </w:r>
        <w:proofErr w:type="gramEnd"/>
        <w:r w:rsidRPr="004C6952">
          <w:t xml:space="preserve"> </w:t>
        </w:r>
      </w:ins>
      <w:r w:rsidRPr="004C6952">
        <w:t xml:space="preserve">efficiency, measured across the </w:t>
      </w:r>
      <w:ins w:id="335" w:author="pcuser" w:date="2013-05-09T15:00:00Z">
        <w:r w:rsidRPr="004C6952">
          <w:t xml:space="preserve">air pollution </w:t>
        </w:r>
      </w:ins>
      <w:r w:rsidRPr="004C6952">
        <w:t xml:space="preserve">control </w:t>
      </w:r>
      <w:ins w:id="336" w:author="pcuser" w:date="2013-05-09T15:00:00Z">
        <w:r w:rsidRPr="004C6952">
          <w:t>device</w:t>
        </w:r>
      </w:ins>
      <w:del w:id="337" w:author="pcuser" w:date="2013-05-09T15:00:00Z">
        <w:r w:rsidRPr="004C6952">
          <w:delText>system</w:delText>
        </w:r>
      </w:del>
      <w:r w:rsidRPr="004C6952">
        <w:t xml:space="preserve">, and has been approved by </w:t>
      </w:r>
      <w:del w:id="338" w:author="Preferred Customer" w:date="2012-12-28T11:11:00Z">
        <w:r w:rsidRPr="004C6952">
          <w:delText>the Department</w:delText>
        </w:r>
      </w:del>
      <w:ins w:id="339"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340" w:author="pcuser" w:date="2013-05-09T15:02:00Z">
        <w:r w:rsidRPr="004C6952">
          <w:delText xml:space="preserve">emission </w:delText>
        </w:r>
      </w:del>
      <w:ins w:id="341" w:author="pcuser" w:date="2013-05-09T15:02:00Z">
        <w:r w:rsidR="00BA7E64" w:rsidRPr="004C6952">
          <w:t>air pollution</w:t>
        </w:r>
        <w:r w:rsidRPr="004C6952">
          <w:t xml:space="preserve"> </w:t>
        </w:r>
      </w:ins>
      <w:r w:rsidRPr="004C6952">
        <w:t xml:space="preserve">control </w:t>
      </w:r>
      <w:del w:id="342" w:author="pcuser" w:date="2013-05-09T15:02:00Z">
        <w:r w:rsidRPr="004C6952">
          <w:delText xml:space="preserve">systems </w:delText>
        </w:r>
      </w:del>
      <w:ins w:id="343"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 of this rule. The design and operation of a capture system must be consistent with good engineering practice, and shall be required to provide for a</w:t>
      </w:r>
      <w:del w:id="344" w:author="pcuser" w:date="2013-05-09T15:01:00Z">
        <w:r w:rsidRPr="004C6952">
          <w:delText>n overall reduction</w:delText>
        </w:r>
      </w:del>
      <w:ins w:id="345" w:author="pcuser" w:date="2013-05-09T15:01:00Z">
        <w:r w:rsidRPr="004C6952">
          <w:t xml:space="preserve"> control efficiency</w:t>
        </w:r>
      </w:ins>
      <w:r w:rsidRPr="004C6952">
        <w:t xml:space="preserve">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346" w:author="Preferred Customer" w:date="2012-12-28T11:11:00Z">
        <w:r w:rsidRPr="003E6D37" w:rsidDel="0056773E">
          <w:delText>the Department</w:delText>
        </w:r>
      </w:del>
      <w:ins w:id="347"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348" w:author="Preferred Customer" w:date="2012-12-28T11:11:00Z">
        <w:r w:rsidRPr="003E6D37" w:rsidDel="0056773E">
          <w:delText>the Department</w:delText>
        </w:r>
      </w:del>
      <w:ins w:id="349"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350" w:author="Preferred Customer" w:date="2012-12-28T11:11:00Z">
        <w:r w:rsidRPr="003E6D37" w:rsidDel="0056773E">
          <w:delText>the Department</w:delText>
        </w:r>
      </w:del>
      <w:ins w:id="351" w:author="Preferred Customer" w:date="2012-12-28T11:11:00Z">
        <w:r w:rsidR="0056773E">
          <w:t>DEQ</w:t>
        </w:r>
      </w:ins>
      <w:r w:rsidRPr="003E6D37">
        <w:t xml:space="preserve"> of the intent to test not less than 30 days before the proposed initiation of the tests so </w:t>
      </w:r>
      <w:del w:id="352" w:author="Preferred Customer" w:date="2012-12-28T11:11:00Z">
        <w:r w:rsidRPr="003E6D37" w:rsidDel="0056773E">
          <w:delText>the Department</w:delText>
        </w:r>
      </w:del>
      <w:ins w:id="353" w:author="Preferred Customer" w:date="2012-12-28T11:11:00Z">
        <w:r w:rsidR="0056773E">
          <w:t>DEQ</w:t>
        </w:r>
      </w:ins>
      <w:r w:rsidRPr="003E6D37">
        <w:t xml:space="preserve"> may observe the test. The notification shall contain the information required by, and be in a format approved by, </w:t>
      </w:r>
      <w:del w:id="354" w:author="Preferred Customer" w:date="2012-12-28T11:11:00Z">
        <w:r w:rsidRPr="003E6D37" w:rsidDel="0056773E">
          <w:delText>the Department</w:delText>
        </w:r>
      </w:del>
      <w:ins w:id="355"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356" w:author="Preferred Customer" w:date="2012-12-28T11:11:00Z">
        <w:r w:rsidRPr="003E6D37" w:rsidDel="0056773E">
          <w:delText>the Department</w:delText>
        </w:r>
      </w:del>
      <w:ins w:id="357"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358" w:author="Preferred Customer" w:date="2012-12-28T11:11:00Z">
        <w:r w:rsidRPr="003E6D37" w:rsidDel="0056773E">
          <w:delText>The Department</w:delText>
        </w:r>
      </w:del>
      <w:ins w:id="359"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lastRenderedPageBreak/>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9"/>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2" w:author="pcuser" w:date="2013-07-24T06:48:00Z" w:initials="p">
    <w:p w:rsidR="00F45B97" w:rsidRDefault="00F45B97">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emissions.</w:t>
      </w:r>
      <w:r>
        <w:t xml:space="preserve">  </w:t>
      </w:r>
    </w:p>
  </w:comment>
  <w:comment w:id="216" w:author="Preferred Customer" w:date="2013-03-07T12:49:00Z" w:initials="JSI">
    <w:p w:rsidR="00F45B97" w:rsidRDefault="00F45B97">
      <w:pPr>
        <w:pStyle w:val="CommentText"/>
      </w:pPr>
      <w:r>
        <w:rPr>
          <w:rStyle w:val="CommentReference"/>
        </w:rPr>
        <w:annotationRef/>
      </w:r>
      <w:r>
        <w:t>Defined as Portland AQMA, w/o ozone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97" w:rsidRDefault="00F45B97" w:rsidP="00093784">
      <w:pPr>
        <w:spacing w:after="0" w:line="240" w:lineRule="auto"/>
      </w:pPr>
      <w:r>
        <w:separator/>
      </w:r>
    </w:p>
  </w:endnote>
  <w:endnote w:type="continuationSeparator" w:id="0">
    <w:p w:rsidR="00F45B97" w:rsidRDefault="00F45B97" w:rsidP="0009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97" w:rsidRDefault="00F45B97">
    <w:pPr>
      <w:pStyle w:val="Footer"/>
      <w:pBdr>
        <w:top w:val="thinThickSmallGap" w:sz="24" w:space="1" w:color="622423" w:themeColor="accent2" w:themeShade="7F"/>
      </w:pBdr>
      <w:rPr>
        <w:ins w:id="360" w:author="Preferred Customer" w:date="2012-12-28T11:45:00Z"/>
        <w:rFonts w:asciiTheme="majorHAnsi" w:hAnsiTheme="majorHAnsi"/>
      </w:rPr>
    </w:pPr>
    <w:ins w:id="361" w:author="Preferred Customer" w:date="2012-12-28T11:45: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62" w:author="Preferred Customer" w:date="2013-07-23T22:41:00Z">
      <w:r>
        <w:rPr>
          <w:rFonts w:asciiTheme="majorHAnsi" w:hAnsiTheme="majorHAnsi"/>
          <w:noProof/>
        </w:rPr>
        <w:t>7/23/2013 10:41 PM</w:t>
      </w:r>
    </w:ins>
    <w:ins w:id="363" w:author="Preferred Customer" w:date="2012-12-28T11:45: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C23DE4" w:rsidRPr="00C23DE4">
      <w:rPr>
        <w:rFonts w:asciiTheme="majorHAnsi" w:hAnsiTheme="majorHAnsi"/>
        <w:noProof/>
      </w:rPr>
      <w:t>28</w:t>
    </w:r>
    <w:ins w:id="364" w:author="Preferred Customer" w:date="2012-12-28T11:45:00Z">
      <w:r>
        <w:fldChar w:fldCharType="end"/>
      </w:r>
    </w:ins>
  </w:p>
  <w:p w:rsidR="00F45B97" w:rsidRDefault="00F4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97" w:rsidRDefault="00F45B97" w:rsidP="00093784">
      <w:pPr>
        <w:spacing w:after="0" w:line="240" w:lineRule="auto"/>
      </w:pPr>
      <w:r>
        <w:separator/>
      </w:r>
    </w:p>
  </w:footnote>
  <w:footnote w:type="continuationSeparator" w:id="0">
    <w:p w:rsidR="00F45B97" w:rsidRDefault="00F45B97" w:rsidP="0009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D37"/>
    <w:rsid w:val="00030107"/>
    <w:rsid w:val="0004430F"/>
    <w:rsid w:val="00046827"/>
    <w:rsid w:val="00093784"/>
    <w:rsid w:val="00097921"/>
    <w:rsid w:val="000A1031"/>
    <w:rsid w:val="000A2F41"/>
    <w:rsid w:val="000B7839"/>
    <w:rsid w:val="000D3EEA"/>
    <w:rsid w:val="00122EC2"/>
    <w:rsid w:val="00135512"/>
    <w:rsid w:val="00135CDB"/>
    <w:rsid w:val="00175E72"/>
    <w:rsid w:val="0019615C"/>
    <w:rsid w:val="002063E1"/>
    <w:rsid w:val="00260085"/>
    <w:rsid w:val="00285BED"/>
    <w:rsid w:val="00285D24"/>
    <w:rsid w:val="002F0E8A"/>
    <w:rsid w:val="002F5068"/>
    <w:rsid w:val="00337917"/>
    <w:rsid w:val="00352EB0"/>
    <w:rsid w:val="003B4CCF"/>
    <w:rsid w:val="003E6D37"/>
    <w:rsid w:val="003F0AC4"/>
    <w:rsid w:val="0045635C"/>
    <w:rsid w:val="004B1E4A"/>
    <w:rsid w:val="004C6952"/>
    <w:rsid w:val="004D45B4"/>
    <w:rsid w:val="004E5758"/>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33114"/>
    <w:rsid w:val="007E44BE"/>
    <w:rsid w:val="00833C2D"/>
    <w:rsid w:val="00837B6F"/>
    <w:rsid w:val="008532B3"/>
    <w:rsid w:val="00867F70"/>
    <w:rsid w:val="008C114F"/>
    <w:rsid w:val="008D55DA"/>
    <w:rsid w:val="008D6A46"/>
    <w:rsid w:val="00942B26"/>
    <w:rsid w:val="009C32BB"/>
    <w:rsid w:val="009E2191"/>
    <w:rsid w:val="009E7423"/>
    <w:rsid w:val="00A9779A"/>
    <w:rsid w:val="00B119A2"/>
    <w:rsid w:val="00B21484"/>
    <w:rsid w:val="00B23B94"/>
    <w:rsid w:val="00B44445"/>
    <w:rsid w:val="00B62F66"/>
    <w:rsid w:val="00BA7E64"/>
    <w:rsid w:val="00BD46E0"/>
    <w:rsid w:val="00C005C3"/>
    <w:rsid w:val="00C23DE4"/>
    <w:rsid w:val="00C304DA"/>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24F6E"/>
    <w:rsid w:val="00E41424"/>
    <w:rsid w:val="00E64F42"/>
    <w:rsid w:val="00EA7F79"/>
    <w:rsid w:val="00F176E9"/>
    <w:rsid w:val="00F203DF"/>
    <w:rsid w:val="00F37356"/>
    <w:rsid w:val="00F45B97"/>
    <w:rsid w:val="00F82D67"/>
    <w:rsid w:val="00FE121B"/>
    <w:rsid w:val="00FE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C74EA-40AB-468B-B9C6-9048C6D4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28</Pages>
  <Words>14028</Words>
  <Characters>79962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39</cp:revision>
  <dcterms:created xsi:type="dcterms:W3CDTF">2012-09-04T15:18:00Z</dcterms:created>
  <dcterms:modified xsi:type="dcterms:W3CDTF">2013-07-24T13:53:00Z</dcterms:modified>
</cp:coreProperties>
</file>