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D27B91"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66271B" w:rsidRPr="00C74D58" w:rsidRDefault="0066271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6271B" w:rsidRPr="00C74D58" w:rsidRDefault="0066271B" w:rsidP="00250E7E">
                  <w:pPr>
                    <w:tabs>
                      <w:tab w:val="left" w:pos="908"/>
                      <w:tab w:val="left" w:pos="16582"/>
                    </w:tabs>
                    <w:ind w:left="108"/>
                    <w:jc w:val="center"/>
                    <w:rPr>
                      <w:rFonts w:ascii="Times New Roman" w:eastAsia="Times New Roman" w:hAnsi="Times New Roman"/>
                      <w:b/>
                      <w:color w:val="000000"/>
                    </w:rPr>
                  </w:pPr>
                </w:p>
                <w:p w:rsidR="0066271B" w:rsidRPr="00A019B4" w:rsidRDefault="0066271B"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2014</w:t>
                  </w:r>
                </w:p>
                <w:p w:rsidR="0066271B" w:rsidRPr="00A019B4" w:rsidRDefault="0066271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6271B" w:rsidRPr="00A019B4" w:rsidRDefault="0066271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3D6147"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Amend</w:t>
      </w:r>
      <w:r w:rsidR="00790FEF">
        <w:rPr>
          <w:rFonts w:ascii="Times New Roman" w:eastAsia="Times New Roman" w:hAnsi="Times New Roman"/>
          <w:color w:val="000000"/>
        </w:rPr>
        <w:t xml:space="preserve"> 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Y rule 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SB 249A was adopted unanimously by the 2013 Oregon Legislature and signed into law on </w:t>
      </w:r>
      <w:r w:rsidR="008764AC" w:rsidRPr="001933DA">
        <w:rPr>
          <w:rFonts w:ascii="Times New Roman" w:eastAsia="Times New Roman" w:hAnsi="Times New Roman"/>
          <w:color w:val="000000"/>
        </w:rPr>
        <w:t xml:space="preserve">April 18, 2013. While the law was enacted with an emergency clause making it effective upon signing, the Attorney General has determined that adoption of a rule implementing the statutory provisions is </w:t>
      </w:r>
      <w:r w:rsidR="0066271B">
        <w:rPr>
          <w:rFonts w:ascii="Times New Roman" w:eastAsia="Times New Roman" w:hAnsi="Times New Roman"/>
          <w:color w:val="000000"/>
        </w:rPr>
        <w:t xml:space="preserve">also </w:t>
      </w:r>
      <w:r w:rsidR="008764AC" w:rsidRPr="001933DA">
        <w:rPr>
          <w:rFonts w:ascii="Times New Roman" w:eastAsia="Times New Roman" w:hAnsi="Times New Roman"/>
          <w:color w:val="000000"/>
        </w:rPr>
        <w:t xml:space="preserve">necessary. SB 249A authorizes the Department to administer federal grants received for clean diesel projects to be </w:t>
      </w:r>
      <w:r w:rsidR="00693592" w:rsidRPr="001933DA">
        <w:rPr>
          <w:rFonts w:ascii="Times New Roman" w:eastAsia="Times New Roman" w:hAnsi="Times New Roman"/>
          <w:color w:val="000000"/>
        </w:rPr>
        <w:t>completed in accordance with federal grant guidelines rather than more limited state guidelines.</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C87740"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In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w:t>
      </w:r>
      <w:r w:rsidR="008D4A9B">
        <w:rPr>
          <w:rFonts w:ascii="Times New Roman" w:eastAsia="Times New Roman" w:hAnsi="Times New Roman"/>
          <w:color w:val="000000"/>
        </w:rPr>
        <w:t xml:space="preserve">ower emitting alternative fuels, </w:t>
      </w:r>
      <w:r w:rsidRPr="001933DA">
        <w:rPr>
          <w:rFonts w:ascii="Times New Roman" w:eastAsia="Times New Roman" w:hAnsi="Times New Roman"/>
          <w:color w:val="000000"/>
        </w:rPr>
        <w:t>among other actions</w:t>
      </w:r>
      <w:r w:rsidR="008D4A9B">
        <w:rPr>
          <w:rFonts w:ascii="Times New Roman" w:eastAsia="Times New Roman" w:hAnsi="Times New Roman"/>
          <w:color w:val="000000"/>
        </w:rPr>
        <w:t xml:space="preserve">.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w:t>
      </w:r>
      <w:r w:rsidR="0066271B">
        <w:rPr>
          <w:rFonts w:ascii="Times New Roman" w:eastAsia="Times New Roman" w:hAnsi="Times New Roman"/>
          <w:color w:val="000000"/>
        </w:rPr>
        <w:t xml:space="preserve">a strategic decision to </w:t>
      </w:r>
      <w:r w:rsidR="008D4A9B">
        <w:rPr>
          <w:rFonts w:ascii="Times New Roman" w:eastAsia="Times New Roman" w:hAnsi="Times New Roman"/>
          <w:color w:val="000000"/>
        </w:rPr>
        <w:t xml:space="preserve">support </w:t>
      </w:r>
      <w:r w:rsidR="0066271B">
        <w:rPr>
          <w:rFonts w:ascii="Times New Roman" w:eastAsia="Times New Roman" w:hAnsi="Times New Roman"/>
          <w:color w:val="000000"/>
        </w:rPr>
        <w:t xml:space="preserve">a limited number of </w:t>
      </w:r>
      <w:r w:rsidR="008D4A9B">
        <w:rPr>
          <w:rFonts w:ascii="Times New Roman" w:eastAsia="Times New Roman" w:hAnsi="Times New Roman"/>
          <w:color w:val="000000"/>
        </w:rPr>
        <w:t xml:space="preserve">cost effective strategies not otherwise financed through private returns on investment or other public assistance. </w:t>
      </w:r>
    </w:p>
    <w:p w:rsidR="008D4A9B" w:rsidRDefault="008D4A9B" w:rsidP="00C87740">
      <w:pPr>
        <w:ind w:left="1080" w:right="720"/>
        <w:outlineLvl w:val="0"/>
        <w:rPr>
          <w:rFonts w:ascii="Times New Roman" w:eastAsia="Times New Roman" w:hAnsi="Times New Roman"/>
          <w:color w:val="000000"/>
        </w:rPr>
      </w:pPr>
    </w:p>
    <w:p w:rsidR="008D4A9B" w:rsidRPr="001933DA" w:rsidRDefault="00673ED1"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S</w:t>
      </w:r>
      <w:r w:rsidR="008D4A9B">
        <w:rPr>
          <w:rFonts w:ascii="Times New Roman" w:eastAsia="Times New Roman" w:hAnsi="Times New Roman"/>
          <w:color w:val="000000"/>
        </w:rPr>
        <w:t xml:space="preserve">tate funds for clean diesel work have not been appropriated since the 2007-09 biennium and the tax credit program was shut down in 2012. </w:t>
      </w:r>
      <w:r>
        <w:rPr>
          <w:rFonts w:ascii="Times New Roman" w:eastAsia="Times New Roman" w:hAnsi="Times New Roman"/>
          <w:color w:val="000000"/>
        </w:rPr>
        <w:t xml:space="preserve">This has led to a constrained grant program that is not in alignment with the range of allowable activities </w:t>
      </w:r>
      <w:r>
        <w:rPr>
          <w:rFonts w:ascii="Times New Roman" w:eastAsia="Times New Roman" w:hAnsi="Times New Roman"/>
          <w:color w:val="000000"/>
        </w:rPr>
        <w:lastRenderedPageBreak/>
        <w:t xml:space="preserve">under available funding. </w:t>
      </w:r>
      <w:r w:rsidR="008D4A9B">
        <w:rPr>
          <w:rFonts w:ascii="Times New Roman" w:eastAsia="Times New Roman" w:hAnsi="Times New Roman"/>
          <w:color w:val="000000"/>
        </w:rPr>
        <w:t xml:space="preserve">The </w:t>
      </w:r>
      <w:r>
        <w:rPr>
          <w:rFonts w:ascii="Times New Roman" w:eastAsia="Times New Roman" w:hAnsi="Times New Roman"/>
          <w:color w:val="000000"/>
        </w:rPr>
        <w:t xml:space="preserve">primary </w:t>
      </w:r>
      <w:r w:rsidR="008D4A9B">
        <w:rPr>
          <w:rFonts w:ascii="Times New Roman" w:eastAsia="Times New Roman" w:hAnsi="Times New Roman"/>
          <w:color w:val="000000"/>
        </w:rPr>
        <w:t xml:space="preserve">remaining funding stream </w:t>
      </w:r>
      <w:r>
        <w:rPr>
          <w:rFonts w:ascii="Times New Roman" w:eastAsia="Times New Roman" w:hAnsi="Times New Roman"/>
          <w:color w:val="000000"/>
        </w:rPr>
        <w:t xml:space="preserve">is </w:t>
      </w:r>
      <w:r w:rsidR="008D4A9B">
        <w:rPr>
          <w:rFonts w:ascii="Times New Roman" w:eastAsia="Times New Roman" w:hAnsi="Times New Roman"/>
          <w:color w:val="000000"/>
        </w:rPr>
        <w:t>managed by EPA</w:t>
      </w:r>
      <w:r>
        <w:rPr>
          <w:rFonts w:ascii="Times New Roman" w:eastAsia="Times New Roman" w:hAnsi="Times New Roman"/>
          <w:color w:val="000000"/>
        </w:rPr>
        <w:t xml:space="preserve"> through the </w:t>
      </w:r>
      <w:r w:rsidR="008D4A9B">
        <w:rPr>
          <w:rFonts w:ascii="Times New Roman" w:eastAsia="Times New Roman" w:hAnsi="Times New Roman"/>
          <w:color w:val="000000"/>
        </w:rPr>
        <w:t>federal Diesel Emission Reduction Act</w:t>
      </w:r>
      <w:r>
        <w:rPr>
          <w:rFonts w:ascii="Times New Roman" w:eastAsia="Times New Roman" w:hAnsi="Times New Roman"/>
          <w:color w:val="000000"/>
        </w:rPr>
        <w:t>. The Act</w:t>
      </w:r>
      <w:r w:rsidR="008D4A9B">
        <w:rPr>
          <w:rFonts w:ascii="Times New Roman" w:eastAsia="Times New Roman" w:hAnsi="Times New Roman"/>
          <w:color w:val="000000"/>
        </w:rPr>
        <w:t xml:space="preserve"> includes a more expansive list of allowable project activities than were authorized under Oregon statutory authority. However DEQ </w:t>
      </w:r>
      <w:r w:rsidR="0009267B">
        <w:rPr>
          <w:rFonts w:ascii="Times New Roman" w:eastAsia="Times New Roman" w:hAnsi="Times New Roman"/>
          <w:color w:val="000000"/>
        </w:rPr>
        <w:t>is</w:t>
      </w:r>
      <w:r w:rsidR="008D4A9B">
        <w:rPr>
          <w:rFonts w:ascii="Times New Roman" w:eastAsia="Times New Roman" w:hAnsi="Times New Roman"/>
          <w:color w:val="000000"/>
        </w:rPr>
        <w:t xml:space="preserve"> still constrained </w:t>
      </w:r>
      <w:r w:rsidR="00F47AC7">
        <w:rPr>
          <w:rFonts w:ascii="Times New Roman" w:eastAsia="Times New Roman" w:hAnsi="Times New Roman"/>
          <w:color w:val="000000"/>
        </w:rPr>
        <w:t xml:space="preserve">in applying for </w:t>
      </w:r>
      <w:r w:rsidR="0066271B">
        <w:rPr>
          <w:rFonts w:ascii="Times New Roman" w:eastAsia="Times New Roman" w:hAnsi="Times New Roman"/>
          <w:color w:val="000000"/>
        </w:rPr>
        <w:t xml:space="preserve">and managing </w:t>
      </w:r>
      <w:r w:rsidR="00F47AC7">
        <w:rPr>
          <w:rFonts w:ascii="Times New Roman" w:eastAsia="Times New Roman" w:hAnsi="Times New Roman"/>
          <w:color w:val="000000"/>
        </w:rPr>
        <w:t>federal grants by the</w:t>
      </w:r>
      <w:r w:rsidR="008D4A9B">
        <w:rPr>
          <w:rFonts w:ascii="Times New Roman" w:eastAsia="Times New Roman" w:hAnsi="Times New Roman"/>
          <w:color w:val="000000"/>
        </w:rPr>
        <w:t xml:space="preserve"> statutory authority</w:t>
      </w:r>
      <w:r w:rsidR="00F47AC7">
        <w:rPr>
          <w:rFonts w:ascii="Times New Roman" w:eastAsia="Times New Roman" w:hAnsi="Times New Roman"/>
          <w:color w:val="000000"/>
        </w:rPr>
        <w:t xml:space="preserve">. </w:t>
      </w:r>
      <w:r w:rsidR="0066271B">
        <w:rPr>
          <w:rFonts w:ascii="Times New Roman" w:eastAsia="Times New Roman" w:hAnsi="Times New Roman"/>
          <w:color w:val="000000"/>
        </w:rPr>
        <w:t xml:space="preserve">As an example, there was no interest in </w:t>
      </w:r>
      <w:r w:rsidR="00F47AC7">
        <w:rPr>
          <w:rFonts w:ascii="Times New Roman" w:eastAsia="Times New Roman" w:hAnsi="Times New Roman"/>
          <w:color w:val="000000"/>
        </w:rPr>
        <w:t xml:space="preserve">pursuing projects within the original </w:t>
      </w:r>
      <w:r w:rsidR="0009267B">
        <w:rPr>
          <w:rFonts w:ascii="Times New Roman" w:eastAsia="Times New Roman" w:hAnsi="Times New Roman"/>
          <w:color w:val="000000"/>
        </w:rPr>
        <w:t xml:space="preserve">statutory </w:t>
      </w:r>
      <w:r w:rsidR="00F47AC7">
        <w:rPr>
          <w:rFonts w:ascii="Times New Roman" w:eastAsia="Times New Roman" w:hAnsi="Times New Roman"/>
          <w:color w:val="000000"/>
        </w:rPr>
        <w:t xml:space="preserve">scope </w:t>
      </w:r>
      <w:r w:rsidR="0066271B">
        <w:rPr>
          <w:rFonts w:ascii="Times New Roman" w:eastAsia="Times New Roman" w:hAnsi="Times New Roman"/>
          <w:color w:val="000000"/>
        </w:rPr>
        <w:t>for the FY 2012 cycle</w:t>
      </w:r>
      <w:r w:rsidR="00F47AC7">
        <w:rPr>
          <w:rFonts w:ascii="Times New Roman" w:eastAsia="Times New Roman" w:hAnsi="Times New Roman"/>
          <w:color w:val="000000"/>
        </w:rPr>
        <w:t xml:space="preserve"> despite broad outreach</w:t>
      </w:r>
      <w:r w:rsidR="0066271B">
        <w:rPr>
          <w:rFonts w:ascii="Times New Roman" w:eastAsia="Times New Roman" w:hAnsi="Times New Roman"/>
          <w:color w:val="000000"/>
        </w:rPr>
        <w:t xml:space="preserve"> and project recruitment efforts. Consequently no federal funds were awarded for Oregon projects in that year.</w:t>
      </w:r>
      <w:r w:rsidR="0009267B">
        <w:rPr>
          <w:rFonts w:ascii="Times New Roman" w:eastAsia="Times New Roman" w:hAnsi="Times New Roman"/>
          <w:color w:val="000000"/>
        </w:rPr>
        <w:t xml:space="preserve"> </w:t>
      </w:r>
      <w:r w:rsidR="00F47AC7">
        <w:rPr>
          <w:rFonts w:ascii="Times New Roman" w:eastAsia="Times New Roman" w:hAnsi="Times New Roman"/>
          <w:color w:val="000000"/>
        </w:rPr>
        <w:t xml:space="preserve">Aligning DEQ’s clean diesel project authority with federal grant guidelines allows for </w:t>
      </w:r>
      <w:r w:rsidR="0009267B">
        <w:rPr>
          <w:rFonts w:ascii="Times New Roman" w:eastAsia="Times New Roman" w:hAnsi="Times New Roman"/>
          <w:color w:val="000000"/>
        </w:rPr>
        <w:t xml:space="preserve">ongoing </w:t>
      </w:r>
      <w:r w:rsidR="0066271B">
        <w:rPr>
          <w:rFonts w:ascii="Times New Roman" w:eastAsia="Times New Roman" w:hAnsi="Times New Roman"/>
          <w:color w:val="000000"/>
        </w:rPr>
        <w:t xml:space="preserve">and </w:t>
      </w:r>
      <w:r w:rsidR="00F47AC7">
        <w:rPr>
          <w:rFonts w:ascii="Times New Roman" w:eastAsia="Times New Roman" w:hAnsi="Times New Roman"/>
          <w:color w:val="000000"/>
        </w:rPr>
        <w:t>developing interest in clean diesel activities to be supported</w:t>
      </w:r>
      <w:r w:rsidR="0009267B">
        <w:rPr>
          <w:rFonts w:ascii="Times New Roman" w:eastAsia="Times New Roman" w:hAnsi="Times New Roman"/>
          <w:color w:val="000000"/>
        </w:rPr>
        <w:t>, e.g., vehicle and equipment replacement</w:t>
      </w:r>
      <w:r w:rsidR="0066271B">
        <w:rPr>
          <w:rFonts w:ascii="Times New Roman" w:eastAsia="Times New Roman" w:hAnsi="Times New Roman"/>
          <w:color w:val="000000"/>
        </w:rPr>
        <w:t xml:space="preserve"> as compared to exhaust retrofitting</w:t>
      </w:r>
      <w:r w:rsidR="00F47AC7">
        <w:rPr>
          <w:rFonts w:ascii="Times New Roman" w:eastAsia="Times New Roman" w:hAnsi="Times New Roman"/>
          <w:color w:val="000000"/>
        </w:rPr>
        <w:t>.</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0640E6"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w:t>
      </w:r>
      <w:r w:rsidR="0066271B">
        <w:rPr>
          <w:rFonts w:ascii="Times New Roman" w:eastAsia="Times New Roman" w:hAnsi="Times New Roman" w:cs="Times New Roman"/>
          <w:color w:val="000000"/>
        </w:rPr>
        <w:t xml:space="preserve">to </w:t>
      </w:r>
      <w:r>
        <w:rPr>
          <w:rFonts w:ascii="Times New Roman" w:eastAsia="Times New Roman" w:hAnsi="Times New Roman" w:cs="Times New Roman"/>
          <w:color w:val="000000"/>
        </w:rPr>
        <w:t xml:space="preserve">amend the proposed rule would </w:t>
      </w:r>
      <w:r w:rsidR="0066271B">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projects both proposed and in hand. Timely movement on grant administration reinforces the Department’s reputation as effective in taking meaningful action towards protection of public health and the environment. </w:t>
      </w:r>
      <w:r w:rsidR="00A5098A">
        <w:rPr>
          <w:rFonts w:ascii="Times New Roman" w:eastAsia="Times New Roman" w:hAnsi="Times New Roman" w:cs="Times New Roman"/>
          <w:color w:val="000000" w:themeColor="text1"/>
        </w:rPr>
        <w:t xml:space="preserve">Failure to adopt the rule dissipates momentum generated by the unilateral support by the Oregon Legislature as well as a diverse group of industry, public health, public interest and environmental advocacy groups that worked for the passage of SB 249. Failure to adopt the rule delays timely implementation of a project intended to showcase climate change and public health benefits that can arise from vehicle replacement and exhaust retrofitting in highway maintenance </w:t>
      </w:r>
      <w:proofErr w:type="gramStart"/>
      <w:r w:rsidR="00A5098A">
        <w:rPr>
          <w:rFonts w:ascii="Times New Roman" w:eastAsia="Times New Roman" w:hAnsi="Times New Roman" w:cs="Times New Roman"/>
          <w:color w:val="000000" w:themeColor="text1"/>
        </w:rPr>
        <w:t>vehicles, that</w:t>
      </w:r>
      <w:proofErr w:type="gramEnd"/>
      <w:r w:rsidR="00A5098A">
        <w:rPr>
          <w:rFonts w:ascii="Times New Roman" w:eastAsia="Times New Roman" w:hAnsi="Times New Roman" w:cs="Times New Roman"/>
          <w:color w:val="000000" w:themeColor="text1"/>
        </w:rPr>
        <w:t xml:space="preserve"> in turn, will be used to recruit other interested parties to take comparable actions. Delays in project implementation contribute to issues in completing projects in a timely manner, which reflects unfavorably upon the Department’s ability to secure future grant awards from EPA. Failure to adopt the proposed amendment will undermine the Oregon Clean Diesel Initiative’s effort to support program goals to reduce the adverse impacts from toxic air pollutants and mitigate climate change.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F47AC7"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projects to proceed in a timely manner with expected air quality improvements to be achieved sooner rather than later.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B34CF8" w:rsidRDefault="00816DC0" w:rsidP="00693592">
            <w:pPr>
              <w:spacing w:after="120"/>
              <w:ind w:left="0" w:right="18"/>
              <w:outlineLvl w:val="0"/>
              <w:rPr>
                <w:rFonts w:asciiTheme="minorHAnsi" w:eastAsia="Times New Roman" w:hAnsiTheme="minorHAnsi" w:cstheme="minorHAnsi"/>
                <w:bCs/>
                <w:sz w:val="20"/>
                <w:szCs w:val="20"/>
              </w:rPr>
            </w:pPr>
            <w:r w:rsidRPr="00B34CF8">
              <w:rPr>
                <w:rFonts w:asciiTheme="minorHAnsi" w:eastAsia="Times New Roman" w:hAnsiTheme="minorHAnsi" w:cstheme="minorHAnsi"/>
                <w:bCs/>
                <w:sz w:val="20"/>
                <w:szCs w:val="20"/>
              </w:rPr>
              <w:t>ORS 340-</w:t>
            </w:r>
            <w:r w:rsidR="00693592">
              <w:rPr>
                <w:rFonts w:asciiTheme="minorHAnsi" w:eastAsia="Times New Roman" w:hAnsiTheme="minorHAnsi" w:cstheme="minorHAnsi"/>
                <w:bCs/>
                <w:sz w:val="20"/>
                <w:szCs w:val="20"/>
              </w:rPr>
              <w:t>259-</w:t>
            </w:r>
            <w:r w:rsidR="00893536">
              <w:rPr>
                <w:rFonts w:asciiTheme="minorHAnsi" w:eastAsia="Times New Roman" w:hAnsiTheme="minorHAnsi" w:cstheme="minorHAnsi"/>
                <w:bCs/>
                <w:sz w:val="20"/>
                <w:szCs w:val="20"/>
              </w:rPr>
              <w:t>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 (1)</w:t>
      </w:r>
      <w:r w:rsidR="00CB5349" w:rsidRPr="00CB5349">
        <w:rPr>
          <w:rFonts w:ascii="Times New Roman" w:eastAsia="Times New Roman" w:hAnsi="Times New Roman" w:cs="Times New Roman"/>
          <w:color w:val="000000" w:themeColor="text1"/>
        </w:rPr>
        <w:tab/>
      </w:r>
      <w:r w:rsidR="00693592">
        <w:rPr>
          <w:rFonts w:ascii="Times New Roman" w:eastAsia="Times New Roman" w:hAnsi="Times New Roman" w:cs="Times New Roman"/>
          <w:color w:val="000000" w:themeColor="text1"/>
        </w:rPr>
        <w:t>SB 249</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249A</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http://www.leg.state.or.us/13reg/measpdf/sb0200.dir/sb0249.en.pdf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1"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776255" w:rsidRDefault="00C9239E" w:rsidP="00776255">
            <w:pPr>
              <w:outlineLvl w:val="0"/>
              <w:rPr>
                <w:rFonts w:eastAsia="Times New Roman"/>
                <w:bCs/>
                <w:color w:val="32525C"/>
                <w:sz w:val="28"/>
                <w:szCs w:val="28"/>
              </w:rPr>
            </w:pPr>
            <w:bookmarkStart w:id="2" w:name="RANGE!A226:B243"/>
            <w:bookmarkEnd w:id="2"/>
          </w:p>
          <w:p w:rsidR="00C9239E" w:rsidRPr="00776255" w:rsidRDefault="00FE52C2" w:rsidP="00776255">
            <w:pPr>
              <w:spacing w:after="120"/>
              <w:ind w:left="360"/>
              <w:outlineLvl w:val="0"/>
              <w:rPr>
                <w:rFonts w:eastAsia="Times New Roman"/>
                <w:bCs/>
                <w:color w:val="32525C"/>
                <w:sz w:val="28"/>
                <w:szCs w:val="28"/>
              </w:rPr>
            </w:pPr>
            <w:r>
              <w:rPr>
                <w:rFonts w:eastAsia="Times New Roman"/>
                <w:bCs/>
                <w:color w:val="32525C"/>
                <w:sz w:val="28"/>
                <w:szCs w:val="28"/>
              </w:rPr>
              <w:tab/>
            </w:r>
            <w:r w:rsidR="0015075D">
              <w:rPr>
                <w:rFonts w:eastAsia="Times New Roman"/>
                <w:bCs/>
                <w:color w:val="32525C"/>
                <w:sz w:val="28"/>
                <w:szCs w:val="28"/>
              </w:rPr>
              <w:t xml:space="preserve">Public notice  </w:t>
            </w:r>
            <w:r w:rsidR="0015075D" w:rsidRPr="00776255">
              <w:rPr>
                <w:rStyle w:val="Hyperlink"/>
                <w:rFonts w:ascii="Times New Roman" w:hAnsi="Times New Roman" w:cs="Times New Roman"/>
                <w:color w:val="415B5C" w:themeColor="accent3" w:themeShade="80"/>
              </w:rPr>
              <w:t>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3" w:name="AdvisoryCommittee"/>
      <w:r>
        <w:rPr>
          <w:rFonts w:asciiTheme="majorHAnsi" w:eastAsia="Times New Roman" w:hAnsiTheme="majorHAnsi" w:cstheme="majorHAnsi"/>
          <w:bCs/>
          <w:color w:val="504938"/>
          <w:sz w:val="22"/>
          <w:szCs w:val="22"/>
        </w:rPr>
        <w:t>Advisory committee</w:t>
      </w:r>
      <w:bookmarkEnd w:id="3"/>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E52E09" w:rsidRDefault="008E1DE1" w:rsidP="00790FEF">
      <w:pPr>
        <w:ind w:left="810" w:right="18"/>
        <w:outlineLvl w:val="0"/>
        <w:rPr>
          <w:rFonts w:ascii="Times New Roman" w:eastAsia="Times New Roman" w:hAnsi="Times New Roman" w:cs="Times New Roman"/>
          <w:color w:val="000000" w:themeColor="text1"/>
          <w:sz w:val="22"/>
          <w:szCs w:val="22"/>
        </w:rPr>
      </w:pPr>
      <w:r>
        <w:rPr>
          <w:rFonts w:asciiTheme="minorHAnsi" w:eastAsia="Times New Roman" w:hAnsiTheme="minorHAnsi" w:cstheme="minorHAnsi"/>
          <w:bCs/>
        </w:rPr>
        <w:t>There has been no prior involvement with the EQC regarding this temporary rule.</w:t>
      </w:r>
    </w:p>
    <w:p w:rsidR="00A74227" w:rsidRDefault="00A74227" w:rsidP="00790FEF">
      <w:pPr>
        <w:ind w:left="810" w:right="18"/>
        <w:outlineLvl w:val="0"/>
        <w:rPr>
          <w:rFonts w:ascii="Times New Roman" w:eastAsia="Times New Roman" w:hAnsi="Times New Roman" w:cs="Times New Roman"/>
          <w:color w:val="504938"/>
        </w:rPr>
      </w:pP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A74227" w:rsidRPr="00E52E09" w:rsidRDefault="00866F57" w:rsidP="00A50929">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provided notice of the temporary rule in the following ways</w:t>
      </w:r>
      <w:r w:rsidR="00A74227" w:rsidRPr="00E52E09">
        <w:rPr>
          <w:rFonts w:asciiTheme="minorHAnsi" w:eastAsia="Times New Roman" w:hAnsiTheme="minorHAnsi" w:cstheme="minorHAnsi"/>
          <w:bCs/>
          <w:color w:val="000000" w:themeColor="text1"/>
        </w:rPr>
        <w:t>:</w:t>
      </w:r>
      <w:r w:rsidR="00A74227" w:rsidRPr="00E52E09">
        <w:rPr>
          <w:rFonts w:ascii="Times New Roman" w:eastAsia="Times New Roman" w:hAnsi="Times New Roman" w:cs="Times New Roman"/>
          <w:color w:val="000000" w:themeColor="text1"/>
        </w:rPr>
        <w:t xml:space="preserve"> </w:t>
      </w:r>
    </w:p>
    <w:p w:rsidR="001F2D3C" w:rsidRPr="00E52E09" w:rsidRDefault="00A74227" w:rsidP="00A50929">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w:t>
      </w:r>
      <w:r w:rsidR="00866F57" w:rsidRPr="00E52E09">
        <w:rPr>
          <w:rFonts w:ascii="Times New Roman" w:eastAsia="Times New Roman" w:hAnsi="Times New Roman" w:cs="Times New Roman"/>
          <w:color w:val="000000" w:themeColor="text1"/>
        </w:rPr>
        <w:t xml:space="preserve">notice on </w:t>
      </w:r>
      <w:r w:rsidRPr="00E52E09">
        <w:rPr>
          <w:rFonts w:ascii="Times New Roman" w:eastAsia="Times New Roman" w:hAnsi="Times New Roman" w:cs="Times New Roman"/>
          <w:color w:val="000000" w:themeColor="text1"/>
        </w:rPr>
        <w:t>DEQ</w:t>
      </w:r>
      <w:r w:rsidR="00866F57" w:rsidRPr="00E52E09">
        <w:rPr>
          <w:rFonts w:ascii="Times New Roman" w:eastAsia="Times New Roman" w:hAnsi="Times New Roman" w:cs="Times New Roman"/>
          <w:color w:val="000000" w:themeColor="text1"/>
        </w:rPr>
        <w:t xml:space="preserve">’s </w:t>
      </w:r>
      <w:r w:rsidRPr="00E52E09">
        <w:rPr>
          <w:rFonts w:ascii="Times New Roman" w:eastAsia="Times New Roman" w:hAnsi="Times New Roman" w:cs="Times New Roman"/>
          <w:color w:val="000000" w:themeColor="text1"/>
        </w:rPr>
        <w:t xml:space="preserve">webpage </w:t>
      </w:r>
      <w:hyperlink r:id="rId12" w:history="1">
        <w:r w:rsidRPr="00E52E09">
          <w:rPr>
            <w:rFonts w:ascii="Calibri" w:eastAsia="Times New Roman" w:hAnsi="Calibri" w:cs="Calibri"/>
            <w:color w:val="000000" w:themeColor="text1"/>
            <w:sz w:val="22"/>
            <w:u w:val="single"/>
          </w:rPr>
          <w:t>http://www.deq.state.or.us/regulations/proposedrules.htm</w:t>
        </w:r>
      </w:hyperlink>
      <w:r w:rsidRPr="00E52E09">
        <w:rPr>
          <w:color w:val="000000" w:themeColor="text1"/>
        </w:rPr>
        <w:t xml:space="preserve"> </w:t>
      </w:r>
      <w:r w:rsidRPr="00E52E09">
        <w:rPr>
          <w:rFonts w:ascii="Times New Roman" w:eastAsia="Times New Roman" w:hAnsi="Times New Roman" w:cs="Times New Roman"/>
          <w:color w:val="000000" w:themeColor="text1"/>
        </w:rPr>
        <w:t xml:space="preserve">on </w:t>
      </w:r>
      <w:r w:rsidR="001B3A03">
        <w:rPr>
          <w:rFonts w:asciiTheme="minorHAnsi" w:eastAsia="Times New Roman" w:hAnsiTheme="minorHAnsi" w:cstheme="minorHAnsi"/>
          <w:bCs/>
          <w:color w:val="000000" w:themeColor="text1"/>
        </w:rPr>
        <w:t>September 25, 2013</w:t>
      </w:r>
      <w:r w:rsidRPr="00E52E09">
        <w:rPr>
          <w:rFonts w:ascii="Times New Roman" w:eastAsia="Times New Roman" w:hAnsi="Times New Roman" w:cs="Times New Roman"/>
          <w:color w:val="000000" w:themeColor="text1"/>
        </w:rPr>
        <w:t>.</w:t>
      </w:r>
    </w:p>
    <w:p w:rsidR="00A74227" w:rsidRPr="00E52E09" w:rsidRDefault="00A74227"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E</w:t>
      </w:r>
      <w:r w:rsidR="009C6788" w:rsidRPr="00E52E09">
        <w:rPr>
          <w:rFonts w:ascii="Times New Roman" w:eastAsia="Times New Roman" w:hAnsi="Times New Roman" w:cs="Times New Roman"/>
          <w:color w:val="000000" w:themeColor="text1"/>
        </w:rPr>
        <w:t>-</w:t>
      </w:r>
      <w:r w:rsidRPr="00E52E09">
        <w:rPr>
          <w:rFonts w:ascii="Times New Roman" w:eastAsia="Times New Roman" w:hAnsi="Times New Roman" w:cs="Times New Roman"/>
          <w:color w:val="000000" w:themeColor="text1"/>
        </w:rPr>
        <w:t xml:space="preserve">mailed </w:t>
      </w:r>
      <w:r w:rsidR="00866F57" w:rsidRPr="00E52E09">
        <w:rPr>
          <w:rFonts w:ascii="Times New Roman" w:eastAsia="Times New Roman" w:hAnsi="Times New Roman" w:cs="Times New Roman"/>
          <w:color w:val="000000" w:themeColor="text1"/>
        </w:rPr>
        <w:t xml:space="preserve">notice </w:t>
      </w:r>
      <w:r w:rsidRPr="00E52E09">
        <w:rPr>
          <w:rFonts w:ascii="Times New Roman" w:eastAsia="Times New Roman" w:hAnsi="Times New Roman" w:cs="Times New Roman"/>
          <w:color w:val="000000" w:themeColor="text1"/>
        </w:rPr>
        <w:t>to:</w:t>
      </w:r>
    </w:p>
    <w:p w:rsidR="00C22E0C" w:rsidRPr="00E52E09" w:rsidRDefault="00A50929" w:rsidP="00790FEF">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Approximately </w:t>
      </w:r>
      <w:r w:rsidR="00C60A85">
        <w:rPr>
          <w:rFonts w:ascii="Times New Roman" w:eastAsia="Times New Roman" w:hAnsi="Times New Roman" w:cs="Times New Roman"/>
          <w:color w:val="000000" w:themeColor="text1"/>
        </w:rPr>
        <w:t>11,</w:t>
      </w:r>
      <w:r>
        <w:rPr>
          <w:rFonts w:ascii="Times New Roman" w:eastAsia="Times New Roman" w:hAnsi="Times New Roman" w:cs="Times New Roman"/>
          <w:color w:val="000000" w:themeColor="text1"/>
        </w:rPr>
        <w:t>400</w:t>
      </w:r>
      <w:r w:rsidR="00A74227" w:rsidRPr="00E52E09">
        <w:rPr>
          <w:rFonts w:ascii="Times New Roman" w:eastAsia="Times New Roman" w:hAnsi="Times New Roman" w:cs="Times New Roman"/>
          <w:color w:val="000000" w:themeColor="text1"/>
        </w:rPr>
        <w:t xml:space="preserve"> interested parties through </w:t>
      </w:r>
      <w:r w:rsidR="001F2D3C" w:rsidRPr="00E52E09">
        <w:rPr>
          <w:rFonts w:ascii="Times New Roman" w:eastAsia="Times New Roman" w:hAnsi="Times New Roman" w:cs="Times New Roman"/>
          <w:color w:val="000000" w:themeColor="text1"/>
        </w:rPr>
        <w:t xml:space="preserve">GovDelivery </w:t>
      </w:r>
      <w:r w:rsidR="00C22E0C" w:rsidRPr="00E52E09">
        <w:rPr>
          <w:rFonts w:ascii="Times New Roman" w:eastAsia="Times New Roman" w:hAnsi="Times New Roman" w:cs="Times New Roman"/>
          <w:color w:val="000000" w:themeColor="text1"/>
        </w:rPr>
        <w:t xml:space="preserve">on </w:t>
      </w:r>
      <w:bookmarkStart w:id="4" w:name="OLE_LINK1"/>
      <w:r w:rsidR="001B3A03">
        <w:rPr>
          <w:rFonts w:asciiTheme="minorHAnsi" w:eastAsia="Times New Roman" w:hAnsiTheme="minorHAnsi" w:cstheme="minorHAnsi"/>
          <w:bCs/>
          <w:color w:val="000000" w:themeColor="text1"/>
        </w:rPr>
        <w:t>September 25, 2013</w:t>
      </w:r>
      <w:bookmarkEnd w:id="4"/>
      <w:r w:rsidR="00C22E0C" w:rsidRPr="00E52E09">
        <w:rPr>
          <w:rFonts w:ascii="Times New Roman" w:eastAsia="Times New Roman" w:hAnsi="Times New Roman" w:cs="Times New Roman"/>
          <w:color w:val="000000" w:themeColor="text1"/>
        </w:rPr>
        <w:t>.</w:t>
      </w:r>
    </w:p>
    <w:p w:rsidR="00C22E0C" w:rsidRPr="00C22E0C" w:rsidRDefault="00A50929" w:rsidP="00790FEF">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Pr>
          <w:rFonts w:ascii="Times New Roman" w:eastAsia="Times New Roman" w:hAnsi="Times New Roman" w:cs="Times New Roman"/>
          <w:color w:val="000000" w:themeColor="text1"/>
        </w:rPr>
        <w:t>6,000</w:t>
      </w:r>
      <w:r w:rsidR="00C22E0C" w:rsidRPr="00E52E09">
        <w:rPr>
          <w:rFonts w:ascii="Times New Roman" w:eastAsia="Times New Roman" w:hAnsi="Times New Roman" w:cs="Times New Roman"/>
          <w:color w:val="000000" w:themeColor="text1"/>
        </w:rPr>
        <w:t xml:space="preserve"> stakeholder</w:t>
      </w:r>
      <w:r w:rsidR="009C1B9E" w:rsidRPr="00E52E09">
        <w:rPr>
          <w:rFonts w:ascii="Times New Roman" w:eastAsia="Times New Roman" w:hAnsi="Times New Roman" w:cs="Times New Roman"/>
          <w:color w:val="000000" w:themeColor="text1"/>
        </w:rPr>
        <w:t>s</w:t>
      </w:r>
      <w:r w:rsidR="00C22E0C" w:rsidRPr="00C22E0C">
        <w:rPr>
          <w:rFonts w:ascii="Times New Roman" w:eastAsia="Times New Roman" w:hAnsi="Times New Roman" w:cs="Times New Roman"/>
          <w:color w:val="000000" w:themeColor="text1"/>
        </w:rPr>
        <w:t xml:space="preserve"> on the </w:t>
      </w:r>
      <w:r>
        <w:rPr>
          <w:rFonts w:ascii="Times New Roman" w:eastAsia="Times New Roman" w:hAnsi="Times New Roman" w:cs="Times New Roman"/>
          <w:color w:val="000000" w:themeColor="text1"/>
        </w:rPr>
        <w:t>Department rulemaking interested persons list</w:t>
      </w:r>
      <w:r w:rsidR="00C22E0C" w:rsidRPr="00C22E0C">
        <w:rPr>
          <w:rFonts w:asciiTheme="minorHAnsi" w:eastAsia="Times New Roman" w:hAnsiTheme="minorHAnsi" w:cstheme="minorHAnsi"/>
          <w:color w:val="000000" w:themeColor="text1"/>
        </w:rPr>
        <w:t>.</w:t>
      </w:r>
    </w:p>
    <w:p w:rsidR="001F2D3C" w:rsidRPr="00C22E0C" w:rsidRDefault="00C60A85" w:rsidP="00790FEF">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Seven</w:t>
      </w:r>
      <w:r w:rsidR="00C22E0C" w:rsidRPr="00C22E0C">
        <w:rPr>
          <w:rFonts w:ascii="Times New Roman" w:eastAsia="Times New Roman" w:hAnsi="Times New Roman" w:cs="Times New Roman"/>
          <w:color w:val="000000" w:themeColor="text1"/>
        </w:rPr>
        <w:t xml:space="preserve"> key legislators required under </w:t>
      </w:r>
      <w:hyperlink r:id="rId13" w:history="1">
        <w:r w:rsidR="00C22E0C" w:rsidRPr="00C22E0C">
          <w:rPr>
            <w:rFonts w:asciiTheme="minorHAnsi" w:eastAsia="Times New Roman" w:hAnsiTheme="minorHAnsi" w:cstheme="minorHAnsi"/>
            <w:color w:val="000000" w:themeColor="text1"/>
            <w:u w:val="single"/>
          </w:rPr>
          <w:t>ORS 183.335</w:t>
        </w:r>
      </w:hyperlink>
      <w:r w:rsidR="00C22E0C" w:rsidRPr="00C22E0C">
        <w:rPr>
          <w:rFonts w:asciiTheme="minorHAnsi" w:hAnsiTheme="minorHAnsi" w:cstheme="minorHAnsi"/>
          <w:color w:val="000000" w:themeColor="text1"/>
        </w:rPr>
        <w:t xml:space="preserve"> </w:t>
      </w:r>
      <w:r w:rsidR="00C22E0C" w:rsidRPr="00C22E0C">
        <w:rPr>
          <w:rFonts w:ascii="Times New Roman" w:eastAsia="Times New Roman" w:hAnsi="Times New Roman" w:cs="Times New Roman"/>
          <w:color w:val="000000" w:themeColor="text1"/>
        </w:rPr>
        <w:t xml:space="preserve">on </w:t>
      </w:r>
      <w:r w:rsidR="00893536">
        <w:rPr>
          <w:rFonts w:asciiTheme="minorHAnsi" w:eastAsia="Times New Roman" w:hAnsiTheme="minorHAnsi" w:cstheme="minorHAnsi"/>
          <w:bCs/>
          <w:color w:val="000000" w:themeColor="text1"/>
        </w:rPr>
        <w:t>September 25, 2013</w:t>
      </w:r>
      <w:r w:rsidR="00C22E0C" w:rsidRPr="00C22E0C">
        <w:rPr>
          <w:rFonts w:ascii="Times New Roman" w:eastAsia="Times New Roman" w:hAnsi="Times New Roman" w:cs="Times New Roman"/>
          <w:color w:val="000000" w:themeColor="text1"/>
        </w:rPr>
        <w:t>. Key legislators included:</w:t>
      </w:r>
    </w:p>
    <w:p w:rsidR="00C22E0C" w:rsidRPr="00C60A85" w:rsidRDefault="00C60A85" w:rsidP="00790FEF">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Peter Courtney</w:t>
      </w:r>
      <w:r w:rsidR="00C22E0C" w:rsidRPr="00C60A8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President of the Senate</w:t>
      </w:r>
    </w:p>
    <w:p w:rsidR="00866F57" w:rsidRDefault="00C60A85" w:rsidP="00790FEF">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Representative Tina </w:t>
      </w:r>
      <w:proofErr w:type="spellStart"/>
      <w:r>
        <w:rPr>
          <w:rFonts w:ascii="Times New Roman" w:eastAsia="Times New Roman" w:hAnsi="Times New Roman" w:cs="Times New Roman"/>
          <w:color w:val="000000" w:themeColor="text1"/>
        </w:rPr>
        <w:t>Kotek</w:t>
      </w:r>
      <w:proofErr w:type="spellEnd"/>
      <w:r>
        <w:rPr>
          <w:rFonts w:ascii="Times New Roman" w:eastAsia="Times New Roman" w:hAnsi="Times New Roman" w:cs="Times New Roman"/>
          <w:color w:val="000000" w:themeColor="text1"/>
        </w:rPr>
        <w:t>, Speaker of the House</w:t>
      </w:r>
    </w:p>
    <w:p w:rsidR="00C60A85" w:rsidRDefault="00C60A85" w:rsidP="00790FEF">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C60A85" w:rsidRDefault="00C60A85" w:rsidP="00C60A85">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Alan Olsen, Vice-Chair, Senate Environment and Natural Resources Committee </w:t>
      </w:r>
    </w:p>
    <w:p w:rsidR="00C60A85" w:rsidRDefault="00C60A85" w:rsidP="00790FEF">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C60A85" w:rsidRDefault="00C60A85" w:rsidP="00C60A85">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Deborah Boone, Vice-Chair, House Energy and Environment Committee</w:t>
      </w:r>
    </w:p>
    <w:p w:rsidR="00C60A85" w:rsidRPr="00C60A85" w:rsidRDefault="00C60A85" w:rsidP="00790FEF">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Mark Johnson, Vice-Chair, House Energy and Environment Committee</w:t>
      </w:r>
    </w:p>
    <w:p w:rsidR="009C6788" w:rsidRPr="005344E6" w:rsidRDefault="00B4779D"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 xml:space="preserve">Sent notice to EPA on </w:t>
      </w:r>
      <w:r w:rsidR="001B3A03" w:rsidRPr="001B3A03">
        <w:rPr>
          <w:rFonts w:ascii="Times New Roman" w:eastAsia="Times New Roman" w:hAnsi="Times New Roman" w:cs="Times New Roman"/>
          <w:color w:val="000000" w:themeColor="text1"/>
        </w:rPr>
        <w:t>September 25, 2013</w:t>
      </w:r>
      <w:r w:rsidRPr="001B3A03">
        <w:rPr>
          <w:rFonts w:ascii="Times New Roman" w:eastAsia="Times New Roman" w:hAnsi="Times New Roman" w:cs="Times New Roman"/>
          <w:color w:val="000000" w:themeColor="text1"/>
        </w:rPr>
        <w:t>.</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Default="00D454A6"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on </w:t>
      </w:r>
      <w:r w:rsidR="00EC1924">
        <w:rPr>
          <w:rFonts w:asciiTheme="minorHAnsi" w:eastAsia="Times New Roman" w:hAnsiTheme="minorHAnsi" w:cstheme="minorHAnsi"/>
          <w:color w:val="000000"/>
        </w:rPr>
        <w:t>October 17, 2013</w:t>
      </w:r>
      <w:r>
        <w:rPr>
          <w:rFonts w:asciiTheme="minorHAnsi" w:eastAsia="Times New Roman" w:hAnsiTheme="minorHAnsi" w:cstheme="minorHAnsi"/>
          <w:color w:val="000000"/>
        </w:rPr>
        <w:t xml:space="preserve">. DEQ will notify affected parties by </w:t>
      </w:r>
      <w:r w:rsidR="00F05EEE">
        <w:rPr>
          <w:rFonts w:asciiTheme="minorHAnsi" w:eastAsia="Times New Roman" w:hAnsiTheme="minorHAnsi" w:cstheme="minorHAnsi"/>
          <w:color w:val="000000"/>
        </w:rPr>
        <w:t xml:space="preserve">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allow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 xml:space="preserve">and particulars of funding, including vehicle and equipment eligibility, geographic and operational priorities, assistance limits, conditions on operations and eligible technologies and other supportable actions. Notice would be provide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D27B91"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2916"/>
    <w:rsid w:val="001040D7"/>
    <w:rsid w:val="00107189"/>
    <w:rsid w:val="0011396A"/>
    <w:rsid w:val="001329E5"/>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B3A03"/>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82A"/>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24289"/>
    <w:rsid w:val="003248CA"/>
    <w:rsid w:val="00334980"/>
    <w:rsid w:val="003359FB"/>
    <w:rsid w:val="00342EC9"/>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65BA"/>
    <w:rsid w:val="003970AB"/>
    <w:rsid w:val="00397D49"/>
    <w:rsid w:val="003A039C"/>
    <w:rsid w:val="003B28BE"/>
    <w:rsid w:val="003B467D"/>
    <w:rsid w:val="003B790F"/>
    <w:rsid w:val="003C12DB"/>
    <w:rsid w:val="003C196A"/>
    <w:rsid w:val="003C325E"/>
    <w:rsid w:val="003C6C7E"/>
    <w:rsid w:val="003D364B"/>
    <w:rsid w:val="003D3B3C"/>
    <w:rsid w:val="003D6147"/>
    <w:rsid w:val="003D7A3B"/>
    <w:rsid w:val="003E0361"/>
    <w:rsid w:val="003F09A8"/>
    <w:rsid w:val="003F413E"/>
    <w:rsid w:val="003F45CC"/>
    <w:rsid w:val="004009BC"/>
    <w:rsid w:val="00401019"/>
    <w:rsid w:val="00415DC6"/>
    <w:rsid w:val="00417482"/>
    <w:rsid w:val="0042225B"/>
    <w:rsid w:val="00422F1F"/>
    <w:rsid w:val="00424B35"/>
    <w:rsid w:val="004369FF"/>
    <w:rsid w:val="00443859"/>
    <w:rsid w:val="00446FF4"/>
    <w:rsid w:val="00447281"/>
    <w:rsid w:val="00451D3A"/>
    <w:rsid w:val="0045366E"/>
    <w:rsid w:val="004536FD"/>
    <w:rsid w:val="004577C0"/>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F0119"/>
    <w:rsid w:val="005F71B6"/>
    <w:rsid w:val="00602EF0"/>
    <w:rsid w:val="00610286"/>
    <w:rsid w:val="0061029F"/>
    <w:rsid w:val="00624BAA"/>
    <w:rsid w:val="00625D6E"/>
    <w:rsid w:val="00630DCA"/>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B481C"/>
    <w:rsid w:val="006B5236"/>
    <w:rsid w:val="006C0AFF"/>
    <w:rsid w:val="006C1BA6"/>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61C1E"/>
    <w:rsid w:val="00764239"/>
    <w:rsid w:val="007667BF"/>
    <w:rsid w:val="007677D5"/>
    <w:rsid w:val="00772447"/>
    <w:rsid w:val="00773184"/>
    <w:rsid w:val="007748DD"/>
    <w:rsid w:val="00775068"/>
    <w:rsid w:val="00776255"/>
    <w:rsid w:val="0078154A"/>
    <w:rsid w:val="0078370D"/>
    <w:rsid w:val="0079043C"/>
    <w:rsid w:val="00790FEF"/>
    <w:rsid w:val="00794E16"/>
    <w:rsid w:val="00797FC9"/>
    <w:rsid w:val="007A24BE"/>
    <w:rsid w:val="007A497A"/>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5C3F"/>
    <w:rsid w:val="00811EE1"/>
    <w:rsid w:val="008141CD"/>
    <w:rsid w:val="00815DC3"/>
    <w:rsid w:val="00816DC0"/>
    <w:rsid w:val="00823C9D"/>
    <w:rsid w:val="00826471"/>
    <w:rsid w:val="00830C32"/>
    <w:rsid w:val="0083177F"/>
    <w:rsid w:val="0083323F"/>
    <w:rsid w:val="00835C99"/>
    <w:rsid w:val="00837ACD"/>
    <w:rsid w:val="00844094"/>
    <w:rsid w:val="0085122C"/>
    <w:rsid w:val="008520FC"/>
    <w:rsid w:val="00854517"/>
    <w:rsid w:val="00866F57"/>
    <w:rsid w:val="008764AC"/>
    <w:rsid w:val="008778B7"/>
    <w:rsid w:val="00877E82"/>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34D8"/>
    <w:rsid w:val="00AB65D0"/>
    <w:rsid w:val="00AC1660"/>
    <w:rsid w:val="00AD0243"/>
    <w:rsid w:val="00AD33B5"/>
    <w:rsid w:val="00AD73C9"/>
    <w:rsid w:val="00AD741F"/>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369"/>
    <w:rsid w:val="00CE2F50"/>
    <w:rsid w:val="00CE3D82"/>
    <w:rsid w:val="00CF3191"/>
    <w:rsid w:val="00D0141A"/>
    <w:rsid w:val="00D024C5"/>
    <w:rsid w:val="00D07AAD"/>
    <w:rsid w:val="00D109F3"/>
    <w:rsid w:val="00D128BB"/>
    <w:rsid w:val="00D17CDB"/>
    <w:rsid w:val="00D23C69"/>
    <w:rsid w:val="00D27B91"/>
    <w:rsid w:val="00D3083F"/>
    <w:rsid w:val="00D34D18"/>
    <w:rsid w:val="00D454A6"/>
    <w:rsid w:val="00D47FDF"/>
    <w:rsid w:val="00D537F4"/>
    <w:rsid w:val="00D574D7"/>
    <w:rsid w:val="00D57C32"/>
    <w:rsid w:val="00D61DA4"/>
    <w:rsid w:val="00D63F11"/>
    <w:rsid w:val="00D65A28"/>
    <w:rsid w:val="00D82C0F"/>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F410C"/>
    <w:rsid w:val="00DF543F"/>
    <w:rsid w:val="00E046C6"/>
    <w:rsid w:val="00E07FE1"/>
    <w:rsid w:val="00E12525"/>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3115"/>
    <w:rsid w:val="00F043A2"/>
    <w:rsid w:val="00F05EEE"/>
    <w:rsid w:val="00F07710"/>
    <w:rsid w:val="00F1103E"/>
    <w:rsid w:val="00F125F0"/>
    <w:rsid w:val="00F129EB"/>
    <w:rsid w:val="00F138BD"/>
    <w:rsid w:val="00F16229"/>
    <w:rsid w:val="00F305DD"/>
    <w:rsid w:val="00F32478"/>
    <w:rsid w:val="00F42724"/>
    <w:rsid w:val="00F44E4D"/>
    <w:rsid w:val="00F45EDB"/>
    <w:rsid w:val="00F47AC7"/>
    <w:rsid w:val="00F516F6"/>
    <w:rsid w:val="00F650B7"/>
    <w:rsid w:val="00F66EDE"/>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246A5"/>
    <w:rsid w:val="00262C03"/>
    <w:rsid w:val="002771AC"/>
    <w:rsid w:val="002E032E"/>
    <w:rsid w:val="002E668F"/>
    <w:rsid w:val="002F2A75"/>
    <w:rsid w:val="002F4B77"/>
    <w:rsid w:val="00304F82"/>
    <w:rsid w:val="00357E4C"/>
    <w:rsid w:val="00386DB7"/>
    <w:rsid w:val="00492FA1"/>
    <w:rsid w:val="004B55D0"/>
    <w:rsid w:val="004C793D"/>
    <w:rsid w:val="004E5EB7"/>
    <w:rsid w:val="00553EC2"/>
    <w:rsid w:val="005A257B"/>
    <w:rsid w:val="006036E6"/>
    <w:rsid w:val="006043F0"/>
    <w:rsid w:val="00610C97"/>
    <w:rsid w:val="00654149"/>
    <w:rsid w:val="006E0821"/>
    <w:rsid w:val="006F2DE8"/>
    <w:rsid w:val="006F7EB6"/>
    <w:rsid w:val="0074054F"/>
    <w:rsid w:val="007431AA"/>
    <w:rsid w:val="007A458A"/>
    <w:rsid w:val="007F0034"/>
    <w:rsid w:val="007F2DDA"/>
    <w:rsid w:val="00870053"/>
    <w:rsid w:val="00886247"/>
    <w:rsid w:val="008F63C0"/>
    <w:rsid w:val="009474FE"/>
    <w:rsid w:val="00974A7F"/>
    <w:rsid w:val="009E3D97"/>
    <w:rsid w:val="009F564D"/>
    <w:rsid w:val="00A13373"/>
    <w:rsid w:val="00A26414"/>
    <w:rsid w:val="00A6036A"/>
    <w:rsid w:val="00A9175C"/>
    <w:rsid w:val="00AC6023"/>
    <w:rsid w:val="00AE2923"/>
    <w:rsid w:val="00BA47EC"/>
    <w:rsid w:val="00BD0170"/>
    <w:rsid w:val="00C84407"/>
    <w:rsid w:val="00C96CBE"/>
    <w:rsid w:val="00CA6ED4"/>
    <w:rsid w:val="00CD0EDB"/>
    <w:rsid w:val="00CE3001"/>
    <w:rsid w:val="00D35A13"/>
    <w:rsid w:val="00D60F6D"/>
    <w:rsid w:val="00D86299"/>
    <w:rsid w:val="00E214AC"/>
    <w:rsid w:val="00E21E2A"/>
    <w:rsid w:val="00E56AD7"/>
    <w:rsid w:val="00E64488"/>
    <w:rsid w:val="00EA7647"/>
    <w:rsid w:val="00ED4796"/>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80a7f44fc367c8697d394518b5eaffde">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55B95-1D53-4AE5-B10D-D28CCB78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E1BE3134-CE2D-434C-9F7D-3B793076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2013-07-18T18:20:00Z</cp:lastPrinted>
  <dcterms:created xsi:type="dcterms:W3CDTF">2013-07-31T23:56:00Z</dcterms:created>
  <dcterms:modified xsi:type="dcterms:W3CDTF">2013-07-31T23:56:00Z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