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(2) Since ozone standards are not violated in Oregon from October through April (because of insufficient solar energy), natural gas-</w:t>
      </w:r>
      <w:bookmarkStart w:id="0" w:name="_GoBack"/>
      <w:bookmarkEnd w:id="0"/>
      <w:r w:rsidRPr="003E6D37">
        <w:rPr>
          <w:bCs/>
        </w:rPr>
        <w:t xml:space="preserve">fired afterburners may be permitted, on a case-by-case basis, to lay idle during the winter months. </w:t>
      </w:r>
    </w:p>
    <w:p w:rsidR="003E6D37" w:rsidRPr="003E6D37" w:rsidRDefault="003E6D37" w:rsidP="003E6D37">
      <w:pPr>
        <w:spacing w:after="0" w:line="240" w:lineRule="auto"/>
        <w:rPr>
          <w:bCs/>
        </w:rPr>
      </w:pPr>
      <w:r w:rsidRPr="003E6D37">
        <w:rPr>
          <w:bCs/>
        </w:rPr>
        <w:t xml:space="preserve">(3) Sources regulated by this division are new and existing sources in the Portland and Medford </w:t>
      </w:r>
      <w:commentRangeStart w:id="1"/>
      <w:r w:rsidRPr="003E6D37">
        <w:rPr>
          <w:bCs/>
        </w:rPr>
        <w:t>AQMA</w:t>
      </w:r>
      <w:del w:id="2" w:author="Garrahan Paul" w:date="2013-08-19T11:41:00Z">
        <w:r w:rsidRPr="0087525A" w:rsidDel="0087525A">
          <w:rPr>
            <w:bCs/>
            <w:highlight w:val="yellow"/>
            <w:rPrChange w:id="3" w:author="Garrahan Paul" w:date="2013-08-19T11:41:00Z">
              <w:rPr>
                <w:bCs/>
              </w:rPr>
            </w:rPrChange>
          </w:rPr>
          <w:delText>'</w:delText>
        </w:r>
      </w:del>
      <w:r w:rsidRPr="003E6D37">
        <w:rPr>
          <w:bCs/>
        </w:rPr>
        <w:t>s</w:t>
      </w:r>
      <w:commentRangeEnd w:id="1"/>
      <w:r w:rsidR="0087525A">
        <w:rPr>
          <w:rStyle w:val="CommentReference"/>
        </w:rPr>
        <w:commentReference w:id="1"/>
      </w:r>
      <w:r w:rsidRPr="003E6D37">
        <w:rPr>
          <w:bCs/>
        </w:rPr>
        <w:t xml:space="preserve"> and in the </w:t>
      </w:r>
      <w:commentRangeStart w:id="4"/>
      <w:del w:id="5" w:author="Garrahan Paul" w:date="2013-08-19T11:41:00Z">
        <w:r w:rsidRPr="0087525A" w:rsidDel="0087525A">
          <w:rPr>
            <w:bCs/>
            <w:highlight w:val="yellow"/>
            <w:rPrChange w:id="6" w:author="Garrahan Paul" w:date="2013-08-19T11:41:00Z">
              <w:rPr>
                <w:bCs/>
              </w:rPr>
            </w:rPrChange>
          </w:rPr>
          <w:delText>Salem</w:delText>
        </w:r>
      </w:del>
      <w:commentRangeEnd w:id="4"/>
      <w:r w:rsidR="0087525A">
        <w:rPr>
          <w:rStyle w:val="CommentReference"/>
        </w:rPr>
        <w:commentReference w:id="4"/>
      </w:r>
      <w:del w:id="7" w:author="Garrahan Paul" w:date="2013-08-19T11:41:00Z">
        <w:r w:rsidRPr="003E6D37" w:rsidDel="0087525A">
          <w:rPr>
            <w:bCs/>
          </w:rPr>
          <w:delText xml:space="preserve"> </w:delText>
        </w:r>
      </w:del>
      <w:r w:rsidRPr="003E6D37">
        <w:rPr>
          <w:bCs/>
        </w:rPr>
        <w:t>S</w:t>
      </w:r>
      <w:ins w:id="8"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 xml:space="preserve">(i)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w:t>
      </w:r>
      <w:ins w:id="9" w:author="pcuser" w:date="2013-07-11T14:36:00Z">
        <w:r w:rsidR="006D38A7">
          <w:rPr>
            <w:bCs/>
          </w:rPr>
          <w:t xml:space="preserve">before </w:t>
        </w:r>
        <w:commentRangeStart w:id="10"/>
        <w:r w:rsidR="006D38A7">
          <w:rPr>
            <w:bCs/>
          </w:rPr>
          <w:t>add</w:t>
        </w:r>
        <w:del w:id="11" w:author="Garrahan Paul" w:date="2013-08-19T11:50:00Z">
          <w:r w:rsidR="006D38A7" w:rsidDel="0087525A">
            <w:rPr>
              <w:bCs/>
            </w:rPr>
            <w:delText xml:space="preserve"> </w:delText>
          </w:r>
        </w:del>
      </w:ins>
      <w:ins w:id="12" w:author="Garrahan Paul" w:date="2013-08-19T11:50:00Z">
        <w:r w:rsidR="0087525A">
          <w:rPr>
            <w:bCs/>
          </w:rPr>
          <w:t>-</w:t>
        </w:r>
      </w:ins>
      <w:ins w:id="13" w:author="pcuser" w:date="2013-07-11T14:36:00Z">
        <w:r w:rsidR="006D38A7">
          <w:rPr>
            <w:bCs/>
          </w:rPr>
          <w:t xml:space="preserve">on controls </w:t>
        </w:r>
      </w:ins>
      <w:commentRangeEnd w:id="10"/>
      <w:r w:rsidR="0087525A">
        <w:rPr>
          <w:rStyle w:val="CommentReference"/>
        </w:rPr>
        <w:commentReference w:id="10"/>
      </w:r>
      <w:r w:rsidRPr="003E6D37">
        <w:rPr>
          <w:bCs/>
        </w:rPr>
        <w:t xml:space="preserve">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3E6D37" w:rsidP="003E6D37">
      <w:pPr>
        <w:spacing w:after="0" w:line="240" w:lineRule="auto"/>
        <w:rPr>
          <w:del w:id="14" w:author="pcuser" w:date="2013-06-11T13:40:00Z"/>
          <w:bCs/>
        </w:rPr>
      </w:pPr>
      <w:del w:id="15" w:author="pcuser" w:date="2013-06-11T13:40:00Z">
        <w:r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3E6D37" w:rsidRPr="003E6D37" w:rsidRDefault="003E6D37" w:rsidP="003E6D37">
      <w:pPr>
        <w:spacing w:after="0" w:line="240" w:lineRule="auto"/>
        <w:rPr>
          <w:bCs/>
        </w:rPr>
      </w:pPr>
      <w:r w:rsidRPr="003E6D37">
        <w:rPr>
          <w:bCs/>
        </w:rPr>
        <w:t>(</w:t>
      </w:r>
      <w:ins w:id="16" w:author="pcuser" w:date="2013-06-11T13:41:00Z">
        <w:r w:rsidR="00DC586F">
          <w:rPr>
            <w:bCs/>
          </w:rPr>
          <w:t>1</w:t>
        </w:r>
      </w:ins>
      <w:del w:id="17" w:author="pcuser" w:date="2013-06-11T13:41:00Z">
        <w:r w:rsidRPr="003E6D37" w:rsidDel="00DC586F">
          <w:rPr>
            <w:bCs/>
          </w:rPr>
          <w:delText>2</w:delText>
        </w:r>
      </w:del>
      <w:r w:rsidRPr="003E6D37">
        <w:rPr>
          <w:bCs/>
        </w:rPr>
        <w:t xml:space="preserve">)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w:t>
      </w:r>
      <w:ins w:id="18" w:author="pcuser" w:date="2013-06-11T13:41:00Z">
        <w:r w:rsidR="00DC586F">
          <w:rPr>
            <w:bCs/>
          </w:rPr>
          <w:t>2</w:t>
        </w:r>
      </w:ins>
      <w:del w:id="19" w:author="pcuser" w:date="2013-06-11T13:41:00Z">
        <w:r w:rsidRPr="003E6D37" w:rsidDel="00DC586F">
          <w:rPr>
            <w:bCs/>
          </w:rPr>
          <w:delText>3</w:delText>
        </w:r>
      </w:del>
      <w:r w:rsidRPr="003E6D37">
        <w:rPr>
          <w:bCs/>
        </w:rPr>
        <w:t>) VOC sources located outside the areas cited in section (</w:t>
      </w:r>
      <w:ins w:id="20" w:author="pcuser" w:date="2013-06-11T13:42:00Z">
        <w:r w:rsidR="00DC586F">
          <w:rPr>
            <w:bCs/>
          </w:rPr>
          <w:t>1</w:t>
        </w:r>
      </w:ins>
      <w:del w:id="21" w:author="pcuser" w:date="2013-06-11T13:42:00Z">
        <w:r w:rsidRPr="003E6D37" w:rsidDel="00DC586F">
          <w:rPr>
            <w:bCs/>
          </w:rPr>
          <w:delText>2</w:delText>
        </w:r>
      </w:del>
      <w:r w:rsidRPr="003E6D37">
        <w:rPr>
          <w:bCs/>
        </w:rPr>
        <w:t xml:space="preserve">) of this rule are exempt from the General Emission standards for Volatile Organic Compounds. </w:t>
      </w:r>
    </w:p>
    <w:p w:rsidR="003E6D37" w:rsidRPr="003E6D37" w:rsidRDefault="003E6D37" w:rsidP="003E6D37">
      <w:pPr>
        <w:spacing w:after="0" w:line="240" w:lineRule="auto"/>
        <w:rPr>
          <w:bCs/>
        </w:rPr>
      </w:pPr>
      <w:r w:rsidRPr="003E6D37">
        <w:rPr>
          <w:bCs/>
        </w:rPr>
        <w:t>(</w:t>
      </w:r>
      <w:ins w:id="22" w:author="pcuser" w:date="2013-06-11T13:41:00Z">
        <w:r w:rsidR="00DC586F">
          <w:rPr>
            <w:bCs/>
          </w:rPr>
          <w:t>3</w:t>
        </w:r>
      </w:ins>
      <w:del w:id="23" w:author="pcuser" w:date="2013-06-11T13:41:00Z">
        <w:r w:rsidRPr="003E6D37" w:rsidDel="00DC586F">
          <w:rPr>
            <w:bCs/>
          </w:rPr>
          <w:delText>4</w:delText>
        </w:r>
      </w:del>
      <w:r w:rsidRPr="003E6D37">
        <w:rPr>
          <w:bCs/>
        </w:rPr>
        <w:t>) All new and existing sources in the areas identified in section (</w:t>
      </w:r>
      <w:ins w:id="24" w:author="pcuser" w:date="2013-06-11T13:41:00Z">
        <w:r w:rsidR="00DC586F">
          <w:rPr>
            <w:bCs/>
          </w:rPr>
          <w:t>1</w:t>
        </w:r>
      </w:ins>
      <w:del w:id="25" w:author="pcuser" w:date="2013-06-11T13:41:00Z">
        <w:r w:rsidRPr="003E6D37" w:rsidDel="00DC586F">
          <w:rPr>
            <w:bCs/>
          </w:rPr>
          <w:delText>2</w:delText>
        </w:r>
      </w:del>
      <w:r w:rsidRPr="003E6D37">
        <w:rPr>
          <w:bCs/>
        </w:rPr>
        <w:t xml:space="preserve">)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26" w:author="Preferred Customer" w:date="2012-12-28T11:11:00Z">
        <w:r w:rsidRPr="003E6D37" w:rsidDel="0056773E">
          <w:rPr>
            <w:bCs/>
          </w:rPr>
          <w:delText>the Department</w:delText>
        </w:r>
      </w:del>
      <w:ins w:id="27" w:author="Preferred Customer" w:date="2012-12-28T11:11:00Z">
        <w:r w:rsidR="0056773E">
          <w:rPr>
            <w:bCs/>
          </w:rPr>
          <w:t>DEQ</w:t>
        </w:r>
      </w:ins>
      <w:r w:rsidRPr="003E6D37">
        <w:rPr>
          <w:bCs/>
        </w:rPr>
        <w:t xml:space="preserve">, or which has been certified by other air pollution control agencies and approved by </w:t>
      </w:r>
      <w:del w:id="28" w:author="Preferred Customer" w:date="2012-12-28T11:11:00Z">
        <w:r w:rsidRPr="003E6D37" w:rsidDel="0056773E">
          <w:rPr>
            <w:bCs/>
          </w:rPr>
          <w:delText>the Department</w:delText>
        </w:r>
      </w:del>
      <w:ins w:id="29"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30" w:author="Preferred Customer" w:date="2012-09-04T07:40:00Z"/>
          <w:bCs/>
        </w:rPr>
      </w:pPr>
      <w:ins w:id="31" w:author="Preferred Customer" w:date="2012-09-04T07:40:00Z">
        <w:r w:rsidRPr="003E6D37" w:rsidDel="00510735">
          <w:rPr>
            <w:bCs/>
          </w:rPr>
          <w:t xml:space="preserve"> </w:t>
        </w:r>
      </w:ins>
      <w:del w:id="32"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33" w:author="Preferred Customer" w:date="2012-09-04T07:45:00Z">
        <w:r w:rsidR="00510735">
          <w:rPr>
            <w:bCs/>
          </w:rPr>
          <w:t>7</w:t>
        </w:r>
      </w:ins>
      <w:del w:id="34"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35" w:author="Preferred Customer" w:date="2012-09-04T07:40:00Z"/>
          <w:bCs/>
        </w:rPr>
      </w:pPr>
      <w:ins w:id="36" w:author="Preferred Customer" w:date="2012-09-04T07:40:00Z">
        <w:r w:rsidRPr="003E6D37" w:rsidDel="00510735">
          <w:rPr>
            <w:bCs/>
          </w:rPr>
          <w:t xml:space="preserve"> </w:t>
        </w:r>
      </w:ins>
      <w:del w:id="37" w:author="Preferred Customer" w:date="2012-09-04T07:40:00Z">
        <w:r w:rsidR="003E6D37" w:rsidRPr="003E6D37" w:rsidDel="00510735">
          <w:rPr>
            <w:bCs/>
          </w:rPr>
          <w:delText>(19) "</w:delText>
        </w:r>
        <w:r w:rsidR="00837B6F" w:rsidRPr="00DC586F">
          <w:rPr>
            <w:bCs/>
          </w:rPr>
          <w:delText>Emissions unit</w:delText>
        </w:r>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38" w:author="Preferred Customer" w:date="2012-09-04T07:45:00Z">
        <w:r w:rsidR="00510735">
          <w:rPr>
            <w:bCs/>
          </w:rPr>
          <w:t>18</w:t>
        </w:r>
      </w:ins>
      <w:del w:id="39"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40" w:author="Preferred Customer" w:date="2012-09-04T07:45:00Z">
        <w:r w:rsidR="00510735">
          <w:rPr>
            <w:bCs/>
          </w:rPr>
          <w:t>19</w:t>
        </w:r>
      </w:ins>
      <w:del w:id="41"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42" w:author="Preferred Customer" w:date="2012-09-04T07:45:00Z">
        <w:r w:rsidR="00510735">
          <w:rPr>
            <w:bCs/>
          </w:rPr>
          <w:t>0</w:t>
        </w:r>
      </w:ins>
      <w:del w:id="43"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44" w:author="Preferred Customer" w:date="2012-09-04T07:45:00Z">
        <w:r w:rsidR="00510735">
          <w:rPr>
            <w:bCs/>
          </w:rPr>
          <w:t>1</w:t>
        </w:r>
      </w:ins>
      <w:del w:id="45"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46" w:author="Preferred Customer" w:date="2012-09-04T07:45:00Z">
        <w:r w:rsidR="00510735">
          <w:rPr>
            <w:bCs/>
          </w:rPr>
          <w:t>2</w:t>
        </w:r>
      </w:ins>
      <w:del w:id="47"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48" w:author="Preferred Customer" w:date="2012-09-04T07:45:00Z">
        <w:r w:rsidR="00510735">
          <w:rPr>
            <w:bCs/>
          </w:rPr>
          <w:t>3</w:t>
        </w:r>
      </w:ins>
      <w:del w:id="49"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50" w:author="Preferred Customer" w:date="2012-09-04T07:45:00Z">
        <w:r w:rsidR="00510735">
          <w:rPr>
            <w:bCs/>
          </w:rPr>
          <w:t>4</w:t>
        </w:r>
      </w:ins>
      <w:del w:id="51"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52" w:author="Preferred Customer" w:date="2012-09-04T07:45:00Z">
        <w:r w:rsidRPr="003E6D37" w:rsidDel="00510735">
          <w:rPr>
            <w:bCs/>
          </w:rPr>
          <w:delText>7</w:delText>
        </w:r>
      </w:del>
      <w:ins w:id="53"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54" w:author="Preferred Customer" w:date="2012-09-04T07:46:00Z">
        <w:r w:rsidRPr="003E6D37" w:rsidDel="00510735">
          <w:rPr>
            <w:bCs/>
          </w:rPr>
          <w:delText>8</w:delText>
        </w:r>
      </w:del>
      <w:ins w:id="55" w:author="Preferred Customer" w:date="2012-09-04T07:46:00Z">
        <w:r w:rsidR="00510735">
          <w:rPr>
            <w:bCs/>
          </w:rPr>
          <w:t>6</w:t>
        </w:r>
      </w:ins>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del w:id="56" w:author="Preferred Customer" w:date="2012-09-04T07:46:00Z">
        <w:r w:rsidRPr="003E6D37" w:rsidDel="00510735">
          <w:rPr>
            <w:bCs/>
          </w:rPr>
          <w:delText>9</w:delText>
        </w:r>
      </w:del>
      <w:ins w:id="57"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58" w:author="Preferred Customer" w:date="2012-09-04T07:46:00Z">
        <w:r w:rsidR="00510735">
          <w:rPr>
            <w:bCs/>
          </w:rPr>
          <w:t>28</w:t>
        </w:r>
      </w:ins>
      <w:del w:id="59" w:author="Preferred Customer" w:date="2012-09-04T07:46:00Z">
        <w:r w:rsidRPr="003E6D37" w:rsidDel="00510735">
          <w:rPr>
            <w:bCs/>
          </w:rPr>
          <w:delText>30</w:delText>
        </w:r>
      </w:del>
      <w:r w:rsidRPr="003E6D37">
        <w:rPr>
          <w:bCs/>
        </w:rPr>
        <w:t>) "Gas</w:t>
      </w:r>
      <w:ins w:id="60"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61"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62" w:author="Preferred Customer" w:date="2012-09-04T07:46:00Z">
        <w:r w:rsidR="00510735">
          <w:rPr>
            <w:bCs/>
          </w:rPr>
          <w:t>29</w:t>
        </w:r>
      </w:ins>
      <w:del w:id="63"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64" w:author="Preferred Customer" w:date="2012-09-04T07:46:00Z">
        <w:r w:rsidR="00510735">
          <w:rPr>
            <w:bCs/>
          </w:rPr>
          <w:t>0</w:t>
        </w:r>
      </w:ins>
      <w:del w:id="65"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66" w:author="Preferred Customer" w:date="2012-09-04T07:46:00Z">
        <w:r w:rsidR="00510735">
          <w:rPr>
            <w:bCs/>
          </w:rPr>
          <w:t>1</w:t>
        </w:r>
      </w:ins>
      <w:del w:id="67"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68" w:author="Preferred Customer" w:date="2012-09-04T07:46:00Z">
        <w:r w:rsidR="00510735">
          <w:rPr>
            <w:bCs/>
          </w:rPr>
          <w:t>2</w:t>
        </w:r>
      </w:ins>
      <w:del w:id="69"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70" w:author="Preferred Customer" w:date="2012-09-04T07:46:00Z">
        <w:r w:rsidR="00510735">
          <w:rPr>
            <w:bCs/>
          </w:rPr>
          <w:t>3</w:t>
        </w:r>
      </w:ins>
      <w:del w:id="71"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72" w:author="Preferred Customer" w:date="2012-12-28T11:11:00Z">
        <w:r w:rsidRPr="003E6D37" w:rsidDel="0056773E">
          <w:rPr>
            <w:bCs/>
          </w:rPr>
          <w:delText>the Department</w:delText>
        </w:r>
      </w:del>
      <w:ins w:id="73"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74" w:author="Preferred Customer" w:date="2012-09-04T07:47:00Z">
        <w:r w:rsidR="00510735">
          <w:rPr>
            <w:bCs/>
          </w:rPr>
          <w:t>4</w:t>
        </w:r>
      </w:ins>
      <w:del w:id="75"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76" w:author="Preferred Customer" w:date="2012-09-04T07:47:00Z">
        <w:r w:rsidR="00510735">
          <w:rPr>
            <w:bCs/>
          </w:rPr>
          <w:t>5</w:t>
        </w:r>
      </w:ins>
      <w:del w:id="77"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78" w:author="Preferred Customer" w:date="2012-09-04T07:47:00Z">
        <w:r w:rsidR="00510735">
          <w:rPr>
            <w:bCs/>
          </w:rPr>
          <w:t>6</w:t>
        </w:r>
      </w:ins>
      <w:del w:id="79"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80" w:author="Preferred Customer" w:date="2012-09-04T07:47:00Z">
        <w:r w:rsidR="00510735">
          <w:rPr>
            <w:bCs/>
          </w:rPr>
          <w:t>37</w:t>
        </w:r>
      </w:ins>
      <w:del w:id="81"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82" w:author="Preferred Customer" w:date="2012-12-28T11:17:00Z"/>
          <w:bCs/>
        </w:rPr>
      </w:pPr>
      <w:del w:id="83"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84" w:author="Preferred Customer" w:date="2012-09-04T07:54:00Z"/>
          <w:bCs/>
        </w:rPr>
      </w:pPr>
      <w:del w:id="85" w:author="Preferred Customer" w:date="2012-09-04T07:54:00Z">
        <w:r w:rsidRPr="003E6D37" w:rsidDel="0045635C">
          <w:rPr>
            <w:bCs/>
          </w:rPr>
          <w:delText>(42) "</w:delText>
        </w:r>
        <w:r w:rsidR="00837B6F" w:rsidRPr="00DC586F">
          <w:rPr>
            <w:bCs/>
          </w:rPr>
          <w:delText>Major modification</w:delText>
        </w:r>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86" w:author="Preferred Customer" w:date="2012-09-04T07:54:00Z"/>
          <w:bCs/>
        </w:rPr>
      </w:pPr>
      <w:ins w:id="87" w:author="Preferred Customer" w:date="2012-09-04T07:54:00Z">
        <w:r w:rsidRPr="003E6D37" w:rsidDel="0045635C">
          <w:rPr>
            <w:bCs/>
          </w:rPr>
          <w:t xml:space="preserve"> </w:t>
        </w:r>
      </w:ins>
      <w:del w:id="88"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89" w:author="Preferred Customer" w:date="2013-03-31T22:44:00Z">
        <w:r w:rsidR="00B44445">
          <w:rPr>
            <w:bCs/>
          </w:rPr>
          <w:t>38</w:t>
        </w:r>
      </w:ins>
      <w:del w:id="90"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91" w:author="Preferred Customer" w:date="2013-03-31T22:44:00Z">
        <w:r w:rsidR="00B44445">
          <w:rPr>
            <w:bCs/>
          </w:rPr>
          <w:t>39</w:t>
        </w:r>
      </w:ins>
      <w:del w:id="92"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93" w:author="Preferred Customer" w:date="2013-03-31T22:44:00Z">
        <w:r w:rsidR="00B44445">
          <w:rPr>
            <w:bCs/>
          </w:rPr>
          <w:t>0</w:t>
        </w:r>
      </w:ins>
      <w:del w:id="94"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95" w:author="Preferred Customer" w:date="2013-03-31T22:45:00Z">
        <w:r w:rsidR="00B44445">
          <w:rPr>
            <w:bCs/>
          </w:rPr>
          <w:t>1</w:t>
        </w:r>
      </w:ins>
      <w:del w:id="96"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97" w:author="Preferred Customer" w:date="2013-03-31T22:45:00Z">
        <w:r w:rsidR="00B44445">
          <w:rPr>
            <w:bCs/>
          </w:rPr>
          <w:t>2</w:t>
        </w:r>
      </w:ins>
      <w:del w:id="98"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99" w:author="Preferred Customer" w:date="2013-03-31T22:45:00Z">
        <w:r w:rsidR="00B44445">
          <w:rPr>
            <w:bCs/>
          </w:rPr>
          <w:t>3</w:t>
        </w:r>
      </w:ins>
      <w:del w:id="100"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101" w:author="Preferred Customer" w:date="2013-03-31T22:45:00Z">
        <w:r w:rsidR="00B44445">
          <w:rPr>
            <w:bCs/>
          </w:rPr>
          <w:t>44</w:t>
        </w:r>
      </w:ins>
      <w:del w:id="102"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103" w:author="Preferred Customer" w:date="2013-03-31T22:45:00Z">
        <w:r w:rsidR="00B44445">
          <w:rPr>
            <w:bCs/>
          </w:rPr>
          <w:t>45</w:t>
        </w:r>
      </w:ins>
      <w:del w:id="104" w:author="Preferred Customer" w:date="2013-03-31T22:45:00Z">
        <w:r w:rsidRPr="003E6D37" w:rsidDel="00B44445">
          <w:rPr>
            <w:bCs/>
          </w:rPr>
          <w:delText>51</w:delText>
        </w:r>
      </w:del>
      <w:r w:rsidRPr="003E6D37">
        <w:rPr>
          <w:bCs/>
        </w:rPr>
        <w:t>) "Oven</w:t>
      </w:r>
      <w:del w:id="105" w:author="Preferred Customer" w:date="2013-03-31T22:47:00Z">
        <w:r w:rsidRPr="003E6D37" w:rsidDel="009E2191">
          <w:rPr>
            <w:bCs/>
          </w:rPr>
          <w:delText>-</w:delText>
        </w:r>
      </w:del>
      <w:ins w:id="106"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107" w:author="Preferred Customer" w:date="2013-03-31T22:45:00Z">
        <w:r w:rsidR="00B44445">
          <w:rPr>
            <w:bCs/>
          </w:rPr>
          <w:t>46</w:t>
        </w:r>
      </w:ins>
      <w:del w:id="108"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109" w:author="Preferred Customer" w:date="2013-03-31T22:45:00Z">
        <w:r w:rsidR="00B44445">
          <w:rPr>
            <w:bCs/>
          </w:rPr>
          <w:t>47</w:t>
        </w:r>
      </w:ins>
      <w:del w:id="110"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111" w:author="Preferred Customer" w:date="2012-09-04T07:55:00Z"/>
          <w:bCs/>
        </w:rPr>
      </w:pPr>
      <w:ins w:id="112" w:author="Preferred Customer" w:date="2012-09-04T07:55:00Z">
        <w:r w:rsidRPr="003E6D37" w:rsidDel="0045635C">
          <w:rPr>
            <w:bCs/>
          </w:rPr>
          <w:t xml:space="preserve"> </w:t>
        </w:r>
      </w:ins>
      <w:del w:id="113"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14" w:author="Preferred Customer" w:date="2013-03-31T22:45:00Z">
        <w:r w:rsidR="00B44445">
          <w:rPr>
            <w:bCs/>
          </w:rPr>
          <w:t>48</w:t>
        </w:r>
      </w:ins>
      <w:del w:id="115"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16" w:author="Preferred Customer" w:date="2012-12-28T11:20:00Z"/>
          <w:bCs/>
        </w:rPr>
      </w:pPr>
      <w:del w:id="117"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18" w:author="Preferred Customer" w:date="2012-09-04T07:56:00Z"/>
          <w:bCs/>
        </w:rPr>
      </w:pPr>
      <w:del w:id="119"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120" w:author="Preferred Customer" w:date="2012-09-04T07:57:00Z"/>
          <w:bCs/>
        </w:rPr>
      </w:pPr>
      <w:r w:rsidRPr="003E6D37">
        <w:rPr>
          <w:bCs/>
        </w:rPr>
        <w:t>(</w:t>
      </w:r>
      <w:ins w:id="121" w:author="Preferred Customer" w:date="2013-03-31T22:45:00Z">
        <w:r w:rsidR="00B44445">
          <w:rPr>
            <w:bCs/>
          </w:rPr>
          <w:t>49</w:t>
        </w:r>
      </w:ins>
      <w:del w:id="122"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23" w:author="Preferred Customer" w:date="2012-09-04T07:57:00Z" w:name="move334508777"/>
      <w:moveTo w:id="124" w:author="Preferred Customer" w:date="2012-09-04T07:57:00Z">
        <w:r w:rsidRPr="003E6D37">
          <w:rPr>
            <w:bCs/>
          </w:rPr>
          <w:t>(</w:t>
        </w:r>
      </w:moveTo>
      <w:ins w:id="125" w:author="Preferred Customer" w:date="2013-03-31T22:45:00Z">
        <w:r w:rsidR="009E2191">
          <w:rPr>
            <w:bCs/>
          </w:rPr>
          <w:t>50</w:t>
        </w:r>
      </w:ins>
      <w:moveTo w:id="126" w:author="Preferred Customer" w:date="2012-09-04T07:57:00Z">
        <w:del w:id="127"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23"/>
    <w:p w:rsidR="003E6D37" w:rsidRPr="003E6D37" w:rsidRDefault="003E6D37" w:rsidP="003E6D37">
      <w:pPr>
        <w:spacing w:after="0" w:line="240" w:lineRule="auto"/>
        <w:rPr>
          <w:bCs/>
        </w:rPr>
      </w:pPr>
      <w:r w:rsidRPr="003E6D37">
        <w:rPr>
          <w:bCs/>
        </w:rPr>
        <w:t>(5</w:t>
      </w:r>
      <w:ins w:id="128" w:author="Preferred Customer" w:date="2013-03-31T22:45:00Z">
        <w:r w:rsidR="009E2191">
          <w:rPr>
            <w:bCs/>
          </w:rPr>
          <w:t>1</w:t>
        </w:r>
      </w:ins>
      <w:del w:id="129"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30" w:author="Preferred Customer" w:date="2013-03-31T22:45:00Z">
        <w:r w:rsidR="009E2191">
          <w:rPr>
            <w:bCs/>
          </w:rPr>
          <w:t>52</w:t>
        </w:r>
      </w:ins>
      <w:del w:id="131"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32" w:author="Preferred Customer" w:date="2012-09-04T07:57:00Z">
        <w:r w:rsidRPr="003E6D37" w:rsidDel="0045635C">
          <w:rPr>
            <w:bCs/>
          </w:rPr>
          <w:t xml:space="preserve"> </w:t>
        </w:r>
      </w:ins>
      <w:moveFromRangeStart w:id="133" w:author="Preferred Customer" w:date="2012-09-04T07:57:00Z" w:name="move334508777"/>
      <w:moveFrom w:id="134" w:author="Preferred Customer" w:date="2012-09-04T07:57:00Z">
        <w:r w:rsidR="003E6D37" w:rsidRPr="003E6D37" w:rsidDel="0045635C">
          <w:rPr>
            <w:bCs/>
          </w:rPr>
          <w:t>(61) "Prime coat" means the first of two or more films of coating applied in an operation.</w:t>
        </w:r>
      </w:moveFrom>
    </w:p>
    <w:moveFromRangeEnd w:id="133"/>
    <w:p w:rsidR="003E6D37" w:rsidRPr="003E6D37" w:rsidRDefault="003E6D37" w:rsidP="003E6D37">
      <w:pPr>
        <w:spacing w:after="0" w:line="240" w:lineRule="auto"/>
        <w:rPr>
          <w:bCs/>
        </w:rPr>
      </w:pPr>
      <w:r w:rsidRPr="003E6D37">
        <w:rPr>
          <w:bCs/>
        </w:rPr>
        <w:t>(</w:t>
      </w:r>
      <w:ins w:id="135" w:author="jinahar" w:date="2013-04-16T09:11:00Z">
        <w:r w:rsidR="008532B3">
          <w:rPr>
            <w:bCs/>
          </w:rPr>
          <w:t>53</w:t>
        </w:r>
      </w:ins>
      <w:del w:id="136"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37" w:author="Preferred Customer" w:date="2013-03-31T22:46:00Z">
        <w:r w:rsidR="009E2191">
          <w:rPr>
            <w:bCs/>
          </w:rPr>
          <w:t>5</w:t>
        </w:r>
      </w:ins>
      <w:ins w:id="138" w:author="jinahar" w:date="2013-04-16T09:11:00Z">
        <w:r w:rsidR="008532B3">
          <w:rPr>
            <w:bCs/>
          </w:rPr>
          <w:t>4</w:t>
        </w:r>
      </w:ins>
      <w:del w:id="139"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40" w:author="Preferred Customer" w:date="2013-03-31T22:46:00Z">
        <w:r w:rsidR="009E2191">
          <w:rPr>
            <w:bCs/>
          </w:rPr>
          <w:t>5</w:t>
        </w:r>
      </w:ins>
      <w:ins w:id="141" w:author="jinahar" w:date="2013-04-16T09:11:00Z">
        <w:r w:rsidR="008532B3">
          <w:rPr>
            <w:bCs/>
          </w:rPr>
          <w:t>5</w:t>
        </w:r>
      </w:ins>
      <w:del w:id="142"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43" w:author="Preferred Customer" w:date="2013-03-31T22:46:00Z">
        <w:r w:rsidR="009E2191">
          <w:rPr>
            <w:bCs/>
          </w:rPr>
          <w:t>5</w:t>
        </w:r>
      </w:ins>
      <w:ins w:id="144" w:author="jinahar" w:date="2013-04-16T09:11:00Z">
        <w:r w:rsidR="008532B3">
          <w:rPr>
            <w:bCs/>
          </w:rPr>
          <w:t>6</w:t>
        </w:r>
      </w:ins>
      <w:del w:id="145" w:author="Preferred Customer" w:date="2013-03-31T22:52:00Z">
        <w:r w:rsidRPr="003E6D37" w:rsidDel="00C9252E">
          <w:rPr>
            <w:bCs/>
          </w:rPr>
          <w:delText>6</w:delText>
        </w:r>
      </w:del>
      <w:del w:id="146"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47" w:author="Preferred Customer" w:date="2013-03-31T22:46:00Z">
        <w:r w:rsidR="009E2191">
          <w:rPr>
            <w:bCs/>
          </w:rPr>
          <w:t>5</w:t>
        </w:r>
      </w:ins>
      <w:ins w:id="148" w:author="jinahar" w:date="2013-04-16T09:11:00Z">
        <w:r w:rsidR="008532B3">
          <w:rPr>
            <w:bCs/>
          </w:rPr>
          <w:t>7</w:t>
        </w:r>
      </w:ins>
      <w:del w:id="149"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50" w:author="Preferred Customer" w:date="2012-12-28T11:25:00Z"/>
          <w:bCs/>
        </w:rPr>
      </w:pPr>
      <w:del w:id="151"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52" w:author="Preferred Customer" w:date="2012-09-04T08:04:00Z"/>
          <w:bCs/>
        </w:rPr>
      </w:pPr>
      <w:del w:id="153"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54" w:author="Preferred Customer" w:date="2012-09-04T08:05:00Z"/>
          <w:bCs/>
        </w:rPr>
      </w:pPr>
      <w:ins w:id="155" w:author="Preferred Customer" w:date="2012-09-04T08:05:00Z">
        <w:r w:rsidRPr="003E6D37" w:rsidDel="00CA4FE9">
          <w:rPr>
            <w:bCs/>
          </w:rPr>
          <w:t xml:space="preserve"> </w:t>
        </w:r>
      </w:ins>
      <w:del w:id="156"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57" w:author="Preferred Customer" w:date="2013-03-31T22:46:00Z">
        <w:r w:rsidR="009E2191">
          <w:rPr>
            <w:bCs/>
          </w:rPr>
          <w:t>5</w:t>
        </w:r>
      </w:ins>
      <w:ins w:id="158" w:author="jinahar" w:date="2013-04-16T09:11:00Z">
        <w:r w:rsidR="008532B3">
          <w:rPr>
            <w:bCs/>
          </w:rPr>
          <w:t>8</w:t>
        </w:r>
      </w:ins>
      <w:del w:id="159"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60" w:author="Preferred Customer" w:date="2013-03-31T22:46:00Z">
        <w:r w:rsidR="009E2191">
          <w:rPr>
            <w:bCs/>
          </w:rPr>
          <w:t>5</w:t>
        </w:r>
      </w:ins>
      <w:ins w:id="161" w:author="jinahar" w:date="2013-04-16T09:11:00Z">
        <w:r w:rsidR="008532B3">
          <w:rPr>
            <w:bCs/>
          </w:rPr>
          <w:t>9</w:t>
        </w:r>
      </w:ins>
      <w:del w:id="162"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63" w:author="jinahar" w:date="2013-04-16T09:11:00Z">
        <w:r w:rsidR="008532B3">
          <w:rPr>
            <w:bCs/>
          </w:rPr>
          <w:t>60</w:t>
        </w:r>
      </w:ins>
      <w:del w:id="164"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65" w:author="Preferred Customer" w:date="2013-03-31T22:46:00Z">
        <w:r w:rsidR="009E2191">
          <w:rPr>
            <w:bCs/>
          </w:rPr>
          <w:t>6</w:t>
        </w:r>
      </w:ins>
      <w:ins w:id="166" w:author="jinahar" w:date="2013-04-16T09:12:00Z">
        <w:r w:rsidR="008532B3">
          <w:rPr>
            <w:bCs/>
          </w:rPr>
          <w:t>1</w:t>
        </w:r>
      </w:ins>
      <w:del w:id="167"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68" w:author="Preferred Customer" w:date="2013-03-31T22:46:00Z">
        <w:r w:rsidR="009E2191">
          <w:rPr>
            <w:bCs/>
          </w:rPr>
          <w:t>6</w:t>
        </w:r>
      </w:ins>
      <w:ins w:id="169" w:author="jinahar" w:date="2013-04-16T09:12:00Z">
        <w:r w:rsidR="008532B3">
          <w:rPr>
            <w:bCs/>
          </w:rPr>
          <w:t>2</w:t>
        </w:r>
      </w:ins>
      <w:del w:id="170"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71" w:author="Preferred Customer" w:date="2013-03-31T22:46:00Z">
        <w:r w:rsidR="009E2191">
          <w:rPr>
            <w:bCs/>
          </w:rPr>
          <w:t>6</w:t>
        </w:r>
      </w:ins>
      <w:ins w:id="172" w:author="jinahar" w:date="2013-04-16T09:12:00Z">
        <w:r w:rsidR="008532B3">
          <w:rPr>
            <w:bCs/>
          </w:rPr>
          <w:t>3</w:t>
        </w:r>
      </w:ins>
      <w:del w:id="173"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74" w:author="Preferred Customer" w:date="2013-03-31T22:46:00Z">
        <w:r w:rsidR="009E2191">
          <w:rPr>
            <w:bCs/>
          </w:rPr>
          <w:t>6</w:t>
        </w:r>
      </w:ins>
      <w:ins w:id="175" w:author="jinahar" w:date="2013-04-16T09:12:00Z">
        <w:r w:rsidR="008532B3">
          <w:rPr>
            <w:bCs/>
          </w:rPr>
          <w:t>4</w:t>
        </w:r>
      </w:ins>
      <w:del w:id="176"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77" w:author="Preferred Customer" w:date="2013-03-31T22:46:00Z">
        <w:r w:rsidR="009E2191">
          <w:rPr>
            <w:bCs/>
          </w:rPr>
          <w:t>6</w:t>
        </w:r>
      </w:ins>
      <w:ins w:id="178" w:author="jinahar" w:date="2013-04-16T09:12:00Z">
        <w:r w:rsidR="008532B3">
          <w:rPr>
            <w:bCs/>
          </w:rPr>
          <w:t>5</w:t>
        </w:r>
      </w:ins>
      <w:del w:id="179"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180" w:author="Preferred Customer" w:date="2012-12-28T11:11:00Z">
        <w:r w:rsidRPr="003E6D37" w:rsidDel="0056773E">
          <w:rPr>
            <w:bCs/>
          </w:rPr>
          <w:delText>the Department</w:delText>
        </w:r>
      </w:del>
      <w:ins w:id="181"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82" w:author="Preferred Customer" w:date="2012-12-28T11:11:00Z">
        <w:r w:rsidRPr="003E6D37" w:rsidDel="0056773E">
          <w:rPr>
            <w:bCs/>
          </w:rPr>
          <w:delText>the Department</w:delText>
        </w:r>
      </w:del>
      <w:ins w:id="183" w:author="Preferred Customer" w:date="2012-12-28T11:11:00Z">
        <w:r w:rsidR="0056773E">
          <w:rPr>
            <w:bCs/>
          </w:rPr>
          <w:t>DEQ</w:t>
        </w:r>
      </w:ins>
      <w:r w:rsidRPr="003E6D37">
        <w:rPr>
          <w:bCs/>
        </w:rPr>
        <w:t xml:space="preserve"> that </w:t>
      </w:r>
      <w:del w:id="184" w:author="Garrahan Paul" w:date="2013-08-19T11:50:00Z">
        <w:r w:rsidRPr="003E6D37" w:rsidDel="0087525A">
          <w:rPr>
            <w:bCs/>
          </w:rPr>
          <w:delText xml:space="preserve">their </w:delText>
        </w:r>
      </w:del>
      <w:ins w:id="185" w:author="Garrahan Paul" w:date="2013-08-19T11:50:00Z">
        <w:r w:rsidR="0087525A" w:rsidRPr="0087525A">
          <w:rPr>
            <w:bCs/>
            <w:highlight w:val="yellow"/>
            <w:rPrChange w:id="186" w:author="Garrahan Paul" w:date="2013-08-19T11:50:00Z">
              <w:rPr>
                <w:bCs/>
              </w:rPr>
            </w:rPrChange>
          </w:rPr>
          <w:t>its</w:t>
        </w:r>
        <w:r w:rsidR="0087525A" w:rsidRPr="003E6D37">
          <w:rPr>
            <w:bCs/>
          </w:rPr>
          <w:t xml:space="preserve"> </w:t>
        </w:r>
      </w:ins>
      <w:commentRangeStart w:id="187"/>
      <w:r w:rsidRPr="003E6D37">
        <w:rPr>
          <w:bCs/>
        </w:rPr>
        <w:t xml:space="preserve">potential emissions </w:t>
      </w:r>
      <w:commentRangeEnd w:id="187"/>
      <w:r w:rsidR="006D33FE">
        <w:rPr>
          <w:rStyle w:val="CommentReference"/>
        </w:rPr>
        <w:commentReference w:id="187"/>
      </w:r>
      <w:r w:rsidR="004D45B4" w:rsidRPr="00285BED">
        <w:rPr>
          <w:bCs/>
        </w:rPr>
        <w:t>before add-on controls</w:t>
      </w:r>
      <w:r w:rsidRPr="003E6D37">
        <w:rPr>
          <w:bCs/>
        </w:rPr>
        <w:t xml:space="preserve"> are </w:t>
      </w:r>
      <w:del w:id="188" w:author="Garrahan Paul" w:date="2013-08-19T11:51:00Z">
        <w:r w:rsidRPr="003E6D37" w:rsidDel="00123564">
          <w:rPr>
            <w:bCs/>
          </w:rPr>
          <w:delText xml:space="preserve">below </w:delText>
        </w:r>
      </w:del>
      <w:ins w:id="189" w:author="Garrahan Paul" w:date="2013-08-19T11:51:00Z">
        <w:r w:rsidR="00123564" w:rsidRPr="00123564">
          <w:rPr>
            <w:bCs/>
            <w:highlight w:val="yellow"/>
            <w:rPrChange w:id="190" w:author="Garrahan Paul" w:date="2013-08-19T11:51:00Z">
              <w:rPr>
                <w:bCs/>
              </w:rPr>
            </w:rPrChange>
          </w:rPr>
          <w:t>less than</w:t>
        </w:r>
        <w:r w:rsidR="00123564" w:rsidRPr="003E6D37">
          <w:rPr>
            <w:bCs/>
          </w:rPr>
          <w:t xml:space="preserve"> </w:t>
        </w:r>
      </w:ins>
      <w:r w:rsidRPr="003E6D37">
        <w:rPr>
          <w:bCs/>
        </w:rPr>
        <w:t xml:space="preserve">100 tons per year. Once a source becomes subject to RACT requirements under this section, it shall continue to be subject to RACT, unless VOC emissions fall below 100 tons per year and the source requests that RACT be removed, by demonstrating to </w:t>
      </w:r>
      <w:del w:id="191" w:author="Preferred Customer" w:date="2012-12-28T11:11:00Z">
        <w:r w:rsidRPr="003E6D37" w:rsidDel="0056773E">
          <w:rPr>
            <w:bCs/>
          </w:rPr>
          <w:delText>the Department</w:delText>
        </w:r>
      </w:del>
      <w:ins w:id="192" w:author="Preferred Customer" w:date="2012-12-28T11:11:00Z">
        <w:r w:rsidR="0056773E">
          <w:rPr>
            <w:bCs/>
          </w:rPr>
          <w:t>DEQ</w:t>
        </w:r>
      </w:ins>
      <w:r w:rsidRPr="003E6D37">
        <w:rPr>
          <w:bCs/>
        </w:rPr>
        <w:t xml:space="preserve"> that </w:t>
      </w:r>
      <w:del w:id="193" w:author="Garrahan Paul" w:date="2013-08-19T11:53:00Z">
        <w:r w:rsidRPr="003E6D37" w:rsidDel="00123564">
          <w:rPr>
            <w:bCs/>
          </w:rPr>
          <w:delText xml:space="preserve">their </w:delText>
        </w:r>
      </w:del>
      <w:ins w:id="194" w:author="Garrahan Paul" w:date="2013-08-19T11:53:00Z">
        <w:r w:rsidR="00123564">
          <w:rPr>
            <w:bCs/>
          </w:rPr>
          <w:t>its</w:t>
        </w:r>
        <w:r w:rsidR="00123564" w:rsidRPr="003E6D37">
          <w:rPr>
            <w:bCs/>
          </w:rPr>
          <w:t xml:space="preserve"> </w:t>
        </w:r>
      </w:ins>
      <w:r w:rsidRPr="003E6D37">
        <w:rPr>
          <w:bCs/>
        </w:rPr>
        <w:t xml:space="preserve">potential VOC emissions before add-on controls are </w:t>
      </w:r>
      <w:del w:id="195" w:author="Garrahan Paul" w:date="2013-08-19T11:54:00Z">
        <w:r w:rsidRPr="003E6D37" w:rsidDel="00123564">
          <w:rPr>
            <w:bCs/>
          </w:rPr>
          <w:delText xml:space="preserve">below </w:delText>
        </w:r>
      </w:del>
      <w:ins w:id="196" w:author="Garrahan Paul" w:date="2013-08-19T11:54:00Z">
        <w:r w:rsidR="00123564" w:rsidRPr="00123564">
          <w:rPr>
            <w:bCs/>
            <w:highlight w:val="yellow"/>
            <w:rPrChange w:id="197" w:author="Garrahan Paul" w:date="2013-08-19T11:54:00Z">
              <w:rPr>
                <w:bCs/>
              </w:rPr>
            </w:rPrChange>
          </w:rPr>
          <w:t>less than</w:t>
        </w:r>
        <w:r w:rsidR="00123564" w:rsidRPr="003E6D37">
          <w:rPr>
            <w:bCs/>
          </w:rPr>
          <w:t xml:space="preserve"> </w:t>
        </w:r>
      </w:ins>
      <w:r w:rsidRPr="003E6D37">
        <w:rPr>
          <w:bCs/>
        </w:rPr>
        <w:t>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98" w:author="Preferred Customer" w:date="2012-12-28T11:11:00Z">
        <w:r w:rsidRPr="003E6D37" w:rsidDel="0056773E">
          <w:rPr>
            <w:bCs/>
          </w:rPr>
          <w:delText>the Department</w:delText>
        </w:r>
      </w:del>
      <w:ins w:id="199" w:author="Preferred Customer" w:date="2012-12-28T11:11:00Z">
        <w:r w:rsidR="0056773E">
          <w:rPr>
            <w:bCs/>
          </w:rPr>
          <w:t>DEQ</w:t>
        </w:r>
      </w:ins>
      <w:r w:rsidRPr="003E6D37">
        <w:rPr>
          <w:bCs/>
        </w:rPr>
        <w:t xml:space="preserve"> of the applicability of this rule, or, for good cause shown, up to an additional three months as approved by </w:t>
      </w:r>
      <w:del w:id="200" w:author="Preferred Customer" w:date="2012-12-28T11:11:00Z">
        <w:r w:rsidRPr="003E6D37" w:rsidDel="0056773E">
          <w:rPr>
            <w:bCs/>
          </w:rPr>
          <w:delText>the Department</w:delText>
        </w:r>
      </w:del>
      <w:ins w:id="201" w:author="Preferred Customer" w:date="2012-12-28T11:11:00Z">
        <w:r w:rsidR="0056773E">
          <w:rPr>
            <w:bCs/>
          </w:rPr>
          <w:t>DEQ</w:t>
        </w:r>
      </w:ins>
      <w:r w:rsidRPr="003E6D37">
        <w:rPr>
          <w:bCs/>
        </w:rPr>
        <w:t xml:space="preserve">, the source shall submit to </w:t>
      </w:r>
      <w:del w:id="202" w:author="Preferred Customer" w:date="2012-12-28T11:11:00Z">
        <w:r w:rsidRPr="003E6D37" w:rsidDel="0056773E">
          <w:rPr>
            <w:bCs/>
          </w:rPr>
          <w:delText>the Department</w:delText>
        </w:r>
      </w:del>
      <w:ins w:id="203"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204" w:author="Preferred Customer" w:date="2012-12-28T11:11:00Z">
        <w:r w:rsidRPr="003E6D37" w:rsidDel="0056773E">
          <w:rPr>
            <w:bCs/>
          </w:rPr>
          <w:delText>the Department</w:delText>
        </w:r>
      </w:del>
      <w:ins w:id="205"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206" w:author="Preferred Customer" w:date="2012-12-28T11:11:00Z">
        <w:r w:rsidRPr="003E6D37" w:rsidDel="0056773E">
          <w:rPr>
            <w:bCs/>
          </w:rPr>
          <w:delText>the Department</w:delText>
        </w:r>
      </w:del>
      <w:ins w:id="207"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208" w:author="Preferred Customer" w:date="2012-12-28T11:11:00Z">
        <w:r w:rsidRPr="003E6D37" w:rsidDel="0056773E">
          <w:rPr>
            <w:bCs/>
          </w:rPr>
          <w:delText>the Department</w:delText>
        </w:r>
      </w:del>
      <w:ins w:id="209"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210" w:author="pcuser" w:date="2013-06-11T13:46:00Z"/>
          <w:bCs/>
        </w:rPr>
      </w:pPr>
      <w:r w:rsidRPr="003E6D37">
        <w:rPr>
          <w:bCs/>
        </w:rPr>
        <w:t xml:space="preserve">(1) Certification and test procedures required by this division shall be conducted in accordance with </w:t>
      </w:r>
      <w:del w:id="211" w:author="Preferred Customer" w:date="2012-12-28T11:11:00Z">
        <w:r w:rsidRPr="003E6D37" w:rsidDel="0056773E">
          <w:rPr>
            <w:bCs/>
          </w:rPr>
          <w:delText>the Department</w:delText>
        </w:r>
      </w:del>
      <w:ins w:id="212" w:author="Preferred Customer" w:date="2012-12-28T11:11:00Z">
        <w:r w:rsidR="0056773E">
          <w:rPr>
            <w:bCs/>
          </w:rPr>
          <w:t>DEQ</w:t>
        </w:r>
      </w:ins>
      <w:r w:rsidRPr="003E6D37">
        <w:rPr>
          <w:bCs/>
        </w:rPr>
        <w:t xml:space="preserve">'s </w:t>
      </w:r>
      <w:r w:rsidRPr="003E6D37">
        <w:rPr>
          <w:b/>
          <w:bCs/>
        </w:rPr>
        <w:t>Source Sampling Manual</w:t>
      </w:r>
      <w:r w:rsidRPr="003E6D37">
        <w:rPr>
          <w:bCs/>
        </w:rPr>
        <w:t xml:space="preserve">. </w:t>
      </w:r>
      <w:del w:id="213" w:author="pcuser" w:date="2013-06-11T13:46:00Z">
        <w:r w:rsidRPr="003E6D37"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3E6D37" w:rsidRPr="003E6D37" w:rsidRDefault="003E6D37" w:rsidP="003E6D37">
      <w:pPr>
        <w:spacing w:after="0" w:line="240" w:lineRule="auto"/>
        <w:rPr>
          <w:bCs/>
        </w:rPr>
      </w:pPr>
      <w:r w:rsidRPr="003E6D37">
        <w:rPr>
          <w:bCs/>
        </w:rPr>
        <w:lastRenderedPageBreak/>
        <w:t xml:space="preserve">(2) Approval by </w:t>
      </w:r>
      <w:del w:id="214" w:author="Preferred Customer" w:date="2012-12-28T11:11:00Z">
        <w:r w:rsidRPr="003E6D37" w:rsidDel="0056773E">
          <w:rPr>
            <w:bCs/>
          </w:rPr>
          <w:delText>the Department</w:delText>
        </w:r>
      </w:del>
      <w:ins w:id="215"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w:t>
      </w:r>
      <w:del w:id="216" w:author="jinahar" w:date="2013-06-21T16:11:00Z">
        <w:r w:rsidRPr="003E6D37" w:rsidDel="000A1031">
          <w:rPr>
            <w:bCs/>
          </w:rPr>
          <w:delText>, or equivalent system</w:delText>
        </w:r>
      </w:del>
      <w:del w:id="217" w:author="pcuser" w:date="2013-06-11T13:53:00Z">
        <w:r w:rsidRPr="003E6D37" w:rsidDel="009E7423">
          <w:rPr>
            <w:bCs/>
          </w:rPr>
          <w:delText xml:space="preserve"> </w:delText>
        </w:r>
      </w:del>
      <w:del w:id="218" w:author="pcuser" w:date="2013-06-11T13:48:00Z">
        <w:r w:rsidRPr="003E6D37" w:rsidDel="0062379E">
          <w:rPr>
            <w:bCs/>
          </w:rPr>
          <w:delText xml:space="preserve">as </w:delText>
        </w:r>
      </w:del>
      <w:del w:id="219" w:author="pcuser" w:date="2013-06-11T13:53:00Z">
        <w:r w:rsidR="00837B6F" w:rsidRPr="009E7423" w:rsidDel="009E7423">
          <w:rPr>
            <w:bCs/>
          </w:rPr>
          <w:delText>approved in writing</w:delText>
        </w:r>
        <w:r w:rsidRPr="003E6D37" w:rsidDel="009E7423">
          <w:rPr>
            <w:bCs/>
          </w:rPr>
          <w:delText xml:space="preserve"> by the Department</w:delText>
        </w:r>
      </w:del>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220" w:author="pcuser" w:date="2013-06-11T13:52:00Z">
        <w:r w:rsidRPr="003E6D37" w:rsidDel="0062379E">
          <w:rPr>
            <w:bCs/>
          </w:rPr>
          <w:delText xml:space="preserve"> or some other setting </w:delText>
        </w:r>
        <w:r w:rsidR="00837B6F" w:rsidRPr="0062379E" w:rsidDel="0062379E">
          <w:rPr>
            <w:bCs/>
          </w:rPr>
          <w:delText>approved in writing by the Department</w:delText>
        </w:r>
      </w:del>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FE138F" w:rsidRDefault="00FE138F" w:rsidP="003E6D37">
      <w:pPr>
        <w:spacing w:after="0" w:line="240" w:lineRule="auto"/>
        <w:rPr>
          <w:b/>
          <w:bCs/>
        </w:rPr>
      </w:pPr>
    </w:p>
    <w:p w:rsidR="00833C2D" w:rsidRDefault="00833C2D">
      <w:pPr>
        <w:rPr>
          <w:ins w:id="221" w:author="jinahar" w:date="2013-06-21T15:07:00Z"/>
          <w:b/>
          <w:bCs/>
        </w:rPr>
      </w:pPr>
      <w:ins w:id="222" w:author="jinahar" w:date="2013-06-21T15:07:00Z">
        <w:r>
          <w:rPr>
            <w:b/>
            <w:bCs/>
          </w:rPr>
          <w:br w:type="page"/>
        </w:r>
      </w:ins>
    </w:p>
    <w:p w:rsidR="003E6D37" w:rsidRPr="003E6D37" w:rsidRDefault="003E6D37" w:rsidP="003E6D37">
      <w:pPr>
        <w:spacing w:after="0" w:line="240" w:lineRule="auto"/>
      </w:pPr>
      <w:r w:rsidRPr="003E6D37">
        <w:rPr>
          <w:b/>
          <w:bCs/>
        </w:rPr>
        <w:lastRenderedPageBreak/>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w:t>
      </w:r>
      <w:del w:id="223" w:author="jinahar" w:date="2013-06-21T16:11:00Z">
        <w:r w:rsidRPr="003E6D37" w:rsidDel="000A1031">
          <w:delText xml:space="preserve">, </w:delText>
        </w:r>
      </w:del>
      <w:del w:id="224" w:author="pcuser" w:date="2013-06-11T13:55:00Z">
        <w:r w:rsidRPr="003E6D37" w:rsidDel="006161B9">
          <w:delText xml:space="preserve">or equivalent system as </w:delText>
        </w:r>
        <w:r w:rsidR="00837B6F" w:rsidRPr="006161B9" w:rsidDel="006161B9">
          <w:delText>approved in writing</w:delText>
        </w:r>
        <w:r w:rsidRPr="003E6D37" w:rsidDel="006161B9">
          <w:delText xml:space="preserve"> by DEQ</w:delText>
        </w:r>
      </w:del>
      <w:r w:rsidRPr="003E6D37">
        <w:t>.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lastRenderedPageBreak/>
        <w:t xml:space="preserve">(2) Compliance with section (1) of this rule shall be determined by testing in accordance with Method 33 on file with </w:t>
      </w:r>
      <w:del w:id="225" w:author="Preferred Customer" w:date="2012-12-28T11:11:00Z">
        <w:r w:rsidRPr="003E6D37" w:rsidDel="0056773E">
          <w:delText>the Department</w:delText>
        </w:r>
      </w:del>
      <w:ins w:id="226"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27" w:author="Preferred Customer" w:date="2012-12-28T11:11:00Z">
        <w:r w:rsidRPr="003E6D37" w:rsidDel="0056773E">
          <w:delText>the Department</w:delText>
        </w:r>
      </w:del>
      <w:ins w:id="228"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229" w:author="Preferred Customer" w:date="2012-12-28T11:11:00Z">
        <w:r w:rsidRPr="003E6D37" w:rsidDel="0056773E">
          <w:delText>the Department</w:delText>
        </w:r>
      </w:del>
      <w:ins w:id="230"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lastRenderedPageBreak/>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31" w:author="Preferred Customer" w:date="2012-12-28T11:11:00Z">
        <w:r w:rsidRPr="003E6D37" w:rsidDel="0056773E">
          <w:delText>the Department</w:delText>
        </w:r>
      </w:del>
      <w:ins w:id="232"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33" w:author="Preferred Customer" w:date="2012-12-28T11:11:00Z">
        <w:r w:rsidRPr="003E6D37" w:rsidDel="0056773E">
          <w:delText>The Department</w:delText>
        </w:r>
      </w:del>
      <w:ins w:id="234" w:author="Preferred Customer" w:date="2012-12-28T11:11:00Z">
        <w:r w:rsidR="0056773E">
          <w:t>DEQ</w:t>
        </w:r>
      </w:ins>
      <w:r w:rsidRPr="003E6D37">
        <w:t xml:space="preserve"> may, at any time, monitor a gasoline tank truck, vapor collection system, or vapor control system, by the methods on file with </w:t>
      </w:r>
      <w:del w:id="235" w:author="Preferred Customer" w:date="2012-12-28T11:11:00Z">
        <w:r w:rsidRPr="003E6D37" w:rsidDel="0056773E">
          <w:delText>the Department</w:delText>
        </w:r>
      </w:del>
      <w:ins w:id="236"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237" w:author="Preferred Customer" w:date="2012-12-28T11:11:00Z">
        <w:r w:rsidRPr="003E6D37" w:rsidDel="0056773E">
          <w:delText>the Department</w:delText>
        </w:r>
      </w:del>
      <w:ins w:id="238"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239"/>
      <w:r w:rsidRPr="003E6D37">
        <w:t xml:space="preserve">Portland </w:t>
      </w:r>
      <w:del w:id="240" w:author="Garrahan Paul" w:date="2013-08-19T11:56:00Z">
        <w:r w:rsidRPr="003E6D37" w:rsidDel="00123564">
          <w:delText xml:space="preserve">ozone air quality maintenance </w:delText>
        </w:r>
        <w:commentRangeStart w:id="241"/>
        <w:r w:rsidRPr="00123564" w:rsidDel="00123564">
          <w:rPr>
            <w:highlight w:val="yellow"/>
            <w:rPrChange w:id="242" w:author="Garrahan Paul" w:date="2013-08-19T11:57:00Z">
              <w:rPr/>
            </w:rPrChange>
          </w:rPr>
          <w:delText>area</w:delText>
        </w:r>
        <w:commentRangeEnd w:id="239"/>
        <w:r w:rsidR="00CA4FE9" w:rsidRPr="00123564" w:rsidDel="00123564">
          <w:rPr>
            <w:rStyle w:val="CommentReference"/>
            <w:highlight w:val="yellow"/>
            <w:rPrChange w:id="243" w:author="Garrahan Paul" w:date="2013-08-19T11:57:00Z">
              <w:rPr>
                <w:rStyle w:val="CommentReference"/>
              </w:rPr>
            </w:rPrChange>
          </w:rPr>
          <w:commentReference w:id="239"/>
        </w:r>
      </w:del>
      <w:ins w:id="244" w:author="Garrahan Paul" w:date="2013-08-19T11:56:00Z">
        <w:r w:rsidR="00123564" w:rsidRPr="00123564">
          <w:rPr>
            <w:highlight w:val="yellow"/>
            <w:rPrChange w:id="245" w:author="Garrahan Paul" w:date="2013-08-19T11:57:00Z">
              <w:rPr/>
            </w:rPrChange>
          </w:rPr>
          <w:t>AQMA</w:t>
        </w:r>
        <w:commentRangeEnd w:id="241"/>
        <w:r w:rsidR="00123564" w:rsidRPr="00123564">
          <w:rPr>
            <w:rStyle w:val="CommentReference"/>
            <w:highlight w:val="yellow"/>
            <w:rPrChange w:id="246" w:author="Garrahan Paul" w:date="2013-08-19T11:57:00Z">
              <w:rPr>
                <w:rStyle w:val="CommentReference"/>
              </w:rPr>
            </w:rPrChange>
          </w:rPr>
          <w:commentReference w:id="241"/>
        </w:r>
      </w:ins>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lastRenderedPageBreak/>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del w:id="247" w:author="jinahar" w:date="2013-06-21T16:11:00Z">
        <w:r w:rsidRPr="003E6D37" w:rsidDel="000A1031">
          <w:delText>or other</w:delText>
        </w:r>
      </w:del>
      <w:del w:id="248" w:author="jinahar" w:date="2013-06-21T16:12:00Z">
        <w:r w:rsidRPr="003E6D37" w:rsidDel="000A1031">
          <w:delText xml:space="preserve"> </w:delText>
        </w:r>
        <w:r w:rsidR="000A2F41" w:rsidRPr="00A9779A" w:rsidDel="000A1031">
          <w:delText>methods</w:delText>
        </w:r>
      </w:del>
      <w:ins w:id="249" w:author="pcuser" w:date="2013-06-11T13:57:00Z">
        <w:del w:id="250" w:author="jinahar" w:date="2013-06-21T16:12:00Z">
          <w:r w:rsidR="006161B9" w:rsidRPr="00B23B94" w:rsidDel="000A1031">
            <w:delText>,</w:delText>
          </w:r>
        </w:del>
      </w:ins>
      <w:del w:id="251" w:author="jinahar" w:date="2013-06-21T16:12:00Z">
        <w:r w:rsidR="000A2F41" w:rsidRPr="00B23B94" w:rsidDel="000A1031">
          <w:delText xml:space="preserve"> a</w:delText>
        </w:r>
      </w:del>
      <w:del w:id="252" w:author="pcuser" w:date="2013-06-11T13:57:00Z">
        <w:r w:rsidR="000A2F41" w:rsidRPr="00B23B94">
          <w:delText>pproved in writing by the Department</w:delText>
        </w:r>
        <w:r w:rsidRPr="00B23B94" w:rsidDel="006161B9">
          <w:delText xml:space="preserve"> </w:delText>
        </w:r>
      </w:del>
      <w:r w:rsidRPr="00B23B94">
        <w:t>or</w:t>
      </w:r>
      <w:r w:rsidRPr="003E6D37">
        <w:t xml:space="preserve">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53" w:author="Preferred Customer" w:date="2012-12-28T11:11:00Z">
        <w:r w:rsidRPr="003E6D37" w:rsidDel="0056773E">
          <w:delText>the Department</w:delText>
        </w:r>
      </w:del>
      <w:ins w:id="254" w:author="Preferred Customer" w:date="2012-12-28T11:11:00Z">
        <w:r w:rsidR="0056773E">
          <w:t>DEQ</w:t>
        </w:r>
      </w:ins>
      <w:r w:rsidRPr="003E6D37">
        <w:t xml:space="preserve"> that the vessel is leak free, vapor tight, and in good working order based on an annual inspection using EPA Method 21</w:t>
      </w:r>
      <w:del w:id="255" w:author="jinahar" w:date="2013-07-23T12:17:00Z">
        <w:r w:rsidRPr="003E6D37" w:rsidDel="00B23B94">
          <w:delText xml:space="preserve"> or other </w:delText>
        </w:r>
        <w:r w:rsidR="00B62F66" w:rsidRPr="00B23B94" w:rsidDel="00B23B94">
          <w:delText xml:space="preserve">methods approved </w:delText>
        </w:r>
      </w:del>
      <w:del w:id="256" w:author="pcuser" w:date="2013-06-11T13:57:00Z">
        <w:r w:rsidR="00B62F66" w:rsidRPr="00B23B94">
          <w:delText>in writing by the Department</w:delText>
        </w:r>
      </w:del>
      <w:r w:rsidR="00B62F66" w:rsidRPr="00B23B94">
        <w:t>.</w:t>
      </w:r>
    </w:p>
    <w:p w:rsidR="003E6D37" w:rsidRPr="003E6D37" w:rsidRDefault="003E6D37" w:rsidP="003E6D37">
      <w:pPr>
        <w:spacing w:after="0" w:line="240" w:lineRule="auto"/>
      </w:pPr>
      <w:r w:rsidRPr="003E6D37">
        <w:t>(c) Gaseous leaks must be detected using EPA Method 21</w:t>
      </w:r>
      <w:del w:id="257" w:author="jinahar" w:date="2013-07-23T12:17:00Z">
        <w:r w:rsidRPr="003E6D37" w:rsidDel="00B23B94">
          <w:delText xml:space="preserve"> or other methods </w:delText>
        </w:r>
      </w:del>
      <w:del w:id="258" w:author="pcuser" w:date="2013-06-11T13:58:00Z">
        <w:r w:rsidR="00B62F66" w:rsidRPr="00B23B94">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259" w:author="Preferred Customer" w:date="2012-12-28T11:11:00Z">
        <w:r w:rsidRPr="003E6D37" w:rsidDel="0056773E">
          <w:delText>the Department</w:delText>
        </w:r>
      </w:del>
      <w:ins w:id="260"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61" w:author="pcuser" w:date="2013-06-11T13:58:00Z">
        <w:r w:rsidRPr="003E6D37" w:rsidDel="006161B9">
          <w:delText xml:space="preserve">Department </w:delText>
        </w:r>
      </w:del>
      <w:ins w:id="262"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263" w:author="Preferred Customer" w:date="2012-12-28T11:11:00Z">
        <w:r w:rsidRPr="003E6D37" w:rsidDel="0056773E">
          <w:delText>the Department</w:delText>
        </w:r>
      </w:del>
      <w:ins w:id="264" w:author="Preferred Customer" w:date="2012-12-28T11:11:00Z">
        <w:r w:rsidR="0056773E">
          <w:t>DEQ</w:t>
        </w:r>
      </w:ins>
      <w:r w:rsidRPr="003E6D37">
        <w:t xml:space="preserve"> declares a Clean Air Action (CAA) day. If </w:t>
      </w:r>
      <w:del w:id="265" w:author="Preferred Customer" w:date="2012-12-28T11:11:00Z">
        <w:r w:rsidRPr="003E6D37" w:rsidDel="0056773E">
          <w:delText>the Department</w:delText>
        </w:r>
      </w:del>
      <w:ins w:id="266"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267" w:author="Preferred Customer" w:date="2012-12-28T11:11:00Z">
        <w:r w:rsidRPr="003E6D37" w:rsidDel="0056773E">
          <w:delText>the Department</w:delText>
        </w:r>
      </w:del>
      <w:ins w:id="268"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lastRenderedPageBreak/>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69" w:author="Preferred Customer" w:date="2012-12-28T11:11:00Z">
        <w:r w:rsidRPr="003E6D37" w:rsidDel="0056773E">
          <w:delText>the Department</w:delText>
        </w:r>
      </w:del>
      <w:ins w:id="270"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lastRenderedPageBreak/>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(i)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(i)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71" w:author="Preferred Customer" w:date="2012-12-28T11:11:00Z">
        <w:r w:rsidRPr="003E6D37" w:rsidDel="0056773E">
          <w:delText>the Department</w:delText>
        </w:r>
      </w:del>
      <w:ins w:id="272"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73" w:author="Preferred Customer" w:date="2012-12-28T11:11:00Z">
        <w:r w:rsidRPr="003E6D37" w:rsidDel="0056773E">
          <w:delText>the Department</w:delText>
        </w:r>
      </w:del>
      <w:ins w:id="274"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 xml:space="preserve">(i) </w:t>
      </w:r>
      <w:del w:id="275" w:author="Preferred Customer" w:date="2012-12-28T11:11:00Z">
        <w:r w:rsidRPr="003E6D37" w:rsidDel="0056773E">
          <w:delText>The Department</w:delText>
        </w:r>
      </w:del>
      <w:ins w:id="276"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w:t>
      </w:r>
      <w:proofErr w:type="spellStart"/>
      <w:r w:rsidRPr="003E6D37">
        <w:t>kPa</w:t>
      </w:r>
      <w:proofErr w:type="spellEnd"/>
      <w:r w:rsidRPr="003E6D37">
        <w:t xml:space="preserve"> (kilo </w:t>
      </w:r>
      <w:proofErr w:type="spellStart"/>
      <w:r w:rsidRPr="003E6D37">
        <w:t>Pascals</w:t>
      </w:r>
      <w:proofErr w:type="spellEnd"/>
      <w:r w:rsidRPr="003E6D37">
        <w:t xml:space="preserve">) (1.52 </w:t>
      </w:r>
      <w:proofErr w:type="spellStart"/>
      <w:r w:rsidRPr="003E6D37">
        <w:t>psia</w:t>
      </w:r>
      <w:proofErr w:type="spellEnd"/>
      <w:r w:rsidRPr="003E6D37">
        <w:t>),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77" w:author="pcuser" w:date="2013-03-07T12:48:00Z">
        <w:r w:rsidRPr="003E6D37" w:rsidDel="00B21484">
          <w:delText>,</w:delText>
        </w:r>
      </w:del>
      <w:r w:rsidRPr="003E6D37">
        <w:t xml:space="preserve"> and </w:t>
      </w:r>
      <w:r w:rsidRPr="003E6D37">
        <w:rPr>
          <w:b/>
          <w:bCs/>
        </w:rPr>
        <w:t>Ka</w:t>
      </w:r>
      <w:del w:id="278"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 xml:space="preserve">(D) Contain a VOC liquid with a true vapor pressure less than 27.6 </w:t>
      </w:r>
      <w:proofErr w:type="spellStart"/>
      <w:r w:rsidRPr="003E6D37">
        <w:t>kPa</w:t>
      </w:r>
      <w:proofErr w:type="spellEnd"/>
      <w:r w:rsidRPr="003E6D37">
        <w:t xml:space="preserve"> (4.0 </w:t>
      </w:r>
      <w:proofErr w:type="spellStart"/>
      <w:r w:rsidRPr="003E6D37">
        <w:t>psia</w:t>
      </w:r>
      <w:proofErr w:type="spellEnd"/>
      <w:proofErr w:type="gramStart"/>
      <w:r w:rsidR="000A2F41" w:rsidRPr="005B7646">
        <w:t>)</w:t>
      </w:r>
      <w:proofErr w:type="gramEnd"/>
      <w:ins w:id="279" w:author="pcuser" w:date="2013-06-11T14:04:00Z">
        <w:del w:id="280" w:author="Garrahan Paul" w:date="2013-08-19T11:58:00Z">
          <w:r w:rsidR="000A2F41" w:rsidRPr="005B7646" w:rsidDel="00123564">
            <w:delText xml:space="preserve">; </w:delText>
          </w:r>
          <w:commentRangeStart w:id="281"/>
          <w:r w:rsidR="000A2F41" w:rsidRPr="00123564" w:rsidDel="00123564">
            <w:rPr>
              <w:highlight w:val="yellow"/>
              <w:rPrChange w:id="282" w:author="Garrahan Paul" w:date="2013-08-19T11:58:00Z">
                <w:rPr/>
              </w:rPrChange>
            </w:rPr>
            <w:delText>and</w:delText>
          </w:r>
        </w:del>
      </w:ins>
      <w:ins w:id="283" w:author="Garrahan Paul" w:date="2013-08-19T11:58:00Z">
        <w:r w:rsidR="00123564" w:rsidRPr="00123564">
          <w:rPr>
            <w:highlight w:val="yellow"/>
            <w:rPrChange w:id="284" w:author="Garrahan Paul" w:date="2013-08-19T11:58:00Z">
              <w:rPr/>
            </w:rPrChange>
          </w:rPr>
          <w:t>that</w:t>
        </w:r>
        <w:commentRangeEnd w:id="281"/>
        <w:r w:rsidR="00123564">
          <w:rPr>
            <w:rStyle w:val="CommentReference"/>
          </w:rPr>
          <w:commentReference w:id="281"/>
        </w:r>
      </w:ins>
      <w:r w:rsidR="000A2F41" w:rsidRPr="00123564">
        <w:rPr>
          <w:highlight w:val="yellow"/>
          <w:rPrChange w:id="285" w:author="Garrahan Paul" w:date="2013-08-19T11:58:00Z">
            <w:rPr/>
          </w:rPrChange>
        </w:rPr>
        <w:t>:</w:t>
      </w:r>
    </w:p>
    <w:p w:rsidR="003E6D37" w:rsidRPr="003E6D37" w:rsidRDefault="003E6D37" w:rsidP="003E6D37">
      <w:pPr>
        <w:spacing w:after="0" w:line="240" w:lineRule="auto"/>
      </w:pPr>
      <w:r w:rsidRPr="003E6D37">
        <w:t>(i)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286" w:author="Preferred Customer" w:date="2012-12-28T11:11:00Z">
        <w:r w:rsidRPr="003E6D37" w:rsidDel="0056773E">
          <w:delText>the Department</w:delText>
        </w:r>
      </w:del>
      <w:ins w:id="287"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(i) A continuous secondary seal extending from the floating roof to the tank wall (rim-mounted secondary seal); or</w:t>
      </w:r>
    </w:p>
    <w:p w:rsidR="003E6D37" w:rsidRPr="003E6D37" w:rsidRDefault="003E6D37" w:rsidP="003E6D37">
      <w:pPr>
        <w:spacing w:after="0" w:line="240" w:lineRule="auto"/>
      </w:pPr>
      <w:r w:rsidRPr="003E6D37">
        <w:t xml:space="preserve">(ii) A closure or other device which controls VOC emissions with an effectiveness equal to or greater than a seal required under subparagraph (A)(i) of this subsection as </w:t>
      </w:r>
      <w:r w:rsidR="00837B6F" w:rsidRPr="00D14EA3">
        <w:t>approved in writing</w:t>
      </w:r>
      <w:r w:rsidRPr="003E6D37">
        <w:t xml:space="preserve"> by </w:t>
      </w:r>
      <w:del w:id="288" w:author="Preferred Customer" w:date="2012-12-28T11:11:00Z">
        <w:r w:rsidRPr="003E6D37" w:rsidDel="0056773E">
          <w:delText>the Department</w:delText>
        </w:r>
      </w:del>
      <w:ins w:id="289" w:author="Preferred Customer" w:date="2012-12-28T11:11:00Z">
        <w:r w:rsidR="0056773E">
          <w:t>DEQ</w:t>
        </w:r>
      </w:ins>
      <w:r w:rsidRPr="003E6D37">
        <w:t>.</w:t>
      </w:r>
    </w:p>
    <w:p w:rsidR="003E6D37" w:rsidRPr="003E6D37" w:rsidRDefault="003E6D37" w:rsidP="003E6D37">
      <w:pPr>
        <w:spacing w:after="0" w:line="240" w:lineRule="auto"/>
      </w:pPr>
      <w:r w:rsidRPr="003E6D37">
        <w:lastRenderedPageBreak/>
        <w:t>(B) All seal closure devices meet the following requirements:</w:t>
      </w:r>
    </w:p>
    <w:p w:rsidR="003E6D37" w:rsidRPr="003E6D37" w:rsidRDefault="003E6D37" w:rsidP="003E6D37">
      <w:pPr>
        <w:spacing w:after="0" w:line="240" w:lineRule="auto"/>
      </w:pPr>
      <w:r w:rsidRPr="003E6D37">
        <w:t>(i)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(i)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gramStart"/>
      <w:r w:rsidRPr="003E6D37">
        <w:t>i</w:t>
      </w:r>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gramEnd"/>
      <w:r w:rsidRPr="003E6D37">
        <w:t>i) and (ii) of this subsection.</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del w:id="290" w:author="Preferred Customer" w:date="2012-12-28T11:11:00Z">
        <w:r w:rsidRPr="003E6D37" w:rsidDel="0056773E">
          <w:delText>the Department</w:delText>
        </w:r>
      </w:del>
      <w:ins w:id="291"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292" w:author="Preferred Customer" w:date="2012-12-28T11:11:00Z">
        <w:r w:rsidRPr="003E6D37" w:rsidDel="0056773E">
          <w:delText>the Department</w:delText>
        </w:r>
      </w:del>
      <w:ins w:id="293"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294" w:author="Preferred Customer" w:date="2012-12-28T11:11:00Z">
        <w:r w:rsidRPr="003E6D37" w:rsidDel="0056773E">
          <w:delText>The Department</w:delText>
        </w:r>
      </w:del>
      <w:ins w:id="295"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w:t>
      </w:r>
      <w:del w:id="296" w:author="jinahar" w:date="2013-07-23T12:35:00Z">
        <w:r w:rsidRPr="003E6D37" w:rsidDel="00FE121B">
          <w:delText xml:space="preserve"> or an alternative method </w:delText>
        </w:r>
        <w:r w:rsidR="00B62F66" w:rsidRPr="00FE121B" w:rsidDel="00FE121B">
          <w:delText>ap</w:delText>
        </w:r>
      </w:del>
      <w:del w:id="297" w:author="pcuser" w:date="2013-06-11T14:06:00Z">
        <w:r w:rsidR="00B62F66" w:rsidRPr="00FE121B">
          <w:delText>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98" w:author="Preferred Customer" w:date="2012-12-28T11:11:00Z">
        <w:r w:rsidRPr="003E6D37" w:rsidDel="0056773E">
          <w:delText>the Department</w:delText>
        </w:r>
      </w:del>
      <w:ins w:id="299" w:author="Preferred Customer" w:date="2012-12-28T11:11:00Z">
        <w:r w:rsidR="0056773E">
          <w:t>DEQ</w:t>
        </w:r>
      </w:ins>
      <w:r w:rsidRPr="003E6D37">
        <w:t xml:space="preserve"> of the intent to test not less than 30 days before the proposed initiation of the tests so </w:t>
      </w:r>
      <w:del w:id="300" w:author="Preferred Customer" w:date="2012-12-28T11:11:00Z">
        <w:r w:rsidRPr="003E6D37" w:rsidDel="0056773E">
          <w:delText>the Department</w:delText>
        </w:r>
      </w:del>
      <w:ins w:id="301"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302" w:author="Preferred Customer" w:date="2012-12-28T11:11:00Z">
        <w:r w:rsidRPr="003E6D37" w:rsidDel="0056773E">
          <w:delText>the Department</w:delText>
        </w:r>
      </w:del>
      <w:ins w:id="303"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lastRenderedPageBreak/>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w:t>
      </w:r>
      <w:r w:rsidR="00837B6F" w:rsidRPr="00D14EA3">
        <w:t>approved</w:t>
      </w:r>
      <w:r w:rsidRPr="003E6D37">
        <w:t xml:space="preserve"> by </w:t>
      </w:r>
      <w:del w:id="304" w:author="Preferred Customer" w:date="2012-12-28T11:11:00Z">
        <w:r w:rsidRPr="003E6D37" w:rsidDel="0056773E">
          <w:delText>the Department</w:delText>
        </w:r>
      </w:del>
      <w:ins w:id="305"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w:t>
      </w:r>
      <w:ins w:id="306" w:author="Garrahan Paul" w:date="2013-08-19T12:02:00Z">
        <w:r w:rsidR="00E166FC">
          <w:t xml:space="preserve"> </w:t>
        </w:r>
        <w:r w:rsidR="00E166FC" w:rsidRPr="00E166FC">
          <w:rPr>
            <w:highlight w:val="yellow"/>
            <w:rPrChange w:id="307" w:author="Garrahan Paul" w:date="2013-08-19T12:03:00Z">
              <w:rPr/>
            </w:rPrChange>
          </w:rPr>
          <w:t>VOC</w:t>
        </w:r>
      </w:ins>
      <w:r w:rsidRPr="003E6D37">
        <w:t xml:space="preserve"> </w:t>
      </w:r>
      <w:commentRangeStart w:id="308"/>
      <w:r w:rsidRPr="003E6D37">
        <w:t>potential to emit</w:t>
      </w:r>
      <w:ins w:id="309" w:author="pcuser" w:date="2013-07-11T14:35:00Z">
        <w:r w:rsidR="006D38A7">
          <w:t xml:space="preserve"> </w:t>
        </w:r>
      </w:ins>
      <w:commentRangeEnd w:id="308"/>
      <w:r w:rsidR="00E166FC">
        <w:rPr>
          <w:rStyle w:val="CommentReference"/>
        </w:rPr>
        <w:commentReference w:id="308"/>
      </w:r>
      <w:ins w:id="310" w:author="pcuser" w:date="2013-07-11T14:35:00Z">
        <w:r w:rsidR="00B62F66" w:rsidRPr="00C23DE4">
          <w:t>before add</w:t>
        </w:r>
      </w:ins>
      <w:ins w:id="311" w:author="Garrahan Paul" w:date="2013-08-19T12:00:00Z">
        <w:r w:rsidR="00123564">
          <w:t>-</w:t>
        </w:r>
      </w:ins>
      <w:ins w:id="312" w:author="pcuser" w:date="2013-07-11T14:35:00Z">
        <w:del w:id="313" w:author="Garrahan Paul" w:date="2013-08-19T12:00:00Z">
          <w:r w:rsidR="00B62F66" w:rsidRPr="00C23DE4" w:rsidDel="00123564">
            <w:delText xml:space="preserve"> </w:delText>
          </w:r>
        </w:del>
        <w:r w:rsidR="00B62F66" w:rsidRPr="00C23DE4">
          <w:t>on controls</w:t>
        </w:r>
      </w:ins>
      <w:r w:rsidRPr="003E6D37">
        <w:t xml:space="preserve"> from activities identified in section (5) of this rule </w:t>
      </w:r>
      <w:del w:id="314" w:author="Garrahan Paul" w:date="2013-08-19T12:03:00Z">
        <w:r w:rsidRPr="00E166FC" w:rsidDel="00E166FC">
          <w:rPr>
            <w:highlight w:val="yellow"/>
            <w:rPrChange w:id="315" w:author="Garrahan Paul" w:date="2013-08-19T12:03:00Z">
              <w:rPr/>
            </w:rPrChange>
          </w:rPr>
          <w:delText>of volatile organic compounds are</w:delText>
        </w:r>
      </w:del>
      <w:ins w:id="316" w:author="Garrahan Paul" w:date="2013-08-19T12:03:00Z">
        <w:r w:rsidR="00E166FC" w:rsidRPr="00E166FC">
          <w:rPr>
            <w:highlight w:val="yellow"/>
            <w:rPrChange w:id="317" w:author="Garrahan Paul" w:date="2013-08-19T12:03:00Z">
              <w:rPr/>
            </w:rPrChange>
          </w:rPr>
          <w:t>is</w:t>
        </w:r>
      </w:ins>
      <w:r w:rsidRPr="003E6D37">
        <w:t xml:space="preserv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(i)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318" w:author="Preferred Customer" w:date="2012-12-28T11:11:00Z">
        <w:r w:rsidRPr="003E6D37" w:rsidDel="0056773E">
          <w:delText>the Department</w:delText>
        </w:r>
      </w:del>
      <w:ins w:id="319"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320" w:author="Preferred Customer" w:date="2012-12-28T11:11:00Z">
        <w:r w:rsidRPr="003E6D37" w:rsidDel="0056773E">
          <w:delText>the Department</w:delText>
        </w:r>
      </w:del>
      <w:ins w:id="321"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lastRenderedPageBreak/>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(i)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322"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323" w:author="Preferred Customer" w:date="2012-12-28T11:11:00Z">
        <w:r w:rsidRPr="003E6D37" w:rsidDel="0056773E">
          <w:delText>the Department</w:delText>
        </w:r>
      </w:del>
      <w:ins w:id="324"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325" w:author="Preferred Customer" w:date="2012-12-28T11:11:00Z">
        <w:r w:rsidRPr="003E6D37" w:rsidDel="0056773E">
          <w:delText>the Department</w:delText>
        </w:r>
      </w:del>
      <w:ins w:id="326"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327" w:author="Preferred Customer" w:date="2012-12-28T11:11:00Z">
        <w:r w:rsidRPr="003E6D37" w:rsidDel="0056773E">
          <w:delText>the Department</w:delText>
        </w:r>
      </w:del>
      <w:ins w:id="328"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329" w:author="Preferred Customer" w:date="2012-12-28T11:11:00Z">
        <w:r w:rsidRPr="003E6D37" w:rsidDel="0056773E">
          <w:delText>the Department</w:delText>
        </w:r>
      </w:del>
      <w:ins w:id="330"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lastRenderedPageBreak/>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331" w:author="Preferred Customer" w:date="2012-12-28T11:11:00Z">
        <w:r w:rsidRPr="003E6D37" w:rsidDel="0056773E">
          <w:delText>the Department</w:delText>
        </w:r>
      </w:del>
      <w:ins w:id="332"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333" w:author="Preferred Customer" w:date="2012-12-28T11:11:00Z">
        <w:r w:rsidRPr="003E6D37" w:rsidDel="0056773E">
          <w:delText>the Department</w:delText>
        </w:r>
      </w:del>
      <w:ins w:id="334"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(i)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lastRenderedPageBreak/>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335" w:author="Preferred Customer" w:date="2012-12-28T11:11:00Z">
        <w:r w:rsidRPr="003E6D37" w:rsidDel="0056773E">
          <w:delText>the Department</w:delText>
        </w:r>
      </w:del>
      <w:ins w:id="336"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337" w:author="Preferred Customer" w:date="2012-12-28T11:11:00Z">
        <w:r w:rsidRPr="003E6D37" w:rsidDel="0056773E">
          <w:delText>the Department</w:delText>
        </w:r>
      </w:del>
      <w:ins w:id="338"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w:t>
      </w:r>
      <w:proofErr w:type="gramStart"/>
      <w:r w:rsidRPr="003E6D37">
        <w:rPr>
          <w:b/>
          <w:bCs/>
        </w:rPr>
        <w:t>Appendix</w:t>
      </w:r>
      <w:proofErr w:type="gramEnd"/>
      <w:r w:rsidRPr="003E6D37">
        <w:rPr>
          <w:b/>
          <w:bCs/>
        </w:rPr>
        <w:t xml:space="preserve"> A</w:t>
      </w:r>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339" w:author="Preferred Customer" w:date="2012-12-28T11:11:00Z">
        <w:r w:rsidRPr="003E6D37" w:rsidDel="0056773E">
          <w:delText>the Department</w:delText>
        </w:r>
      </w:del>
      <w:ins w:id="340" w:author="Preferred Customer" w:date="2012-12-28T11:11:00Z">
        <w:r w:rsidR="0056773E">
          <w:t>DEQ</w:t>
        </w:r>
      </w:ins>
      <w:r w:rsidRPr="003E6D37">
        <w:t xml:space="preserve"> and on file with </w:t>
      </w:r>
      <w:del w:id="341" w:author="Preferred Customer" w:date="2012-12-28T11:11:00Z">
        <w:r w:rsidRPr="003E6D37" w:rsidDel="0056773E">
          <w:delText>the Department</w:delText>
        </w:r>
      </w:del>
      <w:ins w:id="342"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343" w:author="Preferred Customer" w:date="2012-12-28T11:11:00Z">
        <w:r w:rsidRPr="003E6D37" w:rsidDel="0056773E">
          <w:delText>the Department</w:delText>
        </w:r>
      </w:del>
      <w:ins w:id="344"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345" w:author="Preferred Customer" w:date="2012-12-28T11:11:00Z">
        <w:r w:rsidRPr="003E6D37" w:rsidDel="0056773E">
          <w:delText>the Department</w:delText>
        </w:r>
      </w:del>
      <w:ins w:id="346"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w:t>
      </w:r>
      <w:r w:rsidRPr="003E6D37">
        <w:lastRenderedPageBreak/>
        <w:t xml:space="preserve">controls approved by </w:t>
      </w:r>
      <w:del w:id="347" w:author="Preferred Customer" w:date="2012-12-28T11:11:00Z">
        <w:r w:rsidRPr="003E6D37" w:rsidDel="0056773E">
          <w:delText>the Department</w:delText>
        </w:r>
      </w:del>
      <w:ins w:id="348"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49" w:author="Preferred Customer" w:date="2012-12-28T11:11:00Z">
        <w:r w:rsidRPr="003E6D37" w:rsidDel="0056773E">
          <w:delText>the Department</w:delText>
        </w:r>
      </w:del>
      <w:ins w:id="350"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51" w:author="Preferred Customer" w:date="2012-12-28T11:11:00Z">
        <w:r w:rsidRPr="003E6D37" w:rsidDel="0056773E">
          <w:delText>the Department</w:delText>
        </w:r>
      </w:del>
      <w:ins w:id="352"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lastRenderedPageBreak/>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lastRenderedPageBreak/>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53" w:author="Preferred Customer" w:date="2012-12-28T11:11:00Z">
        <w:r w:rsidRPr="003E6D37" w:rsidDel="0056773E">
          <w:delText>the Department</w:delText>
        </w:r>
      </w:del>
      <w:ins w:id="354"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lastRenderedPageBreak/>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55" w:author="Preferred Customer" w:date="2012-12-28T11:11:00Z">
        <w:r w:rsidRPr="003E6D37" w:rsidDel="0056773E">
          <w:delText>the Department</w:delText>
        </w:r>
      </w:del>
      <w:ins w:id="356"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lastRenderedPageBreak/>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57"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58"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59" w:author="Preferred Customer" w:date="2012-12-28T11:11:00Z">
        <w:r w:rsidRPr="003E6D37" w:rsidDel="0056773E">
          <w:delText>the Department</w:delText>
        </w:r>
      </w:del>
      <w:ins w:id="360"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61" w:author="pcuser" w:date="2013-05-09T15:07:00Z">
        <w:r w:rsidR="00F37356" w:rsidRPr="004C6952">
          <w:delText>emission control system</w:delText>
        </w:r>
      </w:del>
      <w:ins w:id="362" w:author="pcuser" w:date="2013-05-09T15:07:00Z">
        <w:del w:id="363" w:author="Garrahan Paul" w:date="2013-08-19T12:08:00Z">
          <w:r w:rsidR="00F37356" w:rsidRPr="00E166FC" w:rsidDel="00E166FC">
            <w:rPr>
              <w:highlight w:val="yellow"/>
              <w:rPrChange w:id="364" w:author="Garrahan Paul" w:date="2013-08-19T12:08:00Z">
                <w:rPr/>
              </w:rPrChange>
            </w:rPr>
            <w:delText xml:space="preserve">air </w:delText>
          </w:r>
          <w:commentRangeStart w:id="365"/>
          <w:r w:rsidR="00F37356" w:rsidRPr="00E166FC" w:rsidDel="00E166FC">
            <w:rPr>
              <w:highlight w:val="yellow"/>
              <w:rPrChange w:id="366" w:author="Garrahan Paul" w:date="2013-08-19T12:08:00Z">
                <w:rPr/>
              </w:rPrChange>
            </w:rPr>
            <w:delText>pollution</w:delText>
          </w:r>
        </w:del>
      </w:ins>
      <w:commentRangeEnd w:id="365"/>
      <w:r w:rsidR="00E166FC">
        <w:rPr>
          <w:rStyle w:val="CommentReference"/>
        </w:rPr>
        <w:commentReference w:id="365"/>
      </w:r>
      <w:ins w:id="367" w:author="pcuser" w:date="2013-05-09T15:07:00Z">
        <w:r w:rsidR="00F37356" w:rsidRPr="004C6952">
          <w:t xml:space="preserve"> control device</w:t>
        </w:r>
      </w:ins>
      <w:r w:rsidR="00F37356" w:rsidRPr="004C6952">
        <w:t>s</w:t>
      </w:r>
      <w:r w:rsidRPr="003E6D37">
        <w:t xml:space="preserve">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368" w:author="Preferred Customer" w:date="2012-12-28T11:11:00Z">
        <w:r w:rsidRPr="003E6D37" w:rsidDel="0056773E">
          <w:delText>the Department</w:delText>
        </w:r>
      </w:del>
      <w:ins w:id="369"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70" w:author="Preferred Customer" w:date="2012-12-28T11:11:00Z">
        <w:r w:rsidRPr="003E6D37" w:rsidDel="0056773E">
          <w:delText>the Department</w:delText>
        </w:r>
      </w:del>
      <w:ins w:id="371" w:author="Preferred Customer" w:date="2012-12-28T11:11:00Z">
        <w:r w:rsidR="0056773E">
          <w:t>DEQ</w:t>
        </w:r>
      </w:ins>
      <w:r w:rsidRPr="003E6D37">
        <w:t xml:space="preserve"> of the intent to test not less than 30 days before the proposed initiation of the tests so </w:t>
      </w:r>
      <w:del w:id="372" w:author="Preferred Customer" w:date="2012-12-28T11:11:00Z">
        <w:r w:rsidRPr="003E6D37" w:rsidDel="0056773E">
          <w:delText>the Department</w:delText>
        </w:r>
      </w:del>
      <w:ins w:id="373"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374" w:author="Preferred Customer" w:date="2012-12-28T11:11:00Z">
        <w:r w:rsidRPr="003E6D37" w:rsidDel="0056773E">
          <w:delText>The Department</w:delText>
        </w:r>
      </w:del>
      <w:ins w:id="375"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 xml:space="preserve">(1) No owner or operator of a packaging rotogravure, publication rotogravure, flexographic or specialty printing facility, with the </w:t>
      </w:r>
      <w:commentRangeStart w:id="376"/>
      <w:r w:rsidRPr="003E6D37">
        <w:t xml:space="preserve">potential to emit </w:t>
      </w:r>
      <w:ins w:id="377" w:author="pcuser" w:date="2013-07-11T14:35:00Z">
        <w:r w:rsidR="00B62F66" w:rsidRPr="00C23DE4">
          <w:t>before add</w:t>
        </w:r>
      </w:ins>
      <w:ins w:id="378" w:author="Garrahan Paul" w:date="2013-08-19T12:09:00Z">
        <w:r w:rsidR="00E166FC">
          <w:t>-</w:t>
        </w:r>
      </w:ins>
      <w:ins w:id="379" w:author="pcuser" w:date="2013-07-11T14:35:00Z">
        <w:del w:id="380" w:author="Garrahan Paul" w:date="2013-08-19T12:09:00Z">
          <w:r w:rsidR="00B62F66" w:rsidRPr="00C23DE4" w:rsidDel="00E166FC">
            <w:delText xml:space="preserve"> </w:delText>
          </w:r>
        </w:del>
        <w:r w:rsidR="00B62F66" w:rsidRPr="00C23DE4">
          <w:t>on controls</w:t>
        </w:r>
        <w:r w:rsidR="006D38A7">
          <w:t xml:space="preserve"> </w:t>
        </w:r>
      </w:ins>
      <w:commentRangeEnd w:id="376"/>
      <w:r w:rsidR="00E166FC">
        <w:rPr>
          <w:rStyle w:val="CommentReference"/>
        </w:rPr>
        <w:commentReference w:id="376"/>
      </w:r>
      <w:r w:rsidRPr="003E6D37">
        <w:t>greater than 90 mg/year (100 ton</w:t>
      </w:r>
      <w:ins w:id="381" w:author="Garrahan Paul" w:date="2013-08-19T12:10:00Z">
        <w:r w:rsidR="00E166FC" w:rsidRPr="00E166FC">
          <w:rPr>
            <w:highlight w:val="yellow"/>
            <w:rPrChange w:id="382" w:author="Garrahan Paul" w:date="2013-08-19T12:10:00Z">
              <w:rPr/>
            </w:rPrChange>
          </w:rPr>
          <w:t>s</w:t>
        </w:r>
      </w:ins>
      <w:r w:rsidRPr="003E6D37">
        <w:t>/</w:t>
      </w:r>
      <w:commentRangeStart w:id="383"/>
      <w:r w:rsidRPr="003E6D37">
        <w:t>year</w:t>
      </w:r>
      <w:commentRangeEnd w:id="383"/>
      <w:r w:rsidR="00E166FC">
        <w:rPr>
          <w:rStyle w:val="CommentReference"/>
        </w:rPr>
        <w:commentReference w:id="383"/>
      </w:r>
      <w:r w:rsidRPr="003E6D37">
        <w:t>),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384" w:author="Preferred Customer" w:date="2012-09-04T08:17:00Z">
        <w:r w:rsidRPr="003E6D37" w:rsidDel="00CF6297">
          <w:delText>r</w:delText>
        </w:r>
      </w:del>
      <w:ins w:id="385" w:author="Preferred Customer" w:date="2012-09-04T08:17:00Z">
        <w:r w:rsidR="00CF6297">
          <w:t>f</w:t>
        </w:r>
      </w:ins>
      <w:r w:rsidRPr="003E6D37">
        <w:t xml:space="preserve"> organic solvent and 75 percent by volume or more of water; </w:t>
      </w:r>
      <w:commentRangeStart w:id="386"/>
      <w:del w:id="387" w:author="Garrahan Paul" w:date="2013-08-19T12:14:00Z">
        <w:r w:rsidRPr="008B745C" w:rsidDel="008B745C">
          <w:rPr>
            <w:highlight w:val="yellow"/>
            <w:rPrChange w:id="388" w:author="Garrahan Paul" w:date="2013-08-19T12:14:00Z">
              <w:rPr/>
            </w:rPrChange>
          </w:rPr>
          <w:delText>or</w:delText>
        </w:r>
      </w:del>
      <w:commentRangeEnd w:id="386"/>
      <w:r w:rsidR="008B745C">
        <w:rPr>
          <w:rStyle w:val="CommentReference"/>
        </w:rPr>
        <w:commentReference w:id="386"/>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r w:rsidRPr="008B745C">
        <w:rPr>
          <w:highlight w:val="yellow"/>
          <w:rPrChange w:id="389" w:author="Garrahan Paul" w:date="2013-08-19T12:13:00Z">
            <w:rPr/>
          </w:rPrChange>
        </w:rPr>
        <w:t>;</w:t>
      </w:r>
      <w:ins w:id="390" w:author="pcuser" w:date="2013-05-09T15:04:00Z">
        <w:del w:id="391" w:author="Garrahan Paul" w:date="2013-08-19T12:13:00Z">
          <w:r w:rsidR="00BA7E64" w:rsidRPr="008B745C" w:rsidDel="008B745C">
            <w:rPr>
              <w:highlight w:val="yellow"/>
              <w:rPrChange w:id="392" w:author="Garrahan Paul" w:date="2013-08-19T12:13:00Z">
                <w:rPr/>
              </w:rPrChange>
            </w:rPr>
            <w:delText xml:space="preserve"> </w:delText>
          </w:r>
          <w:commentRangeStart w:id="393"/>
          <w:r w:rsidR="00BA7E64" w:rsidRPr="008B745C" w:rsidDel="008B745C">
            <w:rPr>
              <w:highlight w:val="yellow"/>
              <w:rPrChange w:id="394" w:author="Garrahan Paul" w:date="2013-08-19T12:13:00Z">
                <w:rPr/>
              </w:rPrChange>
            </w:rPr>
            <w:delText>or</w:delText>
          </w:r>
        </w:del>
      </w:ins>
      <w:commentRangeEnd w:id="393"/>
      <w:r w:rsidR="008B745C">
        <w:rPr>
          <w:rStyle w:val="CommentReference"/>
        </w:rPr>
        <w:commentReference w:id="393"/>
      </w:r>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395" w:author="pcuser" w:date="2013-05-09T15:05:00Z">
        <w:r w:rsidRPr="004C6952">
          <w:delText>emissions reduction system</w:delText>
        </w:r>
      </w:del>
      <w:ins w:id="396" w:author="pcuser" w:date="2013-05-09T15:05:00Z">
        <w:r w:rsidR="00BA7E64" w:rsidRPr="004C6952">
          <w:t>pollution control device</w:t>
        </w:r>
      </w:ins>
      <w:r w:rsidRPr="004C6952">
        <w:t xml:space="preserve"> demonstrated to have at least </w:t>
      </w:r>
      <w:proofErr w:type="gramStart"/>
      <w:r w:rsidRPr="004C6952">
        <w:t xml:space="preserve">a 90.0 percent </w:t>
      </w:r>
      <w:del w:id="397" w:author="pcuser" w:date="2013-05-09T15:00:00Z">
        <w:r w:rsidRPr="004C6952">
          <w:delText xml:space="preserve">reduction </w:delText>
        </w:r>
      </w:del>
      <w:ins w:id="398" w:author="pcuser" w:date="2013-05-09T15:00:00Z">
        <w:r w:rsidRPr="004C6952">
          <w:t>removal</w:t>
        </w:r>
        <w:proofErr w:type="gramEnd"/>
        <w:r w:rsidRPr="004C6952">
          <w:t xml:space="preserve"> </w:t>
        </w:r>
      </w:ins>
      <w:r w:rsidRPr="004C6952">
        <w:t xml:space="preserve">efficiency, measured across the </w:t>
      </w:r>
      <w:ins w:id="399" w:author="pcuser" w:date="2013-05-09T15:00:00Z">
        <w:r w:rsidRPr="004C6952">
          <w:t xml:space="preserve">air pollution </w:t>
        </w:r>
      </w:ins>
      <w:r w:rsidRPr="004C6952">
        <w:t xml:space="preserve">control </w:t>
      </w:r>
      <w:ins w:id="400" w:author="pcuser" w:date="2013-05-09T15:00:00Z">
        <w:r w:rsidRPr="004C6952">
          <w:t>device</w:t>
        </w:r>
      </w:ins>
      <w:del w:id="401" w:author="pcuser" w:date="2013-05-09T15:00:00Z">
        <w:r w:rsidRPr="004C6952">
          <w:delText>system</w:delText>
        </w:r>
      </w:del>
      <w:r w:rsidRPr="004C6952">
        <w:t xml:space="preserve">, and has been approved by </w:t>
      </w:r>
      <w:del w:id="402" w:author="Preferred Customer" w:date="2012-12-28T11:11:00Z">
        <w:r w:rsidRPr="004C6952">
          <w:delText>the Department</w:delText>
        </w:r>
      </w:del>
      <w:ins w:id="403"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404" w:author="pcuser" w:date="2013-05-09T15:02:00Z">
        <w:r w:rsidRPr="004C6952">
          <w:delText xml:space="preserve">emission </w:delText>
        </w:r>
      </w:del>
      <w:ins w:id="405" w:author="pcuser" w:date="2013-05-09T15:02:00Z">
        <w:r w:rsidR="00BA7E64" w:rsidRPr="004C6952">
          <w:t>air pollution</w:t>
        </w:r>
        <w:r w:rsidRPr="004C6952">
          <w:t xml:space="preserve"> </w:t>
        </w:r>
      </w:ins>
      <w:r w:rsidRPr="004C6952">
        <w:t xml:space="preserve">control </w:t>
      </w:r>
      <w:del w:id="406" w:author="pcuser" w:date="2013-05-09T15:02:00Z">
        <w:r w:rsidRPr="004C6952">
          <w:delText xml:space="preserve">systems </w:delText>
        </w:r>
      </w:del>
      <w:ins w:id="407"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 of this rule. The design and operation of a capture system must be consistent with good engineering practice, and shall be required to provide for a</w:t>
      </w:r>
      <w:del w:id="408" w:author="pcuser" w:date="2013-05-09T15:01:00Z">
        <w:r w:rsidRPr="004C6952">
          <w:delText>n overall reduction</w:delText>
        </w:r>
      </w:del>
      <w:ins w:id="409" w:author="pcuser" w:date="2013-05-09T15:01:00Z">
        <w:r w:rsidRPr="004C6952">
          <w:t xml:space="preserve"> control efficiency</w:t>
        </w:r>
      </w:ins>
      <w:r w:rsidRPr="004C6952">
        <w:t xml:space="preserve"> in volatile 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410" w:author="Preferred Customer" w:date="2012-12-28T11:11:00Z">
        <w:r w:rsidRPr="003E6D37" w:rsidDel="0056773E">
          <w:delText>the Department</w:delText>
        </w:r>
      </w:del>
      <w:ins w:id="411"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412" w:author="Preferred Customer" w:date="2012-12-28T11:11:00Z">
        <w:r w:rsidRPr="003E6D37" w:rsidDel="0056773E">
          <w:delText>the Department</w:delText>
        </w:r>
      </w:del>
      <w:ins w:id="413"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414" w:author="Preferred Customer" w:date="2012-12-28T11:11:00Z">
        <w:r w:rsidRPr="003E6D37" w:rsidDel="0056773E">
          <w:delText>the Department</w:delText>
        </w:r>
      </w:del>
      <w:ins w:id="415" w:author="Preferred Customer" w:date="2012-12-28T11:11:00Z">
        <w:r w:rsidR="0056773E">
          <w:t>DEQ</w:t>
        </w:r>
      </w:ins>
      <w:r w:rsidRPr="003E6D37">
        <w:t xml:space="preserve"> of the intent to test not less than 30 days before the proposed initiation of the tests so </w:t>
      </w:r>
      <w:del w:id="416" w:author="Preferred Customer" w:date="2012-12-28T11:11:00Z">
        <w:r w:rsidRPr="003E6D37" w:rsidDel="0056773E">
          <w:delText>the Department</w:delText>
        </w:r>
      </w:del>
      <w:ins w:id="417" w:author="Preferred Customer" w:date="2012-12-28T11:11:00Z">
        <w:r w:rsidR="0056773E">
          <w:t>DEQ</w:t>
        </w:r>
      </w:ins>
      <w:r w:rsidRPr="003E6D37">
        <w:t xml:space="preserve"> may observe the test. The notification shall contain the information required by, and be in a format approved by, </w:t>
      </w:r>
      <w:del w:id="418" w:author="Preferred Customer" w:date="2012-12-28T11:11:00Z">
        <w:r w:rsidRPr="003E6D37" w:rsidDel="0056773E">
          <w:delText>the Department</w:delText>
        </w:r>
      </w:del>
      <w:ins w:id="419"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420" w:author="Preferred Customer" w:date="2012-12-28T11:11:00Z">
        <w:r w:rsidRPr="003E6D37" w:rsidDel="0056773E">
          <w:delText>the Department</w:delText>
        </w:r>
      </w:del>
      <w:ins w:id="421"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ins w:id="422" w:author="Garrahan Paul" w:date="2013-08-19T12:16:00Z">
        <w:r w:rsidR="008B745C">
          <w:t xml:space="preserve"> </w:t>
        </w:r>
        <w:commentRangeStart w:id="423"/>
        <w:r w:rsidR="008B745C" w:rsidRPr="008B745C">
          <w:rPr>
            <w:highlight w:val="yellow"/>
            <w:rPrChange w:id="424" w:author="Garrahan Paul" w:date="2013-08-19T12:16:00Z">
              <w:rPr/>
            </w:rPrChange>
          </w:rPr>
          <w:t>or</w:t>
        </w:r>
        <w:commentRangeEnd w:id="423"/>
        <w:r w:rsidR="008B745C">
          <w:rPr>
            <w:rStyle w:val="CommentReference"/>
          </w:rPr>
          <w:commentReference w:id="423"/>
        </w:r>
      </w:ins>
    </w:p>
    <w:p w:rsidR="003E6D37" w:rsidRPr="003E6D37" w:rsidRDefault="003E6D37" w:rsidP="003E6D37">
      <w:pPr>
        <w:spacing w:after="0" w:line="240" w:lineRule="auto"/>
      </w:pPr>
      <w:r w:rsidRPr="003E6D37">
        <w:t xml:space="preserve">(B) </w:t>
      </w:r>
      <w:del w:id="425" w:author="Preferred Customer" w:date="2012-12-28T11:11:00Z">
        <w:r w:rsidRPr="003E6D37" w:rsidDel="0056773E">
          <w:delText>The Department</w:delText>
        </w:r>
      </w:del>
      <w:ins w:id="426"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lastRenderedPageBreak/>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9"/>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arrahan Paul" w:date="2013-08-19T12:18:00Z" w:initials="PG">
    <w:p w:rsidR="0087525A" w:rsidRDefault="0087525A">
      <w:pPr>
        <w:pStyle w:val="CommentText"/>
      </w:pPr>
      <w:r>
        <w:rPr>
          <w:rStyle w:val="CommentReference"/>
        </w:rPr>
        <w:annotationRef/>
      </w:r>
      <w:r>
        <w:t>Not possessive, just plural.</w:t>
      </w:r>
    </w:p>
  </w:comment>
  <w:comment w:id="4" w:author="Garrahan Paul" w:date="2013-08-19T12:18:00Z" w:initials="PG">
    <w:p w:rsidR="0087525A" w:rsidRDefault="0087525A">
      <w:pPr>
        <w:pStyle w:val="CommentText"/>
      </w:pPr>
      <w:r>
        <w:rPr>
          <w:rStyle w:val="CommentReference"/>
        </w:rPr>
        <w:annotationRef/>
      </w:r>
      <w:r>
        <w:t>SKATS is the “Salem-Keizer Area Transportation Study.”  It doesn’t really make since to say “the Salem SKATS.”  There is no SKATS other than the one in Salem-Keizer.  If you want to reference it so that people know you’re referring to Salem-Keizer in the rule without looking it up, then you could say, “…and, in Salem-Keizer, in the SKATS listed…”</w:t>
      </w:r>
    </w:p>
  </w:comment>
  <w:comment w:id="10" w:author="Garrahan Paul" w:date="2013-08-19T12:18:00Z" w:initials="PG">
    <w:p w:rsidR="0087525A" w:rsidRDefault="0087525A">
      <w:pPr>
        <w:pStyle w:val="CommentText"/>
      </w:pPr>
      <w:r>
        <w:rPr>
          <w:rStyle w:val="CommentReference"/>
        </w:rPr>
        <w:annotationRef/>
      </w:r>
      <w:r>
        <w:t>Is this a term of art?  Do all technical folks immediately know what is and what is not considered an “add-on control”?  If there is any doubt, consider defining it.  I have no idea what this means, and it strikes me as the type of thing that could become the subject of litigation if a source and DEQ have differing opinions about whether a particular control feature is “add-on.”</w:t>
      </w:r>
    </w:p>
  </w:comment>
  <w:comment w:id="187" w:author="pcuser" w:date="2013-08-19T12:18:00Z" w:initials="p">
    <w:p w:rsidR="0087525A" w:rsidRDefault="0087525A">
      <w:pPr>
        <w:pStyle w:val="CommentText"/>
      </w:pPr>
      <w:r>
        <w:rPr>
          <w:rStyle w:val="CommentReference"/>
        </w:rPr>
        <w:annotationRef/>
      </w:r>
      <w:r w:rsidRPr="00285BED">
        <w:rPr>
          <w:highlight w:val="lightGray"/>
        </w:rPr>
        <w:t>Potential emission</w:t>
      </w:r>
      <w:r>
        <w:rPr>
          <w:highlight w:val="lightGray"/>
        </w:rPr>
        <w:t>s</w:t>
      </w:r>
      <w:r w:rsidRPr="00285BED">
        <w:rPr>
          <w:highlight w:val="lightGray"/>
        </w:rPr>
        <w:t xml:space="preserve"> are not the same as PTE.  States must do RACT for major sources using uncontrolled emissions.</w:t>
      </w:r>
      <w:r>
        <w:t xml:space="preserve">  </w:t>
      </w:r>
    </w:p>
  </w:comment>
  <w:comment w:id="239" w:author="Preferred Customer" w:date="2013-08-19T12:18:00Z" w:initials="JSI">
    <w:p w:rsidR="0087525A" w:rsidRDefault="0087525A">
      <w:pPr>
        <w:pStyle w:val="CommentText"/>
      </w:pPr>
      <w:r>
        <w:rPr>
          <w:rStyle w:val="CommentReference"/>
        </w:rPr>
        <w:annotationRef/>
      </w:r>
      <w:r>
        <w:t>Defined as Portland AQMA, w/o ozone</w:t>
      </w:r>
    </w:p>
  </w:comment>
  <w:comment w:id="241" w:author="Garrahan Paul" w:date="2013-08-19T12:18:00Z" w:initials="PG">
    <w:p w:rsidR="00123564" w:rsidRDefault="00123564">
      <w:pPr>
        <w:pStyle w:val="CommentText"/>
      </w:pPr>
      <w:r>
        <w:rPr>
          <w:rStyle w:val="CommentReference"/>
        </w:rPr>
        <w:annotationRef/>
      </w:r>
      <w:r>
        <w:t>And AQMA is defined, so no reason not to use the term.</w:t>
      </w:r>
    </w:p>
  </w:comment>
  <w:comment w:id="281" w:author="Garrahan Paul" w:date="2013-08-19T12:18:00Z" w:initials="PG">
    <w:p w:rsidR="00123564" w:rsidRDefault="00123564">
      <w:pPr>
        <w:pStyle w:val="CommentText"/>
      </w:pPr>
      <w:r>
        <w:rPr>
          <w:rStyle w:val="CommentReference"/>
        </w:rPr>
        <w:annotationRef/>
      </w:r>
      <w:r>
        <w:t>The proposed edit here inspires me to ask—are sections (A) through (E) intended to be separate exemptions, or must a source satisfy all of them to be exempt?  As written, they are separate exemptions (note that “or” at the end of (D</w:t>
      </w:r>
      <w:proofErr w:type="gramStart"/>
      <w:r>
        <w:t>)(</w:t>
      </w:r>
      <w:proofErr w:type="gramEnd"/>
      <w:r>
        <w:t>ii)).</w:t>
      </w:r>
    </w:p>
  </w:comment>
  <w:comment w:id="308" w:author="Garrahan Paul" w:date="2013-08-19T12:18:00Z" w:initials="PG">
    <w:p w:rsidR="00E166FC" w:rsidRDefault="00E166FC">
      <w:pPr>
        <w:pStyle w:val="CommentText"/>
      </w:pPr>
      <w:r>
        <w:rPr>
          <w:rStyle w:val="CommentReference"/>
        </w:rPr>
        <w:annotationRef/>
      </w:r>
      <w:r>
        <w:t>Given prior terminology in this division, are you purposely using PTE here, and not “potential emissions”?  Does use of PTE conflict with the concept of not considering add-on controls?  This is an area where I’m only developing my understanding and could probably benefit from talking through this idea further—the distinction between PTE and potential emissions.</w:t>
      </w:r>
    </w:p>
  </w:comment>
  <w:comment w:id="365" w:author="Garrahan Paul" w:date="2013-08-19T12:18:00Z" w:initials="PG">
    <w:p w:rsidR="00E166FC" w:rsidRDefault="00E166FC">
      <w:pPr>
        <w:pStyle w:val="CommentText"/>
      </w:pPr>
      <w:r>
        <w:rPr>
          <w:rStyle w:val="CommentReference"/>
        </w:rPr>
        <w:annotationRef/>
      </w:r>
      <w:r>
        <w:t>The definition of “control device” already specifies that it is for controlling air pollutants, so using those words here is unnecessary.</w:t>
      </w:r>
    </w:p>
  </w:comment>
  <w:comment w:id="376" w:author="Garrahan Paul" w:date="2013-08-19T12:18:00Z" w:initials="PG">
    <w:p w:rsidR="00E166FC" w:rsidRDefault="00E166FC">
      <w:pPr>
        <w:pStyle w:val="CommentText"/>
      </w:pPr>
      <w:r>
        <w:rPr>
          <w:rStyle w:val="CommentReference"/>
        </w:rPr>
        <w:annotationRef/>
      </w:r>
      <w:r>
        <w:t>Same question about using PTE vs. “potential emissions.”</w:t>
      </w:r>
    </w:p>
  </w:comment>
  <w:comment w:id="383" w:author="Garrahan Paul" w:date="2013-08-19T12:18:00Z" w:initials="PG">
    <w:p w:rsidR="00E166FC" w:rsidRDefault="00E166FC">
      <w:pPr>
        <w:pStyle w:val="CommentText"/>
      </w:pPr>
      <w:r>
        <w:rPr>
          <w:rStyle w:val="CommentReference"/>
        </w:rPr>
        <w:annotationRef/>
      </w:r>
      <w:r>
        <w:t>I don’t understand the reference to 90 mg/year and then the parenthetical reference to 100 tons/year.  Those amounts are not equivalent</w:t>
      </w:r>
      <w:r w:rsidR="008B745C">
        <w:t>.</w:t>
      </w:r>
    </w:p>
  </w:comment>
  <w:comment w:id="386" w:author="Garrahan Paul" w:date="2013-08-19T12:18:00Z" w:initials="PG">
    <w:p w:rsidR="008B745C" w:rsidRDefault="008B745C">
      <w:pPr>
        <w:pStyle w:val="CommentText"/>
      </w:pPr>
      <w:r>
        <w:rPr>
          <w:rStyle w:val="CommentReference"/>
        </w:rPr>
        <w:annotationRef/>
      </w:r>
      <w:r w:rsidRPr="008B745C">
        <w:t>You don’t need to say “or” here because you say “or” after subsection (</w:t>
      </w:r>
      <w:r>
        <w:t>b</w:t>
      </w:r>
      <w:r w:rsidRPr="008B745C">
        <w:t>), which suffices to convey that this is a list of separate ways to satisfy this</w:t>
      </w:r>
      <w:r>
        <w:t xml:space="preserve"> exception.</w:t>
      </w:r>
    </w:p>
  </w:comment>
  <w:comment w:id="393" w:author="Garrahan Paul" w:date="2013-08-19T12:18:00Z" w:initials="PG">
    <w:p w:rsidR="008B745C" w:rsidRDefault="008B745C">
      <w:pPr>
        <w:pStyle w:val="CommentText"/>
      </w:pPr>
      <w:r>
        <w:rPr>
          <w:rStyle w:val="CommentReference"/>
        </w:rPr>
        <w:annotationRef/>
      </w:r>
      <w:r>
        <w:t>Same thing.  You don’t need to say “or” here because you say “or” after subsection (B), which suffices to convey that this is a list of separate ways to satisfy this sub-exception.</w:t>
      </w:r>
    </w:p>
  </w:comment>
  <w:comment w:id="423" w:author="Garrahan Paul" w:date="2013-08-19T12:18:00Z" w:initials="PG">
    <w:p w:rsidR="008B745C" w:rsidRDefault="008B745C">
      <w:pPr>
        <w:pStyle w:val="CommentText"/>
      </w:pPr>
      <w:r>
        <w:rPr>
          <w:rStyle w:val="CommentReference"/>
        </w:rPr>
        <w:annotationRef/>
      </w:r>
      <w:r>
        <w:t>I think you intend this to provide two separate ways to satisfy this requirement.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25A" w:rsidRDefault="0087525A" w:rsidP="00093784">
      <w:pPr>
        <w:spacing w:after="0" w:line="240" w:lineRule="auto"/>
      </w:pPr>
      <w:r>
        <w:separator/>
      </w:r>
    </w:p>
  </w:endnote>
  <w:endnote w:type="continuationSeparator" w:id="0">
    <w:p w:rsidR="0087525A" w:rsidRDefault="0087525A" w:rsidP="0009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5A" w:rsidRDefault="0087525A">
    <w:pPr>
      <w:pStyle w:val="Footer"/>
      <w:pBdr>
        <w:top w:val="thinThickSmallGap" w:sz="24" w:space="1" w:color="622423" w:themeColor="accent2" w:themeShade="7F"/>
      </w:pBdr>
      <w:rPr>
        <w:ins w:id="427" w:author="Preferred Customer" w:date="2012-12-28T11:45:00Z"/>
        <w:rFonts w:asciiTheme="majorHAnsi" w:hAnsiTheme="majorHAnsi"/>
      </w:rPr>
    </w:pPr>
    <w:ins w:id="428" w:author="Preferred Customer" w:date="2012-12-28T11:45: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429" w:author="Garrahan Paul" w:date="2013-08-19T11:39:00Z">
      <w:r>
        <w:rPr>
          <w:rFonts w:asciiTheme="majorHAnsi" w:hAnsiTheme="majorHAnsi"/>
          <w:noProof/>
        </w:rPr>
        <w:t>8/19/2013 11:39 AM</w:t>
      </w:r>
    </w:ins>
    <w:ins w:id="430" w:author="Preferred Customer" w:date="2013-07-23T22:41:00Z">
      <w:del w:id="431" w:author="Garrahan Paul" w:date="2013-08-19T11:39:00Z">
        <w:r w:rsidDel="0087525A">
          <w:rPr>
            <w:rFonts w:asciiTheme="majorHAnsi" w:hAnsiTheme="majorHAnsi"/>
            <w:noProof/>
          </w:rPr>
          <w:delText>7/23/2013 10:41 PM</w:delText>
        </w:r>
      </w:del>
    </w:ins>
    <w:ins w:id="432" w:author="Preferred Customer" w:date="2012-12-28T11:45: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8B745C" w:rsidRPr="008B745C">
      <w:rPr>
        <w:rFonts w:asciiTheme="majorHAnsi" w:hAnsiTheme="majorHAnsi"/>
        <w:noProof/>
      </w:rPr>
      <w:t>1</w:t>
    </w:r>
    <w:ins w:id="433" w:author="Preferred Customer" w:date="2012-12-28T11:45:00Z">
      <w:r>
        <w:fldChar w:fldCharType="end"/>
      </w:r>
    </w:ins>
  </w:p>
  <w:p w:rsidR="0087525A" w:rsidRDefault="00875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25A" w:rsidRDefault="0087525A" w:rsidP="00093784">
      <w:pPr>
        <w:spacing w:after="0" w:line="240" w:lineRule="auto"/>
      </w:pPr>
      <w:r>
        <w:separator/>
      </w:r>
    </w:p>
  </w:footnote>
  <w:footnote w:type="continuationSeparator" w:id="0">
    <w:p w:rsidR="0087525A" w:rsidRDefault="0087525A" w:rsidP="00093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37"/>
    <w:rsid w:val="00030107"/>
    <w:rsid w:val="0004430F"/>
    <w:rsid w:val="00046827"/>
    <w:rsid w:val="00093784"/>
    <w:rsid w:val="00097921"/>
    <w:rsid w:val="000A1031"/>
    <w:rsid w:val="000A2F41"/>
    <w:rsid w:val="000B7839"/>
    <w:rsid w:val="000D3EEA"/>
    <w:rsid w:val="00122EC2"/>
    <w:rsid w:val="00123564"/>
    <w:rsid w:val="00135512"/>
    <w:rsid w:val="00135CDB"/>
    <w:rsid w:val="00175E72"/>
    <w:rsid w:val="0019615C"/>
    <w:rsid w:val="002063E1"/>
    <w:rsid w:val="00260085"/>
    <w:rsid w:val="00285BED"/>
    <w:rsid w:val="00285D24"/>
    <w:rsid w:val="002F0E8A"/>
    <w:rsid w:val="002F5068"/>
    <w:rsid w:val="00337917"/>
    <w:rsid w:val="00352EB0"/>
    <w:rsid w:val="003B4CCF"/>
    <w:rsid w:val="003E6D37"/>
    <w:rsid w:val="003F0AC4"/>
    <w:rsid w:val="0045635C"/>
    <w:rsid w:val="004B1E4A"/>
    <w:rsid w:val="004C6952"/>
    <w:rsid w:val="004D45B4"/>
    <w:rsid w:val="004E5758"/>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6D38A7"/>
    <w:rsid w:val="00733114"/>
    <w:rsid w:val="007E44BE"/>
    <w:rsid w:val="00833C2D"/>
    <w:rsid w:val="00837B6F"/>
    <w:rsid w:val="008532B3"/>
    <w:rsid w:val="00867F70"/>
    <w:rsid w:val="0087525A"/>
    <w:rsid w:val="008B745C"/>
    <w:rsid w:val="008C114F"/>
    <w:rsid w:val="008D55DA"/>
    <w:rsid w:val="008D6A46"/>
    <w:rsid w:val="00942B26"/>
    <w:rsid w:val="009C32BB"/>
    <w:rsid w:val="009E2191"/>
    <w:rsid w:val="009E7423"/>
    <w:rsid w:val="00A9779A"/>
    <w:rsid w:val="00B119A2"/>
    <w:rsid w:val="00B21484"/>
    <w:rsid w:val="00B23B94"/>
    <w:rsid w:val="00B44445"/>
    <w:rsid w:val="00B62F66"/>
    <w:rsid w:val="00BA7E64"/>
    <w:rsid w:val="00BD46E0"/>
    <w:rsid w:val="00C005C3"/>
    <w:rsid w:val="00C23DE4"/>
    <w:rsid w:val="00C304DA"/>
    <w:rsid w:val="00C32378"/>
    <w:rsid w:val="00C40D69"/>
    <w:rsid w:val="00C9252E"/>
    <w:rsid w:val="00CA4FE9"/>
    <w:rsid w:val="00CC092B"/>
    <w:rsid w:val="00CC246D"/>
    <w:rsid w:val="00CD518E"/>
    <w:rsid w:val="00CF1309"/>
    <w:rsid w:val="00CF6297"/>
    <w:rsid w:val="00D14EA3"/>
    <w:rsid w:val="00D47210"/>
    <w:rsid w:val="00D92694"/>
    <w:rsid w:val="00DB54B9"/>
    <w:rsid w:val="00DC586F"/>
    <w:rsid w:val="00DD1DF3"/>
    <w:rsid w:val="00DE564C"/>
    <w:rsid w:val="00E166FC"/>
    <w:rsid w:val="00E24F6E"/>
    <w:rsid w:val="00E41424"/>
    <w:rsid w:val="00E64F42"/>
    <w:rsid w:val="00EA7F79"/>
    <w:rsid w:val="00F176E9"/>
    <w:rsid w:val="00F203DF"/>
    <w:rsid w:val="00F37356"/>
    <w:rsid w:val="00F45B97"/>
    <w:rsid w:val="00F82D67"/>
    <w:rsid w:val="00FE121B"/>
    <w:rsid w:val="00FE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1E517-1977-441A-B6F0-ADB99F69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14037</Words>
  <Characters>80014</Characters>
  <Application>Microsoft Office Word</Application>
  <DocSecurity>4</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Garrahan Paul</cp:lastModifiedBy>
  <cp:revision>2</cp:revision>
  <dcterms:created xsi:type="dcterms:W3CDTF">2013-08-19T19:18:00Z</dcterms:created>
  <dcterms:modified xsi:type="dcterms:W3CDTF">2013-08-19T19:18:00Z</dcterms:modified>
</cp:coreProperties>
</file>