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r w:rsidR="003B4CCF">
        <w:rPr>
          <w:bCs/>
        </w:rPr>
        <w:t>K</w:t>
      </w:r>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 xml:space="preserve">(i)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w:t>
      </w:r>
      <w:r w:rsidR="006D38A7">
        <w:rPr>
          <w:bCs/>
        </w:rPr>
        <w:t xml:space="preserve">before add on controls </w:t>
      </w:r>
      <w:r w:rsidRPr="003E6D37">
        <w:rPr>
          <w:bCs/>
        </w:rPr>
        <w:t xml:space="preserve">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RDefault="003E6D37" w:rsidP="003E6D37">
      <w:pPr>
        <w:spacing w:after="0" w:line="240" w:lineRule="auto"/>
        <w:rPr>
          <w:bCs/>
        </w:rPr>
      </w:pPr>
      <w:r w:rsidRPr="003E6D37">
        <w:rPr>
          <w:bCs/>
        </w:rPr>
        <w:t>(</w:t>
      </w:r>
      <w:r w:rsidR="00DC586F">
        <w:rPr>
          <w:bCs/>
        </w:rPr>
        <w:t>1</w:t>
      </w:r>
      <w:r w:rsidRPr="003E6D37">
        <w:rPr>
          <w:bCs/>
        </w:rPr>
        <w:t xml:space="preserve">)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lastRenderedPageBreak/>
        <w:t>(</w:t>
      </w:r>
      <w:r w:rsidR="00DC586F">
        <w:rPr>
          <w:bCs/>
        </w:rPr>
        <w:t>2</w:t>
      </w:r>
      <w:r w:rsidRPr="003E6D37">
        <w:rPr>
          <w:bCs/>
        </w:rPr>
        <w:t>) VOC sources located outside the areas cited in section (</w:t>
      </w:r>
      <w:r w:rsidR="00DC586F">
        <w:rPr>
          <w:bCs/>
        </w:rPr>
        <w:t>1</w:t>
      </w:r>
      <w:r w:rsidRPr="003E6D37">
        <w:rPr>
          <w:bCs/>
        </w:rPr>
        <w:t xml:space="preserve">) of this rule are exempt from the General Emission standards for Volatile Organic Compounds. </w:t>
      </w:r>
    </w:p>
    <w:p w:rsidR="003E6D37" w:rsidRPr="003E6D37" w:rsidRDefault="003E6D37" w:rsidP="003E6D37">
      <w:pPr>
        <w:spacing w:after="0" w:line="240" w:lineRule="auto"/>
        <w:rPr>
          <w:bCs/>
        </w:rPr>
      </w:pPr>
      <w:r w:rsidRPr="003E6D37">
        <w:rPr>
          <w:bCs/>
        </w:rPr>
        <w:t>(</w:t>
      </w:r>
      <w:r w:rsidR="00DC586F">
        <w:rPr>
          <w:bCs/>
        </w:rPr>
        <w:t>3</w:t>
      </w:r>
      <w:r w:rsidRPr="003E6D37">
        <w:rPr>
          <w:bCs/>
        </w:rPr>
        <w:t>) All new and existing sources in the areas identified in section (</w:t>
      </w:r>
      <w:r w:rsidR="00DC586F">
        <w:rPr>
          <w:bCs/>
        </w:rPr>
        <w:t>1</w:t>
      </w:r>
      <w:r w:rsidRPr="003E6D37">
        <w:rPr>
          <w:bCs/>
        </w:rPr>
        <w:t xml:space="preserve">)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r w:rsidRPr="003E6D37">
        <w:rPr>
          <w:bCs/>
        </w:rPr>
        <w:t xml:space="preserve">Stats. Implemented: ORS 468A.025 </w:t>
      </w:r>
    </w:p>
    <w:p w:rsidR="003E6D37" w:rsidRPr="003E6D37" w:rsidRDefault="003E6D37" w:rsidP="003E6D37">
      <w:pPr>
        <w:spacing w:after="0" w:line="240" w:lineRule="auto"/>
        <w:rPr>
          <w:bCs/>
        </w:rPr>
      </w:pPr>
      <w:r w:rsidRPr="003E6D37">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(1) "Aerospace component" means the fabricated part, assembly of parts, or completed unit of any aircraft, helicopter, missile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r w:rsidR="0056773E">
        <w:rPr>
          <w:bCs/>
        </w:rPr>
        <w:t>DEQ</w:t>
      </w:r>
      <w:r w:rsidRPr="003E6D37">
        <w:rPr>
          <w:bCs/>
        </w:rPr>
        <w:t xml:space="preserve">, or which has been certified by other air pollution control agencies and approved by </w:t>
      </w:r>
      <w:r w:rsidR="0056773E">
        <w:rPr>
          <w:bCs/>
        </w:rPr>
        <w:t>DEQ</w:t>
      </w:r>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(10) "Clear coat" means a coating which lacks color and opacity or is transparent and uses the undercoat as a reflectant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a base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RDefault="00510735" w:rsidP="003E6D37">
      <w:pPr>
        <w:spacing w:after="0" w:line="240" w:lineRule="auto"/>
        <w:rPr>
          <w:bCs/>
        </w:rPr>
      </w:pPr>
      <w:r w:rsidRPr="003E6D37" w:rsidDel="00510735">
        <w:rPr>
          <w:bCs/>
        </w:rPr>
        <w:t xml:space="preserve"> </w:t>
      </w:r>
      <w:r w:rsidR="003E6D37" w:rsidRPr="003E6D37">
        <w:rPr>
          <w:bCs/>
        </w:rPr>
        <w:t>(1</w:t>
      </w:r>
      <w:r>
        <w:rPr>
          <w:bCs/>
        </w:rPr>
        <w:t>7</w:t>
      </w:r>
      <w:r w:rsidR="003E6D37" w:rsidRPr="003E6D37">
        <w:rPr>
          <w:bCs/>
        </w:rPr>
        <w:t>) "Delivery vessel" means any tank truck or trailer used for the transport of gasoline from sources of supply to stationary storage tanks.</w:t>
      </w:r>
    </w:p>
    <w:p w:rsidR="003E6D37" w:rsidRPr="003E6D37" w:rsidRDefault="00510735" w:rsidP="003E6D37">
      <w:pPr>
        <w:spacing w:after="0" w:line="240" w:lineRule="auto"/>
        <w:rPr>
          <w:bCs/>
        </w:rPr>
      </w:pPr>
      <w:r w:rsidRPr="003E6D37" w:rsidDel="00510735">
        <w:rPr>
          <w:bCs/>
        </w:rPr>
        <w:t xml:space="preserve"> </w:t>
      </w:r>
      <w:r w:rsidR="003E6D37" w:rsidRPr="003E6D37">
        <w:rPr>
          <w:bCs/>
        </w:rPr>
        <w:t>(</w:t>
      </w:r>
      <w:r>
        <w:rPr>
          <w:bCs/>
        </w:rPr>
        <w:t>18</w:t>
      </w:r>
      <w:r w:rsidR="003E6D37"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r w:rsidR="00510735">
        <w:rPr>
          <w:bCs/>
        </w:rPr>
        <w:t>19</w:t>
      </w:r>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r w:rsidR="00510735">
        <w:rPr>
          <w:bCs/>
        </w:rPr>
        <w:t>0</w:t>
      </w:r>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r w:rsidR="00510735">
        <w:rPr>
          <w:bCs/>
        </w:rPr>
        <w:t>1</w:t>
      </w:r>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r w:rsidR="00510735">
        <w:rPr>
          <w:bCs/>
        </w:rPr>
        <w:t>2</w:t>
      </w:r>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r w:rsidR="00510735">
        <w:rPr>
          <w:bCs/>
        </w:rPr>
        <w:t>3</w:t>
      </w:r>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r w:rsidR="00510735">
        <w:rPr>
          <w:bCs/>
        </w:rPr>
        <w:t>4</w:t>
      </w:r>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r w:rsidR="00510735">
        <w:rPr>
          <w:bCs/>
        </w:rPr>
        <w:t>5</w:t>
      </w:r>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r w:rsidR="00510735">
        <w:rPr>
          <w:bCs/>
        </w:rPr>
        <w:t>6</w:t>
      </w:r>
      <w:r w:rsidRPr="003E6D37">
        <w:rPr>
          <w:bCs/>
        </w:rPr>
        <w:t>)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w:t>
      </w:r>
      <w:r w:rsidR="00510735">
        <w:rPr>
          <w:bCs/>
        </w:rPr>
        <w:t>7</w:t>
      </w:r>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r w:rsidR="00510735">
        <w:rPr>
          <w:bCs/>
        </w:rPr>
        <w:t>28</w:t>
      </w:r>
      <w:r w:rsidRPr="003E6D37">
        <w:rPr>
          <w:bCs/>
        </w:rPr>
        <w:t>) "Gas</w:t>
      </w:r>
      <w:r w:rsidR="0056773E">
        <w:rPr>
          <w:bCs/>
        </w:rPr>
        <w:t>eous</w:t>
      </w:r>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p>
    <w:p w:rsidR="003E6D37" w:rsidRPr="003E6D37" w:rsidRDefault="003E6D37" w:rsidP="003E6D37">
      <w:pPr>
        <w:spacing w:after="0" w:line="240" w:lineRule="auto"/>
        <w:rPr>
          <w:bCs/>
        </w:rPr>
      </w:pPr>
      <w:r w:rsidRPr="003E6D37">
        <w:rPr>
          <w:bCs/>
        </w:rPr>
        <w:t>(</w:t>
      </w:r>
      <w:r w:rsidR="00510735">
        <w:rPr>
          <w:bCs/>
        </w:rPr>
        <w:t>29</w:t>
      </w:r>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r w:rsidR="00510735">
        <w:rPr>
          <w:bCs/>
        </w:rPr>
        <w:t>0</w:t>
      </w:r>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r w:rsidR="00510735">
        <w:rPr>
          <w:bCs/>
        </w:rPr>
        <w:t>1</w:t>
      </w:r>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r w:rsidR="00510735">
        <w:rPr>
          <w:bCs/>
        </w:rPr>
        <w:t>2</w:t>
      </w:r>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r w:rsidR="00510735">
        <w:rPr>
          <w:bCs/>
        </w:rPr>
        <w:t>3</w:t>
      </w:r>
      <w:r w:rsidRPr="003E6D37">
        <w:rPr>
          <w:bCs/>
        </w:rPr>
        <w:t xml:space="preserve">) "Leaking component" means any petroleum refinery source which has a volatile organic compound concentration exceeding 10,000 parts per million (ppm) when tested in the manner described in method 31 and 33 on file with </w:t>
      </w:r>
      <w:r w:rsidR="0056773E">
        <w:rPr>
          <w:bCs/>
        </w:rPr>
        <w:t>DEQ</w:t>
      </w:r>
      <w:r w:rsidRPr="003E6D37">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r w:rsidR="00510735">
        <w:rPr>
          <w:bCs/>
        </w:rPr>
        <w:t>4</w:t>
      </w:r>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r w:rsidR="00510735">
        <w:rPr>
          <w:bCs/>
        </w:rPr>
        <w:t>5</w:t>
      </w:r>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r w:rsidR="00510735">
        <w:rPr>
          <w:bCs/>
        </w:rPr>
        <w:t>6</w:t>
      </w:r>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r w:rsidR="00510735">
        <w:rPr>
          <w:bCs/>
        </w:rPr>
        <w:t>37</w:t>
      </w:r>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RDefault="0045635C" w:rsidP="003E6D37">
      <w:pPr>
        <w:spacing w:after="0" w:line="240" w:lineRule="auto"/>
        <w:rPr>
          <w:bCs/>
        </w:rPr>
      </w:pPr>
      <w:r w:rsidRPr="003E6D37" w:rsidDel="0045635C">
        <w:rPr>
          <w:bCs/>
        </w:rPr>
        <w:t xml:space="preserve"> </w:t>
      </w:r>
      <w:r w:rsidR="003E6D37" w:rsidRPr="003E6D37">
        <w:rPr>
          <w:bCs/>
        </w:rPr>
        <w:t>(</w:t>
      </w:r>
      <w:r w:rsidR="00B44445">
        <w:rPr>
          <w:bCs/>
        </w:rPr>
        <w:t>38</w:t>
      </w:r>
      <w:r w:rsidR="003E6D37"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r w:rsidR="00B44445">
        <w:rPr>
          <w:bCs/>
        </w:rPr>
        <w:t>39</w:t>
      </w:r>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r w:rsidR="00B44445">
        <w:rPr>
          <w:bCs/>
        </w:rPr>
        <w:t>0</w:t>
      </w:r>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r w:rsidR="00B44445">
        <w:rPr>
          <w:bCs/>
        </w:rPr>
        <w:t>1</w:t>
      </w:r>
      <w:r w:rsidRPr="003E6D37">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r w:rsidR="00B44445">
        <w:rPr>
          <w:bCs/>
        </w:rPr>
        <w:t>2</w:t>
      </w:r>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r w:rsidR="00B44445">
        <w:rPr>
          <w:bCs/>
        </w:rPr>
        <w:t>3</w:t>
      </w:r>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r w:rsidR="00B44445">
        <w:rPr>
          <w:bCs/>
        </w:rPr>
        <w:t>44</w:t>
      </w:r>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r w:rsidR="00B44445">
        <w:rPr>
          <w:bCs/>
        </w:rPr>
        <w:t>45</w:t>
      </w:r>
      <w:r w:rsidRPr="003E6D37">
        <w:rPr>
          <w:bCs/>
        </w:rPr>
        <w:t>) "Oven</w:t>
      </w:r>
      <w:r w:rsidR="009E2191">
        <w:rPr>
          <w:bCs/>
        </w:rPr>
        <w:t xml:space="preserve"> </w:t>
      </w:r>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r w:rsidR="00B44445">
        <w:rPr>
          <w:bCs/>
        </w:rPr>
        <w:t>46</w:t>
      </w:r>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r w:rsidR="00B44445">
        <w:rPr>
          <w:bCs/>
        </w:rPr>
        <w:t>47</w:t>
      </w:r>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RDefault="0045635C" w:rsidP="003E6D37">
      <w:pPr>
        <w:spacing w:after="0" w:line="240" w:lineRule="auto"/>
        <w:rPr>
          <w:bCs/>
        </w:rPr>
      </w:pPr>
      <w:r w:rsidRPr="003E6D37" w:rsidDel="0045635C">
        <w:rPr>
          <w:bCs/>
        </w:rPr>
        <w:t xml:space="preserve"> </w:t>
      </w:r>
      <w:r w:rsidR="003E6D37" w:rsidRPr="003E6D37">
        <w:rPr>
          <w:bCs/>
        </w:rPr>
        <w:t>(</w:t>
      </w:r>
      <w:r w:rsidR="00B44445">
        <w:rPr>
          <w:bCs/>
        </w:rPr>
        <w:t>48</w:t>
      </w:r>
      <w:r w:rsidR="003E6D37" w:rsidRPr="003E6D37">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3E6D37" w:rsidRDefault="003E6D37" w:rsidP="003E6D37">
      <w:pPr>
        <w:spacing w:after="0" w:line="240" w:lineRule="auto"/>
        <w:rPr>
          <w:bCs/>
        </w:rPr>
      </w:pPr>
      <w:r w:rsidRPr="003E6D37">
        <w:rPr>
          <w:bCs/>
        </w:rPr>
        <w:t>(</w:t>
      </w:r>
      <w:r w:rsidR="00B44445">
        <w:rPr>
          <w:bCs/>
        </w:rPr>
        <w:t>49</w:t>
      </w:r>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r w:rsidRPr="003E6D37">
        <w:rPr>
          <w:bCs/>
        </w:rPr>
        <w:t>(</w:t>
      </w:r>
      <w:r w:rsidR="009E2191">
        <w:rPr>
          <w:bCs/>
        </w:rPr>
        <w:t>50</w:t>
      </w:r>
      <w:r w:rsidRPr="003E6D37">
        <w:rPr>
          <w:bCs/>
        </w:rPr>
        <w:t>) "Prime coat" means the first of two or more films of coating applied in an operation.</w:t>
      </w:r>
    </w:p>
    <w:p w:rsidR="003E6D37" w:rsidRPr="003E6D37" w:rsidRDefault="003E6D37" w:rsidP="003E6D37">
      <w:pPr>
        <w:spacing w:after="0" w:line="240" w:lineRule="auto"/>
        <w:rPr>
          <w:bCs/>
        </w:rPr>
      </w:pPr>
      <w:r w:rsidRPr="003E6D37">
        <w:rPr>
          <w:bCs/>
        </w:rPr>
        <w:t>(5</w:t>
      </w:r>
      <w:r w:rsidR="009E2191">
        <w:rPr>
          <w:bCs/>
        </w:rPr>
        <w:t>1</w:t>
      </w:r>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r w:rsidR="009E2191">
        <w:rPr>
          <w:bCs/>
        </w:rPr>
        <w:t>52</w:t>
      </w:r>
      <w:r w:rsidRPr="003E6D37">
        <w:rPr>
          <w:bCs/>
        </w:rPr>
        <w:t>) "Printing" means the formation of words, designs and pictures, usually by a series of application rolls each with only partial coverage.</w:t>
      </w:r>
    </w:p>
    <w:p w:rsidR="003E6D37" w:rsidRPr="003E6D37" w:rsidRDefault="0045635C" w:rsidP="003E6D37">
      <w:pPr>
        <w:spacing w:after="0" w:line="240" w:lineRule="auto"/>
        <w:rPr>
          <w:bCs/>
        </w:rPr>
      </w:pPr>
      <w:r w:rsidRPr="003E6D37" w:rsidDel="0045635C">
        <w:rPr>
          <w:bCs/>
        </w:rPr>
        <w:t xml:space="preserve"> </w:t>
      </w:r>
      <w:r w:rsidR="003E6D37" w:rsidRPr="003E6D37">
        <w:rPr>
          <w:bCs/>
        </w:rPr>
        <w:t>(</w:t>
      </w:r>
      <w:r w:rsidR="008532B3">
        <w:rPr>
          <w:bCs/>
        </w:rPr>
        <w:t>53</w:t>
      </w:r>
      <w:r w:rsidR="003E6D37"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r w:rsidR="009E2191">
        <w:rPr>
          <w:bCs/>
        </w:rPr>
        <w:t>5</w:t>
      </w:r>
      <w:r w:rsidR="008532B3">
        <w:rPr>
          <w:bCs/>
        </w:rPr>
        <w:t>4</w:t>
      </w:r>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r w:rsidR="009E2191">
        <w:rPr>
          <w:bCs/>
        </w:rPr>
        <w:t>5</w:t>
      </w:r>
      <w:r w:rsidR="008532B3">
        <w:rPr>
          <w:bCs/>
        </w:rPr>
        <w:t>5</w:t>
      </w:r>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r w:rsidR="009E2191">
        <w:rPr>
          <w:bCs/>
        </w:rPr>
        <w:t>5</w:t>
      </w:r>
      <w:r w:rsidR="008532B3">
        <w:rPr>
          <w:bCs/>
        </w:rPr>
        <w:t>6</w:t>
      </w:r>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r w:rsidR="009E2191">
        <w:rPr>
          <w:bCs/>
        </w:rPr>
        <w:t>5</w:t>
      </w:r>
      <w:r w:rsidR="008532B3">
        <w:rPr>
          <w:bCs/>
        </w:rPr>
        <w:t>7</w:t>
      </w:r>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RDefault="00CA4FE9" w:rsidP="003E6D37">
      <w:pPr>
        <w:spacing w:after="0" w:line="240" w:lineRule="auto"/>
        <w:rPr>
          <w:bCs/>
        </w:rPr>
      </w:pPr>
      <w:r w:rsidRPr="003E6D37" w:rsidDel="00CA4FE9">
        <w:rPr>
          <w:bCs/>
        </w:rPr>
        <w:t xml:space="preserve"> </w:t>
      </w:r>
      <w:r w:rsidR="003E6D37" w:rsidRPr="003E6D37">
        <w:rPr>
          <w:bCs/>
        </w:rPr>
        <w:t>(</w:t>
      </w:r>
      <w:r w:rsidR="009E2191">
        <w:rPr>
          <w:bCs/>
        </w:rPr>
        <w:t>5</w:t>
      </w:r>
      <w:r w:rsidR="008532B3">
        <w:rPr>
          <w:bCs/>
        </w:rPr>
        <w:t>8</w:t>
      </w:r>
      <w:r w:rsidR="003E6D37" w:rsidRPr="003E6D37">
        <w:rPr>
          <w:bCs/>
        </w:rPr>
        <w:t xml:space="preserve">) "Submerged fill" means any fill pipe or hose, the discharge opening of which is entirely submerged when the liquid is 6 inches above the bottom of the tank; or when applied to a tank which is loaded from the </w:t>
      </w:r>
      <w:r w:rsidR="003E6D37"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r w:rsidR="009E2191">
        <w:rPr>
          <w:bCs/>
        </w:rPr>
        <w:t>5</w:t>
      </w:r>
      <w:r w:rsidR="008532B3">
        <w:rPr>
          <w:bCs/>
        </w:rPr>
        <w:t>9</w:t>
      </w:r>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r w:rsidR="008532B3">
        <w:rPr>
          <w:bCs/>
        </w:rPr>
        <w:t>60</w:t>
      </w:r>
      <w:r w:rsidRPr="003E6D37">
        <w:rPr>
          <w:bCs/>
        </w:rPr>
        <w:t>) "Tileboard" means paneling that has a colored waterproof surface coating.</w:t>
      </w:r>
    </w:p>
    <w:p w:rsidR="003E6D37" w:rsidRPr="003E6D37" w:rsidRDefault="003E6D37" w:rsidP="003E6D37">
      <w:pPr>
        <w:spacing w:after="0" w:line="240" w:lineRule="auto"/>
        <w:rPr>
          <w:bCs/>
        </w:rPr>
      </w:pPr>
      <w:r w:rsidRPr="003E6D37">
        <w:rPr>
          <w:bCs/>
        </w:rPr>
        <w:t>(</w:t>
      </w:r>
      <w:r w:rsidR="009E2191">
        <w:rPr>
          <w:bCs/>
        </w:rPr>
        <w:t>6</w:t>
      </w:r>
      <w:r w:rsidR="008532B3">
        <w:rPr>
          <w:bCs/>
        </w:rPr>
        <w:t>1</w:t>
      </w:r>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r w:rsidR="009E2191">
        <w:rPr>
          <w:bCs/>
        </w:rPr>
        <w:t>6</w:t>
      </w:r>
      <w:r w:rsidR="008532B3">
        <w:rPr>
          <w:bCs/>
        </w:rPr>
        <w:t>2</w:t>
      </w:r>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r w:rsidR="009E2191">
        <w:rPr>
          <w:bCs/>
        </w:rPr>
        <w:t>6</w:t>
      </w:r>
      <w:r w:rsidR="008532B3">
        <w:rPr>
          <w:bCs/>
        </w:rPr>
        <w:t>3</w:t>
      </w:r>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r w:rsidR="009E2191">
        <w:rPr>
          <w:bCs/>
        </w:rPr>
        <w:t>6</w:t>
      </w:r>
      <w:r w:rsidR="008532B3">
        <w:rPr>
          <w:bCs/>
        </w:rPr>
        <w:t>4</w:t>
      </w:r>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r w:rsidR="009E2191">
        <w:rPr>
          <w:bCs/>
        </w:rPr>
        <w:t>6</w:t>
      </w:r>
      <w:r w:rsidR="008532B3">
        <w:rPr>
          <w:bCs/>
        </w:rPr>
        <w:t>5</w:t>
      </w:r>
      <w:r w:rsidRPr="003E6D37">
        <w:rPr>
          <w:bCs/>
        </w:rPr>
        <w:t>) "Vapor Tight"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 xml:space="preserve">(1)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r w:rsidR="0056773E">
        <w:rPr>
          <w:bCs/>
        </w:rPr>
        <w:t>DEQ</w:t>
      </w:r>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r w:rsidR="0056773E">
        <w:rPr>
          <w:bCs/>
        </w:rPr>
        <w:t>DEQ</w:t>
      </w:r>
      <w:r w:rsidRPr="003E6D37">
        <w:rPr>
          <w:bCs/>
        </w:rPr>
        <w:t xml:space="preserve"> that their </w:t>
      </w:r>
      <w:commentRangeStart w:id="0"/>
      <w:r w:rsidRPr="003E6D37">
        <w:rPr>
          <w:bCs/>
        </w:rPr>
        <w:t xml:space="preserve">potential emissions </w:t>
      </w:r>
      <w:commentRangeEnd w:id="0"/>
      <w:r w:rsidR="006D33FE">
        <w:rPr>
          <w:rStyle w:val="CommentReference"/>
        </w:rPr>
        <w:commentReference w:id="0"/>
      </w:r>
      <w:r w:rsidR="004D45B4" w:rsidRPr="00285BED">
        <w:rPr>
          <w:bCs/>
        </w:rPr>
        <w:t>before add-on controls</w:t>
      </w:r>
      <w:r w:rsidRPr="003E6D37">
        <w:rPr>
          <w:bCs/>
        </w:rPr>
        <w:t xml:space="preserve"> are below 100 tons per year. Once a source becomes subject to RACT requirements under this section, it shall continue to be subject to RACT, unless VOC emissions fall below 100 tons per year and the source requests that RACT be removed, by demonstrating to </w:t>
      </w:r>
      <w:r w:rsidR="0056773E">
        <w:rPr>
          <w:bCs/>
        </w:rPr>
        <w:t>DEQ</w:t>
      </w:r>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r w:rsidR="0056773E">
        <w:rPr>
          <w:bCs/>
        </w:rPr>
        <w:t>DEQ</w:t>
      </w:r>
      <w:r w:rsidRPr="003E6D37">
        <w:rPr>
          <w:bCs/>
        </w:rPr>
        <w:t xml:space="preserve"> of the applicability of this rule, or, for good cause shown, up to an additional three months as approved by </w:t>
      </w:r>
      <w:r w:rsidR="0056773E">
        <w:rPr>
          <w:bCs/>
        </w:rPr>
        <w:t>DEQ</w:t>
      </w:r>
      <w:r w:rsidRPr="003E6D37">
        <w:rPr>
          <w:bCs/>
        </w:rPr>
        <w:t xml:space="preserve">, the source shall submit to </w:t>
      </w:r>
      <w:r w:rsidR="0056773E">
        <w:rPr>
          <w:bCs/>
        </w:rPr>
        <w:t>DEQ</w:t>
      </w:r>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r w:rsidR="0056773E">
        <w:rPr>
          <w:bCs/>
        </w:rPr>
        <w:t>DEQ</w:t>
      </w:r>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r w:rsidR="0056773E">
        <w:rPr>
          <w:bCs/>
        </w:rPr>
        <w:t>DEQ</w:t>
      </w:r>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r w:rsidR="0056773E">
        <w:rPr>
          <w:bCs/>
        </w:rPr>
        <w:t>DEQ</w:t>
      </w:r>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RDefault="003E6D37" w:rsidP="003E6D37">
      <w:pPr>
        <w:spacing w:after="0" w:line="240" w:lineRule="auto"/>
        <w:rPr>
          <w:bCs/>
        </w:rPr>
      </w:pPr>
      <w:r w:rsidRPr="003E6D37">
        <w:rPr>
          <w:bCs/>
        </w:rPr>
        <w:t xml:space="preserve">(1) Certification and test procedures required by this division shall be conducted in accordance with </w:t>
      </w:r>
      <w:r w:rsidR="0056773E">
        <w:rPr>
          <w:bCs/>
        </w:rPr>
        <w:t>DEQ</w:t>
      </w:r>
      <w:r w:rsidRPr="003E6D37">
        <w:rPr>
          <w:bCs/>
        </w:rPr>
        <w:t xml:space="preserve">'s </w:t>
      </w:r>
      <w:r w:rsidRPr="003E6D37">
        <w:rPr>
          <w:b/>
          <w:bCs/>
        </w:rPr>
        <w:t>Source Sampling Manual</w:t>
      </w:r>
      <w:r w:rsidRPr="003E6D37">
        <w:rPr>
          <w:bCs/>
        </w:rPr>
        <w:t xml:space="preserve">. (2) Approval by </w:t>
      </w:r>
      <w:r w:rsidR="0056773E">
        <w:rPr>
          <w:bCs/>
        </w:rPr>
        <w:t>DEQ</w:t>
      </w:r>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lastRenderedPageBreak/>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833C2D" w:rsidRDefault="00833C2D">
      <w:pPr>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lastRenderedPageBreak/>
        <w:t>(</w:t>
      </w:r>
      <w:r w:rsidR="00FE138F">
        <w:t>5</w:t>
      </w:r>
      <w:r w:rsidRPr="003E6D37">
        <w:t>) The owner or operator of a gasoline delivery vessel shall maintain the vessel to be vapor tight at all times, in accordance with OAR 340- 232-0100(1), if such vessel is part of a vapor balance system required by subsection (1)(b)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Hist.: DEQ 20-1998, f. &amp; cert. ef. 10-12-98; DEQ 14-1999, f. &amp; cert. ef. 10-14-99, Renumbered from 340-022-0125</w:t>
      </w:r>
      <w:r w:rsidR="00175E72" w:rsidRPr="00175E72">
        <w:t>; DEQ 4-2013, f. &amp; cert. ef. 3-27-13</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of this rule shall be determined by testing in accordance with Method 33 on file with </w:t>
      </w:r>
      <w:r w:rsidR="0056773E">
        <w:t>DEQ</w:t>
      </w:r>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r w:rsidR="0056773E">
        <w:t>DEQ</w:t>
      </w:r>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(b) Sustains a pressure change of no more than 750 pascals (3 inches of H2O) in five minutes when pressurized to a gauge pressure of 4,500 pascals (18 inches of H2O) or evacuated to a gauge pressure of 1,500 pascals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r w:rsidR="0056773E">
        <w:t>DEQ</w:t>
      </w:r>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(d)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(a) Gauge pressure from exceeding 4,500 pascals (18 inches of H2O) and vacuum from exceeding 1,500 pascals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r w:rsidR="0056773E">
        <w:t>DEQ</w:t>
      </w:r>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r w:rsidR="0056773E">
        <w:t>DEQ</w:t>
      </w:r>
      <w:r w:rsidRPr="003E6D37">
        <w:t xml:space="preserve"> may, at any time, monitor a gasoline tank truck, vapor collection system, or vapor control system, by the methods on file with </w:t>
      </w:r>
      <w:r w:rsidR="0056773E">
        <w:t>DEQ</w:t>
      </w:r>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 xml:space="preserve">(a)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w:t>
      </w:r>
      <w:r w:rsidRPr="003E6D37">
        <w:lastRenderedPageBreak/>
        <w:t>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 xml:space="preserve">(b) Copies of all records and reports under subsection (4)(a) of this rule shall be submitted to </w:t>
      </w:r>
      <w:r w:rsidR="0056773E">
        <w:t>DEQ</w:t>
      </w:r>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(1) Applicability. This rule applies to loading events at any location within the Portland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w:t>
      </w:r>
      <w:r w:rsidRPr="00B23B94">
        <w:t>or</w:t>
      </w:r>
      <w:r w:rsidRPr="003E6D37">
        <w:t xml:space="preserve"> limited to 5.7 grams per cubic meter (2 lbs. per 1000 bbls)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r w:rsidR="0056773E">
        <w:t>DEQ</w:t>
      </w:r>
      <w:r w:rsidRPr="003E6D37">
        <w:t xml:space="preserve"> that the vessel is leak free, vapor tight, and in good working order based on an annual inspection using EPA Method 21</w:t>
      </w:r>
      <w:r w:rsidR="00B62F66" w:rsidRPr="00B23B94">
        <w:t>.</w:t>
      </w:r>
    </w:p>
    <w:p w:rsidR="003E6D37" w:rsidRPr="003E6D37" w:rsidRDefault="003E6D37" w:rsidP="003E6D37">
      <w:pPr>
        <w:spacing w:after="0" w:line="240" w:lineRule="auto"/>
      </w:pPr>
      <w:r w:rsidRPr="003E6D37">
        <w:t>(c) Gaseous leaks must be detected using EPA Method 21.</w:t>
      </w:r>
    </w:p>
    <w:p w:rsidR="003E6D37" w:rsidRPr="003E6D37" w:rsidRDefault="003E6D37" w:rsidP="003E6D37">
      <w:pPr>
        <w:spacing w:after="0" w:line="240" w:lineRule="auto"/>
      </w:pPr>
      <w:r w:rsidRPr="003E6D37">
        <w:lastRenderedPageBreak/>
        <w:t xml:space="preserve">(d) Loading must cease anytime gas or liquid leaks are detected. Loading may continue only after leaks are repaired or if documentation is provided to </w:t>
      </w:r>
      <w:r w:rsidR="0056773E">
        <w:t>DEQ</w:t>
      </w:r>
      <w:r w:rsidRPr="003E6D37">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r w:rsidR="006161B9">
        <w:t>DEQ</w:t>
      </w:r>
      <w:r w:rsidR="006161B9" w:rsidRPr="003E6D37">
        <w:t xml:space="preserve"> </w:t>
      </w:r>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r w:rsidR="0056773E">
        <w:t>DEQ</w:t>
      </w:r>
      <w:r w:rsidRPr="003E6D37">
        <w:t xml:space="preserve"> declares a Clean Air Action (CAA) day. If </w:t>
      </w:r>
      <w:r w:rsidR="0056773E">
        <w:t>DEQ</w:t>
      </w:r>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r w:rsidR="0056773E">
        <w:t>DEQ</w:t>
      </w:r>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lastRenderedPageBreak/>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r w:rsidR="0056773E">
        <w:t>DEQ</w:t>
      </w:r>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(i)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(i)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r w:rsidR="0056773E">
        <w:t>DEQ</w:t>
      </w:r>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lastRenderedPageBreak/>
        <w:t>(H) Those leaks that cannot be repaired until turnaround, (exceptions to the 15-day requirement of paragraph (1)(a)(B) of this rule); and</w:t>
      </w:r>
    </w:p>
    <w:p w:rsidR="003E6D37" w:rsidRPr="003E6D37" w:rsidRDefault="003E6D37" w:rsidP="003E6D37">
      <w:pPr>
        <w:spacing w:after="0" w:line="240" w:lineRule="auto"/>
      </w:pPr>
      <w:r w:rsidRPr="003E6D37">
        <w:t>(I) The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r w:rsidR="0056773E">
        <w:t>DEQ</w:t>
      </w:r>
      <w:r w:rsidRPr="003E6D37">
        <w:t xml:space="preserve"> upon verbal or written request at any reasonable time;</w:t>
      </w:r>
    </w:p>
    <w:p w:rsidR="003E6D37" w:rsidRPr="003E6D37" w:rsidRDefault="003E6D37" w:rsidP="003E6D37">
      <w:pPr>
        <w:spacing w:after="0" w:line="240" w:lineRule="auto"/>
      </w:pPr>
      <w:r w:rsidRPr="003E6D37">
        <w:t xml:space="preserve">(i) </w:t>
      </w:r>
      <w:r w:rsidR="0056773E">
        <w:t>DEQ</w:t>
      </w:r>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23-1980, f. &amp; ef. 9-26-80; DEQ 3-1986, f. &amp; ef. 2-12-86; DEQ 8-1991, f. &amp; cert. ef. 5-16-91; DEQ 4-1993, f. &amp; cert. ef. 3-10-93; DEQ 14-1999, f. &amp; cert. ef.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(1) Owners or operators which have tanks storing methanol or other volatile organic compound liquids with a true vapor pressure, as stored, greater than 10.5 kPa (kilo Pascals)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r w:rsidRPr="003E6D37">
        <w:t xml:space="preserve"> and </w:t>
      </w:r>
      <w:r w:rsidRPr="003E6D37">
        <w:rPr>
          <w:b/>
          <w:bCs/>
        </w:rPr>
        <w:t>Ka</w:t>
      </w:r>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(D) Contain a VOC liquid with a true vapor pressure less than 27.6 kPa (4.0 psia</w:t>
      </w:r>
      <w:r w:rsidR="000A2F41" w:rsidRPr="005B7646">
        <w:t>); and</w:t>
      </w:r>
    </w:p>
    <w:p w:rsidR="003E6D37" w:rsidRPr="003E6D37" w:rsidRDefault="003E6D37" w:rsidP="003E6D37">
      <w:pPr>
        <w:spacing w:after="0" w:line="240" w:lineRule="auto"/>
      </w:pPr>
      <w:r w:rsidRPr="003E6D37">
        <w:t>(i) Are of welded construction; and</w:t>
      </w:r>
    </w:p>
    <w:p w:rsidR="003E6D37" w:rsidRPr="003E6D37" w:rsidRDefault="003E6D37" w:rsidP="003E6D37">
      <w:pPr>
        <w:spacing w:after="0" w:line="240" w:lineRule="auto"/>
      </w:pPr>
      <w:r w:rsidRPr="003E6D37">
        <w:lastRenderedPageBreak/>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r w:rsidR="0056773E">
        <w:t>DEQ</w:t>
      </w:r>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(shoemounted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(i) A continuous secondary seal extending from the floating roof to the tank wall (rim-mounted secondary seal); or</w:t>
      </w:r>
    </w:p>
    <w:p w:rsidR="003E6D37" w:rsidRPr="003E6D37" w:rsidRDefault="003E6D37" w:rsidP="003E6D37">
      <w:pPr>
        <w:spacing w:after="0" w:line="240" w:lineRule="auto"/>
      </w:pPr>
      <w:r w:rsidRPr="003E6D37">
        <w:t xml:space="preserve">(ii) A closure or other device which controls VOC emissions with an effectiveness equal to or greater than a seal required under subparagraph (A)(i) of this subsection as </w:t>
      </w:r>
      <w:r w:rsidR="00837B6F" w:rsidRPr="00D14EA3">
        <w:t>approved in writing</w:t>
      </w:r>
      <w:r w:rsidRPr="003E6D37">
        <w:t xml:space="preserve"> by </w:t>
      </w:r>
      <w:r w:rsidR="0056773E">
        <w:t>DEQ</w:t>
      </w:r>
      <w:r w:rsidRPr="003E6D37">
        <w:t>.</w:t>
      </w:r>
    </w:p>
    <w:p w:rsidR="003E6D37" w:rsidRPr="003E6D37" w:rsidRDefault="003E6D37" w:rsidP="003E6D37">
      <w:pPr>
        <w:spacing w:after="0" w:line="240" w:lineRule="auto"/>
      </w:pPr>
      <w:r w:rsidRPr="003E6D37">
        <w:t>(B) All seal closure devices meet the following requirements:</w:t>
      </w:r>
    </w:p>
    <w:p w:rsidR="003E6D37" w:rsidRPr="003E6D37" w:rsidRDefault="003E6D37" w:rsidP="003E6D37">
      <w:pPr>
        <w:spacing w:after="0" w:line="240" w:lineRule="auto"/>
      </w:pPr>
      <w:r w:rsidRPr="003E6D37">
        <w:t>(i)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(i) Equipped with covers, seals, or lids in the closed position except when the openings are in actual use; and</w:t>
      </w:r>
    </w:p>
    <w:p w:rsidR="003E6D37" w:rsidRPr="003E6D37" w:rsidRDefault="003E6D37" w:rsidP="003E6D37">
      <w:pPr>
        <w:spacing w:after="0" w:line="240" w:lineRule="auto"/>
      </w:pPr>
      <w:r w:rsidRPr="003E6D37">
        <w:t>(ii) Equipped with projections into the tank which remain below the liquid surface at all times.</w:t>
      </w:r>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(i)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(G)(i) and (ii) of this subsection.</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 xml:space="preserve">(I) The owner or operator of a VOC liquid storage vessel subject to this rule, shall submit to </w:t>
      </w:r>
      <w:r w:rsidR="0056773E">
        <w:t>DEQ</w:t>
      </w:r>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r w:rsidR="0056773E">
        <w:t>DEQ</w:t>
      </w:r>
      <w:r w:rsidRPr="003E6D37">
        <w:t>, upon verbal or written request, at any reasonable time;</w:t>
      </w:r>
    </w:p>
    <w:p w:rsidR="003E6D37" w:rsidRPr="003E6D37" w:rsidRDefault="003E6D37" w:rsidP="003E6D37">
      <w:pPr>
        <w:spacing w:after="0" w:line="240" w:lineRule="auto"/>
      </w:pPr>
      <w:r w:rsidRPr="003E6D37">
        <w:t xml:space="preserve">(L) </w:t>
      </w:r>
      <w:r w:rsidR="0056773E">
        <w:t>DEQ</w:t>
      </w:r>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lastRenderedPageBreak/>
        <w:t>(d) Secondary Seal Compliance Determination:</w:t>
      </w:r>
    </w:p>
    <w:p w:rsidR="003E6D37" w:rsidRPr="003E6D37" w:rsidRDefault="003E6D37" w:rsidP="003E6D37">
      <w:pPr>
        <w:spacing w:after="0" w:line="240" w:lineRule="auto"/>
      </w:pPr>
      <w:r w:rsidRPr="003E6D37">
        <w:t>(A) The owner or operator of any volatile organic compound source required to comply with section (4) of this rule shall demonstrate compliance by the methods of this section;</w:t>
      </w:r>
    </w:p>
    <w:p w:rsidR="003E6D37" w:rsidRPr="003E6D37" w:rsidRDefault="003E6D37" w:rsidP="003E6D37">
      <w:pPr>
        <w:spacing w:after="0" w:line="240" w:lineRule="auto"/>
      </w:pPr>
      <w:r w:rsidRPr="003E6D37">
        <w:t xml:space="preserve">(B) A person proposing to conduct a volatile organic compound emissions test shall notify </w:t>
      </w:r>
      <w:r w:rsidR="0056773E">
        <w:t>DEQ</w:t>
      </w:r>
      <w:r w:rsidRPr="003E6D37">
        <w:t xml:space="preserve"> of the intent to test not less than 30 days before the proposed initiation of the tests so </w:t>
      </w:r>
      <w:r w:rsidR="0056773E">
        <w:t>DEQ</w:t>
      </w:r>
      <w:r w:rsidRPr="003E6D37">
        <w:t xml:space="preserve"> may observe the test. The notification shall contain the information required by, and be in a format </w:t>
      </w:r>
      <w:r w:rsidR="00837B6F" w:rsidRPr="00D14EA3">
        <w:t>approved</w:t>
      </w:r>
      <w:r w:rsidRPr="003E6D37">
        <w:t xml:space="preserve"> by </w:t>
      </w:r>
      <w:r w:rsidR="0056773E">
        <w:t>DEQ</w:t>
      </w:r>
      <w:r w:rsidRPr="003E6D37">
        <w:t>;</w:t>
      </w:r>
    </w:p>
    <w:p w:rsidR="003E6D37" w:rsidRPr="003E6D37" w:rsidRDefault="003E6D37" w:rsidP="003E6D37">
      <w:pPr>
        <w:spacing w:after="0" w:line="240" w:lineRule="auto"/>
      </w:pPr>
      <w:r w:rsidRPr="003E6D37">
        <w:t>(C) Compliance with subparagraph (4)(c)(B)(iii) of this rule shall be determined by:</w:t>
      </w:r>
    </w:p>
    <w:p w:rsidR="003E6D37" w:rsidRPr="003E6D37" w:rsidRDefault="003E6D37" w:rsidP="003E6D37">
      <w:pPr>
        <w:spacing w:after="0" w:line="240" w:lineRule="auto"/>
      </w:pPr>
      <w:r w:rsidRPr="003E6D37">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3-1986, f. &amp; ef. 2-12-86; DEQ 8-1991, f. &amp; cert. ef. 5-16-91; DEQ 4-1993, f. &amp; cert. ef. 3-10-93; DEQ 14-1999, f. &amp; cert. ef.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w:t>
      </w:r>
      <w:r w:rsidR="00837B6F" w:rsidRPr="00D14EA3">
        <w:t>approved</w:t>
      </w:r>
      <w:r w:rsidRPr="003E6D37">
        <w:t xml:space="preserve"> by </w:t>
      </w:r>
      <w:r w:rsidR="0056773E">
        <w:t>DEQ</w:t>
      </w:r>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w:t>
      </w:r>
      <w:r w:rsidR="006D38A7">
        <w:t xml:space="preserve"> </w:t>
      </w:r>
      <w:r w:rsidR="00B62F66" w:rsidRPr="00C23DE4">
        <w:t>before add on controls</w:t>
      </w:r>
      <w:r w:rsidRPr="003E6D37">
        <w:t xml:space="preserve">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(i)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lastRenderedPageBreak/>
        <w:t xml:space="preserve">(a) On a case-by-case basis, </w:t>
      </w:r>
      <w:r w:rsidR="0056773E">
        <w:t>DEQ</w:t>
      </w:r>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(b)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r w:rsidR="0056773E">
        <w:t>DEQ</w:t>
      </w:r>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t>(4) Applicability: This rule applies to each coating line, which includes the application area(s), flashoff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(C) Three-piece can side-seam spray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(d) Paper Coating 2.9 lb/gal;</w:t>
      </w:r>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r w:rsidRPr="003E6D37">
        <w:t>[</w:t>
      </w:r>
      <w:r w:rsidRPr="003E6D37">
        <w:rPr>
          <w:b/>
          <w:bCs/>
        </w:rPr>
        <w:t>NOTE:</w:t>
      </w:r>
      <w:r w:rsidRPr="003E6D37">
        <w:t xml:space="preserve"> *55 lb VOC per 1000 sq. yds. of material per pass.]</w:t>
      </w:r>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(A) Prime 1.9 lb/gal;</w:t>
      </w:r>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(C) Repair 4.8 lb/gal.</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(h) Magnet Wire Coating 1.7 lb/gal;</w:t>
      </w:r>
    </w:p>
    <w:p w:rsidR="003E6D37" w:rsidRPr="003E6D37" w:rsidRDefault="003E6D37" w:rsidP="003E6D37">
      <w:pPr>
        <w:spacing w:after="0" w:line="240" w:lineRule="auto"/>
      </w:pPr>
      <w:r w:rsidRPr="003E6D37">
        <w:t>(i)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r w:rsidR="00093784">
        <w:t>d</w:t>
      </w:r>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r w:rsidR="0056773E">
        <w:t>DEQ</w:t>
      </w:r>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r w:rsidR="0056773E">
        <w:t>DEQ</w:t>
      </w:r>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lastRenderedPageBreak/>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r w:rsidR="0056773E">
        <w:t>DEQ</w:t>
      </w:r>
      <w:r w:rsidRPr="003E6D37">
        <w:t xml:space="preserve"> and will be incorporated in the source's Air Contaminant Discharge Permit or Title V Permit, and shall not become effective until approved by EPA as a source-specific SIP revision. Other alternative emission controls approved by </w:t>
      </w:r>
      <w:r w:rsidR="0056773E">
        <w:t>DEQ</w:t>
      </w:r>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r w:rsidR="0056773E">
        <w:t>DEQ</w:t>
      </w:r>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r w:rsidR="0056773E">
        <w:t>DEQ</w:t>
      </w:r>
      <w:r w:rsidRPr="003E6D37">
        <w:t xml:space="preserve"> pursuant to section (4) of this rule or emissions to the atmosphere are controlled to an equivalent level pursuant to section (10)of this rule:</w:t>
      </w:r>
    </w:p>
    <w:p w:rsidR="003E6D37" w:rsidRPr="003E6D37" w:rsidRDefault="003E6D37" w:rsidP="003E6D37">
      <w:pPr>
        <w:spacing w:after="0" w:line="240" w:lineRule="auto"/>
      </w:pPr>
      <w:r w:rsidRPr="003E6D37">
        <w:t>(a) Primer -- 2.9 lb./gal.;</w:t>
      </w:r>
    </w:p>
    <w:p w:rsidR="003E6D37" w:rsidRPr="003E6D37" w:rsidRDefault="003E6D37" w:rsidP="003E6D37">
      <w:pPr>
        <w:spacing w:after="0" w:line="240" w:lineRule="auto"/>
      </w:pPr>
      <w:r w:rsidRPr="003E6D37">
        <w:t>(b) Interior Topcoat -- 2.8 lb./gal.;</w:t>
      </w:r>
    </w:p>
    <w:p w:rsidR="003E6D37" w:rsidRPr="003E6D37" w:rsidRDefault="003E6D37" w:rsidP="003E6D37">
      <w:pPr>
        <w:spacing w:after="0" w:line="240" w:lineRule="auto"/>
      </w:pPr>
      <w:r w:rsidRPr="003E6D37">
        <w:t>(c) Electric or Radiation Effect Coating -- 6.7 lb./gal.;</w:t>
      </w:r>
    </w:p>
    <w:p w:rsidR="003E6D37" w:rsidRPr="003E6D37" w:rsidRDefault="003E6D37" w:rsidP="003E6D37">
      <w:pPr>
        <w:spacing w:after="0" w:line="240" w:lineRule="auto"/>
      </w:pPr>
      <w:r w:rsidRPr="003E6D37">
        <w:t>(d) Extreme Performance Interior Topcoat -- 3.5 lb./gal.;</w:t>
      </w:r>
    </w:p>
    <w:p w:rsidR="003E6D37" w:rsidRPr="003E6D37" w:rsidRDefault="003E6D37" w:rsidP="003E6D37">
      <w:pPr>
        <w:spacing w:after="0" w:line="240" w:lineRule="auto"/>
      </w:pPr>
      <w:r w:rsidRPr="003E6D37">
        <w:t>(e) Fire Insulation Coating -- 5.0 lb./gal.;</w:t>
      </w:r>
    </w:p>
    <w:p w:rsidR="003E6D37" w:rsidRPr="003E6D37" w:rsidRDefault="003E6D37" w:rsidP="003E6D37">
      <w:pPr>
        <w:spacing w:after="0" w:line="240" w:lineRule="auto"/>
      </w:pPr>
      <w:r w:rsidRPr="003E6D37">
        <w:t>(f) Fuel Tank Coating -- 6.0 lb./gal.;</w:t>
      </w:r>
    </w:p>
    <w:p w:rsidR="003E6D37" w:rsidRPr="003E6D37" w:rsidRDefault="003E6D37" w:rsidP="003E6D37">
      <w:pPr>
        <w:spacing w:after="0" w:line="240" w:lineRule="auto"/>
      </w:pPr>
      <w:r w:rsidRPr="003E6D37">
        <w:t>(g) High Temperature Coating* -- 6.0 lb./gal.;</w:t>
      </w:r>
    </w:p>
    <w:p w:rsidR="003E6D37" w:rsidRPr="003E6D37" w:rsidRDefault="003E6D37" w:rsidP="003E6D37">
      <w:pPr>
        <w:spacing w:after="0" w:line="240" w:lineRule="auto"/>
      </w:pPr>
      <w:r w:rsidRPr="003E6D37">
        <w:t>(h) Sealant -- 5.0 lb./gal.;</w:t>
      </w:r>
    </w:p>
    <w:p w:rsidR="003E6D37" w:rsidRPr="003E6D37" w:rsidRDefault="003E6D37" w:rsidP="003E6D37">
      <w:pPr>
        <w:spacing w:after="0" w:line="240" w:lineRule="auto"/>
      </w:pPr>
      <w:r w:rsidRPr="003E6D37">
        <w:t>(i) Self-Priming Topcoat -- 3.5 lb./gal.;</w:t>
      </w:r>
    </w:p>
    <w:p w:rsidR="003E6D37" w:rsidRPr="003E6D37" w:rsidRDefault="003E6D37" w:rsidP="003E6D37">
      <w:pPr>
        <w:spacing w:after="0" w:line="240" w:lineRule="auto"/>
      </w:pPr>
      <w:r w:rsidRPr="003E6D37">
        <w:t>(j) Topcoat -- 3.5 lb./gal.;</w:t>
      </w:r>
    </w:p>
    <w:p w:rsidR="003E6D37" w:rsidRPr="003E6D37" w:rsidRDefault="003E6D37" w:rsidP="003E6D37">
      <w:pPr>
        <w:spacing w:after="0" w:line="240" w:lineRule="auto"/>
      </w:pPr>
      <w:r w:rsidRPr="003E6D37">
        <w:t>(k) Pretreatment Wash Primer -- 3.5 lb./gal.;</w:t>
      </w:r>
    </w:p>
    <w:p w:rsidR="003E6D37" w:rsidRPr="003E6D37" w:rsidRDefault="003E6D37" w:rsidP="003E6D37">
      <w:pPr>
        <w:spacing w:after="0" w:line="240" w:lineRule="auto"/>
      </w:pPr>
      <w:r w:rsidRPr="003E6D37">
        <w:t>(l) Sealant Bonding Primer -- 6.0 lb./gal.;</w:t>
      </w:r>
    </w:p>
    <w:p w:rsidR="003E6D37" w:rsidRPr="003E6D37" w:rsidRDefault="003E6D37" w:rsidP="003E6D37">
      <w:pPr>
        <w:spacing w:after="0" w:line="240" w:lineRule="auto"/>
      </w:pPr>
      <w:r w:rsidRPr="003E6D37">
        <w:lastRenderedPageBreak/>
        <w:t>(m) Temporary Protective Coating -- 2.1 lb./gal.</w:t>
      </w:r>
    </w:p>
    <w:p w:rsidR="003E6D37" w:rsidRPr="003E6D37" w:rsidRDefault="003E6D37" w:rsidP="003E6D37">
      <w:pPr>
        <w:spacing w:after="0" w:line="240" w:lineRule="auto"/>
      </w:pPr>
      <w:r w:rsidRPr="003E6D37">
        <w:t>*(For conditions between 350° F. - 500° F.)</w:t>
      </w:r>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r w:rsidR="0056773E">
        <w:t>DEQ</w:t>
      </w:r>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(b)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r w:rsidR="0056773E">
        <w:t>DEQ</w:t>
      </w:r>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(4) Applicability: This rule applies to each coating line, which includes the application area(s), flashoff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(7) Maskant for Chemical Processing Limitation: No maskant shall be applied for chemical processing unless the VOC emissions from coating operations are reduced by 85 percent, or the coating contains less than 600 grams of VOC per liter (5.0 lbs./gal.)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40 CFR, Part 60, Appendix A</w:t>
      </w:r>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r w:rsidR="0056773E">
        <w:t>DEQ</w:t>
      </w:r>
      <w:r w:rsidRPr="003E6D37">
        <w:t xml:space="preserve"> and on file with </w:t>
      </w:r>
      <w:r w:rsidR="0056773E">
        <w:t>DEQ</w:t>
      </w:r>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r w:rsidR="0056773E">
        <w:t>DEQ</w:t>
      </w:r>
      <w:r w:rsidRPr="003E6D37">
        <w:t xml:space="preserve"> and EPA for approval.</w:t>
      </w:r>
    </w:p>
    <w:p w:rsidR="003E6D37" w:rsidRPr="003E6D37" w:rsidRDefault="003E6D37" w:rsidP="003E6D37">
      <w:pPr>
        <w:spacing w:after="0" w:line="240" w:lineRule="auto"/>
      </w:pPr>
      <w:r w:rsidRPr="003E6D37">
        <w:lastRenderedPageBreak/>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r w:rsidR="0056773E">
        <w:t>DEQ</w:t>
      </w:r>
      <w:r w:rsidRPr="003E6D37">
        <w:t xml:space="preserve"> and will be incorporated in the source's Air Contaminant Discharge Permit or Title V Operating Permit, and shall not become effective until approved by EPA as a source-specific SIP revision. Other alternative emission controls approved by </w:t>
      </w:r>
      <w:r w:rsidR="0056773E">
        <w:t>DEQ</w:t>
      </w:r>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r w:rsidR="0056773E">
        <w:t>DEQ</w:t>
      </w:r>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Hist.: DEQ 8-1991, f. &amp; cert. ef. 5-16-91; DEQ 4-1993, f. &amp; cert. ef. 3-10-93; DEQ 20-1998, f. &amp; cert. ef. 10-12-98; DEQ 14-1999, f. &amp; cert. ef.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Cold cleaners, open top vapor degreasers, and conveyorized degreasers are exempt from this rule if they use fluids which are not photochemically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(b) Be equipped with a drainrack,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lastRenderedPageBreak/>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r w:rsidR="0056773E">
        <w:t>DEQ</w:t>
      </w:r>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lastRenderedPageBreak/>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(3) Sump drainage and transfer of hot or warm solvent shall be carried out using threaded or other leakproof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r w:rsidR="0056773E">
        <w:t>DEQ</w:t>
      </w:r>
      <w:r w:rsidRPr="003E6D37">
        <w:t>'s Solid and Hazardous Waste Rules, OAR Chapter 340, Division 100.</w:t>
      </w:r>
    </w:p>
    <w:p w:rsidR="003E6D37" w:rsidRPr="003E6D37" w:rsidRDefault="003E6D37" w:rsidP="003E6D37">
      <w:pPr>
        <w:spacing w:after="0" w:line="240" w:lineRule="auto"/>
      </w:pPr>
      <w:r w:rsidRPr="003E6D37">
        <w:t>(6) Exhaust ventilation shall not exceed 20 m3/minute per m2 (65 cfm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3-1986, f. &amp; ef. 2-12-86; DEQ 8-1991, f. &amp; cert. ef. 5-16-91; DEQ 4-1993, f. &amp; cert. ef. 3-10-93; DEQ 14-1999, f. &amp; cert. ef.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(a) Exhaust ventilation should not exceed 20 cubic meters per minute of square meter (65 cfm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(B) Maintain vertical speed of conveyored parts to less than 3.35 meters per minute (11 feet/minute);</w:t>
      </w:r>
    </w:p>
    <w:p w:rsidR="003E6D37" w:rsidRPr="003E6D37" w:rsidRDefault="003E6D37" w:rsidP="003E6D37">
      <w:pPr>
        <w:spacing w:after="0" w:line="240" w:lineRule="auto"/>
      </w:pPr>
      <w:r w:rsidRPr="003E6D37">
        <w:lastRenderedPageBreak/>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(3) Sump drainage and transfer of hot or warm solvent shall be carried out using threaded or other leakproof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r w:rsidR="0056773E">
        <w:t>DEQ</w:t>
      </w:r>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21-1978, f. &amp; ef. 12-28-78; DEQ 17-1979, f. &amp; ef. 6-22-79; DEQ 23-1980, f. &amp; ef. 9-26-80; DEQ 3-1986, f. &amp; ef. 2-12-86; DEQ 8-1991, f. &amp; cert. ef. 5-16-91; DEQ 4-1993, f. &amp; cert. ef. 3-10-93; DEQ 14-1999, f. &amp; cert. ef.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r>
      <w:r w:rsidRPr="003E6D37">
        <w:lastRenderedPageBreak/>
        <w:t>Hist.: DEQ 21-1978, f. &amp; ef. 12-28-78; DEQ 17-1979, f. &amp; ef. 6-22-79; DEQ 23-1980, f. &amp; ef. 9-26-80; DEQ 8-1991, f. &amp; cert. ef. 5-16-91; DEQ 4-1993, f. &amp; cert. ef. 3-10-93; DEQ 14-1999, f. &amp; cert. ef.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Flat Wood Coating</w:t>
      </w:r>
    </w:p>
    <w:p w:rsidR="003E6D37" w:rsidRPr="003E6D37" w:rsidRDefault="003E6D37" w:rsidP="003E6D37">
      <w:pPr>
        <w:spacing w:after="0" w:line="240" w:lineRule="auto"/>
      </w:pPr>
      <w:r w:rsidRPr="003E6D37">
        <w:t>(1) This rule applies to all flat wood manufacturing and surface finishing facilities, that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(2) This rule does not apply to the manufacture of exterior siding, tileboard, particleboard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r w:rsidR="0056773E">
        <w:t>DEQ</w:t>
      </w:r>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r w:rsidR="00F37356" w:rsidRPr="004C6952">
        <w:t>air pollution control devices</w:t>
      </w:r>
      <w:r w:rsidRPr="003E6D37">
        <w:t xml:space="preserve">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r w:rsidR="0056773E">
        <w:t>DEQ</w:t>
      </w:r>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r w:rsidR="0056773E">
        <w:t>DEQ</w:t>
      </w:r>
      <w:r w:rsidRPr="003E6D37">
        <w:t xml:space="preserve"> of the intent to test not less than 30 days before the proposed initiation of the tests so </w:t>
      </w:r>
      <w:r w:rsidR="0056773E">
        <w:t>DEQ</w:t>
      </w:r>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(3)of this rule;</w:t>
      </w:r>
    </w:p>
    <w:p w:rsidR="003E6D37" w:rsidRPr="003E6D37" w:rsidRDefault="003E6D37" w:rsidP="003E6D37">
      <w:pPr>
        <w:spacing w:after="0" w:line="240" w:lineRule="auto"/>
      </w:pPr>
      <w:r w:rsidRPr="003E6D37">
        <w:t xml:space="preserve">(d) </w:t>
      </w:r>
      <w:r w:rsidR="0056773E">
        <w:t>DEQ</w:t>
      </w:r>
      <w:r w:rsidRPr="003E6D37">
        <w:t xml:space="preserve"> may accept, instead of the coating analysis required by paragraph (c)(A) of this section,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lastRenderedPageBreak/>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Hist.: DEQ 23-1980, f. &amp; ef. 9-26-80; DEQ 8-1991, f. &amp; cert. ef. 5-16-91; DEQ 4-1993, f. &amp; cert. ef. 3-10-93; DEQ 14-1999, f. &amp; cert. ef.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 xml:space="preserve">(1) No owner or operator of a packaging rotogravure, publication rotogravure, flexographic or specialty printing facility, with the potential to emit </w:t>
      </w:r>
      <w:r w:rsidR="00B62F66" w:rsidRPr="00C23DE4">
        <w:t>before add on controls</w:t>
      </w:r>
      <w:r w:rsidR="006D38A7">
        <w:t xml:space="preserve"> </w:t>
      </w:r>
      <w:r w:rsidRPr="003E6D37">
        <w:t>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r w:rsidR="00CF6297">
        <w:t>f</w:t>
      </w:r>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r w:rsidR="00BA7E64">
        <w:t xml:space="preserve"> or</w:t>
      </w:r>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r w:rsidR="00BA7E64" w:rsidRPr="004C6952">
        <w:t>pollution control device</w:t>
      </w:r>
      <w:r w:rsidRPr="004C6952">
        <w:t xml:space="preserve"> demonstrated to have at least a 90.0 percent removal efficiency, measured across the air pollution control device, and has been approved by DEQ.</w:t>
      </w:r>
    </w:p>
    <w:p w:rsidR="003E6D37" w:rsidRPr="003E6D37" w:rsidRDefault="00F37356" w:rsidP="003E6D37">
      <w:pPr>
        <w:spacing w:after="0" w:line="240" w:lineRule="auto"/>
      </w:pPr>
      <w:r w:rsidRPr="004C6952">
        <w:t xml:space="preserve">(2) A capture system must be used in conjunction with the </w:t>
      </w:r>
      <w:r w:rsidR="00BA7E64" w:rsidRPr="004C6952">
        <w:t>air pollution</w:t>
      </w:r>
      <w:r w:rsidRPr="004C6952">
        <w:t xml:space="preserve"> control </w:t>
      </w:r>
      <w:r w:rsidR="00BA7E64" w:rsidRPr="004C6952">
        <w:t>device</w:t>
      </w:r>
      <w:r w:rsidRPr="004C6952">
        <w:t>s in subsection (1)(c) of this rule. The design and operation of a capture system must be consistent with good engineering practice, and shall be required to provide for a control efficiency in volatile 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r w:rsidR="0056773E">
        <w:t>DEQ</w:t>
      </w:r>
      <w:r w:rsidRPr="003E6D37">
        <w:t xml:space="preserve">, the owner or operator of a volatile organic compound source shall demonstrate compliance by the methods of this section or an alternative method approved by </w:t>
      </w:r>
      <w:r w:rsidR="0056773E">
        <w:t>DEQ</w:t>
      </w:r>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r w:rsidR="0056773E">
        <w:t>DEQ</w:t>
      </w:r>
      <w:r w:rsidRPr="003E6D37">
        <w:t xml:space="preserve"> of the intent to test not less than 30 days before the proposed initiation of the tests so </w:t>
      </w:r>
      <w:r w:rsidR="0056773E">
        <w:t>DEQ</w:t>
      </w:r>
      <w:r w:rsidRPr="003E6D37">
        <w:t xml:space="preserve"> may observe the test. The notification shall contain the information required by, and be in a format approved by, </w:t>
      </w:r>
      <w:r w:rsidR="0056773E">
        <w:t>DEQ</w:t>
      </w:r>
      <w:r w:rsidRPr="003E6D37">
        <w:t>;</w:t>
      </w:r>
    </w:p>
    <w:p w:rsidR="003E6D37" w:rsidRPr="003E6D37" w:rsidRDefault="003E6D37" w:rsidP="003E6D37">
      <w:pPr>
        <w:spacing w:after="0" w:line="240" w:lineRule="auto"/>
      </w:pPr>
      <w:r w:rsidRPr="003E6D37">
        <w:t xml:space="preserve">(c) Test procedures to determine compliance with this rule must be approved by </w:t>
      </w:r>
      <w:r w:rsidR="0056773E">
        <w:t>DEQ</w:t>
      </w:r>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lastRenderedPageBreak/>
        <w:t xml:space="preserve">(B) </w:t>
      </w:r>
      <w:r w:rsidR="0056773E">
        <w:t>DEQ</w:t>
      </w:r>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9-26-80; DEQ 3-1986, f. &amp; ef. 2-12-86; DEQ 8-1991, f. &amp; cert. ef. 5-16-91; DEQ 4-1993, f. &amp; cert. ef. 3-10-93; DEQ 14-1999, f. &amp; cert. ef.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7-24T06:48:00Z" w:initials="p">
    <w:p w:rsidR="00F20C66" w:rsidRDefault="00F20C66">
      <w:pPr>
        <w:pStyle w:val="CommentText"/>
      </w:pPr>
      <w:r>
        <w:rPr>
          <w:rStyle w:val="CommentReference"/>
        </w:rPr>
        <w:annotationRef/>
      </w:r>
      <w:r w:rsidRPr="00285BED">
        <w:rPr>
          <w:highlight w:val="lightGray"/>
        </w:rPr>
        <w:t>Potential emission</w:t>
      </w:r>
      <w:r>
        <w:rPr>
          <w:highlight w:val="lightGray"/>
        </w:rPr>
        <w:t>s</w:t>
      </w:r>
      <w:r w:rsidRPr="00285BED">
        <w:rPr>
          <w:highlight w:val="lightGray"/>
        </w:rPr>
        <w:t xml:space="preserve"> are not the same as PTE.  States must do RACT for major sources using uncontrolled em</w:t>
      </w:r>
      <w:bookmarkStart w:id="1" w:name="_GoBack"/>
      <w:bookmarkEnd w:id="1"/>
      <w:r w:rsidRPr="00285BED">
        <w:rPr>
          <w:highlight w:val="lightGray"/>
        </w:rPr>
        <w:t>issions.</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C66" w:rsidRDefault="00F20C66" w:rsidP="00093784">
      <w:pPr>
        <w:spacing w:after="0" w:line="240" w:lineRule="auto"/>
      </w:pPr>
      <w:r>
        <w:separator/>
      </w:r>
    </w:p>
  </w:endnote>
  <w:endnote w:type="continuationSeparator" w:id="0">
    <w:p w:rsidR="00F20C66" w:rsidRDefault="00F20C66"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C66" w:rsidRDefault="007103D7">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F20C66">
      <w:rPr>
        <w:rFonts w:asciiTheme="majorHAnsi" w:hAnsiTheme="majorHAnsi"/>
      </w:rPr>
      <w:instrText xml:space="preserve"> DATE \@ "M/d/yyyy h:mm am/pm" </w:instrText>
    </w:r>
    <w:r>
      <w:rPr>
        <w:rFonts w:asciiTheme="majorHAnsi" w:hAnsiTheme="majorHAnsi"/>
      </w:rPr>
      <w:fldChar w:fldCharType="separate"/>
    </w:r>
    <w:r w:rsidR="00FD597A">
      <w:rPr>
        <w:rFonts w:asciiTheme="majorHAnsi" w:hAnsiTheme="majorHAnsi"/>
        <w:noProof/>
      </w:rPr>
      <w:t>8/29/2013 10:51 AM</w:t>
    </w:r>
    <w:r>
      <w:rPr>
        <w:rFonts w:asciiTheme="majorHAnsi" w:hAnsiTheme="majorHAnsi"/>
      </w:rPr>
      <w:fldChar w:fldCharType="end"/>
    </w:r>
    <w:r w:rsidR="00F20C66">
      <w:rPr>
        <w:rFonts w:asciiTheme="majorHAnsi" w:hAnsiTheme="majorHAnsi"/>
      </w:rPr>
      <w:ptab w:relativeTo="margin" w:alignment="right" w:leader="none"/>
    </w:r>
    <w:r w:rsidR="00F20C66">
      <w:rPr>
        <w:rFonts w:asciiTheme="majorHAnsi" w:hAnsiTheme="majorHAnsi"/>
      </w:rPr>
      <w:t xml:space="preserve">Page </w:t>
    </w:r>
    <w:r>
      <w:fldChar w:fldCharType="begin"/>
    </w:r>
    <w:r w:rsidR="00F20C66">
      <w:instrText xml:space="preserve"> PAGE   \* MERGEFORMAT </w:instrText>
    </w:r>
    <w:r>
      <w:fldChar w:fldCharType="separate"/>
    </w:r>
    <w:r w:rsidR="00FD597A" w:rsidRPr="00FD597A">
      <w:rPr>
        <w:rFonts w:asciiTheme="majorHAnsi" w:hAnsiTheme="majorHAnsi"/>
        <w:noProof/>
      </w:rPr>
      <w:t>1</w:t>
    </w:r>
    <w:r>
      <w:fldChar w:fldCharType="end"/>
    </w:r>
  </w:p>
  <w:p w:rsidR="00F20C66" w:rsidRDefault="00F20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C66" w:rsidRDefault="00F20C66" w:rsidP="00093784">
      <w:pPr>
        <w:spacing w:after="0" w:line="240" w:lineRule="auto"/>
      </w:pPr>
      <w:r>
        <w:separator/>
      </w:r>
    </w:p>
  </w:footnote>
  <w:footnote w:type="continuationSeparator" w:id="0">
    <w:p w:rsidR="00F20C66" w:rsidRDefault="00F20C66"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30107"/>
    <w:rsid w:val="0004430F"/>
    <w:rsid w:val="00046827"/>
    <w:rsid w:val="00093784"/>
    <w:rsid w:val="00097921"/>
    <w:rsid w:val="000A1031"/>
    <w:rsid w:val="000A2F41"/>
    <w:rsid w:val="000B7839"/>
    <w:rsid w:val="000D3EEA"/>
    <w:rsid w:val="000F0159"/>
    <w:rsid w:val="00122EC2"/>
    <w:rsid w:val="00135512"/>
    <w:rsid w:val="00135CDB"/>
    <w:rsid w:val="00175E72"/>
    <w:rsid w:val="0019615C"/>
    <w:rsid w:val="002063E1"/>
    <w:rsid w:val="00260085"/>
    <w:rsid w:val="00285BED"/>
    <w:rsid w:val="00285D24"/>
    <w:rsid w:val="002F0E8A"/>
    <w:rsid w:val="002F5068"/>
    <w:rsid w:val="00337917"/>
    <w:rsid w:val="00352EB0"/>
    <w:rsid w:val="003B4CCF"/>
    <w:rsid w:val="003E6D37"/>
    <w:rsid w:val="003F0AC4"/>
    <w:rsid w:val="0045635C"/>
    <w:rsid w:val="00474FF1"/>
    <w:rsid w:val="004B1E4A"/>
    <w:rsid w:val="004C6952"/>
    <w:rsid w:val="004D45B4"/>
    <w:rsid w:val="004E5758"/>
    <w:rsid w:val="00510735"/>
    <w:rsid w:val="00525D0F"/>
    <w:rsid w:val="00560059"/>
    <w:rsid w:val="0056773E"/>
    <w:rsid w:val="005924B6"/>
    <w:rsid w:val="005B7646"/>
    <w:rsid w:val="0061148D"/>
    <w:rsid w:val="00613B4C"/>
    <w:rsid w:val="006161B9"/>
    <w:rsid w:val="006205B8"/>
    <w:rsid w:val="0062379E"/>
    <w:rsid w:val="0066769A"/>
    <w:rsid w:val="0067023A"/>
    <w:rsid w:val="00671619"/>
    <w:rsid w:val="006D33FE"/>
    <w:rsid w:val="006D38A7"/>
    <w:rsid w:val="007103D7"/>
    <w:rsid w:val="00733114"/>
    <w:rsid w:val="007E44BE"/>
    <w:rsid w:val="00833C2D"/>
    <w:rsid w:val="00837B6F"/>
    <w:rsid w:val="008532B3"/>
    <w:rsid w:val="00867F70"/>
    <w:rsid w:val="008C114F"/>
    <w:rsid w:val="008D55DA"/>
    <w:rsid w:val="008D6A46"/>
    <w:rsid w:val="00942B26"/>
    <w:rsid w:val="009C32BB"/>
    <w:rsid w:val="009E2191"/>
    <w:rsid w:val="009E7423"/>
    <w:rsid w:val="00A9779A"/>
    <w:rsid w:val="00B119A2"/>
    <w:rsid w:val="00B21484"/>
    <w:rsid w:val="00B23B94"/>
    <w:rsid w:val="00B44445"/>
    <w:rsid w:val="00B62F66"/>
    <w:rsid w:val="00BA7E64"/>
    <w:rsid w:val="00BD46E0"/>
    <w:rsid w:val="00C005C3"/>
    <w:rsid w:val="00C23DE4"/>
    <w:rsid w:val="00C27A6D"/>
    <w:rsid w:val="00C304DA"/>
    <w:rsid w:val="00C32378"/>
    <w:rsid w:val="00C40D69"/>
    <w:rsid w:val="00C9252E"/>
    <w:rsid w:val="00CA4FE9"/>
    <w:rsid w:val="00CC092B"/>
    <w:rsid w:val="00CC246D"/>
    <w:rsid w:val="00CD518E"/>
    <w:rsid w:val="00CF1309"/>
    <w:rsid w:val="00CF6297"/>
    <w:rsid w:val="00D14EA3"/>
    <w:rsid w:val="00D47210"/>
    <w:rsid w:val="00D92694"/>
    <w:rsid w:val="00DB54B9"/>
    <w:rsid w:val="00DC586F"/>
    <w:rsid w:val="00DD1DF3"/>
    <w:rsid w:val="00DE564C"/>
    <w:rsid w:val="00E24F6E"/>
    <w:rsid w:val="00E41424"/>
    <w:rsid w:val="00E64F42"/>
    <w:rsid w:val="00EA7F79"/>
    <w:rsid w:val="00F176E9"/>
    <w:rsid w:val="00F203DF"/>
    <w:rsid w:val="00F20C66"/>
    <w:rsid w:val="00F37356"/>
    <w:rsid w:val="00F45B97"/>
    <w:rsid w:val="00F82D67"/>
    <w:rsid w:val="00FD597A"/>
    <w:rsid w:val="00FE121B"/>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B0D28-9A0E-4625-9BF1-D50A4810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12568</Words>
  <Characters>71643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dcterms:created xsi:type="dcterms:W3CDTF">2013-08-29T17:51:00Z</dcterms:created>
  <dcterms:modified xsi:type="dcterms:W3CDTF">2013-08-29T17:51:00Z</dcterms:modified>
</cp:coreProperties>
</file>