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503B62" w:rsidP="00B34CF8">
      <w:pPr>
        <w:spacing w:after="120"/>
        <w:ind w:left="0" w:right="18"/>
        <w:outlineLvl w:val="0"/>
        <w:rPr>
          <w:rFonts w:ascii="Times New Roman" w:eastAsia="Times New Roman" w:hAnsi="Times New Roman" w:cs="Times New Roman"/>
        </w:rPr>
      </w:pPr>
      <w:r w:rsidRPr="00503B6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C064E" w:rsidRPr="00C74D58" w:rsidRDefault="00DC064E" w:rsidP="006751BA">
                  <w:pPr>
                    <w:tabs>
                      <w:tab w:val="left" w:pos="16582"/>
                    </w:tabs>
                    <w:ind w:left="0"/>
                    <w:jc w:val="center"/>
                    <w:rPr>
                      <w:rFonts w:ascii="Times New Roman" w:eastAsia="Times New Roman" w:hAnsi="Times New Roman" w:cs="Times New Roman"/>
                      <w:b/>
                      <w:color w:val="000000"/>
                    </w:rPr>
                  </w:pPr>
                </w:p>
                <w:p w:rsidR="00DC064E" w:rsidRPr="00C74D58" w:rsidRDefault="00DC064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C064E" w:rsidRPr="00C74D58" w:rsidRDefault="00DC064E" w:rsidP="006751BA">
                  <w:pPr>
                    <w:tabs>
                      <w:tab w:val="left" w:pos="908"/>
                      <w:tab w:val="left" w:pos="16582"/>
                    </w:tabs>
                    <w:ind w:left="108"/>
                    <w:jc w:val="center"/>
                    <w:rPr>
                      <w:rFonts w:ascii="Times New Roman" w:eastAsia="Times New Roman" w:hAnsi="Times New Roman" w:cs="Times New Roman"/>
                      <w:b/>
                      <w:color w:val="000000"/>
                    </w:rPr>
                  </w:pPr>
                </w:p>
                <w:p w:rsidR="00DC064E" w:rsidRPr="00A019B4" w:rsidRDefault="00DC064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DC064E" w:rsidRPr="00A019B4" w:rsidRDefault="00DC064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proposes </w:t>
      </w:r>
      <w:r w:rsidR="000F38D9">
        <w:rPr>
          <w:rFonts w:asciiTheme="minorHAnsi" w:eastAsia="Times New Roman" w:hAnsiTheme="minorHAnsi" w:cstheme="minorHAnsi"/>
          <w:bCs/>
          <w:sz w:val="22"/>
          <w:szCs w:val="22"/>
        </w:rPr>
        <w:t xml:space="preserve">changes to </w:t>
      </w:r>
      <w:r w:rsidR="002D735D">
        <w:rPr>
          <w:rFonts w:asciiTheme="minorHAnsi" w:eastAsia="Times New Roman" w:hAnsiTheme="minorHAnsi" w:cstheme="minorHAnsi"/>
          <w:bCs/>
          <w:sz w:val="22"/>
          <w:szCs w:val="22"/>
        </w:rPr>
        <w:t xml:space="preserve">rules </w:t>
      </w:r>
      <w:r w:rsidR="0035523C">
        <w:rPr>
          <w:rFonts w:asciiTheme="minorHAnsi" w:eastAsia="Times New Roman" w:hAnsiTheme="minorHAnsi" w:cstheme="minorHAnsi"/>
          <w:bCs/>
          <w:sz w:val="22"/>
          <w:szCs w:val="22"/>
        </w:rPr>
        <w:t xml:space="preserve">as a continuing effort </w:t>
      </w:r>
      <w:r w:rsidR="002D735D">
        <w:rPr>
          <w:rFonts w:asciiTheme="minorHAnsi" w:eastAsia="Times New Roman" w:hAnsiTheme="minorHAnsi" w:cstheme="minorHAnsi"/>
          <w:bCs/>
          <w:sz w:val="22"/>
          <w:szCs w:val="22"/>
        </w:rPr>
        <w:t xml:space="preserve">to </w:t>
      </w:r>
      <w:r>
        <w:rPr>
          <w:rFonts w:asciiTheme="minorHAnsi" w:eastAsia="Times New Roman" w:hAnsiTheme="minorHAnsi" w:cstheme="minorHAnsi"/>
          <w:bCs/>
          <w:sz w:val="22"/>
          <w:szCs w:val="22"/>
        </w:rPr>
        <w:t>streamline</w:t>
      </w:r>
      <w:r w:rsidR="002D735D">
        <w:rPr>
          <w:rFonts w:asciiTheme="minorHAnsi" w:eastAsia="Times New Roman" w:hAnsiTheme="minorHAnsi" w:cstheme="minorHAnsi"/>
          <w:bCs/>
          <w:sz w:val="22"/>
          <w:szCs w:val="22"/>
        </w:rPr>
        <w:t>, reorganize and update</w:t>
      </w:r>
      <w:r>
        <w:rPr>
          <w:rFonts w:asciiTheme="minorHAnsi" w:eastAsia="Times New Roman" w:hAnsiTheme="minorHAnsi" w:cstheme="minorHAnsi"/>
          <w:bCs/>
          <w:sz w:val="22"/>
          <w:szCs w:val="22"/>
        </w:rPr>
        <w:t xml:space="preserve"> </w:t>
      </w:r>
      <w:r w:rsidR="002D735D">
        <w:rPr>
          <w:rFonts w:asciiTheme="minorHAnsi" w:eastAsia="Times New Roman" w:hAnsiTheme="minorHAnsi" w:cstheme="minorHAnsi"/>
          <w:bCs/>
          <w:sz w:val="22"/>
          <w:szCs w:val="22"/>
        </w:rPr>
        <w:t xml:space="preserve">Oregon’s air quality permit programs to </w:t>
      </w:r>
      <w:r w:rsidR="002D735D" w:rsidRPr="00FE09BB">
        <w:rPr>
          <w:rFonts w:asciiTheme="minorHAnsi" w:eastAsia="Times New Roman" w:hAnsiTheme="minorHAnsi" w:cstheme="minorHAnsi"/>
          <w:sz w:val="22"/>
          <w:szCs w:val="22"/>
        </w:rPr>
        <w:t>improve air quality with a more efficient and effective permitting program</w:t>
      </w:r>
      <w:r w:rsidR="002D735D">
        <w:rPr>
          <w:rFonts w:asciiTheme="minorHAnsi" w:eastAsia="Times New Roman" w:hAnsiTheme="minorHAnsi" w:cstheme="minorHAnsi"/>
          <w:sz w:val="22"/>
          <w:szCs w:val="22"/>
        </w:rPr>
        <w:t>.</w:t>
      </w:r>
      <w:r w:rsidR="002D735D">
        <w:rPr>
          <w:rFonts w:asciiTheme="minorHAnsi" w:eastAsia="Times New Roman" w:hAnsiTheme="minorHAnsi" w:cstheme="minorHAnsi"/>
          <w:bCs/>
          <w:sz w:val="22"/>
          <w:szCs w:val="22"/>
        </w:rPr>
        <w:t xml:space="preserve"> </w:t>
      </w:r>
      <w:r w:rsidR="000F38D9">
        <w:rPr>
          <w:rFonts w:asciiTheme="minorHAnsi" w:eastAsia="Times New Roman" w:hAnsiTheme="minorHAnsi" w:cstheme="minorHAnsi"/>
          <w:bCs/>
          <w:sz w:val="22"/>
          <w:szCs w:val="22"/>
        </w:rPr>
        <w:t>Previous i</w:t>
      </w:r>
      <w:r w:rsidR="002D735D">
        <w:rPr>
          <w:rFonts w:asciiTheme="minorHAnsi" w:eastAsia="Times New Roman" w:hAnsiTheme="minorHAnsi" w:cstheme="minorHAnsi"/>
          <w:bCs/>
          <w:sz w:val="22"/>
          <w:szCs w:val="22"/>
        </w:rPr>
        <w:t xml:space="preserve">mprovement efforts began with the Environmental Quality Commission’s adoption of </w:t>
      </w:r>
      <w:r w:rsidR="00AA2CB2">
        <w:rPr>
          <w:rFonts w:asciiTheme="minorHAnsi" w:eastAsia="Times New Roman" w:hAnsiTheme="minorHAnsi" w:cstheme="minorHAnsi"/>
          <w:bCs/>
          <w:sz w:val="22"/>
          <w:szCs w:val="22"/>
        </w:rPr>
        <w:t xml:space="preserve">Revisions to Point Source Air Management Rules </w:t>
      </w:r>
      <w:r w:rsidR="002D735D">
        <w:rPr>
          <w:rFonts w:asciiTheme="minorHAnsi" w:eastAsia="Times New Roman" w:hAnsiTheme="minorHAnsi" w:cstheme="minorHAnsi"/>
          <w:bCs/>
          <w:sz w:val="22"/>
          <w:szCs w:val="22"/>
        </w:rPr>
        <w:t>in 200</w:t>
      </w:r>
      <w:r w:rsidR="00AA2CB2">
        <w:rPr>
          <w:rFonts w:asciiTheme="minorHAnsi" w:eastAsia="Times New Roman" w:hAnsiTheme="minorHAnsi" w:cstheme="minorHAnsi"/>
          <w:bCs/>
          <w:sz w:val="22"/>
          <w:szCs w:val="22"/>
        </w:rPr>
        <w:t>1</w:t>
      </w:r>
      <w:r w:rsidR="002D735D">
        <w:rPr>
          <w:rFonts w:asciiTheme="minorHAnsi" w:eastAsia="Times New Roman" w:hAnsiTheme="minorHAnsi" w:cstheme="minorHAnsi"/>
          <w:bCs/>
          <w:sz w:val="22"/>
          <w:szCs w:val="22"/>
        </w:rPr>
        <w:t xml:space="preserve"> and </w:t>
      </w:r>
      <w:r w:rsidR="00AA2CB2">
        <w:rPr>
          <w:rFonts w:asciiTheme="minorHAnsi" w:eastAsia="Times New Roman" w:hAnsiTheme="minorHAnsi" w:cstheme="minorHAnsi"/>
          <w:bCs/>
          <w:sz w:val="22"/>
          <w:szCs w:val="22"/>
        </w:rPr>
        <w:t>Air Quality Permit Program Streamlining and Updates</w:t>
      </w:r>
      <w:r w:rsidR="002D735D">
        <w:rPr>
          <w:rFonts w:asciiTheme="minorHAnsi" w:eastAsia="Times New Roman" w:hAnsiTheme="minorHAnsi" w:cstheme="minorHAnsi"/>
          <w:bCs/>
          <w:sz w:val="22"/>
          <w:szCs w:val="22"/>
        </w:rPr>
        <w:t xml:space="preserve"> in 200</w:t>
      </w:r>
      <w:r w:rsidR="00AA2CB2">
        <w:rPr>
          <w:rFonts w:asciiTheme="minorHAnsi" w:eastAsia="Times New Roman" w:hAnsiTheme="minorHAnsi" w:cstheme="minorHAnsi"/>
          <w:bCs/>
          <w:sz w:val="22"/>
          <w:szCs w:val="22"/>
        </w:rPr>
        <w:t>7</w:t>
      </w:r>
      <w:r>
        <w:rPr>
          <w:rFonts w:asciiTheme="minorHAnsi" w:eastAsia="Times New Roman" w:hAnsiTheme="minorHAnsi" w:cstheme="minorHAnsi"/>
          <w:bCs/>
          <w:sz w:val="22"/>
          <w:szCs w:val="22"/>
        </w:rPr>
        <w:t xml:space="preserve">. </w:t>
      </w:r>
    </w:p>
    <w:p w:rsidR="009E04FF" w:rsidRDefault="00EA27BD"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DEQ proposes changes to statewide particulate matter standards and the pre-construction permitting </w:t>
      </w:r>
      <w:bookmarkStart w:id="0" w:name="_GoBack"/>
      <w:bookmarkEnd w:id="0"/>
      <w:r>
        <w:rPr>
          <w:rFonts w:asciiTheme="minorHAnsi" w:eastAsia="Times New Roman" w:hAnsiTheme="minorHAnsi" w:cstheme="minorHAnsi"/>
          <w:sz w:val="22"/>
          <w:szCs w:val="22"/>
        </w:rPr>
        <w:t xml:space="preserve">program </w:t>
      </w:r>
      <w:r w:rsidR="004228DE">
        <w:rPr>
          <w:rFonts w:asciiTheme="minorHAnsi" w:eastAsia="Times New Roman" w:hAnsiTheme="minorHAnsi" w:cstheme="minorHAnsi"/>
          <w:sz w:val="22"/>
          <w:szCs w:val="22"/>
        </w:rPr>
        <w:t xml:space="preserve">that would </w:t>
      </w:r>
      <w:r>
        <w:rPr>
          <w:rFonts w:asciiTheme="minorHAnsi" w:eastAsia="Times New Roman" w:hAnsiTheme="minorHAnsi" w:cstheme="minorHAnsi"/>
          <w:sz w:val="22"/>
          <w:szCs w:val="22"/>
        </w:rPr>
        <w:t xml:space="preserve">align with </w:t>
      </w:r>
      <w:r w:rsidR="005664EB">
        <w:rPr>
          <w:rFonts w:asciiTheme="minorHAnsi" w:eastAsia="Times New Roman" w:hAnsiTheme="minorHAnsi" w:cstheme="minorHAnsi"/>
          <w:sz w:val="22"/>
          <w:szCs w:val="22"/>
        </w:rPr>
        <w:t>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w:t>
      </w:r>
      <w:r w:rsidR="003F3799">
        <w:rPr>
          <w:rFonts w:asciiTheme="minorHAnsi" w:eastAsia="Times New Roman" w:hAnsiTheme="minorHAnsi" w:cstheme="minorHAnsi"/>
          <w:sz w:val="22"/>
          <w:szCs w:val="22"/>
        </w:rPr>
        <w:t xml:space="preserve">and respond to </w:t>
      </w:r>
      <w:r w:rsidR="005664EB">
        <w:rPr>
          <w:rFonts w:asciiTheme="minorHAnsi" w:eastAsia="Times New Roman" w:hAnsiTheme="minorHAnsi" w:cstheme="minorHAnsi"/>
          <w:sz w:val="22"/>
          <w:szCs w:val="22"/>
        </w:rPr>
        <w:t xml:space="preserve">problems </w:t>
      </w:r>
      <w:r w:rsidR="000F38D9">
        <w:rPr>
          <w:rFonts w:asciiTheme="minorHAnsi" w:eastAsia="Times New Roman" w:hAnsiTheme="minorHAnsi" w:cstheme="minorHAnsi"/>
          <w:sz w:val="22"/>
          <w:szCs w:val="22"/>
        </w:rPr>
        <w:t xml:space="preserve">identified </w:t>
      </w:r>
      <w:r w:rsidR="005664EB">
        <w:rPr>
          <w:rFonts w:asciiTheme="minorHAnsi" w:eastAsia="Times New Roman" w:hAnsiTheme="minorHAnsi" w:cstheme="minorHAnsi"/>
          <w:sz w:val="22"/>
          <w:szCs w:val="22"/>
        </w:rPr>
        <w:t xml:space="preserve">with </w:t>
      </w:r>
      <w:r w:rsidR="008E5D1D">
        <w:rPr>
          <w:rFonts w:asciiTheme="minorHAnsi" w:eastAsia="Times New Roman" w:hAnsiTheme="minorHAnsi" w:cstheme="minorHAnsi"/>
          <w:sz w:val="22"/>
          <w:szCs w:val="22"/>
        </w:rPr>
        <w:t xml:space="preserve">Oregon’s </w:t>
      </w:r>
      <w:r w:rsidR="005664EB">
        <w:rPr>
          <w:rFonts w:asciiTheme="minorHAnsi" w:eastAsia="Times New Roman" w:hAnsiTheme="minorHAnsi" w:cstheme="minorHAnsi"/>
          <w:sz w:val="22"/>
          <w:szCs w:val="22"/>
        </w:rPr>
        <w:t xml:space="preserve">permitting program that must </w:t>
      </w:r>
      <w:r w:rsidR="008E5D1D">
        <w:rPr>
          <w:rFonts w:asciiTheme="minorHAnsi" w:eastAsia="Times New Roman" w:hAnsiTheme="minorHAnsi" w:cstheme="minorHAnsi"/>
          <w:sz w:val="22"/>
          <w:szCs w:val="22"/>
        </w:rPr>
        <w:t xml:space="preserve">be </w:t>
      </w:r>
      <w:r w:rsidR="005664EB">
        <w:rPr>
          <w:rFonts w:asciiTheme="minorHAnsi" w:eastAsia="Times New Roman" w:hAnsiTheme="minorHAnsi" w:cstheme="minorHAnsi"/>
          <w:sz w:val="22"/>
          <w:szCs w:val="22"/>
        </w:rPr>
        <w:t>address</w:t>
      </w:r>
      <w:r w:rsidR="008E5D1D">
        <w:rPr>
          <w:rFonts w:asciiTheme="minorHAnsi" w:eastAsia="Times New Roman" w:hAnsiTheme="minorHAnsi" w:cstheme="minorHAnsi"/>
          <w:sz w:val="22"/>
          <w:szCs w:val="22"/>
        </w:rPr>
        <w:t>ed</w:t>
      </w:r>
      <w:r w:rsidR="005664EB">
        <w:rPr>
          <w:rFonts w:asciiTheme="minorHAnsi" w:eastAsia="Times New Roman" w:hAnsiTheme="minorHAnsi" w:cstheme="minorHAnsi"/>
          <w:sz w:val="22"/>
          <w:szCs w:val="22"/>
        </w:rPr>
        <w:t xml:space="preserve"> to protect air quality. </w:t>
      </w:r>
      <w:r w:rsidR="009E04FF">
        <w:rPr>
          <w:rFonts w:asciiTheme="minorHAnsi" w:eastAsia="Times New Roman" w:hAnsiTheme="minorHAnsi" w:cstheme="minorHAnsi"/>
          <w:sz w:val="22"/>
          <w:szCs w:val="22"/>
        </w:rPr>
        <w:t>Along with these changes, DEQ propos</w:t>
      </w:r>
      <w:r w:rsidR="005C3744">
        <w:rPr>
          <w:rFonts w:asciiTheme="minorHAnsi" w:eastAsia="Times New Roman" w:hAnsiTheme="minorHAnsi" w:cstheme="minorHAnsi"/>
          <w:sz w:val="22"/>
          <w:szCs w:val="22"/>
        </w:rPr>
        <w:t>e</w:t>
      </w:r>
      <w:r w:rsidR="00A415F3">
        <w:rPr>
          <w:rFonts w:asciiTheme="minorHAnsi" w:eastAsia="Times New Roman" w:hAnsiTheme="minorHAnsi" w:cstheme="minorHAnsi"/>
          <w:sz w:val="22"/>
          <w:szCs w:val="22"/>
        </w:rPr>
        <w:t>s</w:t>
      </w:r>
      <w:r w:rsidR="009E04FF">
        <w:rPr>
          <w:rFonts w:asciiTheme="minorHAnsi" w:eastAsia="Times New Roman" w:hAnsiTheme="minorHAnsi" w:cstheme="minorHAnsi"/>
          <w:sz w:val="22"/>
          <w:szCs w:val="22"/>
        </w:rPr>
        <w:t xml:space="preserve"> </w:t>
      </w:r>
      <w:r w:rsidR="00A415F3">
        <w:rPr>
          <w:rFonts w:asciiTheme="minorHAnsi" w:eastAsia="Times New Roman" w:hAnsiTheme="minorHAnsi" w:cstheme="minorHAnsi"/>
          <w:sz w:val="22"/>
          <w:szCs w:val="22"/>
        </w:rPr>
        <w:t xml:space="preserve">additional </w:t>
      </w:r>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smaller businesses</w:t>
      </w:r>
      <w:r w:rsidR="005C3744">
        <w:rPr>
          <w:rFonts w:asciiTheme="minorHAnsi" w:eastAsia="Times New Roman" w:hAnsiTheme="minorHAnsi" w:cstheme="minorHAnsi"/>
          <w:sz w:val="22"/>
          <w:szCs w:val="22"/>
        </w:rPr>
        <w:t xml:space="preserve">. </w:t>
      </w:r>
    </w:p>
    <w:p w:rsidR="00DE25FE" w:rsidRDefault="003F3799"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improve community outreach, DEQ proposes rules to allow the use </w:t>
      </w:r>
      <w:r w:rsidR="00F61653">
        <w:rPr>
          <w:rFonts w:asciiTheme="minorHAnsi" w:eastAsia="Times New Roman" w:hAnsiTheme="minorHAnsi" w:cstheme="minorHAnsi"/>
          <w:sz w:val="22"/>
          <w:szCs w:val="22"/>
        </w:rPr>
        <w:t xml:space="preserve">of </w:t>
      </w:r>
      <w:r>
        <w:rPr>
          <w:rFonts w:asciiTheme="minorHAnsi" w:eastAsia="Times New Roman" w:hAnsiTheme="minorHAnsi" w:cstheme="minorHAnsi"/>
          <w:sz w:val="22"/>
          <w:szCs w:val="22"/>
        </w:rPr>
        <w:t>technological advances when holding public hearings and meetings.</w:t>
      </w:r>
      <w:r w:rsidR="005C3744">
        <w:rPr>
          <w:rFonts w:asciiTheme="minorHAnsi" w:eastAsia="Times New Roman" w:hAnsiTheme="minorHAnsi" w:cstheme="minorHAnsi"/>
          <w:sz w:val="22"/>
          <w:szCs w:val="22"/>
        </w:rPr>
        <w:t xml:space="preserve"> </w:t>
      </w:r>
    </w:p>
    <w:p w:rsidR="009E04FF"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DEQ proposes m</w:t>
      </w:r>
      <w:r w:rsidR="009E04FF">
        <w:rPr>
          <w:rFonts w:asciiTheme="minorHAnsi" w:eastAsia="Times New Roman" w:hAnsiTheme="minorHAnsi" w:cstheme="minorHAnsi"/>
          <w:sz w:val="22"/>
          <w:szCs w:val="22"/>
        </w:rPr>
        <w:t>inor changes to the HeatSmart program</w:t>
      </w:r>
      <w:r w:rsidR="0021421C">
        <w:rPr>
          <w:rFonts w:asciiTheme="minorHAnsi" w:eastAsia="Times New Roman" w:hAnsiTheme="minorHAnsi" w:cstheme="minorHAnsi"/>
          <w:sz w:val="22"/>
          <w:szCs w:val="22"/>
        </w:rPr>
        <w:t>,</w:t>
      </w:r>
      <w:r w:rsidR="009E04FF">
        <w:rPr>
          <w:rFonts w:asciiTheme="minorHAnsi" w:eastAsia="Times New Roman" w:hAnsiTheme="minorHAnsi" w:cstheme="minorHAnsi"/>
          <w:sz w:val="22"/>
          <w:szCs w:val="22"/>
        </w:rPr>
        <w:t xml:space="preserve"> the c</w:t>
      </w:r>
      <w:r w:rsidR="009E04FF" w:rsidRPr="009E04FF">
        <w:rPr>
          <w:rFonts w:asciiTheme="minorHAnsi" w:eastAsia="Times New Roman" w:hAnsiTheme="minorHAnsi" w:cstheme="minorHAnsi"/>
          <w:sz w:val="22"/>
          <w:szCs w:val="22"/>
        </w:rPr>
        <w:t>lean diesel grant and loan</w:t>
      </w:r>
      <w:r w:rsidR="009E04FF">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r w:rsidR="009E04FF">
        <w:rPr>
          <w:rFonts w:asciiTheme="minorHAnsi" w:eastAsia="Times New Roman" w:hAnsiTheme="minorHAnsi" w:cstheme="minorHAnsi"/>
          <w:sz w:val="22"/>
          <w:szCs w:val="22"/>
        </w:rPr>
        <w:t>to improve implementation</w:t>
      </w:r>
      <w:r w:rsidR="005C3744">
        <w:rPr>
          <w:rFonts w:asciiTheme="minorHAnsi" w:eastAsia="Times New Roman" w:hAnsiTheme="minorHAnsi" w:cstheme="minorHAnsi"/>
          <w:sz w:val="22"/>
          <w:szCs w:val="22"/>
        </w:rPr>
        <w:t xml:space="preserve">. </w:t>
      </w:r>
    </w:p>
    <w:p w:rsidR="007F7BDA" w:rsidRPr="00A40BA9"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w:t>
      </w:r>
      <w:r w:rsidR="00EA27BD">
        <w:rPr>
          <w:rFonts w:asciiTheme="minorHAnsi" w:eastAsia="Times New Roman" w:hAnsiTheme="minorHAnsi" w:cstheme="minorHAnsi"/>
          <w:sz w:val="22"/>
          <w:szCs w:val="22"/>
        </w:rPr>
        <w:t>n</w:t>
      </w:r>
      <w:r w:rsidR="00040479">
        <w:rPr>
          <w:rFonts w:asciiTheme="minorHAnsi" w:eastAsia="Times New Roman" w:hAnsiTheme="minorHAnsi" w:cstheme="minorHAnsi"/>
          <w:sz w:val="22"/>
          <w:szCs w:val="22"/>
        </w:rPr>
        <w:t>otice</w:t>
      </w:r>
      <w:r>
        <w:rPr>
          <w:rFonts w:asciiTheme="minorHAnsi" w:eastAsia="Times New Roman" w:hAnsiTheme="minorHAnsi" w:cstheme="minorHAnsi"/>
          <w:sz w:val="22"/>
          <w:szCs w:val="22"/>
        </w:rPr>
        <w:t xml:space="preserve"> </w:t>
      </w:r>
      <w:r w:rsidR="00040479">
        <w:rPr>
          <w:rFonts w:asciiTheme="minorHAnsi" w:eastAsia="Times New Roman" w:hAnsiTheme="minorHAnsi" w:cstheme="minorHAnsi"/>
          <w:sz w:val="22"/>
          <w:szCs w:val="22"/>
        </w:rPr>
        <w:t xml:space="preserve">organizes and </w:t>
      </w:r>
      <w:r>
        <w:rPr>
          <w:rFonts w:asciiTheme="minorHAnsi" w:eastAsia="Times New Roman" w:hAnsiTheme="minorHAnsi" w:cstheme="minorHAnsi"/>
          <w:sz w:val="22"/>
          <w:szCs w:val="22"/>
        </w:rPr>
        <w:t>de</w:t>
      </w:r>
      <w:r w:rsidR="00040479">
        <w:rPr>
          <w:rFonts w:asciiTheme="minorHAnsi" w:eastAsia="Times New Roman" w:hAnsiTheme="minorHAnsi" w:cstheme="minorHAnsi"/>
          <w:sz w:val="22"/>
          <w:szCs w:val="22"/>
        </w:rPr>
        <w:t>s</w:t>
      </w:r>
      <w:r>
        <w:rPr>
          <w:rFonts w:asciiTheme="minorHAnsi" w:eastAsia="Times New Roman" w:hAnsiTheme="minorHAnsi" w:cstheme="minorHAnsi"/>
          <w:sz w:val="22"/>
          <w:szCs w:val="22"/>
        </w:rPr>
        <w:t>cribes t</w:t>
      </w:r>
      <w:r w:rsidRPr="00FE09BB">
        <w:rPr>
          <w:rFonts w:asciiTheme="minorHAnsi" w:eastAsia="Times New Roman" w:hAnsiTheme="minorHAnsi" w:cstheme="minorHAnsi"/>
          <w:sz w:val="22"/>
          <w:szCs w:val="22"/>
        </w:rPr>
        <w:t>h</w:t>
      </w:r>
      <w:r w:rsidR="003F3799">
        <w:rPr>
          <w:rFonts w:asciiTheme="minorHAnsi" w:eastAsia="Times New Roman" w:hAnsiTheme="minorHAnsi" w:cstheme="minorHAnsi"/>
          <w:sz w:val="22"/>
          <w:szCs w:val="22"/>
        </w:rPr>
        <w:t xml:space="preserve">e proposed rules </w:t>
      </w:r>
      <w:r w:rsidR="004272FD" w:rsidRPr="00FE09BB">
        <w:rPr>
          <w:rFonts w:asciiTheme="minorHAnsi" w:eastAsia="Times New Roman" w:hAnsiTheme="minorHAnsi" w:cstheme="minorHAnsi"/>
          <w:sz w:val="22"/>
          <w:szCs w:val="22"/>
        </w:rPr>
        <w:t xml:space="preserve">under the following </w:t>
      </w:r>
      <w:r w:rsidR="000578E8">
        <w:rPr>
          <w:rFonts w:asciiTheme="minorHAnsi" w:eastAsia="Times New Roman" w:hAnsiTheme="minorHAnsi" w:cstheme="minorHAnsi"/>
          <w:sz w:val="22"/>
          <w:szCs w:val="22"/>
        </w:rPr>
        <w:t xml:space="preserve">nine </w:t>
      </w:r>
      <w:r w:rsidR="003F3799">
        <w:rPr>
          <w:rFonts w:asciiTheme="minorHAnsi" w:eastAsia="Times New Roman" w:hAnsiTheme="minorHAnsi" w:cstheme="minorHAnsi"/>
          <w:sz w:val="22"/>
          <w:szCs w:val="22"/>
        </w:rPr>
        <w:t xml:space="preserve">main </w:t>
      </w:r>
      <w:r w:rsidR="004272FD"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r w:rsidR="00040479">
        <w:rPr>
          <w:rFonts w:asciiTheme="minorHAnsi" w:eastAsia="Times New Roman" w:hAnsiTheme="minorHAnsi" w:cstheme="minorHAnsi"/>
          <w:sz w:val="22"/>
          <w:szCs w:val="22"/>
        </w:rPr>
        <w:t>.</w:t>
      </w:r>
    </w:p>
    <w:p w:rsidR="00BD5BC2" w:rsidRPr="0021421C" w:rsidRDefault="004272FD" w:rsidP="005C3744">
      <w:pPr>
        <w:ind w:left="108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E51708">
        <w:rPr>
          <w:rFonts w:asciiTheme="minorHAnsi" w:eastAsia="Times New Roman" w:hAnsiTheme="minorHAnsi" w:cstheme="minorHAnsi"/>
          <w:sz w:val="22"/>
          <w:szCs w:val="22"/>
        </w:rPr>
        <w:t xml:space="preserve">small </w:t>
      </w:r>
      <w:r w:rsidR="00E51708" w:rsidRPr="00E51708">
        <w:rPr>
          <w:rFonts w:asciiTheme="minorHAnsi" w:eastAsia="Times New Roman" w:hAnsiTheme="minorHAnsi" w:cstheme="minorHAnsi"/>
          <w:sz w:val="22"/>
          <w:szCs w:val="22"/>
        </w:rPr>
        <w:t>n</w:t>
      </w:r>
      <w:r w:rsidR="00E51708">
        <w:rPr>
          <w:rFonts w:asciiTheme="minorHAnsi" w:eastAsia="Times New Roman" w:hAnsiTheme="minorHAnsi" w:cstheme="minorHAnsi"/>
          <w:sz w:val="22"/>
          <w:szCs w:val="22"/>
        </w:rPr>
        <w:t xml:space="preserve">atural gas or oil-fired </w:t>
      </w:r>
      <w:r w:rsidR="00DD6D6E">
        <w:rPr>
          <w:rFonts w:asciiTheme="minorHAnsi" w:eastAsia="Times New Roman" w:hAnsiTheme="minorHAnsi" w:cstheme="minorHAnsi"/>
          <w:sz w:val="22"/>
          <w:szCs w:val="22"/>
        </w:rPr>
        <w:t>equipment</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B54125" w:rsidRPr="00B54B0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Below is a </w:t>
      </w:r>
      <w:r w:rsidR="00556367">
        <w:rPr>
          <w:rFonts w:asciiTheme="minorHAnsi" w:eastAsia="Times New Roman" w:hAnsiTheme="minorHAnsi" w:cstheme="minorHAnsi"/>
          <w:bCs/>
          <w:sz w:val="22"/>
          <w:szCs w:val="22"/>
        </w:rPr>
        <w:t xml:space="preserve">brief </w:t>
      </w:r>
      <w:r w:rsidR="004272FD" w:rsidRPr="004272FD">
        <w:rPr>
          <w:rFonts w:asciiTheme="minorHAnsi" w:eastAsia="Times New Roman" w:hAnsiTheme="minorHAnsi" w:cstheme="minorHAnsi"/>
          <w:bCs/>
          <w:sz w:val="22"/>
          <w:szCs w:val="22"/>
        </w:rPr>
        <w:t xml:space="preserve">history </w:t>
      </w:r>
      <w:r>
        <w:rPr>
          <w:rFonts w:asciiTheme="minorHAnsi" w:eastAsia="Times New Roman" w:hAnsiTheme="minorHAnsi" w:cstheme="minorHAnsi"/>
          <w:bCs/>
          <w:sz w:val="22"/>
          <w:szCs w:val="22"/>
        </w:rPr>
        <w:t>for e</w:t>
      </w:r>
      <w:r w:rsidR="00556367">
        <w:rPr>
          <w:rFonts w:asciiTheme="minorHAnsi" w:eastAsia="Times New Roman" w:hAnsiTheme="minorHAnsi" w:cstheme="minorHAnsi"/>
          <w:bCs/>
          <w:sz w:val="22"/>
          <w:szCs w:val="22"/>
        </w:rPr>
        <w:t>ach of the nine</w:t>
      </w:r>
      <w:r>
        <w:rPr>
          <w:rFonts w:asciiTheme="minorHAnsi" w:eastAsia="Times New Roman" w:hAnsiTheme="minorHAnsi" w:cstheme="minorHAnsi"/>
          <w:bCs/>
          <w:sz w:val="22"/>
          <w:szCs w:val="22"/>
        </w:rPr>
        <w:t xml:space="preserve"> main categories of proposed rules and the </w:t>
      </w:r>
      <w:r w:rsidR="004272FD" w:rsidRPr="004272FD">
        <w:rPr>
          <w:rFonts w:asciiTheme="minorHAnsi" w:eastAsia="Times New Roman" w:hAnsiTheme="minorHAnsi" w:cstheme="minorHAnsi"/>
          <w:bCs/>
          <w:sz w:val="22"/>
          <w:szCs w:val="22"/>
        </w:rPr>
        <w:t>Statement of Need</w:t>
      </w:r>
      <w:r w:rsidR="00281104">
        <w:rPr>
          <w:rFonts w:asciiTheme="minorHAnsi" w:eastAsia="Times New Roman" w:hAnsiTheme="minorHAnsi" w:cstheme="minorHAnsi"/>
          <w:bCs/>
          <w:sz w:val="22"/>
          <w:szCs w:val="22"/>
        </w:rPr>
        <w:t xml:space="preserve"> section </w:t>
      </w:r>
      <w:r>
        <w:rPr>
          <w:rFonts w:asciiTheme="minorHAnsi" w:eastAsia="Times New Roman" w:hAnsiTheme="minorHAnsi" w:cstheme="minorHAnsi"/>
          <w:bCs/>
          <w:sz w:val="22"/>
          <w:szCs w:val="22"/>
        </w:rPr>
        <w:t>of this notice includes more details.</w:t>
      </w:r>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 xml:space="preserve">Air quality rules have lost organization over the years. </w:t>
      </w:r>
      <w:proofErr w:type="gramStart"/>
      <w:r w:rsidRPr="004272FD">
        <w:rPr>
          <w:rFonts w:ascii="Times New Roman" w:eastAsia="Times New Roman" w:hAnsi="Times New Roman" w:cs="Times New Roman"/>
          <w:sz w:val="22"/>
          <w:szCs w:val="22"/>
        </w:rPr>
        <w:t>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w:t>
      </w:r>
      <w:proofErr w:type="gramEnd"/>
      <w:r w:rsidRPr="004272FD">
        <w:rPr>
          <w:rFonts w:ascii="Times New Roman" w:eastAsia="Times New Roman" w:hAnsi="Times New Roman" w:cs="Times New Roman"/>
          <w:sz w:val="22"/>
          <w:szCs w:val="22"/>
        </w:rPr>
        <w:t xml:space="preserve">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t>Update particulate matter standards</w:t>
      </w:r>
      <w:r w:rsidR="00A34D40">
        <w:rPr>
          <w:rFonts w:ascii="Times New Roman" w:eastAsia="Times New Roman" w:hAnsi="Times New Roman" w:cs="Times New Roman"/>
          <w:sz w:val="22"/>
          <w:szCs w:val="22"/>
          <w:u w:val="single"/>
        </w:rPr>
        <w:t xml:space="preserve"> and compliance demonstration method</w:t>
      </w:r>
    </w:p>
    <w:p w:rsidR="004272FD" w:rsidRDefault="00613D52" w:rsidP="004272FD">
      <w:pPr>
        <w:spacing w:after="120"/>
        <w:ind w:left="1080" w:right="14"/>
        <w:outlineLvl w:val="0"/>
        <w:rPr>
          <w:rFonts w:ascii="Times New Roman" w:eastAsia="Times New Roman" w:hAnsi="Times New Roman" w:cs="Times New Roman"/>
        </w:rPr>
      </w:pPr>
      <w:r>
        <w:rPr>
          <w:rFonts w:ascii="Times New Roman" w:hAnsi="Times New Roman" w:cs="Times New Roman"/>
          <w:bCs/>
          <w:sz w:val="22"/>
          <w:szCs w:val="22"/>
        </w:rPr>
        <w:t xml:space="preserve">Following other states, </w:t>
      </w:r>
      <w:r w:rsidR="003F3799">
        <w:rPr>
          <w:rFonts w:ascii="Times New Roman" w:hAnsi="Times New Roman" w:cs="Times New Roman"/>
          <w:bCs/>
          <w:sz w:val="22"/>
          <w:szCs w:val="22"/>
        </w:rPr>
        <w:t xml:space="preserve">Oregon adopted </w:t>
      </w:r>
      <w:r w:rsidR="009506DD">
        <w:rPr>
          <w:rFonts w:ascii="Times New Roman" w:hAnsi="Times New Roman" w:cs="Times New Roman"/>
          <w:bCs/>
          <w:sz w:val="22"/>
          <w:szCs w:val="22"/>
        </w:rPr>
        <w:t>statewide particulate matter standards in 1970</w:t>
      </w:r>
      <w:r>
        <w:rPr>
          <w:rFonts w:ascii="Times New Roman" w:hAnsi="Times New Roman" w:cs="Times New Roman"/>
          <w:bCs/>
          <w:sz w:val="22"/>
          <w:szCs w:val="22"/>
        </w:rPr>
        <w:t xml:space="preserve"> but did </w:t>
      </w:r>
      <w:r w:rsidR="0088347B">
        <w:rPr>
          <w:rFonts w:ascii="Times New Roman" w:hAnsi="Times New Roman" w:cs="Times New Roman"/>
          <w:bCs/>
          <w:sz w:val="22"/>
          <w:szCs w:val="22"/>
        </w:rPr>
        <w:t>not specifically</w:t>
      </w:r>
      <w:r>
        <w:rPr>
          <w:rFonts w:ascii="Times New Roman" w:hAnsi="Times New Roman" w:cs="Times New Roman"/>
          <w:bCs/>
          <w:sz w:val="22"/>
          <w:szCs w:val="22"/>
        </w:rPr>
        <w:t xml:space="preserve"> </w:t>
      </w:r>
      <w:r w:rsidR="00BB5803">
        <w:rPr>
          <w:rFonts w:ascii="Times New Roman" w:hAnsi="Times New Roman" w:cs="Times New Roman"/>
          <w:bCs/>
          <w:sz w:val="22"/>
          <w:szCs w:val="22"/>
        </w:rPr>
        <w:t>address</w:t>
      </w:r>
      <w:r w:rsidR="002112F6">
        <w:rPr>
          <w:rFonts w:ascii="Times New Roman" w:hAnsi="Times New Roman" w:cs="Times New Roman"/>
          <w:bCs/>
          <w:sz w:val="22"/>
          <w:szCs w:val="22"/>
        </w:rPr>
        <w:t xml:space="preserve"> Oregon businesses</w:t>
      </w:r>
      <w:r w:rsidR="005C3744">
        <w:rPr>
          <w:rFonts w:ascii="Times New Roman" w:hAnsi="Times New Roman" w:cs="Times New Roman"/>
          <w:bCs/>
          <w:sz w:val="22"/>
          <w:szCs w:val="22"/>
        </w:rPr>
        <w:t xml:space="preserve">. </w:t>
      </w:r>
      <w:r w:rsidR="002112F6">
        <w:rPr>
          <w:rFonts w:ascii="Times New Roman" w:hAnsi="Times New Roman" w:cs="Times New Roman"/>
          <w:bCs/>
          <w:sz w:val="22"/>
          <w:szCs w:val="22"/>
        </w:rPr>
        <w:t>With changes in ambient air quality standards over the years, the statewide standards for businesses in operation before 1970 no longer protect air quality</w:t>
      </w:r>
      <w:r w:rsidR="005C3744">
        <w:rPr>
          <w:rFonts w:ascii="Times New Roman" w:hAnsi="Times New Roman" w:cs="Times New Roman"/>
          <w:bCs/>
          <w:sz w:val="22"/>
          <w:szCs w:val="22"/>
        </w:rPr>
        <w:t xml:space="preserve">. </w:t>
      </w:r>
      <w:r w:rsidR="00146E30" w:rsidRPr="00A43169">
        <w:rPr>
          <w:rFonts w:ascii="Times New Roman" w:hAnsi="Times New Roman" w:cs="Times New Roman"/>
          <w:bCs/>
          <w:sz w:val="22"/>
          <w:szCs w:val="22"/>
        </w:rPr>
        <w:t>DEQ proactively proposes changes to the compliance demonstration method used for one of the statewide s</w:t>
      </w:r>
      <w:r w:rsidR="002112F6">
        <w:rPr>
          <w:rFonts w:ascii="Times New Roman" w:hAnsi="Times New Roman" w:cs="Times New Roman"/>
          <w:bCs/>
          <w:sz w:val="22"/>
          <w:szCs w:val="22"/>
        </w:rPr>
        <w:t xml:space="preserve">tandards </w:t>
      </w:r>
      <w:r>
        <w:rPr>
          <w:rFonts w:ascii="Times New Roman" w:hAnsi="Times New Roman" w:cs="Times New Roman"/>
          <w:bCs/>
          <w:sz w:val="22"/>
          <w:szCs w:val="22"/>
        </w:rPr>
        <w:t xml:space="preserve">that </w:t>
      </w:r>
      <w:r w:rsidR="008E5D1D">
        <w:rPr>
          <w:rFonts w:ascii="Times New Roman" w:hAnsi="Times New Roman" w:cs="Times New Roman"/>
          <w:bCs/>
          <w:sz w:val="22"/>
          <w:szCs w:val="22"/>
        </w:rPr>
        <w:t xml:space="preserve">was </w:t>
      </w:r>
      <w:r w:rsidR="002112F6">
        <w:rPr>
          <w:rFonts w:ascii="Times New Roman" w:hAnsi="Times New Roman" w:cs="Times New Roman"/>
          <w:bCs/>
          <w:sz w:val="22"/>
          <w:szCs w:val="22"/>
        </w:rPr>
        <w:t xml:space="preserve">challenged </w:t>
      </w:r>
      <w:r w:rsidR="00362DE0">
        <w:rPr>
          <w:rFonts w:ascii="Times New Roman" w:hAnsi="Times New Roman" w:cs="Times New Roman"/>
          <w:bCs/>
          <w:sz w:val="22"/>
          <w:szCs w:val="22"/>
        </w:rPr>
        <w:t xml:space="preserve">in </w:t>
      </w:r>
      <w:r w:rsidR="008E5D1D">
        <w:rPr>
          <w:rFonts w:ascii="Times New Roman" w:hAnsi="Times New Roman" w:cs="Times New Roman"/>
          <w:bCs/>
          <w:sz w:val="22"/>
          <w:szCs w:val="22"/>
        </w:rPr>
        <w:t xml:space="preserve">Washington state </w:t>
      </w:r>
      <w:r w:rsidR="00362DE0">
        <w:rPr>
          <w:rFonts w:ascii="Times New Roman" w:hAnsi="Times New Roman" w:cs="Times New Roman"/>
          <w:bCs/>
          <w:sz w:val="22"/>
          <w:szCs w:val="22"/>
        </w:rPr>
        <w:t>court</w:t>
      </w:r>
      <w:r w:rsidR="005C3744">
        <w:rPr>
          <w:rFonts w:ascii="Times New Roman" w:hAnsi="Times New Roman" w:cs="Times New Roman"/>
          <w:bCs/>
          <w:sz w:val="22"/>
          <w:szCs w:val="22"/>
        </w:rPr>
        <w:t xml:space="preserve">. </w:t>
      </w:r>
    </w:p>
    <w:p w:rsidR="004272FD" w:rsidRPr="004228DE" w:rsidRDefault="004A1CB2"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4A1CB2">
        <w:rPr>
          <w:rFonts w:ascii="Times New Roman" w:eastAsia="Times New Roman" w:hAnsi="Times New Roman" w:cs="Times New Roman"/>
          <w:sz w:val="22"/>
          <w:szCs w:val="22"/>
          <w:u w:val="single"/>
        </w:rPr>
        <w:t xml:space="preserve">Change permitting requirements for emergency generators and small natural gas or oil-fired </w:t>
      </w:r>
      <w:r w:rsidR="00A34D40">
        <w:rPr>
          <w:rFonts w:ascii="Times New Roman" w:eastAsia="Times New Roman" w:hAnsi="Times New Roman" w:cs="Times New Roman"/>
          <w:sz w:val="22"/>
          <w:szCs w:val="22"/>
          <w:u w:val="single"/>
        </w:rPr>
        <w:t>equipment</w:t>
      </w:r>
    </w:p>
    <w:p w:rsidR="004272FD" w:rsidRPr="004228DE" w:rsidRDefault="004A1CB2" w:rsidP="004272FD">
      <w:pPr>
        <w:spacing w:after="120"/>
        <w:ind w:left="1080" w:right="14"/>
        <w:outlineLvl w:val="0"/>
        <w:rPr>
          <w:rFonts w:ascii="Times New Roman" w:eastAsia="Times New Roman" w:hAnsi="Times New Roman" w:cs="Times New Roman"/>
          <w:sz w:val="22"/>
          <w:szCs w:val="22"/>
        </w:rPr>
      </w:pPr>
      <w:r w:rsidRPr="004A1CB2">
        <w:rPr>
          <w:rFonts w:ascii="Times New Roman" w:eastAsia="Times New Roman" w:hAnsi="Times New Roman" w:cs="Times New Roman"/>
          <w:sz w:val="22"/>
          <w:szCs w:val="22"/>
        </w:rPr>
        <w:t xml:space="preserve">EPA adopted National Emission Standards for Hazardous Air Pollutants for </w:t>
      </w:r>
      <w:r w:rsidRPr="004A1CB2">
        <w:rPr>
          <w:rFonts w:ascii="Times New Roman" w:eastAsia="Times New Roman" w:hAnsi="Times New Roman" w:cs="Times New Roman"/>
          <w:bCs/>
          <w:sz w:val="22"/>
          <w:szCs w:val="22"/>
        </w:rPr>
        <w:t xml:space="preserve">Stationary Reciprocating Internal Combustion Engines. The adoption </w:t>
      </w:r>
      <w:r w:rsidR="00A34D40">
        <w:rPr>
          <w:rFonts w:ascii="Times New Roman" w:eastAsia="Times New Roman" w:hAnsi="Times New Roman" w:cs="Times New Roman"/>
          <w:bCs/>
          <w:sz w:val="22"/>
          <w:szCs w:val="22"/>
        </w:rPr>
        <w:t>added</w:t>
      </w:r>
      <w:r w:rsidR="00A34D40" w:rsidRPr="004A1CB2">
        <w:rPr>
          <w:rFonts w:ascii="Times New Roman" w:eastAsia="Times New Roman" w:hAnsi="Times New Roman" w:cs="Times New Roman"/>
          <w:bCs/>
          <w:sz w:val="22"/>
          <w:szCs w:val="22"/>
        </w:rPr>
        <w:t xml:space="preserve"> </w:t>
      </w:r>
      <w:r w:rsidRPr="004A1CB2">
        <w:rPr>
          <w:rFonts w:ascii="Times New Roman" w:eastAsia="Times New Roman" w:hAnsi="Times New Roman" w:cs="Times New Roman"/>
          <w:bCs/>
          <w:sz w:val="22"/>
          <w:szCs w:val="22"/>
        </w:rPr>
        <w:t>requirements for emergency generators that DEQ thought had insignificant emissions. DEQ also thought small gas and oil</w:t>
      </w:r>
      <w:r w:rsidR="00A34D40">
        <w:rPr>
          <w:rFonts w:ascii="Times New Roman" w:eastAsia="Times New Roman" w:hAnsi="Times New Roman" w:cs="Times New Roman"/>
          <w:bCs/>
          <w:sz w:val="22"/>
          <w:szCs w:val="22"/>
        </w:rPr>
        <w:t>-fired equipment</w:t>
      </w:r>
      <w:r w:rsidRPr="004A1CB2">
        <w:rPr>
          <w:rFonts w:ascii="Times New Roman" w:eastAsia="Times New Roman" w:hAnsi="Times New Roman" w:cs="Times New Roman"/>
          <w:bCs/>
          <w:sz w:val="22"/>
          <w:szCs w:val="22"/>
        </w:rPr>
        <w:t xml:space="preserve"> emissions were insignificant but</w:t>
      </w:r>
      <w:r w:rsidR="00A34D40">
        <w:rPr>
          <w:rFonts w:ascii="Times New Roman" w:eastAsia="Times New Roman" w:hAnsi="Times New Roman" w:cs="Times New Roman"/>
          <w:bCs/>
          <w:sz w:val="22"/>
          <w:szCs w:val="22"/>
        </w:rPr>
        <w:t xml:space="preserve"> found</w:t>
      </w:r>
      <w:r w:rsidRPr="004A1CB2">
        <w:rPr>
          <w:rFonts w:ascii="Times New Roman" w:eastAsia="Times New Roman" w:hAnsi="Times New Roman" w:cs="Times New Roman"/>
          <w:bCs/>
          <w:sz w:val="22"/>
          <w:szCs w:val="22"/>
        </w:rPr>
        <w:t xml:space="preserve"> in aggregate could be significant. </w:t>
      </w:r>
    </w:p>
    <w:p w:rsidR="004272FD" w:rsidRPr="004228DE" w:rsidRDefault="004A1CB2"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4A1CB2">
        <w:rPr>
          <w:rFonts w:ascii="Times New Roman" w:eastAsia="Times New Roman" w:hAnsi="Times New Roman" w:cs="Times New Roman"/>
          <w:sz w:val="22"/>
          <w:szCs w:val="22"/>
          <w:u w:val="single"/>
        </w:rPr>
        <w:t>Change the pre-construction permitting program (New Source Review)</w:t>
      </w:r>
    </w:p>
    <w:p w:rsidR="004272FD" w:rsidRPr="004228DE" w:rsidRDefault="004A1CB2" w:rsidP="004272FD">
      <w:pPr>
        <w:spacing w:after="120"/>
        <w:ind w:left="1080" w:right="14"/>
        <w:outlineLvl w:val="0"/>
        <w:rPr>
          <w:rFonts w:ascii="Times New Roman" w:eastAsia="Times New Roman" w:hAnsi="Times New Roman" w:cs="Times New Roman"/>
          <w:sz w:val="22"/>
          <w:szCs w:val="22"/>
        </w:rPr>
      </w:pPr>
      <w:r w:rsidRPr="004A1CB2">
        <w:rPr>
          <w:rFonts w:ascii="Times New Roman" w:eastAsia="Times New Roman" w:hAnsi="Times New Roman" w:cs="Times New Roman"/>
          <w:bCs/>
          <w:sz w:val="22"/>
          <w:szCs w:val="22"/>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4272FD" w:rsidRPr="004228DE" w:rsidRDefault="004A1CB2"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4A1CB2">
        <w:rPr>
          <w:rFonts w:ascii="Times New Roman" w:eastAsia="Times New Roman" w:hAnsi="Times New Roman" w:cs="Times New Roman"/>
          <w:sz w:val="22"/>
          <w:szCs w:val="22"/>
          <w:u w:val="single"/>
        </w:rPr>
        <w:t>Designate Lakeview as sustainment area</w:t>
      </w:r>
    </w:p>
    <w:p w:rsidR="004272FD" w:rsidRPr="004228DE" w:rsidRDefault="004A1CB2" w:rsidP="004272FD">
      <w:pPr>
        <w:spacing w:after="120"/>
        <w:ind w:left="1080" w:right="14"/>
        <w:outlineLvl w:val="0"/>
        <w:rPr>
          <w:rFonts w:ascii="Times New Roman" w:eastAsia="Times New Roman" w:hAnsi="Times New Roman" w:cs="Times New Roman"/>
          <w:sz w:val="22"/>
          <w:szCs w:val="22"/>
        </w:rPr>
      </w:pPr>
      <w:r w:rsidRPr="004A1CB2">
        <w:rPr>
          <w:rFonts w:ascii="Times New Roman" w:eastAsia="Times New Roman" w:hAnsi="Times New Roman" w:cs="Times New Roman"/>
          <w:sz w:val="22"/>
          <w:szCs w:val="22"/>
        </w:rPr>
        <w:t>Air quality in Lakeview currently exceeds the PM</w:t>
      </w:r>
      <w:r w:rsidRPr="004A1CB2">
        <w:rPr>
          <w:rFonts w:ascii="Times New Roman" w:eastAsia="Times New Roman" w:hAnsi="Times New Roman" w:cs="Times New Roman"/>
          <w:sz w:val="22"/>
          <w:szCs w:val="22"/>
          <w:vertAlign w:val="subscript"/>
        </w:rPr>
        <w:t>2.5</w:t>
      </w:r>
      <w:r w:rsidRPr="004A1CB2">
        <w:rPr>
          <w:rFonts w:ascii="Times New Roman" w:eastAsia="Times New Roman" w:hAnsi="Times New Roman" w:cs="Times New Roman"/>
          <w:sz w:val="22"/>
          <w:szCs w:val="22"/>
        </w:rPr>
        <w:t xml:space="preserve"> ambient air quality standard even though EPA has not designated Lakeview a nonattainment area. This makes it nearly impossible for any business to build or expand in the Lakeview area. This proposal remedies that problem</w:t>
      </w:r>
      <w:r w:rsidR="000F38D9">
        <w:rPr>
          <w:rFonts w:ascii="Times New Roman" w:eastAsia="Times New Roman" w:hAnsi="Times New Roman" w:cs="Times New Roman"/>
          <w:sz w:val="22"/>
          <w:szCs w:val="22"/>
        </w:rPr>
        <w:t xml:space="preserve"> </w:t>
      </w:r>
      <w:r w:rsidR="000F38D9" w:rsidRPr="000F38D9">
        <w:rPr>
          <w:rFonts w:ascii="Times New Roman" w:eastAsia="Times New Roman" w:hAnsi="Times New Roman" w:cs="Times New Roman"/>
          <w:sz w:val="22"/>
          <w:szCs w:val="22"/>
        </w:rPr>
        <w:t>while still protecting ambient air quality</w:t>
      </w:r>
      <w:r w:rsidRPr="004A1CB2">
        <w:rPr>
          <w:rFonts w:ascii="Times New Roman" w:eastAsia="Times New Roman" w:hAnsi="Times New Roman" w:cs="Times New Roman"/>
          <w:sz w:val="22"/>
          <w:szCs w:val="22"/>
        </w:rPr>
        <w:t xml:space="preserve">. </w:t>
      </w:r>
    </w:p>
    <w:p w:rsidR="004272FD" w:rsidRPr="004228DE" w:rsidRDefault="004A1CB2"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4A1CB2">
        <w:rPr>
          <w:rFonts w:ascii="Times New Roman" w:eastAsia="Times New Roman" w:hAnsi="Times New Roman" w:cs="Times New Roman"/>
          <w:sz w:val="22"/>
          <w:szCs w:val="22"/>
          <w:u w:val="single"/>
        </w:rPr>
        <w:t>Provide DEQ more flexibility for public hearings and meetings</w:t>
      </w:r>
    </w:p>
    <w:p w:rsidR="004272FD" w:rsidRPr="004228DE" w:rsidRDefault="004228DE" w:rsidP="004272FD">
      <w:pPr>
        <w:spacing w:after="120"/>
        <w:ind w:left="1080" w:right="14"/>
        <w:outlineLvl w:val="0"/>
        <w:rPr>
          <w:rFonts w:ascii="Times New Roman" w:eastAsia="Times New Roman" w:hAnsi="Times New Roman" w:cs="Times New Roman"/>
          <w:sz w:val="22"/>
          <w:szCs w:val="22"/>
        </w:rPr>
      </w:pPr>
      <w:r w:rsidRPr="004228DE">
        <w:rPr>
          <w:rFonts w:ascii="Times New Roman" w:eastAsia="Times New Roman" w:hAnsi="Times New Roman" w:cs="Times New Roman"/>
          <w:sz w:val="22"/>
          <w:szCs w:val="22"/>
        </w:rPr>
        <w:t xml:space="preserve">DEQ is committed to public engagement and keeps up with emerging and innovative ways to reach people and hold hearings. This proposal would make it easier and cheaper for people to participate. </w:t>
      </w:r>
      <w:r w:rsidR="00EC0C81" w:rsidRPr="00EC0C81">
        <w:rPr>
          <w:rFonts w:ascii="Times New Roman" w:eastAsia="Times New Roman" w:hAnsi="Times New Roman" w:cs="Times New Roman"/>
          <w:sz w:val="22"/>
          <w:szCs w:val="22"/>
        </w:rPr>
        <w:t>Current rules require DEQ to hold informational meetings on the most complex permit actions and public hearings when requested. The requirements are very prescriptive</w:t>
      </w:r>
      <w:r w:rsidR="007B114D">
        <w:rPr>
          <w:rFonts w:ascii="Times New Roman" w:eastAsia="Times New Roman" w:hAnsi="Times New Roman" w:cs="Times New Roman"/>
          <w:sz w:val="22"/>
          <w:szCs w:val="22"/>
        </w:rPr>
        <w:t xml:space="preserve"> and</w:t>
      </w:r>
      <w:r w:rsidR="000F38D9">
        <w:rPr>
          <w:rFonts w:ascii="Times New Roman" w:eastAsia="Times New Roman" w:hAnsi="Times New Roman" w:cs="Times New Roman"/>
          <w:sz w:val="22"/>
          <w:szCs w:val="22"/>
        </w:rPr>
        <w:t xml:space="preserve"> i</w:t>
      </w:r>
      <w:r w:rsidR="00EC0C81" w:rsidRPr="00EC0C81">
        <w:rPr>
          <w:rFonts w:ascii="Times New Roman" w:eastAsia="Times New Roman" w:hAnsi="Times New Roman" w:cs="Times New Roman"/>
          <w:sz w:val="22"/>
          <w:szCs w:val="22"/>
        </w:rPr>
        <w:t>n some cases</w:t>
      </w:r>
      <w:r>
        <w:rPr>
          <w:rFonts w:ascii="Times New Roman" w:eastAsia="Times New Roman" w:hAnsi="Times New Roman" w:cs="Times New Roman"/>
          <w:sz w:val="22"/>
          <w:szCs w:val="22"/>
        </w:rPr>
        <w:t>, do</w:t>
      </w:r>
      <w:r w:rsidR="00EC0C81" w:rsidRPr="00EC0C81">
        <w:rPr>
          <w:rFonts w:ascii="Times New Roman" w:eastAsia="Times New Roman" w:hAnsi="Times New Roman" w:cs="Times New Roman"/>
          <w:sz w:val="22"/>
          <w:szCs w:val="22"/>
        </w:rPr>
        <w:t xml:space="preserve"> not allow DEQ to use technology such as the internet to hold “virtual” meetings. </w:t>
      </w:r>
    </w:p>
    <w:p w:rsidR="004272FD" w:rsidRPr="004228DE" w:rsidRDefault="00EC0C81"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C0C81">
        <w:rPr>
          <w:rFonts w:ascii="Times New Roman" w:eastAsia="Times New Roman" w:hAnsi="Times New Roman" w:cs="Times New Roman"/>
          <w:sz w:val="22"/>
          <w:szCs w:val="22"/>
          <w:u w:val="single"/>
        </w:rPr>
        <w:t>Update HeatSmart -</w:t>
      </w:r>
      <w:r w:rsidRPr="00EC0C81">
        <w:rPr>
          <w:rFonts w:ascii="Times New Roman" w:eastAsia="Times New Roman" w:hAnsi="Times New Roman" w:cs="Times New Roman"/>
          <w:sz w:val="22"/>
          <w:szCs w:val="22"/>
        </w:rPr>
        <w:t xml:space="preserve"> Oregon Administrative Rules 340-262</w:t>
      </w:r>
    </w:p>
    <w:p w:rsidR="00624D29" w:rsidRPr="004228DE" w:rsidRDefault="00EC0C81" w:rsidP="004272FD">
      <w:pPr>
        <w:spacing w:after="120"/>
        <w:ind w:left="1080" w:right="14"/>
        <w:outlineLvl w:val="0"/>
        <w:rPr>
          <w:rFonts w:ascii="Times New Roman" w:eastAsia="Times New Roman" w:hAnsi="Times New Roman" w:cs="Times New Roman"/>
          <w:sz w:val="22"/>
          <w:szCs w:val="22"/>
        </w:rPr>
      </w:pPr>
      <w:r w:rsidRPr="00EC0C81">
        <w:rPr>
          <w:rFonts w:ascii="Times New Roman" w:eastAsia="Times New Roman" w:hAnsi="Times New Roman" w:cs="Times New Roman"/>
          <w:sz w:val="22"/>
          <w:szCs w:val="22"/>
        </w:rPr>
        <w:t xml:space="preserve">DEQ proposes rules to allow small biomass boilers to be sold in Oregon. DEQ’s HeatSmart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4228DE" w:rsidRDefault="00EC0C81" w:rsidP="00700ACF">
      <w:pPr>
        <w:pStyle w:val="ListParagraph"/>
        <w:numPr>
          <w:ilvl w:val="0"/>
          <w:numId w:val="28"/>
        </w:numPr>
        <w:rPr>
          <w:rFonts w:ascii="Times New Roman" w:eastAsia="Times New Roman" w:hAnsi="Times New Roman" w:cs="Times New Roman"/>
          <w:sz w:val="22"/>
          <w:szCs w:val="22"/>
        </w:rPr>
      </w:pPr>
      <w:r w:rsidRPr="00EC0C81">
        <w:rPr>
          <w:rFonts w:ascii="Times New Roman" w:eastAsia="Times New Roman" w:hAnsi="Times New Roman" w:cs="Times New Roman"/>
          <w:sz w:val="22"/>
          <w:szCs w:val="22"/>
        </w:rPr>
        <w:t>Current rules allow small biomass boilers to be sold in Oregon if they are subject to federal National Emission Standards for Hazardous Air Pollutants; however, EPA revised its rules in 2012 to exempt small biomass boilers from the NESHAP rules. These proposed rules create another pathway for small biomass boilers to be sold in Oregon.</w:t>
      </w:r>
    </w:p>
    <w:p w:rsidR="00700ACF" w:rsidRPr="004228DE" w:rsidRDefault="00EC0C81" w:rsidP="00700ACF">
      <w:pPr>
        <w:pStyle w:val="ListParagraph"/>
        <w:numPr>
          <w:ilvl w:val="0"/>
          <w:numId w:val="28"/>
        </w:numPr>
        <w:spacing w:after="120"/>
        <w:outlineLvl w:val="0"/>
        <w:rPr>
          <w:rFonts w:ascii="Times New Roman" w:eastAsia="Times New Roman" w:hAnsi="Times New Roman" w:cs="Times New Roman"/>
          <w:sz w:val="22"/>
          <w:szCs w:val="22"/>
        </w:rPr>
      </w:pPr>
      <w:r w:rsidRPr="00EC0C81">
        <w:rPr>
          <w:rFonts w:ascii="Times New Roman" w:eastAsia="Times New Roman" w:hAnsi="Times New Roman" w:cs="Times New Roman"/>
          <w:sz w:val="22"/>
          <w:szCs w:val="22"/>
        </w:rPr>
        <w:t xml:space="preserve">State limits require </w:t>
      </w:r>
      <w:r w:rsidRPr="00EC0C81">
        <w:rPr>
          <w:rFonts w:ascii="Times New Roman" w:eastAsia="Times New Roman" w:hAnsi="Times New Roman" w:cs="Times New Roman"/>
          <w:sz w:val="22"/>
          <w:szCs w:val="22"/>
          <w:u w:val="single"/>
        </w:rPr>
        <w:t>all</w:t>
      </w:r>
      <w:r w:rsidRPr="00EC0C81">
        <w:rPr>
          <w:rFonts w:ascii="Times New Roman" w:eastAsia="Times New Roman" w:hAnsi="Times New Roman" w:cs="Times New Roman"/>
          <w:sz w:val="22"/>
          <w:szCs w:val="22"/>
        </w:rPr>
        <w:t xml:space="preserve"> commercial, industrial and institutional boilers to meet particulate emissions and opacity limits.</w:t>
      </w:r>
    </w:p>
    <w:p w:rsidR="00360B6F" w:rsidRPr="004228DE" w:rsidRDefault="00360B6F" w:rsidP="00D30992">
      <w:pPr>
        <w:pStyle w:val="ListParagraph"/>
        <w:spacing w:after="120"/>
        <w:ind w:left="1800" w:right="378"/>
        <w:outlineLvl w:val="0"/>
        <w:rPr>
          <w:rFonts w:ascii="Times New Roman" w:eastAsia="Times New Roman" w:hAnsi="Times New Roman" w:cs="Times New Roman"/>
          <w:sz w:val="22"/>
          <w:szCs w:val="22"/>
        </w:rPr>
      </w:pPr>
    </w:p>
    <w:p w:rsidR="004272FD" w:rsidRPr="004228DE" w:rsidRDefault="00EC0C81" w:rsidP="000308D9">
      <w:pPr>
        <w:pStyle w:val="ListParagraph"/>
        <w:numPr>
          <w:ilvl w:val="0"/>
          <w:numId w:val="19"/>
        </w:numPr>
        <w:ind w:right="378"/>
        <w:outlineLvl w:val="0"/>
        <w:rPr>
          <w:rFonts w:ascii="Times New Roman" w:eastAsia="Times New Roman" w:hAnsi="Times New Roman" w:cs="Times New Roman"/>
          <w:sz w:val="22"/>
          <w:szCs w:val="22"/>
          <w:u w:val="single"/>
        </w:rPr>
      </w:pPr>
      <w:r w:rsidRPr="00EC0C81">
        <w:rPr>
          <w:rFonts w:ascii="Times New Roman" w:eastAsia="Times New Roman" w:hAnsi="Times New Roman" w:cs="Times New Roman"/>
          <w:sz w:val="22"/>
          <w:szCs w:val="22"/>
          <w:u w:val="single"/>
        </w:rPr>
        <w:t>Implement SB 249A - Clean diesel grant and loan rules</w:t>
      </w:r>
    </w:p>
    <w:p w:rsidR="00281104" w:rsidRPr="004228DE" w:rsidRDefault="00EC0C81" w:rsidP="000308D9">
      <w:pPr>
        <w:spacing w:after="120"/>
        <w:ind w:left="1080" w:right="378"/>
        <w:outlineLvl w:val="0"/>
        <w:rPr>
          <w:rFonts w:ascii="Times New Roman" w:eastAsia="Times New Roman" w:hAnsi="Times New Roman" w:cs="Times New Roman"/>
          <w:sz w:val="22"/>
          <w:szCs w:val="22"/>
        </w:rPr>
      </w:pPr>
      <w:r w:rsidRPr="00EC0C81">
        <w:rPr>
          <w:rFonts w:ascii="Times New Roman" w:eastAsia="Times New Roman" w:hAnsi="Times New Roman" w:cs="Times New Roman"/>
          <w:sz w:val="22"/>
          <w:szCs w:val="22"/>
        </w:rPr>
        <w:t xml:space="preserve">The 2013 Oregon Legislature adopted SB 249 (now 2013 </w:t>
      </w:r>
      <w:proofErr w:type="gramStart"/>
      <w:r w:rsidRPr="00EC0C81">
        <w:rPr>
          <w:rFonts w:ascii="Times New Roman" w:eastAsia="Times New Roman" w:hAnsi="Times New Roman" w:cs="Times New Roman"/>
          <w:sz w:val="22"/>
          <w:szCs w:val="22"/>
        </w:rPr>
        <w:t>Or</w:t>
      </w:r>
      <w:proofErr w:type="gramEnd"/>
      <w:r w:rsidRPr="00EC0C81">
        <w:rPr>
          <w:rFonts w:ascii="Times New Roman" w:eastAsia="Times New Roman" w:hAnsi="Times New Roman" w:cs="Times New Roman"/>
          <w:sz w:val="22"/>
          <w:szCs w:val="22"/>
        </w:rPr>
        <w:t>. Laws Ch. 44</w:t>
      </w:r>
      <w:proofErr w:type="gramStart"/>
      <w:r w:rsidRPr="00EC0C81">
        <w:rPr>
          <w:rFonts w:ascii="Times New Roman" w:eastAsia="Times New Roman" w:hAnsi="Times New Roman" w:cs="Times New Roman"/>
          <w:sz w:val="22"/>
          <w:szCs w:val="22"/>
        </w:rPr>
        <w:t>) .</w:t>
      </w:r>
      <w:proofErr w:type="gramEnd"/>
      <w:r w:rsidRPr="00EC0C81">
        <w:rPr>
          <w:rFonts w:ascii="Times New Roman" w:eastAsia="Times New Roman" w:hAnsi="Times New Roman" w:cs="Times New Roman"/>
          <w:sz w:val="22"/>
          <w:szCs w:val="22"/>
        </w:rPr>
        <w:t xml:space="preserve"> The bill authorized DEQ to administer federal grants for clean diesel projects and to complete the projects according to federal grant guidelines rather than the more limited state guidelines. Even though the Governor signed the bill into law with an emergency clause making it effective upon filing, the Attorney General determined it necessary to adopt implementing rules. Failure to adopt the proposed rule would delay implementation of projects that would reduce harmful emission from diesel engines through vehicle and equipment replacement projects.</w:t>
      </w:r>
    </w:p>
    <w:p w:rsidR="004272FD" w:rsidRPr="004228DE" w:rsidRDefault="00EC0C81" w:rsidP="000308D9">
      <w:pPr>
        <w:pStyle w:val="ListParagraph"/>
        <w:numPr>
          <w:ilvl w:val="0"/>
          <w:numId w:val="19"/>
        </w:numPr>
        <w:ind w:right="378"/>
        <w:outlineLvl w:val="0"/>
        <w:rPr>
          <w:rFonts w:ascii="Times New Roman" w:eastAsia="Times New Roman" w:hAnsi="Times New Roman" w:cs="Times New Roman"/>
          <w:sz w:val="22"/>
          <w:szCs w:val="22"/>
          <w:u w:val="single"/>
        </w:rPr>
      </w:pPr>
      <w:r w:rsidRPr="00EC0C81">
        <w:rPr>
          <w:rFonts w:ascii="Times New Roman" w:eastAsia="Times New Roman" w:hAnsi="Times New Roman" w:cs="Times New Roman"/>
          <w:sz w:val="22"/>
          <w:szCs w:val="22"/>
          <w:u w:val="single"/>
        </w:rPr>
        <w:t>Remove annual reporting requirement for small gasoline dispensing facilities</w:t>
      </w:r>
    </w:p>
    <w:p w:rsidR="00281104" w:rsidRPr="004228DE" w:rsidRDefault="00EC0C81" w:rsidP="000308D9">
      <w:pPr>
        <w:ind w:left="1080" w:right="378"/>
        <w:outlineLvl w:val="0"/>
        <w:rPr>
          <w:rFonts w:ascii="Times New Roman" w:eastAsia="Times New Roman" w:hAnsi="Times New Roman" w:cs="Times New Roman"/>
          <w:sz w:val="22"/>
          <w:szCs w:val="22"/>
        </w:rPr>
      </w:pPr>
      <w:r w:rsidRPr="00EC0C81">
        <w:rPr>
          <w:rFonts w:ascii="Times New Roman" w:eastAsia="Times New Roman" w:hAnsi="Times New Roman" w:cs="Times New Roman"/>
          <w:sz w:val="22"/>
          <w:szCs w:val="22"/>
        </w:rPr>
        <w:lastRenderedPageBreak/>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0F38D9"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0F38D9">
              <w:rPr>
                <w:rFonts w:ascii="Times New Roman" w:eastAsia="Times New Roman" w:hAnsi="Times New Roman" w:cs="Times New Roman"/>
              </w:rPr>
              <w:t>A</w:t>
            </w:r>
            <w:r w:rsidR="00213652" w:rsidRPr="000F38D9">
              <w:rPr>
                <w:rFonts w:ascii="Times New Roman" w:eastAsia="Times New Roman" w:hAnsi="Times New Roman" w:cs="Times New Roman"/>
              </w:rPr>
              <w:t>ir quality rules</w:t>
            </w:r>
            <w:r w:rsidRPr="000F38D9">
              <w:rPr>
                <w:rFonts w:ascii="Times New Roman" w:eastAsia="Times New Roman" w:hAnsi="Times New Roman" w:cs="Times New Roman"/>
              </w:rPr>
              <w:t xml:space="preserve"> need to be updated to add clarity</w:t>
            </w:r>
            <w:r w:rsidR="00DD6D6E" w:rsidRPr="000F38D9">
              <w:rPr>
                <w:rFonts w:ascii="Times New Roman" w:eastAsia="Times New Roman" w:hAnsi="Times New Roman" w:cs="Times New Roman"/>
              </w:rPr>
              <w:t xml:space="preserve">. </w:t>
            </w:r>
            <w:r w:rsidR="000F38D9" w:rsidRPr="000F38D9">
              <w:rPr>
                <w:rFonts w:ascii="Times New Roman" w:eastAsia="Times New Roman" w:hAnsi="Times New Roman" w:cs="Times New Roman"/>
              </w:rPr>
              <w:t>In some cases there are i</w:t>
            </w:r>
            <w:r w:rsidR="00EC0C81" w:rsidRPr="000F38D9">
              <w:rPr>
                <w:rFonts w:ascii="Times New Roman" w:eastAsia="Times New Roman" w:hAnsi="Times New Roman" w:cs="Times New Roman"/>
              </w:rPr>
              <w:t>mportant details missing from rule</w:t>
            </w:r>
            <w:r w:rsidR="007B114D" w:rsidRPr="000F38D9">
              <w:rPr>
                <w:rFonts w:ascii="Times New Roman" w:eastAsia="Times New Roman" w:hAnsi="Times New Roman" w:cs="Times New Roman"/>
              </w:rPr>
              <w:t>s</w:t>
            </w:r>
            <w:r w:rsidR="00EC0C81" w:rsidRPr="000F38D9">
              <w:rPr>
                <w:rFonts w:ascii="Times New Roman" w:eastAsia="Times New Roman" w:hAnsi="Times New Roman" w:cs="Times New Roman"/>
              </w:rPr>
              <w:t xml:space="preserve"> create problems implementing </w:t>
            </w:r>
            <w:r w:rsidR="000F38D9" w:rsidRPr="000F38D9">
              <w:rPr>
                <w:rFonts w:ascii="Times New Roman" w:eastAsia="Times New Roman" w:hAnsi="Times New Roman" w:cs="Times New Roman"/>
              </w:rPr>
              <w:t xml:space="preserve">the </w:t>
            </w:r>
            <w:r w:rsidR="00EC0C81" w:rsidRPr="000F38D9">
              <w:rPr>
                <w:rFonts w:ascii="Times New Roman" w:eastAsia="Times New Roman" w:hAnsi="Times New Roman" w:cs="Times New Roman"/>
              </w:rPr>
              <w:t>air quality program.</w:t>
            </w:r>
            <w:r w:rsidR="002B7331" w:rsidRPr="000F38D9">
              <w:rPr>
                <w:rFonts w:ascii="Times New Roman" w:eastAsia="Times New Roman" w:hAnsi="Times New Roman" w:cs="Times New Roman"/>
              </w:rPr>
              <w:t xml:space="preserve"> </w:t>
            </w:r>
            <w:r w:rsidR="000F38D9" w:rsidRPr="000F38D9">
              <w:rPr>
                <w:rFonts w:ascii="Times New Roman" w:eastAsia="Times New Roman" w:hAnsi="Times New Roman" w:cs="Times New Roman"/>
              </w:rPr>
              <w:t>An e</w:t>
            </w:r>
            <w:r w:rsidR="00EC0C81" w:rsidRPr="000F38D9">
              <w:rPr>
                <w:rFonts w:ascii="Times New Roman" w:eastAsia="Times New Roman" w:hAnsi="Times New Roman" w:cs="Times New Roman"/>
              </w:rPr>
              <w:t xml:space="preserve">xample of missing details </w:t>
            </w:r>
            <w:r w:rsidR="000F38D9" w:rsidRPr="000F38D9">
              <w:rPr>
                <w:rFonts w:ascii="Times New Roman" w:eastAsia="Times New Roman" w:hAnsi="Times New Roman" w:cs="Times New Roman"/>
              </w:rPr>
              <w:t xml:space="preserve">is </w:t>
            </w:r>
            <w:r w:rsidR="007B114D" w:rsidRPr="000F38D9">
              <w:rPr>
                <w:rFonts w:ascii="Times New Roman" w:eastAsia="Times New Roman" w:hAnsi="Times New Roman" w:cs="Times New Roman"/>
              </w:rPr>
              <w:t xml:space="preserve">the </w:t>
            </w:r>
            <w:r w:rsidR="000F38D9" w:rsidRPr="000F38D9">
              <w:rPr>
                <w:rFonts w:ascii="Times New Roman" w:eastAsia="Times New Roman" w:hAnsi="Times New Roman" w:cs="Times New Roman"/>
              </w:rPr>
              <w:t xml:space="preserve">identification of </w:t>
            </w:r>
            <w:r w:rsidR="007B114D" w:rsidRPr="000F38D9">
              <w:rPr>
                <w:rFonts w:ascii="Times New Roman" w:eastAsia="Times New Roman" w:hAnsi="Times New Roman" w:cs="Times New Roman"/>
              </w:rPr>
              <w:t xml:space="preserve">specific </w:t>
            </w:r>
            <w:r w:rsidR="00EC0C81" w:rsidRPr="000F38D9">
              <w:rPr>
                <w:rFonts w:ascii="Times New Roman" w:eastAsia="Times New Roman" w:hAnsi="Times New Roman" w:cs="Times New Roman"/>
              </w:rPr>
              <w:t>compliance methods</w:t>
            </w:r>
            <w:r w:rsidR="000F38D9" w:rsidRPr="000F38D9">
              <w:rPr>
                <w:rFonts w:ascii="Times New Roman" w:eastAsia="Times New Roman" w:hAnsi="Times New Roman" w:cs="Times New Roman"/>
              </w:rPr>
              <w:t xml:space="preserve"> for determining compliance with an emission standard. </w:t>
            </w:r>
          </w:p>
          <w:p w:rsidR="003539AD" w:rsidRPr="000F38D9"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0F38D9">
              <w:rPr>
                <w:rFonts w:ascii="Times New Roman" w:eastAsia="Times New Roman" w:hAnsi="Times New Roman" w:cs="Times New Roman"/>
              </w:rPr>
              <w:t xml:space="preserve">Procedures </w:t>
            </w:r>
            <w:r w:rsidR="000F38D9">
              <w:rPr>
                <w:rFonts w:ascii="Times New Roman" w:eastAsia="Times New Roman" w:hAnsi="Times New Roman" w:cs="Times New Roman"/>
              </w:rPr>
              <w:t xml:space="preserve">are </w:t>
            </w:r>
            <w:r w:rsidRPr="000F38D9">
              <w:rPr>
                <w:rFonts w:ascii="Times New Roman" w:eastAsia="Times New Roman" w:hAnsi="Times New Roman" w:cs="Times New Roman"/>
              </w:rPr>
              <w:t>included in definition</w:t>
            </w:r>
            <w:r w:rsidR="00C56A67" w:rsidRPr="000F38D9">
              <w:rPr>
                <w:rFonts w:ascii="Times New Roman" w:eastAsia="Times New Roman" w:hAnsi="Times New Roman" w:cs="Times New Roman"/>
              </w:rPr>
              <w:t>s</w:t>
            </w:r>
            <w:r w:rsidRPr="000F38D9">
              <w:rPr>
                <w:rFonts w:ascii="Times New Roman" w:eastAsia="Times New Roman" w:hAnsi="Times New Roman" w:cs="Times New Roman"/>
              </w:rPr>
              <w:t xml:space="preserve"> </w:t>
            </w:r>
            <w:r w:rsidR="000F38D9">
              <w:rPr>
                <w:rFonts w:ascii="Times New Roman" w:eastAsia="Times New Roman" w:hAnsi="Times New Roman" w:cs="Times New Roman"/>
              </w:rPr>
              <w:t xml:space="preserve">rather than specific rules which </w:t>
            </w:r>
            <w:r w:rsidRPr="000F38D9">
              <w:rPr>
                <w:rFonts w:ascii="Times New Roman" w:eastAsia="Times New Roman" w:hAnsi="Times New Roman" w:cs="Times New Roman"/>
              </w:rPr>
              <w:t>cause</w:t>
            </w:r>
            <w:r w:rsidR="000F38D9">
              <w:rPr>
                <w:rFonts w:ascii="Times New Roman" w:eastAsia="Times New Roman" w:hAnsi="Times New Roman" w:cs="Times New Roman"/>
              </w:rPr>
              <w:t>s</w:t>
            </w:r>
            <w:r w:rsidRPr="000F38D9">
              <w:rPr>
                <w:rFonts w:ascii="Times New Roman" w:eastAsia="Times New Roman" w:hAnsi="Times New Roman" w:cs="Times New Roman"/>
              </w:rPr>
              <w:t xml:space="preserve"> confusion. Examples of procedures included in definitions are</w:t>
            </w:r>
            <w:r w:rsidR="007B114D" w:rsidRPr="000F38D9">
              <w:rPr>
                <w:rFonts w:ascii="Times New Roman" w:eastAsia="Times New Roman" w:hAnsi="Times New Roman" w:cs="Times New Roman"/>
              </w:rPr>
              <w:t xml:space="preserve"> those for determining a</w:t>
            </w:r>
            <w:r w:rsidR="007029A0" w:rsidRPr="000F38D9">
              <w:rPr>
                <w:rFonts w:ascii="Times New Roman" w:eastAsia="Times New Roman" w:hAnsi="Times New Roman" w:cs="Times New Roman"/>
              </w:rPr>
              <w:t xml:space="preserve"> </w:t>
            </w:r>
            <w:r w:rsidRPr="000F38D9">
              <w:rPr>
                <w:rFonts w:ascii="Times New Roman" w:eastAsia="Times New Roman" w:hAnsi="Times New Roman" w:cs="Times New Roman"/>
                <w:i/>
              </w:rPr>
              <w:t>major modification</w:t>
            </w:r>
            <w:r w:rsidRPr="000F38D9">
              <w:rPr>
                <w:rFonts w:ascii="Times New Roman" w:eastAsia="Times New Roman" w:hAnsi="Times New Roman" w:cs="Times New Roman"/>
              </w:rPr>
              <w:t xml:space="preserve">, </w:t>
            </w:r>
            <w:r w:rsidRPr="000F38D9">
              <w:rPr>
                <w:rFonts w:ascii="Times New Roman" w:eastAsia="Times New Roman" w:hAnsi="Times New Roman" w:cs="Times New Roman"/>
                <w:i/>
              </w:rPr>
              <w:t>actual emissions</w:t>
            </w:r>
            <w:r w:rsidRPr="000F38D9">
              <w:rPr>
                <w:rFonts w:ascii="Times New Roman" w:eastAsia="Times New Roman" w:hAnsi="Times New Roman" w:cs="Times New Roman"/>
              </w:rPr>
              <w:t xml:space="preserve"> and </w:t>
            </w:r>
            <w:r w:rsidRPr="000F38D9">
              <w:rPr>
                <w:rFonts w:ascii="Times New Roman" w:eastAsia="Times New Roman" w:hAnsi="Times New Roman" w:cs="Times New Roman"/>
                <w:i/>
              </w:rPr>
              <w:t>netting basis</w:t>
            </w:r>
            <w:r w:rsidRPr="000F38D9">
              <w:rPr>
                <w:rFonts w:ascii="Times New Roman" w:eastAsia="Times New Roman" w:hAnsi="Times New Roman" w:cs="Times New Roman"/>
              </w:rPr>
              <w:t xml:space="preserve">. </w:t>
            </w:r>
          </w:p>
          <w:p w:rsidR="003539AD" w:rsidRDefault="00EC0C81">
            <w:pPr>
              <w:pStyle w:val="ListParagraph"/>
              <w:numPr>
                <w:ilvl w:val="0"/>
                <w:numId w:val="30"/>
              </w:numPr>
              <w:spacing w:after="120"/>
              <w:ind w:left="468"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This proposal combines definitions into one division rather </w:t>
            </w:r>
            <w:r w:rsidR="007B114D">
              <w:rPr>
                <w:rFonts w:ascii="Times New Roman" w:eastAsia="Times New Roman" w:hAnsi="Times New Roman" w:cs="Times New Roman"/>
              </w:rPr>
              <w:t>than</w:t>
            </w:r>
            <w:r w:rsidRPr="00EC0C81">
              <w:rPr>
                <w:rFonts w:ascii="Times New Roman" w:eastAsia="Times New Roman" w:hAnsi="Times New Roman" w:cs="Times New Roman"/>
              </w:rPr>
              <w:t xml:space="preserve"> </w:t>
            </w:r>
            <w:r w:rsidR="007B114D">
              <w:rPr>
                <w:rFonts w:ascii="Times New Roman" w:eastAsia="Times New Roman" w:hAnsi="Times New Roman" w:cs="Times New Roman"/>
              </w:rPr>
              <w:t xml:space="preserve">having definitions </w:t>
            </w:r>
            <w:r w:rsidRPr="00EC0C81">
              <w:rPr>
                <w:rFonts w:ascii="Times New Roman" w:eastAsia="Times New Roman" w:hAnsi="Times New Roman" w:cs="Times New Roman"/>
              </w:rPr>
              <w:t xml:space="preserve">throughout the divisions regulating air quality. </w:t>
            </w:r>
            <w:r w:rsidR="007B114D">
              <w:rPr>
                <w:rFonts w:ascii="Times New Roman" w:eastAsia="Times New Roman" w:hAnsi="Times New Roman" w:cs="Times New Roman"/>
              </w:rPr>
              <w:t>Currently</w:t>
            </w:r>
            <w:r w:rsidRPr="00EC0C81">
              <w:rPr>
                <w:rFonts w:ascii="Times New Roman" w:eastAsia="Times New Roman" w:hAnsi="Times New Roman" w:cs="Times New Roman"/>
              </w:rPr>
              <w:t xml:space="preserve"> there are multiple and sometimes different definitions of the same term. </w:t>
            </w:r>
          </w:p>
          <w:p w:rsidR="003539AD" w:rsidRDefault="00EC0C81">
            <w:pPr>
              <w:pStyle w:val="ListParagraph"/>
              <w:numPr>
                <w:ilvl w:val="0"/>
                <w:numId w:val="30"/>
              </w:numPr>
              <w:spacing w:after="120"/>
              <w:ind w:left="468" w:right="14"/>
              <w:contextualSpacing w:val="0"/>
              <w:rPr>
                <w:rFonts w:ascii="Times New Roman" w:eastAsia="Times New Roman" w:hAnsi="Times New Roman" w:cs="Times New Roman"/>
              </w:rPr>
            </w:pPr>
            <w:r w:rsidRPr="00EC0C81">
              <w:rPr>
                <w:rFonts w:ascii="Times New Roman" w:eastAsia="Times New Roman" w:hAnsi="Times New Roman" w:cs="Times New Roman"/>
              </w:rPr>
              <w:t>Unfortunately</w:t>
            </w:r>
            <w:r w:rsidR="00C56A67">
              <w:rPr>
                <w:rFonts w:ascii="Times New Roman" w:eastAsia="Times New Roman" w:hAnsi="Times New Roman" w:cs="Times New Roman"/>
              </w:rPr>
              <w:t>,</w:t>
            </w:r>
            <w:r w:rsidRPr="00EC0C81">
              <w:rPr>
                <w:rFonts w:ascii="Times New Roman" w:eastAsia="Times New Roman" w:hAnsi="Times New Roman" w:cs="Times New Roman"/>
              </w:rPr>
              <w:t xml:space="preserve"> many businesses have shut down in Oregon so DEQ is proposing to repeal those industry specific rules. </w:t>
            </w:r>
          </w:p>
          <w:p w:rsidR="003539AD" w:rsidRDefault="00EC0C81">
            <w:pPr>
              <w:pStyle w:val="ListParagraph"/>
              <w:numPr>
                <w:ilvl w:val="0"/>
                <w:numId w:val="30"/>
              </w:numPr>
              <w:spacing w:after="120"/>
              <w:ind w:left="468"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DEQ is also proposing to repeal rules for which EPA has adopted </w:t>
            </w:r>
            <w:r w:rsidR="000F38D9">
              <w:rPr>
                <w:rFonts w:ascii="Times New Roman" w:eastAsia="Times New Roman" w:hAnsi="Times New Roman" w:cs="Times New Roman"/>
              </w:rPr>
              <w:t xml:space="preserve">more stringent </w:t>
            </w:r>
            <w:r w:rsidRPr="00EC0C81">
              <w:rPr>
                <w:rFonts w:ascii="Times New Roman" w:eastAsia="Times New Roman" w:hAnsi="Times New Roman" w:cs="Times New Roman"/>
              </w:rPr>
              <w:t xml:space="preserve">standards. </w:t>
            </w:r>
          </w:p>
          <w:p w:rsidR="003539AD" w:rsidRDefault="00EC0C81">
            <w:pPr>
              <w:pStyle w:val="ListParagraph"/>
              <w:numPr>
                <w:ilvl w:val="0"/>
                <w:numId w:val="30"/>
              </w:numPr>
              <w:spacing w:after="120"/>
              <w:ind w:left="468" w:right="14"/>
              <w:contextualSpacing w:val="0"/>
              <w:rPr>
                <w:rFonts w:ascii="Times New Roman" w:eastAsia="Times New Roman" w:hAnsi="Times New Roman" w:cs="Times New Roman"/>
              </w:rPr>
            </w:pPr>
            <w:r w:rsidRPr="00EC0C81">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Default="00EC0C81">
            <w:pPr>
              <w:numPr>
                <w:ilvl w:val="0"/>
                <w:numId w:val="33"/>
              </w:numPr>
              <w:ind w:left="0" w:right="18"/>
              <w:rPr>
                <w:rFonts w:ascii="Times New Roman" w:hAnsi="Times New Roman" w:cs="Times New Roman"/>
              </w:rPr>
            </w:pPr>
            <w:r w:rsidRPr="00EC0C81">
              <w:rPr>
                <w:rFonts w:ascii="Times New Roman" w:eastAsia="Times New Roman" w:hAnsi="Times New Roman" w:cs="Times New Roman"/>
              </w:rPr>
              <w:t xml:space="preserve">The proposed rules would clarify and update the air quality rules. </w:t>
            </w:r>
          </w:p>
          <w:p w:rsidR="003539AD" w:rsidRDefault="00EC0C81">
            <w:pPr>
              <w:pStyle w:val="ListParagraph"/>
              <w:numPr>
                <w:ilvl w:val="0"/>
                <w:numId w:val="34"/>
              </w:numPr>
              <w:ind w:right="18"/>
              <w:rPr>
                <w:rFonts w:ascii="Times New Roman" w:eastAsia="Times New Roman" w:hAnsi="Times New Roman" w:cs="Times New Roman"/>
                <w:bCs/>
              </w:rPr>
            </w:pPr>
            <w:r w:rsidRPr="00EC0C81">
              <w:rPr>
                <w:rFonts w:ascii="Times New Roman" w:eastAsia="Times New Roman" w:hAnsi="Times New Roman" w:cs="Times New Roman"/>
                <w:bCs/>
              </w:rPr>
              <w:t>This proposal addresses missing details by including compliance methods with all standards to make sure businesses know what to do to comply with the standards</w:t>
            </w:r>
          </w:p>
          <w:p w:rsidR="003539AD" w:rsidRPr="00DD6D6E" w:rsidRDefault="00EC0C81">
            <w:pPr>
              <w:pStyle w:val="ListParagraph"/>
              <w:numPr>
                <w:ilvl w:val="0"/>
                <w:numId w:val="34"/>
              </w:numPr>
              <w:ind w:right="18"/>
              <w:rPr>
                <w:rFonts w:ascii="Times New Roman" w:eastAsia="Times New Roman" w:hAnsi="Times New Roman" w:cs="Times New Roman"/>
              </w:rPr>
            </w:pPr>
            <w:r w:rsidRPr="00DD6D6E">
              <w:rPr>
                <w:rFonts w:ascii="Times New Roman" w:eastAsia="Times New Roman" w:hAnsi="Times New Roman" w:cs="Times New Roman"/>
                <w:bCs/>
              </w:rPr>
              <w:t xml:space="preserve">This proposal removes procedures from definitions and proposes a procedural rule instead.  For example, </w:t>
            </w:r>
            <w:r w:rsidR="000F38D9">
              <w:rPr>
                <w:rFonts w:ascii="Times New Roman" w:eastAsia="Times New Roman" w:hAnsi="Times New Roman" w:cs="Times New Roman"/>
                <w:bCs/>
              </w:rPr>
              <w:t xml:space="preserve">how actual emission are determined.  </w:t>
            </w:r>
            <w:r w:rsidRPr="00DD6D6E">
              <w:rPr>
                <w:rFonts w:ascii="Times New Roman" w:eastAsia="Times New Roman" w:hAnsi="Times New Roman" w:cs="Times New Roman"/>
              </w:rPr>
              <w:t xml:space="preserve"> </w:t>
            </w:r>
          </w:p>
          <w:p w:rsidR="003539AD" w:rsidRDefault="00C472FB">
            <w:pPr>
              <w:pStyle w:val="ListParagraph"/>
              <w:numPr>
                <w:ilvl w:val="0"/>
                <w:numId w:val="34"/>
              </w:numPr>
              <w:ind w:right="18"/>
              <w:rPr>
                <w:rFonts w:ascii="Times New Roman" w:hAnsi="Times New Roman" w:cs="Times New Roman"/>
                <w:bCs/>
              </w:rPr>
            </w:pPr>
            <w:r>
              <w:rPr>
                <w:rFonts w:ascii="Times New Roman" w:hAnsi="Times New Roman" w:cs="Times New Roman"/>
                <w:bCs/>
              </w:rPr>
              <w:t xml:space="preserve">This proposal </w:t>
            </w:r>
            <w:r w:rsidR="00DD60E8" w:rsidRPr="00E638D3">
              <w:rPr>
                <w:rFonts w:ascii="Times New Roman" w:hAnsi="Times New Roman" w:cs="Times New Roman"/>
                <w:bCs/>
              </w:rPr>
              <w:t>add</w:t>
            </w:r>
            <w:r>
              <w:rPr>
                <w:rFonts w:ascii="Times New Roman" w:hAnsi="Times New Roman" w:cs="Times New Roman"/>
                <w:bCs/>
              </w:rPr>
              <w:t>s</w:t>
            </w:r>
            <w:r w:rsidR="00DD60E8" w:rsidRPr="00E638D3">
              <w:rPr>
                <w:rFonts w:ascii="Times New Roman" w:hAnsi="Times New Roman" w:cs="Times New Roman"/>
                <w:bCs/>
              </w:rPr>
              <w:t xml:space="preserve"> definitions for undefined terms such as </w:t>
            </w:r>
            <w:r w:rsidR="0059713A" w:rsidRPr="00E638D3">
              <w:rPr>
                <w:rFonts w:ascii="Times New Roman" w:hAnsi="Times New Roman" w:cs="Times New Roman"/>
                <w:bCs/>
              </w:rPr>
              <w:t>control efficiency, i</w:t>
            </w:r>
            <w:r w:rsidR="00DD60E8"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539AD" w:rsidRDefault="00C472FB">
            <w:pPr>
              <w:pStyle w:val="ListParagraph"/>
              <w:numPr>
                <w:ilvl w:val="0"/>
                <w:numId w:val="34"/>
              </w:numPr>
              <w:ind w:right="18"/>
              <w:rPr>
                <w:rFonts w:ascii="Times New Roman" w:hAnsi="Times New Roman" w:cs="Times New Roman"/>
                <w:bCs/>
              </w:rPr>
            </w:pPr>
            <w:r>
              <w:rPr>
                <w:rFonts w:ascii="Times New Roman" w:hAnsi="Times New Roman" w:cs="Times New Roman"/>
                <w:bCs/>
              </w:rPr>
              <w:t xml:space="preserve">This proposal </w:t>
            </w:r>
            <w:r w:rsidR="001C05D1">
              <w:rPr>
                <w:rFonts w:ascii="Times New Roman" w:hAnsi="Times New Roman" w:cs="Times New Roman"/>
                <w:bCs/>
              </w:rPr>
              <w:t>normaliz</w:t>
            </w:r>
            <w:r>
              <w:rPr>
                <w:rFonts w:ascii="Times New Roman" w:hAnsi="Times New Roman" w:cs="Times New Roman"/>
                <w:bCs/>
              </w:rPr>
              <w:t>es</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w:t>
            </w:r>
            <w:r>
              <w:rPr>
                <w:rFonts w:ascii="Times New Roman" w:hAnsi="Times New Roman" w:cs="Times New Roman"/>
                <w:bCs/>
              </w:rPr>
              <w:t>es</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3539AD" w:rsidRDefault="00C472FB">
            <w:pPr>
              <w:pStyle w:val="ListParagraph"/>
              <w:numPr>
                <w:ilvl w:val="0"/>
                <w:numId w:val="34"/>
              </w:numPr>
              <w:ind w:right="18"/>
              <w:rPr>
                <w:rFonts w:ascii="Times New Roman" w:hAnsi="Times New Roman" w:cs="Times New Roman"/>
                <w:bCs/>
              </w:rPr>
            </w:pPr>
            <w:r>
              <w:rPr>
                <w:rFonts w:ascii="Times New Roman" w:hAnsi="Times New Roman" w:cs="Times New Roman"/>
                <w:bCs/>
              </w:rPr>
              <w:t xml:space="preserve">This proposal </w:t>
            </w:r>
            <w:r w:rsidR="0059713A" w:rsidRPr="00E638D3">
              <w:rPr>
                <w:rFonts w:ascii="Times New Roman" w:hAnsi="Times New Roman" w:cs="Times New Roman"/>
                <w:bCs/>
              </w:rPr>
              <w:t>mov</w:t>
            </w:r>
            <w:r>
              <w:rPr>
                <w:rFonts w:ascii="Times New Roman" w:hAnsi="Times New Roman" w:cs="Times New Roman"/>
                <w:bCs/>
              </w:rPr>
              <w:t>es</w:t>
            </w:r>
            <w:r w:rsidR="0059713A" w:rsidRPr="00E638D3">
              <w:rPr>
                <w:rFonts w:ascii="Times New Roman" w:hAnsi="Times New Roman" w:cs="Times New Roman"/>
                <w:bCs/>
              </w:rPr>
              <w:t xml:space="preserve"> the tables containing numbers into the text whenever </w:t>
            </w:r>
            <w:r w:rsidR="0059713A" w:rsidRPr="00E638D3">
              <w:rPr>
                <w:rFonts w:ascii="Times New Roman" w:hAnsi="Times New Roman" w:cs="Times New Roman"/>
                <w:bCs/>
              </w:rPr>
              <w:lastRenderedPageBreak/>
              <w:t>possible to make them easier to find, such as</w:t>
            </w:r>
            <w:r>
              <w:rPr>
                <w:rFonts w:ascii="Times New Roman" w:hAnsi="Times New Roman" w:cs="Times New Roman"/>
                <w:bCs/>
              </w:rPr>
              <w:t>:</w:t>
            </w:r>
            <w:r w:rsidR="0059713A" w:rsidRPr="00E638D3">
              <w:rPr>
                <w:rFonts w:ascii="Times New Roman" w:hAnsi="Times New Roman" w:cs="Times New Roman"/>
                <w:bCs/>
              </w:rPr>
              <w:t xml:space="preserve">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C56A67">
            <w:pPr>
              <w:pStyle w:val="ListParagraph"/>
              <w:ind w:left="918"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w:t>
            </w:r>
            <w:r w:rsidR="00A1795E">
              <w:rPr>
                <w:rFonts w:ascii="Times New Roman" w:hAnsi="Times New Roman" w:cs="Times New Roman"/>
                <w:bCs/>
              </w:rPr>
              <w:t xml:space="preserve">types of businesses no longer exist in Oregon; therefore, there is no need for </w:t>
            </w:r>
            <w:r w:rsidRPr="00E638D3">
              <w:rPr>
                <w:rFonts w:ascii="Times New Roman" w:hAnsi="Times New Roman" w:cs="Times New Roman"/>
                <w:bCs/>
              </w:rPr>
              <w:t xml:space="preserve">rules </w:t>
            </w:r>
            <w:r w:rsidR="00A1795E">
              <w:rPr>
                <w:rFonts w:ascii="Times New Roman" w:hAnsi="Times New Roman" w:cs="Times New Roman"/>
                <w:bCs/>
              </w:rPr>
              <w:t>specific to these businesses</w:t>
            </w:r>
            <w:r w:rsidRPr="00E638D3">
              <w:rPr>
                <w:rFonts w:ascii="Times New Roman" w:hAnsi="Times New Roman" w:cs="Times New Roman"/>
                <w:bCs/>
              </w:rPr>
              <w:t xml:space="preserve">.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w:t>
            </w:r>
            <w:r w:rsidR="00A1795E">
              <w:rPr>
                <w:rFonts w:ascii="Times New Roman" w:hAnsi="Times New Roman" w:cs="Times New Roman"/>
                <w:bCs/>
              </w:rPr>
              <w:t xml:space="preserve"> that </w:t>
            </w:r>
            <w:r w:rsidRPr="00E638D3">
              <w:rPr>
                <w:rFonts w:ascii="Times New Roman" w:hAnsi="Times New Roman" w:cs="Times New Roman"/>
                <w:bCs/>
              </w:rPr>
              <w:t xml:space="preserve">are more stringent than the rules </w:t>
            </w:r>
            <w:r w:rsidR="00A1795E">
              <w:rPr>
                <w:rFonts w:ascii="Times New Roman" w:hAnsi="Times New Roman" w:cs="Times New Roman"/>
                <w:bCs/>
              </w:rPr>
              <w:t xml:space="preserve">proposed for </w:t>
            </w:r>
            <w:r w:rsidRPr="00E638D3">
              <w:rPr>
                <w:rFonts w:ascii="Times New Roman" w:hAnsi="Times New Roman" w:cs="Times New Roman"/>
                <w:bCs/>
              </w:rPr>
              <w:t>repeal</w:t>
            </w:r>
            <w:r w:rsidR="00372C6F" w:rsidRPr="00E638D3">
              <w:rPr>
                <w:rFonts w:ascii="Times New Roman" w:hAnsi="Times New Roman" w:cs="Times New Roman"/>
                <w:bCs/>
              </w:rPr>
              <w:t>:</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A1795E" w:rsidP="00372C6F">
            <w:pPr>
              <w:ind w:left="0" w:right="18"/>
              <w:rPr>
                <w:rFonts w:ascii="Times New Roman" w:hAnsi="Times New Roman" w:cs="Times New Roman"/>
                <w:bCs/>
              </w:rPr>
            </w:pPr>
            <w:r>
              <w:rPr>
                <w:rFonts w:ascii="Times New Roman" w:hAnsi="Times New Roman" w:cs="Times New Roman"/>
                <w:bCs/>
              </w:rPr>
              <w:t xml:space="preserve">The proposal would </w:t>
            </w:r>
            <w:r w:rsidR="00372C6F" w:rsidRPr="00E638D3">
              <w:rPr>
                <w:rFonts w:ascii="Times New Roman" w:hAnsi="Times New Roman" w:cs="Times New Roman"/>
                <w:bCs/>
              </w:rPr>
              <w:t xml:space="preserve">repeal </w:t>
            </w:r>
            <w:r w:rsidR="001B23A9">
              <w:rPr>
                <w:rFonts w:ascii="Times New Roman" w:hAnsi="Times New Roman" w:cs="Times New Roman"/>
                <w:bCs/>
              </w:rPr>
              <w:t xml:space="preserve">the following </w:t>
            </w:r>
            <w:r w:rsidR="00372C6F" w:rsidRPr="00E638D3">
              <w:rPr>
                <w:rFonts w:ascii="Times New Roman" w:hAnsi="Times New Roman" w:cs="Times New Roman"/>
                <w:bCs/>
              </w:rPr>
              <w:t xml:space="preserve">rules </w:t>
            </w:r>
            <w:r>
              <w:rPr>
                <w:rFonts w:ascii="Times New Roman" w:hAnsi="Times New Roman" w:cs="Times New Roman"/>
                <w:bCs/>
              </w:rPr>
              <w:t xml:space="preserve">made unnecessary by </w:t>
            </w:r>
            <w:r w:rsidR="00372C6F" w:rsidRPr="00E638D3">
              <w:rPr>
                <w:rFonts w:ascii="Times New Roman" w:hAnsi="Times New Roman" w:cs="Times New Roman"/>
                <w:bCs/>
              </w:rPr>
              <w:t>EPA</w:t>
            </w:r>
            <w:r>
              <w:rPr>
                <w:rFonts w:ascii="Times New Roman" w:hAnsi="Times New Roman" w:cs="Times New Roman"/>
                <w:bCs/>
              </w:rPr>
              <w:t>’s</w:t>
            </w:r>
            <w:r w:rsidR="00372C6F" w:rsidRPr="00E638D3">
              <w:rPr>
                <w:rFonts w:ascii="Times New Roman" w:hAnsi="Times New Roman" w:cs="Times New Roman"/>
                <w:bCs/>
              </w:rPr>
              <w:t xml:space="preserve"> adopt</w:t>
            </w:r>
            <w:r>
              <w:rPr>
                <w:rFonts w:ascii="Times New Roman" w:hAnsi="Times New Roman" w:cs="Times New Roman"/>
                <w:bCs/>
              </w:rPr>
              <w:t xml:space="preserve">ion of </w:t>
            </w:r>
            <w:r w:rsidR="00372C6F" w:rsidRPr="00E638D3">
              <w:rPr>
                <w:rFonts w:ascii="Times New Roman" w:hAnsi="Times New Roman" w:cs="Times New Roman"/>
                <w:bCs/>
              </w:rPr>
              <w:t>standards</w:t>
            </w:r>
            <w:proofErr w:type="gramStart"/>
            <w:r>
              <w:rPr>
                <w:rFonts w:ascii="Times New Roman" w:hAnsi="Times New Roman" w:cs="Times New Roman"/>
                <w:bCs/>
              </w:rPr>
              <w:t>:</w:t>
            </w:r>
            <w:r w:rsidR="0019640C">
              <w:rPr>
                <w:rFonts w:ascii="Times New Roman" w:hAnsi="Times New Roman" w:cs="Times New Roman"/>
                <w:bCs/>
              </w:rPr>
              <w:t>.</w:t>
            </w:r>
            <w:proofErr w:type="gramEnd"/>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008737CA">
              <w:rPr>
                <w:rFonts w:ascii="Times New Roman" w:eastAsia="Times New Roman" w:hAnsi="Times New Roman" w:cs="Times New Roman"/>
              </w:rPr>
              <w:t>S</w:t>
            </w:r>
            <w:r w:rsidR="00712AA9">
              <w:rPr>
                <w:rFonts w:ascii="Times New Roman" w:eastAsia="Times New Roman" w:hAnsi="Times New Roman" w:cs="Times New Roman"/>
              </w:rPr>
              <w:t>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008737CA">
              <w:rPr>
                <w:rFonts w:ascii="Times New Roman" w:eastAsia="Times New Roman" w:hAnsi="Times New Roman" w:cs="Times New Roman"/>
              </w:rPr>
              <w:t xml:space="preserve"> are also</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area.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etc. – involves </w:t>
            </w:r>
            <w:r w:rsidR="00EF76B2">
              <w:rPr>
                <w:rFonts w:ascii="Times New Roman" w:eastAsia="Times New Roman" w:hAnsi="Times New Roman" w:cs="Times New Roman"/>
              </w:rPr>
              <w:t xml:space="preserve">concentration-based (mass </w:t>
            </w:r>
            <w:r w:rsidR="00EF76B2">
              <w:rPr>
                <w:rFonts w:ascii="Times New Roman" w:eastAsia="Times New Roman" w:hAnsi="Times New Roman" w:cs="Times New Roman"/>
              </w:rPr>
              <w:lastRenderedPageBreak/>
              <w:t>per unit of volume)</w:t>
            </w:r>
            <w:r w:rsidRPr="00E638D3">
              <w:rPr>
                <w:rFonts w:ascii="Times New Roman" w:eastAsia="Times New Roman" w:hAnsi="Times New Roman" w:cs="Times New Roman"/>
              </w:rPr>
              <w:t xml:space="preserve"> emission limits. A second standard is referred to as a </w:t>
            </w:r>
            <w:r w:rsidR="00EF76B2">
              <w:rPr>
                <w:rFonts w:ascii="Times New Roman" w:eastAsia="Times New Roman" w:hAnsi="Times New Roman" w:cs="Times New Roman"/>
              </w:rPr>
              <w:t>visible emissions</w:t>
            </w:r>
            <w:r w:rsidR="00EF76B2"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standard, which </w:t>
            </w:r>
            <w:r w:rsidR="00EF76B2">
              <w:rPr>
                <w:rFonts w:ascii="Times New Roman" w:eastAsia="Times New Roman" w:hAnsi="Times New Roman" w:cs="Times New Roman"/>
              </w:rPr>
              <w:t>limits</w:t>
            </w:r>
            <w:r w:rsidRPr="00E638D3">
              <w:rPr>
                <w:rFonts w:ascii="Times New Roman" w:eastAsia="Times New Roman" w:hAnsi="Times New Roman" w:cs="Times New Roman"/>
              </w:rPr>
              <w:t xml:space="preserve"> the</w:t>
            </w:r>
            <w:r w:rsidR="00EF76B2">
              <w:rPr>
                <w:rFonts w:ascii="Times New Roman" w:eastAsia="Times New Roman" w:hAnsi="Times New Roman" w:cs="Times New Roman"/>
              </w:rPr>
              <w:t xml:space="preserve"> maximum visual</w:t>
            </w:r>
            <w:r w:rsidRPr="00E638D3">
              <w:rPr>
                <w:rFonts w:ascii="Times New Roman" w:eastAsia="Times New Roman" w:hAnsi="Times New Roman" w:cs="Times New Roman"/>
              </w:rPr>
              <w:t xml:space="preserve"> density – or opacity – of a plume. The rules include different</w:t>
            </w:r>
            <w:ins w:id="1" w:author="gdavis" w:date="2013-09-04T12:45:00Z">
              <w:r w:rsidR="00427970">
                <w:rPr>
                  <w:rFonts w:ascii="Times New Roman" w:eastAsia="Times New Roman" w:hAnsi="Times New Roman" w:cs="Times New Roman"/>
                </w:rPr>
                <w:t xml:space="preserve"> </w:t>
              </w:r>
            </w:ins>
            <w:r w:rsidR="00427970">
              <w:rPr>
                <w:rFonts w:ascii="Times New Roman" w:eastAsia="Times New Roman" w:hAnsi="Times New Roman" w:cs="Times New Roman"/>
              </w:rPr>
              <w:t>particulate matter and opacity</w:t>
            </w:r>
            <w:r w:rsidRPr="00E638D3">
              <w:rPr>
                <w:rFonts w:ascii="Times New Roman" w:eastAsia="Times New Roman" w:hAnsi="Times New Roman" w:cs="Times New Roman"/>
              </w:rPr>
              <w:t xml:space="preserve">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FD4B2E" w:rsidP="005B7826">
            <w:pPr>
              <w:ind w:left="0" w:right="18"/>
              <w:rPr>
                <w:rFonts w:ascii="Times New Roman" w:eastAsia="Times New Roman" w:hAnsi="Times New Roman" w:cs="Times New Roman"/>
              </w:rPr>
            </w:pPr>
            <w:r>
              <w:rPr>
                <w:rFonts w:ascii="Times New Roman" w:eastAsia="Times New Roman" w:hAnsi="Times New Roman" w:cs="Times New Roman"/>
              </w:rPr>
              <w:t>The</w:t>
            </w:r>
            <w:r w:rsidR="005B7826" w:rsidRPr="00E638D3">
              <w:rPr>
                <w:rFonts w:ascii="Times New Roman" w:eastAsia="Times New Roman" w:hAnsi="Times New Roman" w:cs="Times New Roman"/>
              </w:rPr>
              <w:t xml:space="preserve"> 0.1 gr/dscf </w:t>
            </w:r>
            <w:r w:rsidR="00427970">
              <w:rPr>
                <w:rFonts w:ascii="Times New Roman" w:eastAsia="Times New Roman" w:hAnsi="Times New Roman" w:cs="Times New Roman"/>
              </w:rPr>
              <w:t xml:space="preserve">particulate matter </w:t>
            </w:r>
            <w:r w:rsidR="005B7826" w:rsidRPr="00E638D3">
              <w:rPr>
                <w:rFonts w:ascii="Times New Roman" w:eastAsia="Times New Roman" w:hAnsi="Times New Roman" w:cs="Times New Roman"/>
              </w:rPr>
              <w:t>standard is inconsistent with current EPA policy for significant figures</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005B7826"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unenforceable.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order to show compliance with this standard, people use a</w:t>
            </w:r>
            <w:r w:rsidR="001A273D">
              <w:rPr>
                <w:rFonts w:ascii="Times New Roman" w:eastAsia="Times New Roman" w:hAnsi="Times New Roman" w:cs="Times New Roman"/>
              </w:rPr>
              <w:t>n ad hoc</w:t>
            </w:r>
            <w:r w:rsidRPr="00E638D3">
              <w:rPr>
                <w:rFonts w:ascii="Times New Roman" w:eastAsia="Times New Roman" w:hAnsi="Times New Roman" w:cs="Times New Roman"/>
              </w:rPr>
              <w:t xml:space="preserve">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w:t>
            </w:r>
            <w:r w:rsidR="00FD4B2E">
              <w:rPr>
                <w:rFonts w:ascii="Times New Roman" w:eastAsia="Times New Roman" w:hAnsi="Times New Roman" w:cs="Times New Roman"/>
              </w:rPr>
              <w:t>’s rules include also include</w:t>
            </w:r>
            <w:r w:rsidRPr="00E638D3">
              <w:rPr>
                <w:rFonts w:ascii="Times New Roman" w:eastAsia="Times New Roman" w:hAnsi="Times New Roman" w:cs="Times New Roman"/>
              </w:rPr>
              <w:t xml:space="preserve"> </w:t>
            </w:r>
            <w:r w:rsidR="00FD4B2E">
              <w:rPr>
                <w:rFonts w:ascii="Times New Roman" w:eastAsia="Times New Roman" w:hAnsi="Times New Roman" w:cs="Times New Roman"/>
              </w:rPr>
              <w:t>a</w:t>
            </w:r>
            <w:r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Pr="00E638D3">
              <w:rPr>
                <w:rFonts w:ascii="Times New Roman" w:eastAsia="Times New Roman" w:hAnsi="Times New Roman" w:cs="Times New Roman"/>
              </w:rPr>
              <w:t xml:space="preserve">in the four-county area. </w:t>
            </w:r>
            <w:r w:rsidR="00FD4B2E" w:rsidRPr="00E638D3">
              <w:rPr>
                <w:rFonts w:ascii="Times New Roman" w:eastAsia="Times New Roman" w:hAnsi="Times New Roman" w:cs="Times New Roman"/>
              </w:rPr>
              <w:t>On the face of it, 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visible emissions standard for the four-county area is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DEQ never developed a reference method for the </w:t>
            </w:r>
            <w:r w:rsidR="00CA156F">
              <w:rPr>
                <w:rFonts w:ascii="Times New Roman" w:eastAsia="Times New Roman" w:hAnsi="Times New Roman" w:cs="Times New Roman"/>
              </w:rPr>
              <w:t>30 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DC064E">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 xml:space="preserve">solve the problems </w:t>
            </w:r>
            <w:r w:rsidR="00DC064E">
              <w:rPr>
                <w:rFonts w:ascii="Times New Roman" w:eastAsia="Times New Roman" w:hAnsi="Times New Roman" w:cs="Times New Roman"/>
                <w:bCs/>
              </w:rPr>
              <w:t>and</w:t>
            </w:r>
            <w:r w:rsidR="00A413FE" w:rsidRPr="00E638D3">
              <w:rPr>
                <w:rFonts w:ascii="Times New Roman" w:eastAsia="Times New Roman" w:hAnsi="Times New Roman" w:cs="Times New Roman"/>
                <w:bCs/>
              </w:rPr>
              <w:t xml:space="preserve">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Default="00A413FE" w:rsidP="00A413FE">
            <w:pPr>
              <w:ind w:left="0" w:right="18"/>
              <w:rPr>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w:t>
            </w:r>
          </w:p>
          <w:p w:rsidR="00DC064E" w:rsidRDefault="00DC064E"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reduce</w:t>
            </w:r>
            <w:r w:rsidRPr="00E638D3">
              <w:rPr>
                <w:rFonts w:ascii="Times New Roman" w:eastAsia="Times New Roman" w:hAnsi="Times New Roman" w:cs="Times New Roman"/>
                <w:bCs/>
              </w:rPr>
              <w:t xml:space="preserve"> the particulate matter emissions from pre-1970 units</w:t>
            </w:r>
          </w:p>
          <w:p w:rsidR="008737CA" w:rsidRPr="00E638D3" w:rsidRDefault="008737CA" w:rsidP="008737CA">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 with EPA policy on enforcement</w:t>
            </w:r>
          </w:p>
          <w:p w:rsidR="008737CA" w:rsidRPr="00E638D3" w:rsidRDefault="008737CA" w:rsidP="008737CA">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will make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standard more practically enforceable by aligning the standard with the reference compliance method and</w:t>
            </w:r>
          </w:p>
          <w:p w:rsidR="008737CA" w:rsidRDefault="008737CA" w:rsidP="008737CA">
            <w:pPr>
              <w:pStyle w:val="ListParagraph"/>
              <w:numPr>
                <w:ilvl w:val="0"/>
                <w:numId w:val="14"/>
              </w:numPr>
              <w:ind w:right="18"/>
              <w:rPr>
                <w:rFonts w:ascii="Times New Roman" w:eastAsia="Times New Roman" w:hAnsi="Times New Roman" w:cs="Times New Roman"/>
                <w:bCs/>
              </w:rPr>
            </w:pPr>
            <w:proofErr w:type="gramStart"/>
            <w:r w:rsidRPr="00E638D3">
              <w:rPr>
                <w:rFonts w:ascii="Times New Roman" w:eastAsia="Times New Roman" w:hAnsi="Times New Roman" w:cs="Times New Roman"/>
                <w:bCs/>
              </w:rPr>
              <w:t>require</w:t>
            </w:r>
            <w:proofErr w:type="gramEnd"/>
            <w:r w:rsidRPr="00E638D3">
              <w:rPr>
                <w:rFonts w:ascii="Times New Roman" w:eastAsia="Times New Roman" w:hAnsi="Times New Roman" w:cs="Times New Roman"/>
                <w:bCs/>
              </w:rPr>
              <w:t xml:space="preserv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business's property, regardless of the actual opacity level</w:t>
            </w:r>
            <w:r>
              <w:rPr>
                <w:rFonts w:ascii="Times New Roman" w:eastAsia="Times New Roman" w:hAnsi="Times New Roman" w:cs="Times New Roman"/>
                <w:bCs/>
              </w:rPr>
              <w:t>.</w:t>
            </w:r>
            <w:r w:rsidRPr="00E638D3">
              <w:rPr>
                <w:rFonts w:ascii="Times New Roman" w:eastAsia="Times New Roman" w:hAnsi="Times New Roman" w:cs="Times New Roman"/>
                <w:bCs/>
              </w:rPr>
              <w:t xml:space="preserve">  </w:t>
            </w:r>
          </w:p>
          <w:p w:rsidR="008737CA" w:rsidRPr="00E638D3" w:rsidRDefault="008737CA"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w:t>
            </w:r>
            <w:proofErr w:type="gramStart"/>
            <w:r w:rsidRPr="00E638D3">
              <w:rPr>
                <w:rFonts w:ascii="Times New Roman" w:eastAsia="Times New Roman" w:hAnsi="Times New Roman" w:cs="Times New Roman"/>
              </w:rPr>
              <w:t xml:space="preserve">matter </w:t>
            </w:r>
            <w:r>
              <w:rPr>
                <w:rFonts w:ascii="Times New Roman" w:eastAsia="Times New Roman" w:hAnsi="Times New Roman" w:cs="Times New Roman"/>
              </w:rPr>
              <w:t xml:space="preserve"> </w:t>
            </w:r>
            <w:r w:rsidRPr="00E638D3">
              <w:rPr>
                <w:rFonts w:ascii="Times New Roman" w:eastAsia="Times New Roman" w:hAnsi="Times New Roman" w:cs="Times New Roman"/>
              </w:rPr>
              <w:t>and</w:t>
            </w:r>
            <w:proofErr w:type="gramEnd"/>
            <w:r w:rsidRPr="00E638D3">
              <w:rPr>
                <w:rFonts w:ascii="Times New Roman" w:eastAsia="Times New Roman" w:hAnsi="Times New Roman" w:cs="Times New Roman"/>
              </w:rPr>
              <w:t xml:space="preserve">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units built before June 1970 by requiring these industries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r w:rsidR="00DC064E">
              <w:rPr>
                <w:rFonts w:ascii="Times New Roman" w:eastAsia="Times New Roman" w:hAnsi="Times New Roman" w:cs="Times New Roman"/>
              </w:rPr>
              <w:t xml:space="preserve"> </w:t>
            </w:r>
          </w:p>
          <w:p w:rsidR="008737CA" w:rsidRDefault="008737CA"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from 0.1 gr/dscf </w:t>
            </w:r>
            <w:proofErr w:type="gramStart"/>
            <w:r>
              <w:rPr>
                <w:rFonts w:ascii="Times New Roman" w:eastAsia="Times New Roman" w:hAnsi="Times New Roman" w:cs="Times New Roman"/>
              </w:rPr>
              <w:t>to</w:t>
            </w:r>
            <w:r w:rsidR="00FD4B2E" w:rsidRPr="00E638D3">
              <w:rPr>
                <w:rFonts w:ascii="Times New Roman" w:eastAsia="Times New Roman" w:hAnsi="Times New Roman" w:cs="Times New Roman"/>
              </w:rPr>
              <w:t xml:space="preserve">  0.10</w:t>
            </w:r>
            <w:proofErr w:type="gramEnd"/>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will have until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2015 to comply with the lower opacity standard</w:t>
            </w:r>
            <w:r w:rsidR="00427970">
              <w:rPr>
                <w:rFonts w:ascii="Times New Roman" w:eastAsia="Times New Roman" w:hAnsi="Times New Roman" w:cs="Times New Roman"/>
              </w:rPr>
              <w:t xml:space="preserve"> and until </w:t>
            </w:r>
            <w:r>
              <w:rPr>
                <w:rFonts w:ascii="Times New Roman" w:eastAsia="Times New Roman" w:hAnsi="Times New Roman" w:cs="Times New Roman"/>
              </w:rPr>
              <w:t>April</w:t>
            </w:r>
            <w:r w:rsidRPr="00E638D3">
              <w:rPr>
                <w:rFonts w:ascii="Times New Roman" w:eastAsia="Times New Roman" w:hAnsi="Times New Roman" w:cs="Times New Roman"/>
              </w:rPr>
              <w:t xml:space="preserve"> 1, 2019 to comply with the lower particulate matter standard</w:t>
            </w:r>
            <w:r>
              <w:rPr>
                <w:rFonts w:ascii="Times New Roman" w:eastAsia="Times New Roman" w:hAnsi="Times New Roman" w:cs="Times New Roman"/>
              </w:rPr>
              <w:t>.</w:t>
            </w:r>
          </w:p>
          <w:p w:rsidR="00FD4B2E" w:rsidRDefault="00FD4B2E" w:rsidP="008737CA">
            <w:pPr>
              <w:pStyle w:val="ListParagraph"/>
              <w:ind w:left="0" w:right="18"/>
              <w:rPr>
                <w:rFonts w:ascii="Times New Roman" w:eastAsia="Times New Roman" w:hAnsi="Times New Roman" w:cs="Times New Roman"/>
                <w:bCs/>
              </w:rPr>
            </w:pPr>
          </w:p>
          <w:p w:rsidR="00FD4B2E" w:rsidRDefault="00FD4B2E" w:rsidP="008737CA">
            <w:pPr>
              <w:pStyle w:val="ListParagraph"/>
              <w:ind w:left="0" w:right="18"/>
              <w:rPr>
                <w:ins w:id="2" w:author="gdavis" w:date="2013-09-04T12:21:00Z"/>
                <w:rFonts w:ascii="Times New Roman" w:eastAsia="Times New Roman" w:hAnsi="Times New Roman" w:cs="Times New Roman"/>
                <w:bCs/>
              </w:rPr>
            </w:pPr>
            <w:r w:rsidRPr="00E638D3">
              <w:rPr>
                <w:rFonts w:ascii="Times New Roman" w:eastAsia="Times New Roman" w:hAnsi="Times New Roman" w:cs="Times New Roman"/>
              </w:rPr>
              <w:t xml:space="preserve">DEQ is proposing to change all opacity standards (both statewide and industry specific) to </w:t>
            </w:r>
            <w:r>
              <w:rPr>
                <w:rFonts w:ascii="Times New Roman" w:eastAsia="Times New Roman" w:hAnsi="Times New Roman" w:cs="Times New Roman"/>
              </w:rPr>
              <w:t xml:space="preserve">a </w:t>
            </w:r>
            <w:r w:rsidRPr="00E638D3">
              <w:rPr>
                <w:rFonts w:ascii="Times New Roman" w:eastAsia="Times New Roman" w:hAnsi="Times New Roman" w:cs="Times New Roman"/>
              </w:rPr>
              <w:t>6-minute block average, which is consistent with other states in the region and EPA opacity standards</w:t>
            </w:r>
            <w:r>
              <w:rPr>
                <w:rFonts w:ascii="Times New Roman" w:eastAsia="Times New Roman" w:hAnsi="Times New Roman" w:cs="Times New Roman"/>
              </w:rPr>
              <w:t>. DEQ does not believe this</w:t>
            </w:r>
            <w:r w:rsidRPr="00E638D3">
              <w:rPr>
                <w:rFonts w:ascii="Times New Roman" w:eastAsia="Times New Roman" w:hAnsi="Times New Roman" w:cs="Times New Roman"/>
              </w:rPr>
              <w:t xml:space="preserve"> change</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3B2BBA" w:rsidP="00FD4B2E">
            <w:pPr>
              <w:ind w:left="0" w:right="18"/>
              <w:rPr>
                <w:rFonts w:ascii="Times New Roman" w:eastAsia="Times New Roman" w:hAnsi="Times New Roman" w:cs="Times New Roman"/>
              </w:rPr>
            </w:pPr>
            <w:r>
              <w:rPr>
                <w:rFonts w:ascii="Times New Roman" w:eastAsia="Times New Roman" w:hAnsi="Times New Roman" w:cs="Times New Roman"/>
              </w:rPr>
              <w:t xml:space="preserve">DEQ </w:t>
            </w:r>
            <w:r w:rsidR="00FD4B2E" w:rsidRPr="00E638D3">
              <w:rPr>
                <w:rFonts w:ascii="Times New Roman" w:eastAsia="Times New Roman" w:hAnsi="Times New Roman" w:cs="Times New Roman"/>
              </w:rPr>
              <w:t>proposes to</w:t>
            </w:r>
            <w:r>
              <w:rPr>
                <w:rFonts w:ascii="Times New Roman" w:eastAsia="Times New Roman" w:hAnsi="Times New Roman" w:cs="Times New Roman"/>
              </w:rPr>
              <w:t xml:space="preserve"> solve the problem of limited applicability and unenforceability </w:t>
            </w:r>
            <w:proofErr w:type="gramStart"/>
            <w:r>
              <w:rPr>
                <w:rFonts w:ascii="Times New Roman" w:eastAsia="Times New Roman" w:hAnsi="Times New Roman" w:cs="Times New Roman"/>
              </w:rPr>
              <w:t xml:space="preserve">of </w:t>
            </w:r>
            <w:r w:rsidR="00FD4B2E" w:rsidRPr="00E638D3">
              <w:rPr>
                <w:rFonts w:ascii="Times New Roman" w:eastAsia="Times New Roman" w:hAnsi="Times New Roman" w:cs="Times New Roman"/>
              </w:rPr>
              <w:t xml:space="preserve"> the</w:t>
            </w:r>
            <w:proofErr w:type="gramEnd"/>
            <w:r w:rsidR="00FD4B2E" w:rsidRPr="00E638D3">
              <w:rPr>
                <w:rFonts w:ascii="Times New Roman" w:eastAsia="Times New Roman" w:hAnsi="Times New Roman" w:cs="Times New Roman"/>
              </w:rPr>
              <w:t xml:space="preserve"> Portland</w:t>
            </w:r>
            <w:r w:rsidR="00FD4B2E">
              <w:rPr>
                <w:rFonts w:ascii="Times New Roman" w:eastAsia="Times New Roman" w:hAnsi="Times New Roman" w:cs="Times New Roman"/>
              </w:rPr>
              <w:t>-area</w:t>
            </w:r>
            <w:r w:rsidR="00FD4B2E" w:rsidRPr="00E638D3">
              <w:rPr>
                <w:rFonts w:ascii="Times New Roman" w:eastAsia="Times New Roman" w:hAnsi="Times New Roman" w:cs="Times New Roman"/>
              </w:rPr>
              <w:t xml:space="preserve"> four-county 20</w:t>
            </w:r>
            <w:r w:rsidR="00FD4B2E">
              <w:rPr>
                <w:rFonts w:ascii="Times New Roman" w:eastAsia="Times New Roman" w:hAnsi="Times New Roman" w:cs="Times New Roman"/>
              </w:rPr>
              <w:t xml:space="preserve"> percent</w:t>
            </w:r>
            <w:r w:rsidR="00FD4B2E"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by repealing the standard.</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3B2BBA"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DEQ is </w:t>
            </w:r>
            <w:r w:rsidR="00DC064E">
              <w:rPr>
                <w:rFonts w:ascii="Times New Roman" w:eastAsia="Times New Roman" w:hAnsi="Times New Roman" w:cs="Times New Roman"/>
              </w:rPr>
              <w:t xml:space="preserve">proposing </w:t>
            </w:r>
            <w:r w:rsidR="00DC064E" w:rsidRPr="00E638D3">
              <w:rPr>
                <w:rFonts w:ascii="Times New Roman" w:eastAsia="Times New Roman" w:hAnsi="Times New Roman" w:cs="Times New Roman"/>
              </w:rPr>
              <w:t>to solve the problem of trying to read opacity from fugitive emission sources</w:t>
            </w:r>
            <w:r>
              <w:rPr>
                <w:rFonts w:ascii="Times New Roman" w:eastAsia="Times New Roman" w:hAnsi="Times New Roman" w:cs="Times New Roman"/>
              </w:rPr>
              <w:t xml:space="preserve"> by </w:t>
            </w:r>
            <w:r w:rsidR="004918AF">
              <w:rPr>
                <w:rFonts w:ascii="Times New Roman" w:eastAsia="Times New Roman" w:hAnsi="Times New Roman" w:cs="Times New Roman"/>
              </w:rPr>
              <w:t>chang</w:t>
            </w:r>
            <w:r>
              <w:rPr>
                <w:rFonts w:ascii="Times New Roman" w:eastAsia="Times New Roman" w:hAnsi="Times New Roman" w:cs="Times New Roman"/>
              </w:rPr>
              <w:t>ing</w:t>
            </w:r>
            <w:r w:rsidR="004918AF">
              <w:rPr>
                <w:rFonts w:ascii="Times New Roman" w:eastAsia="Times New Roman" w:hAnsi="Times New Roman" w:cs="Times New Roman"/>
              </w:rPr>
              <w:t xml:space="preserve"> the visible emissions limit for</w:t>
            </w:r>
            <w:r w:rsidR="004918AF" w:rsidRPr="00E638D3">
              <w:rPr>
                <w:rFonts w:ascii="Times New Roman" w:eastAsia="Times New Roman" w:hAnsi="Times New Roman" w:cs="Times New Roman"/>
              </w:rPr>
              <w:t xml:space="preserve"> fugitive sources from 20</w:t>
            </w:r>
            <w:r w:rsidR="004918AF">
              <w:rPr>
                <w:rFonts w:ascii="Times New Roman" w:eastAsia="Times New Roman" w:hAnsi="Times New Roman" w:cs="Times New Roman"/>
              </w:rPr>
              <w:t xml:space="preserve"> percent</w:t>
            </w:r>
            <w:r w:rsidR="004918AF" w:rsidRPr="00E638D3">
              <w:rPr>
                <w:rFonts w:ascii="Times New Roman" w:eastAsia="Times New Roman" w:hAnsi="Times New Roman" w:cs="Times New Roman"/>
              </w:rPr>
              <w:t xml:space="preserve"> opacity </w:t>
            </w:r>
            <w:r w:rsidR="004918AF">
              <w:rPr>
                <w:rFonts w:ascii="Times New Roman" w:eastAsia="Times New Roman" w:hAnsi="Times New Roman" w:cs="Times New Roman"/>
              </w:rPr>
              <w:t xml:space="preserve">to a limit on any visible emissions leaving a source’s property. </w:t>
            </w:r>
            <w:r>
              <w:rPr>
                <w:rFonts w:ascii="Times New Roman" w:eastAsia="Times New Roman" w:hAnsi="Times New Roman" w:cs="Times New Roman"/>
              </w:rPr>
              <w:t>This</w:t>
            </w:r>
            <w:r w:rsidRPr="00E638D3">
              <w:rPr>
                <w:rFonts w:ascii="Times New Roman" w:eastAsia="Times New Roman" w:hAnsi="Times New Roman" w:cs="Times New Roman"/>
              </w:rPr>
              <w:t xml:space="preserve"> is a simpler, more stringent and more effective approach to controlling such </w:t>
            </w:r>
            <w:r w:rsidRPr="00E638D3">
              <w:rPr>
                <w:rFonts w:ascii="Times New Roman" w:eastAsia="Times New Roman" w:hAnsi="Times New Roman" w:cs="Times New Roman"/>
              </w:rPr>
              <w:lastRenderedPageBreak/>
              <w:t>emissions</w:t>
            </w:r>
            <w:r>
              <w:rPr>
                <w:rFonts w:ascii="Times New Roman" w:eastAsia="Times New Roman" w:hAnsi="Times New Roman" w:cs="Times New Roman"/>
              </w:rPr>
              <w:t xml:space="preserve">. </w:t>
            </w:r>
            <w:r w:rsidR="004918AF"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4918AF">
              <w:rPr>
                <w:rFonts w:ascii="Times New Roman" w:eastAsia="Times New Roman" w:hAnsi="Times New Roman" w:cs="Times New Roman"/>
              </w:rPr>
              <w:t>what is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w:t>
            </w:r>
            <w:r w:rsidR="00DD5EB9">
              <w:rPr>
                <w:rFonts w:ascii="Times New Roman" w:eastAsia="Times New Roman" w:hAnsi="Times New Roman" w:cs="Times New Roman"/>
                <w:bCs/>
              </w:rPr>
              <w:t>ed</w:t>
            </w:r>
            <w:r w:rsidR="00B7348A" w:rsidRPr="00B7348A">
              <w:rPr>
                <w:rFonts w:ascii="Times New Roman" w:eastAsia="Times New Roman" w:hAnsi="Times New Roman" w:cs="Times New Roman"/>
                <w:bCs/>
              </w:rPr>
              <w:t xml:space="preserve">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DD5EB9">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xml:space="preserve">, the owner/operator may only need to notify DEQ </w:t>
            </w:r>
            <w:r w:rsidR="00DD5EB9">
              <w:rPr>
                <w:rFonts w:ascii="Times New Roman" w:eastAsia="Times New Roman" w:hAnsi="Times New Roman" w:cs="Times New Roman"/>
              </w:rPr>
              <w:t>when</w:t>
            </w:r>
            <w:r w:rsidR="00DD5EB9" w:rsidRPr="00E638D3">
              <w:rPr>
                <w:rFonts w:ascii="Times New Roman" w:eastAsia="Times New Roman" w:hAnsi="Times New Roman" w:cs="Times New Roman"/>
              </w:rPr>
              <w:t xml:space="preserve"> </w:t>
            </w:r>
            <w:r w:rsidR="00DD5EB9">
              <w:rPr>
                <w:rFonts w:ascii="Times New Roman" w:eastAsia="Times New Roman" w:hAnsi="Times New Roman" w:cs="Times New Roman"/>
              </w:rPr>
              <w:t>installing</w:t>
            </w:r>
            <w:r w:rsidR="00DD5EB9" w:rsidRPr="00E638D3">
              <w:rPr>
                <w:rFonts w:ascii="Times New Roman" w:eastAsia="Times New Roman" w:hAnsi="Times New Roman" w:cs="Times New Roman"/>
              </w:rPr>
              <w:t xml:space="preserve"> </w:t>
            </w:r>
            <w:r w:rsidRPr="00E638D3">
              <w:rPr>
                <w:rFonts w:ascii="Times New Roman" w:eastAsia="Times New Roman" w:hAnsi="Times New Roman" w:cs="Times New Roman"/>
              </w:rPr>
              <w:t>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AB2CEA">
              <w:rPr>
                <w:rFonts w:ascii="Times New Roman" w:hAnsi="Times New Roman" w:cs="Times New Roman"/>
                <w:bCs/>
              </w:rPr>
              <w:t>(</w:t>
            </w:r>
            <w:r w:rsidR="000C553F">
              <w:rPr>
                <w:rFonts w:ascii="Times New Roman" w:hAnsi="Times New Roman" w:cs="Times New Roman"/>
                <w:bCs/>
              </w:rPr>
              <w:t>areas that don’t meet ambient air quality standards</w:t>
            </w:r>
            <w:r w:rsidR="00AB2CEA">
              <w:rPr>
                <w:rFonts w:ascii="Times New Roman" w:hAnsi="Times New Roman" w:cs="Times New Roman"/>
                <w:bCs/>
              </w:rPr>
              <w:t>)</w:t>
            </w:r>
            <w:r w:rsidR="000C553F">
              <w:rPr>
                <w:rFonts w:ascii="Times New Roman" w:hAnsi="Times New Roman" w:cs="Times New Roman"/>
                <w:bCs/>
              </w:rPr>
              <w:t xml:space="preserve"> </w:t>
            </w:r>
            <w:r w:rsidRPr="00E638D3">
              <w:rPr>
                <w:rFonts w:ascii="Times New Roman" w:hAnsi="Times New Roman" w:cs="Times New Roman"/>
                <w:bCs/>
              </w:rPr>
              <w:t xml:space="preserve">and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w:t>
            </w:r>
            <w:r w:rsidRPr="00E638D3">
              <w:rPr>
                <w:rFonts w:ascii="Times New Roman" w:hAnsi="Times New Roman" w:cs="Times New Roman"/>
                <w:bCs/>
              </w:rPr>
              <w:lastRenderedPageBreak/>
              <w:t>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7122C2" w:rsidP="0094178E">
            <w:pPr>
              <w:ind w:left="0" w:right="18"/>
              <w:rPr>
                <w:rFonts w:ascii="Times New Roman" w:hAnsi="Times New Roman" w:cs="Times New Roman"/>
                <w:bCs/>
              </w:rPr>
            </w:pPr>
            <w:r>
              <w:rPr>
                <w:rFonts w:ascii="Times New Roman" w:hAnsi="Times New Roman" w:cs="Times New Roman"/>
                <w:bCs/>
              </w:rPr>
              <w:t>Before less rigorous permitting requirements apply to areas cleaned up after exceeding ambient air quality standards</w:t>
            </w:r>
            <w:proofErr w:type="gramStart"/>
            <w:r>
              <w:rPr>
                <w:rFonts w:ascii="Times New Roman" w:hAnsi="Times New Roman" w:cs="Times New Roman"/>
                <w:bCs/>
              </w:rPr>
              <w:t xml:space="preserve">, </w:t>
            </w:r>
            <w:r w:rsidRPr="00E638D3">
              <w:rPr>
                <w:rFonts w:ascii="Times New Roman" w:hAnsi="Times New Roman" w:cs="Times New Roman"/>
                <w:bCs/>
              </w:rPr>
              <w:t xml:space="preserve"> </w:t>
            </w:r>
            <w:r w:rsidR="0094178E" w:rsidRPr="00E638D3">
              <w:rPr>
                <w:rFonts w:ascii="Times New Roman" w:hAnsi="Times New Roman" w:cs="Times New Roman"/>
                <w:bCs/>
              </w:rPr>
              <w:t>EPA</w:t>
            </w:r>
            <w:proofErr w:type="gramEnd"/>
            <w:r w:rsidR="0094178E" w:rsidRPr="00E638D3">
              <w:rPr>
                <w:rFonts w:ascii="Times New Roman" w:hAnsi="Times New Roman" w:cs="Times New Roman"/>
                <w:bCs/>
              </w:rPr>
              <w:t xml:space="preserve"> must redesignate that area</w:t>
            </w:r>
            <w:r>
              <w:rPr>
                <w:rFonts w:ascii="Times New Roman" w:hAnsi="Times New Roman" w:cs="Times New Roman"/>
                <w:bCs/>
              </w:rPr>
              <w:t>.</w:t>
            </w:r>
            <w:r w:rsidR="0019640C">
              <w:rPr>
                <w:rFonts w:ascii="Times New Roman" w:hAnsi="Times New Roman" w:cs="Times New Roman"/>
                <w:bCs/>
              </w:rPr>
              <w:t xml:space="preserve">. </w:t>
            </w:r>
            <w:r w:rsidR="0094178E" w:rsidRPr="00E638D3">
              <w:rPr>
                <w:rFonts w:ascii="Times New Roman" w:hAnsi="Times New Roman" w:cs="Times New Roman"/>
                <w:bCs/>
              </w:rPr>
              <w:t>Th</w:t>
            </w:r>
            <w:r>
              <w:rPr>
                <w:rFonts w:ascii="Times New Roman" w:hAnsi="Times New Roman" w:cs="Times New Roman"/>
                <w:bCs/>
              </w:rPr>
              <w:t>e</w:t>
            </w:r>
            <w:r w:rsidR="0094178E" w:rsidRPr="00E638D3">
              <w:rPr>
                <w:rFonts w:ascii="Times New Roman" w:hAnsi="Times New Roman" w:cs="Times New Roman"/>
                <w:bCs/>
              </w:rPr>
              <w:t xml:space="preserve">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0094178E"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0094178E"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007122C2">
              <w:rPr>
                <w:rFonts w:ascii="Times New Roman" w:hAnsi="Times New Roman" w:cs="Times New Roman"/>
                <w:bCs/>
              </w:rPr>
              <w:t xml:space="preserve">Current </w:t>
            </w:r>
            <w:r w:rsidRPr="00E638D3">
              <w:rPr>
                <w:rFonts w:ascii="Times New Roman" w:hAnsi="Times New Roman" w:cs="Times New Roman"/>
                <w:bCs/>
              </w:rPr>
              <w:t xml:space="preserve">rules define this as a net air quality benefit. </w:t>
            </w:r>
            <w:r w:rsidR="007122C2">
              <w:rPr>
                <w:rFonts w:ascii="Times New Roman" w:hAnsi="Times New Roman" w:cs="Times New Roman"/>
                <w:bCs/>
              </w:rPr>
              <w:t xml:space="preserve">The current </w:t>
            </w:r>
            <w:proofErr w:type="gramStart"/>
            <w:r w:rsidRPr="00E638D3">
              <w:rPr>
                <w:rFonts w:ascii="Times New Roman" w:hAnsi="Times New Roman" w:cs="Times New Roman"/>
                <w:bCs/>
              </w:rPr>
              <w:t>criteria is</w:t>
            </w:r>
            <w:proofErr w:type="gramEnd"/>
            <w:r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r w:rsidR="00A1795E">
              <w:rPr>
                <w:rFonts w:ascii="Times New Roman" w:hAnsi="Times New Roman" w:cs="Times New Roman"/>
                <w:bCs/>
              </w:rPr>
              <w:t xml:space="preserve">The proposed rules would </w:t>
            </w:r>
            <w:r w:rsidR="001E3F8A" w:rsidRPr="00E638D3">
              <w:rPr>
                <w:rFonts w:ascii="Times New Roman" w:hAnsi="Times New Roman" w:cs="Times New Roman"/>
                <w:bCs/>
              </w:rPr>
              <w:t>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0F38D9">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an </w:t>
            </w:r>
            <w:r w:rsidR="0094178E" w:rsidRPr="00E638D3">
              <w:rPr>
                <w:rFonts w:ascii="Times New Roman" w:hAnsi="Times New Roman" w:cs="Times New Roman"/>
                <w:bCs/>
              </w:rPr>
              <w:t xml:space="preserve">extension </w:t>
            </w:r>
            <w:r w:rsidR="00F80BB5">
              <w:rPr>
                <w:rFonts w:ascii="Times New Roman" w:hAnsi="Times New Roman" w:cs="Times New Roman"/>
                <w:bCs/>
              </w:rPr>
              <w:t>may</w:t>
            </w:r>
            <w:r w:rsidR="00F80BB5" w:rsidRPr="00E638D3">
              <w:rPr>
                <w:rFonts w:ascii="Times New Roman" w:hAnsi="Times New Roman" w:cs="Times New Roman"/>
                <w:bCs/>
              </w:rPr>
              <w:t xml:space="preserve"> </w:t>
            </w:r>
            <w:r w:rsidRPr="00E638D3">
              <w:rPr>
                <w:rFonts w:ascii="Times New Roman" w:hAnsi="Times New Roman" w:cs="Times New Roman"/>
                <w:bCs/>
              </w:rPr>
              <w:t>be granted</w:t>
            </w:r>
            <w:r w:rsidR="00F80BB5">
              <w:rPr>
                <w:rFonts w:ascii="Times New Roman" w:hAnsi="Times New Roman" w:cs="Times New Roman"/>
                <w:bCs/>
              </w:rPr>
              <w:t xml:space="preserve"> but there are no criteria in the rules</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94178E" w:rsidP="00296CD3">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he proposed rules would change the definition of a major source to match EPA’s definition that changes requirements for small and large businesses. The proposed program name for smaller businesses is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sidR="00296CD3" w:rsidRPr="00296CD3">
              <w:rPr>
                <w:rFonts w:ascii="Times New Roman" w:eastAsia="Times New Roman" w:hAnsi="Times New Roman" w:cs="Times New Roman"/>
                <w:bCs/>
              </w:rPr>
              <w:t xml:space="preserve">This </w:t>
            </w:r>
            <w:r w:rsidR="00296CD3">
              <w:rPr>
                <w:rFonts w:ascii="Times New Roman" w:eastAsia="Times New Roman" w:hAnsi="Times New Roman" w:cs="Times New Roman"/>
                <w:bCs/>
              </w:rPr>
              <w:t xml:space="preserve">proposal would provide the needed </w:t>
            </w:r>
            <w:r w:rsidR="00296CD3" w:rsidRPr="00296CD3">
              <w:rPr>
                <w:rFonts w:ascii="Times New Roman" w:eastAsia="Times New Roman" w:hAnsi="Times New Roman" w:cs="Times New Roman"/>
                <w:bCs/>
              </w:rPr>
              <w:t xml:space="preserve">flexibility </w:t>
            </w:r>
            <w:r w:rsidR="00296CD3">
              <w:rPr>
                <w:rFonts w:ascii="Times New Roman" w:eastAsia="Times New Roman" w:hAnsi="Times New Roman" w:cs="Times New Roman"/>
                <w:bCs/>
              </w:rPr>
              <w:t xml:space="preserve">for smaller businesses to implement the changes below, which </w:t>
            </w:r>
            <w:r w:rsidR="00296CD3" w:rsidRPr="00296CD3">
              <w:rPr>
                <w:rFonts w:ascii="Times New Roman" w:eastAsia="Times New Roman" w:hAnsi="Times New Roman" w:cs="Times New Roman"/>
                <w:bCs/>
              </w:rPr>
              <w:t>cannot be granted to larger businesses because of EPA requirements.</w:t>
            </w:r>
          </w:p>
          <w:p w:rsidR="00296CD3" w:rsidRDefault="00296CD3" w:rsidP="00304225">
            <w:pPr>
              <w:ind w:left="0" w:right="18"/>
              <w:rPr>
                <w:rFonts w:ascii="Times New Roman" w:eastAsia="Times New Roman" w:hAnsi="Times New Roman" w:cs="Times New Roman"/>
              </w:rPr>
            </w:pPr>
          </w:p>
          <w:p w:rsidR="00304225" w:rsidRPr="00E638D3" w:rsidRDefault="00296CD3" w:rsidP="00304225">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The incentive provides</w:t>
            </w:r>
            <w:ins w:id="3" w:author="jinahar" w:date="2013-09-04T14:00:00Z">
              <w:r>
                <w:rPr>
                  <w:rFonts w:ascii="Times New Roman" w:eastAsia="Times New Roman" w:hAnsi="Times New Roman" w:cs="Times New Roman"/>
                </w:rPr>
                <w:t xml:space="preserve"> </w:t>
              </w:r>
            </w:ins>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E638D3" w:rsidRDefault="00CB06CD" w:rsidP="006928FB">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 xml:space="preserve">he proposed rules would </w:t>
            </w:r>
            <w:r w:rsidR="0094178E" w:rsidRPr="00E638D3">
              <w:rPr>
                <w:rFonts w:ascii="Times New Roman" w:eastAsia="Times New Roman" w:hAnsi="Times New Roman" w:cs="Times New Roman"/>
              </w:rPr>
              <w:t>establish two new transitional areas</w:t>
            </w:r>
            <w:r w:rsidR="006928FB" w:rsidRPr="00E638D3">
              <w:rPr>
                <w:rFonts w:ascii="Times New Roman" w:eastAsia="Times New Roman" w:hAnsi="Times New Roman" w:cs="Times New Roman"/>
              </w:rPr>
              <w:t xml:space="preserve"> designated by the Environmental Quality Commission, not EPA</w:t>
            </w:r>
            <w:r w:rsidR="006928FB">
              <w:rPr>
                <w:rFonts w:ascii="Times New Roman" w:eastAsia="Times New Roman" w:hAnsi="Times New Roman" w:cs="Times New Roman"/>
              </w:rPr>
              <w:t xml:space="preserve">. </w:t>
            </w:r>
            <w:r w:rsidR="006928FB" w:rsidRPr="00E638D3">
              <w:rPr>
                <w:rFonts w:ascii="Times New Roman" w:eastAsia="Times New Roman" w:hAnsi="Times New Roman" w:cs="Times New Roman"/>
              </w:rPr>
              <w:t xml:space="preserve">This change, along with the change to the definition of major source, </w:t>
            </w:r>
            <w:r>
              <w:rPr>
                <w:rFonts w:ascii="Times New Roman" w:eastAsia="Times New Roman" w:hAnsi="Times New Roman" w:cs="Times New Roman"/>
              </w:rPr>
              <w:t>would</w:t>
            </w:r>
            <w:r w:rsidR="006928FB" w:rsidRPr="00E638D3">
              <w:rPr>
                <w:rFonts w:ascii="Times New Roman" w:eastAsia="Times New Roman" w:hAnsi="Times New Roman" w:cs="Times New Roman"/>
              </w:rPr>
              <w:t xml:space="preserve"> allow more flexibility in permitting smaller businesses</w:t>
            </w:r>
            <w:r w:rsidR="006928FB" w:rsidRPr="00E638D3">
              <w:rPr>
                <w:rFonts w:ascii="Times New Roman" w:eastAsia="Times New Roman" w:hAnsi="Times New Roman" w:cs="Times New Roman"/>
                <w:bCs/>
              </w:rPr>
              <w:t xml:space="preserve"> while still protecting air quality</w:t>
            </w:r>
            <w:r w:rsidR="006928FB">
              <w:rPr>
                <w:rFonts w:ascii="Times New Roman" w:eastAsia="Times New Roman" w:hAnsi="Times New Roman" w:cs="Times New Roman"/>
              </w:rPr>
              <w:t xml:space="preserve">. The two new </w:t>
            </w:r>
            <w:r>
              <w:rPr>
                <w:rFonts w:ascii="Times New Roman" w:eastAsia="Times New Roman" w:hAnsi="Times New Roman" w:cs="Times New Roman"/>
              </w:rPr>
              <w:t>t</w:t>
            </w:r>
            <w:r w:rsidR="006928FB">
              <w:rPr>
                <w:rFonts w:ascii="Times New Roman" w:eastAsia="Times New Roman" w:hAnsi="Times New Roman" w:cs="Times New Roman"/>
              </w:rPr>
              <w:t>ransitional areas would be:</w:t>
            </w:r>
          </w:p>
          <w:p w:rsidR="003539AD" w:rsidRDefault="00EC0C81">
            <w:pPr>
              <w:pStyle w:val="ListParagraph"/>
              <w:numPr>
                <w:ilvl w:val="0"/>
                <w:numId w:val="36"/>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areas from becoming nonattainment areas. </w:t>
            </w:r>
          </w:p>
          <w:p w:rsidR="003539AD" w:rsidRDefault="00EC0C81">
            <w:pPr>
              <w:pStyle w:val="ListParagraph"/>
              <w:numPr>
                <w:ilvl w:val="0"/>
                <w:numId w:val="35"/>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an area back to attainment before the EPA redesignation. </w:t>
            </w:r>
          </w:p>
          <w:p w:rsidR="006928FB" w:rsidRDefault="006928FB" w:rsidP="00A413FE">
            <w:pPr>
              <w:ind w:left="0" w:right="18"/>
              <w:rPr>
                <w:rFonts w:ascii="Times New Roman" w:eastAsia="Times New Roman" w:hAnsi="Times New Roman" w:cs="Times New Roman"/>
              </w:rPr>
            </w:pPr>
          </w:p>
          <w:p w:rsidR="00E84ED8" w:rsidRPr="00E638D3" w:rsidRDefault="00104859" w:rsidP="00E84ED8">
            <w:pPr>
              <w:ind w:left="0" w:right="18"/>
              <w:rPr>
                <w:rFonts w:ascii="Times New Roman" w:eastAsia="Times New Roman" w:hAnsi="Times New Roman" w:cs="Times New Roman"/>
              </w:rPr>
            </w:pPr>
            <w:r>
              <w:rPr>
                <w:rFonts w:ascii="Times New Roman" w:eastAsia="Times New Roman" w:hAnsi="Times New Roman" w:cs="Times New Roman"/>
              </w:rPr>
              <w:t xml:space="preserve">The proposed rules would change the </w:t>
            </w:r>
            <w:r w:rsidRPr="00E638D3">
              <w:rPr>
                <w:rFonts w:ascii="Times New Roman" w:eastAsia="Times New Roman" w:hAnsi="Times New Roman" w:cs="Times New Roman"/>
              </w:rPr>
              <w:t>Net Air Quality Benefit</w:t>
            </w:r>
            <w:r w:rsidR="00E84ED8">
              <w:rPr>
                <w:rFonts w:ascii="Times New Roman" w:eastAsia="Times New Roman" w:hAnsi="Times New Roman" w:cs="Times New Roman"/>
              </w:rPr>
              <w:t>,</w:t>
            </w:r>
            <w:r>
              <w:rPr>
                <w:rFonts w:ascii="Times New Roman" w:eastAsia="Times New Roman" w:hAnsi="Times New Roman" w:cs="Times New Roman"/>
              </w:rPr>
              <w:t xml:space="preserve"> </w:t>
            </w:r>
            <w:r w:rsidR="00E84ED8">
              <w:rPr>
                <w:rFonts w:ascii="Times New Roman" w:eastAsia="Times New Roman" w:hAnsi="Times New Roman" w:cs="Times New Roman"/>
              </w:rPr>
              <w:t>an</w:t>
            </w:r>
            <w:r w:rsidR="0094178E" w:rsidRPr="00E638D3">
              <w:rPr>
                <w:rFonts w:ascii="Times New Roman" w:eastAsia="Times New Roman" w:hAnsi="Times New Roman" w:cs="Times New Roman"/>
              </w:rPr>
              <w:t xml:space="preserve"> aspect of the New </w:t>
            </w:r>
            <w:r w:rsidR="0094178E" w:rsidRPr="00E638D3">
              <w:rPr>
                <w:rFonts w:ascii="Times New Roman" w:eastAsia="Times New Roman" w:hAnsi="Times New Roman" w:cs="Times New Roman"/>
              </w:rPr>
              <w:lastRenderedPageBreak/>
              <w:t>Source Review program</w:t>
            </w:r>
            <w:r w:rsidR="00E84ED8">
              <w:rPr>
                <w:rFonts w:ascii="Times New Roman" w:eastAsia="Times New Roman" w:hAnsi="Times New Roman" w:cs="Times New Roman"/>
              </w:rPr>
              <w:t>, to en</w:t>
            </w:r>
            <w:r w:rsidR="00E84ED8" w:rsidRPr="00E638D3">
              <w:rPr>
                <w:rFonts w:ascii="Times New Roman" w:eastAsia="Times New Roman" w:hAnsi="Times New Roman" w:cs="Times New Roman"/>
              </w:rPr>
              <w:t>sure air quality is protected</w:t>
            </w:r>
            <w:r w:rsidR="00BE2CB0">
              <w:rPr>
                <w:rFonts w:ascii="Times New Roman" w:eastAsia="Times New Roman" w:hAnsi="Times New Roman" w:cs="Times New Roman"/>
              </w:rPr>
              <w:t xml:space="preserve"> while fixing </w:t>
            </w:r>
            <w:r w:rsidR="00E84ED8">
              <w:rPr>
                <w:rFonts w:ascii="Times New Roman" w:eastAsia="Times New Roman" w:hAnsi="Times New Roman" w:cs="Times New Roman"/>
              </w:rPr>
              <w:t>flaws discovered with the current modeling criteria.</w:t>
            </w:r>
          </w:p>
          <w:p w:rsidR="00E84ED8" w:rsidRPr="00E638D3" w:rsidRDefault="00E84ED8" w:rsidP="00E84ED8">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2B1663" w:rsidRDefault="0094178E" w:rsidP="000F38D9">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BE2CB0">
              <w:rPr>
                <w:rFonts w:ascii="Times New Roman" w:eastAsia="Times New Roman" w:hAnsi="Times New Roman" w:cs="Times New Roman"/>
              </w:rPr>
              <w:t>proposes</w:t>
            </w:r>
            <w:r w:rsidRPr="00E638D3">
              <w:rPr>
                <w:rFonts w:ascii="Times New Roman" w:eastAsia="Times New Roman" w:hAnsi="Times New Roman" w:cs="Times New Roman"/>
              </w:rPr>
              <w:t xml:space="preserve"> rule</w:t>
            </w:r>
            <w:r w:rsidR="00727AA6">
              <w:rPr>
                <w:rFonts w:ascii="Times New Roman" w:eastAsia="Times New Roman" w:hAnsi="Times New Roman" w:cs="Times New Roman"/>
              </w:rPr>
              <w:t>s</w:t>
            </w:r>
            <w:r w:rsidR="00BE2CB0">
              <w:rPr>
                <w:rFonts w:ascii="Times New Roman" w:eastAsia="Times New Roman" w:hAnsi="Times New Roman" w:cs="Times New Roman"/>
              </w:rPr>
              <w:t xml:space="preserve"> </w:t>
            </w:r>
            <w:r w:rsidR="00727AA6">
              <w:rPr>
                <w:rFonts w:ascii="Times New Roman" w:eastAsia="Times New Roman" w:hAnsi="Times New Roman" w:cs="Times New Roman"/>
              </w:rPr>
              <w:t>to</w:t>
            </w:r>
            <w:r w:rsidRPr="00E638D3">
              <w:rPr>
                <w:rFonts w:ascii="Times New Roman" w:eastAsia="Times New Roman" w:hAnsi="Times New Roman" w:cs="Times New Roman"/>
              </w:rPr>
              <w:t xml:space="preserve"> 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Pr="00E638D3">
              <w:rPr>
                <w:rFonts w:ascii="Times New Roman" w:eastAsia="Times New Roman" w:hAnsi="Times New Roman" w:cs="Times New Roman"/>
              </w:rPr>
              <w:t xml:space="preserve">. Current rules </w:t>
            </w:r>
            <w:r w:rsidR="00727AA6">
              <w:rPr>
                <w:rFonts w:ascii="Times New Roman" w:eastAsia="Times New Roman" w:hAnsi="Times New Roman" w:cs="Times New Roman"/>
              </w:rPr>
              <w:t xml:space="preserve">provide </w:t>
            </w:r>
            <w:r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Pr="00E638D3">
              <w:rPr>
                <w:rFonts w:ascii="Times New Roman" w:eastAsia="Times New Roman" w:hAnsi="Times New Roman" w:cs="Times New Roman"/>
              </w:rPr>
              <w:t xml:space="preserve"> procedures for requesting extensions and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29662E">
            <w:pPr>
              <w:ind w:left="0" w:right="18"/>
              <w:rPr>
                <w:rFonts w:ascii="Times New Roman" w:eastAsia="Times New Roman" w:hAnsi="Times New Roman" w:cs="Times New Roman"/>
              </w:rPr>
            </w:pPr>
            <w:r w:rsidRPr="00AB65CF">
              <w:rPr>
                <w:rFonts w:ascii="Times New Roman" w:eastAsia="Times New Roman" w:hAnsi="Times New Roman" w:cs="Times New Roman"/>
              </w:rPr>
              <w:t xml:space="preserve">This proposal will make it easier and cheaper for people to participate in public hearings and meetings by removing the prescriptive language from the rules. DEQ is committed to public engagement and is looking </w:t>
            </w:r>
            <w:r w:rsidR="0029662E">
              <w:rPr>
                <w:rFonts w:ascii="Times New Roman" w:eastAsia="Times New Roman" w:hAnsi="Times New Roman" w:cs="Times New Roman"/>
              </w:rPr>
              <w:t>for</w:t>
            </w:r>
            <w:r w:rsidR="0029662E" w:rsidRPr="00AB65CF">
              <w:rPr>
                <w:rFonts w:ascii="Times New Roman" w:eastAsia="Times New Roman" w:hAnsi="Times New Roman" w:cs="Times New Roman"/>
              </w:rPr>
              <w:t xml:space="preserve"> </w:t>
            </w:r>
            <w:r w:rsidRPr="00AB65CF">
              <w:rPr>
                <w:rFonts w:ascii="Times New Roman" w:eastAsia="Times New Roman" w:hAnsi="Times New Roman" w:cs="Times New Roman"/>
              </w:rPr>
              <w:t>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8C0573">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With EPA’s rule changes, these devices are </w:t>
            </w:r>
            <w:r w:rsidRPr="004C1F0D">
              <w:rPr>
                <w:rFonts w:ascii="Times New Roman" w:eastAsia="Times New Roman" w:hAnsi="Times New Roman" w:cs="Times New Roman"/>
              </w:rPr>
              <w:lastRenderedPageBreak/>
              <w:t>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700ACF" w:rsidRPr="00700ACF" w:rsidRDefault="00700ACF" w:rsidP="00700ACF">
            <w:pPr>
              <w:ind w:left="0" w:right="18"/>
              <w:rPr>
                <w:rFonts w:ascii="Times New Roman" w:eastAsia="Times New Roman" w:hAnsi="Times New Roman" w:cs="Times New Roman"/>
                <w:bCs/>
              </w:rPr>
            </w:pPr>
            <w:r w:rsidRPr="00700ACF">
              <w:rPr>
                <w:rFonts w:ascii="Times New Roman" w:eastAsia="Times New Roman" w:hAnsi="Times New Roman" w:cs="Times New Roman"/>
                <w:bCs/>
              </w:rPr>
              <w:t xml:space="preserve">In 2007 the Oregon Legislature adopted a grant, loan and tax credit supported program to reduce environmental and public health risks from diesel engine pollution. Oregon’s original authorization for clean diesel grants, loans and tax credits is currently limited to exhaust </w:t>
            </w:r>
            <w:proofErr w:type="gramStart"/>
            <w:r w:rsidRPr="00700ACF">
              <w:rPr>
                <w:rFonts w:ascii="Times New Roman" w:eastAsia="Times New Roman" w:hAnsi="Times New Roman" w:cs="Times New Roman"/>
                <w:bCs/>
              </w:rPr>
              <w:t>retrofits,</w:t>
            </w:r>
            <w:proofErr w:type="gramEnd"/>
            <w:r w:rsidRPr="00700ACF">
              <w:rPr>
                <w:rFonts w:ascii="Times New Roman" w:eastAsia="Times New Roman" w:hAnsi="Times New Roman" w:cs="Times New Roman"/>
                <w:bCs/>
              </w:rPr>
              <w:t xml:space="preserve"> </w:t>
            </w:r>
            <w:proofErr w:type="spellStart"/>
            <w:r w:rsidRPr="00700ACF">
              <w:rPr>
                <w:rFonts w:ascii="Times New Roman" w:eastAsia="Times New Roman" w:hAnsi="Times New Roman" w:cs="Times New Roman"/>
                <w:bCs/>
              </w:rPr>
              <w:t>nonroad</w:t>
            </w:r>
            <w:proofErr w:type="spellEnd"/>
            <w:r w:rsidRPr="00700ACF">
              <w:rPr>
                <w:rFonts w:ascii="Times New Roman" w:eastAsia="Times New Roman" w:hAnsi="Times New Roman" w:cs="Times New Roman"/>
                <w:bCs/>
              </w:rPr>
              <w:t xml:space="preserve"> engine repowers and truck scrapping while federal program guidelines currently allow for ten other eligible activities including idle reduction, aerodynamic enhancements and vehicle replacement. </w:t>
            </w:r>
          </w:p>
          <w:p w:rsidR="00700ACF" w:rsidRPr="00700ACF" w:rsidRDefault="00700ACF" w:rsidP="00700ACF">
            <w:pPr>
              <w:ind w:left="0" w:right="18"/>
              <w:rPr>
                <w:rFonts w:ascii="Times New Roman" w:eastAsia="Times New Roman" w:hAnsi="Times New Roman" w:cs="Times New Roman"/>
                <w:bCs/>
              </w:rPr>
            </w:pPr>
          </w:p>
          <w:p w:rsidR="0094178E" w:rsidRPr="00700ACF" w:rsidRDefault="00700ACF" w:rsidP="002C5923">
            <w:pPr>
              <w:ind w:left="0" w:right="18"/>
              <w:rPr>
                <w:rFonts w:ascii="Times New Roman" w:eastAsia="Times New Roman" w:hAnsi="Times New Roman" w:cs="Times New Roman"/>
                <w:bCs/>
                <w:highlight w:val="yellow"/>
              </w:rPr>
            </w:pPr>
            <w:r w:rsidRPr="00700ACF">
              <w:rPr>
                <w:rFonts w:ascii="Times New Roman" w:eastAsia="Times New Roman" w:hAnsi="Times New Roman" w:cs="Times New Roman"/>
                <w:bCs/>
              </w:rPr>
              <w:t xml:space="preserve">State funds for clean diesel work have not been appropriated since the 2007-09 biennium and the tax credit program was shut down in 2012. Remaining funding incentives for clean diesel work is available primarily through the federal Diesel Emission Reduction Act. While the Act allows a broad range of eligible activities, DEQ is constrained in applying for and managing federal grants by the original statutory authority. This is hampering DEQ’s ability to be successful in recruiting projects and securing federal awards. As a consequence, despite widespread outreach, there was no interest by diesel owners to retrofit vehicles or equipment during the FY 2012 grant cycle and no federal grants were awarded in Oregon that year.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700ACF" w:rsidRDefault="00AA0297" w:rsidP="00700ACF">
            <w:pPr>
              <w:ind w:left="0" w:right="18"/>
              <w:rPr>
                <w:rFonts w:ascii="Times New Roman" w:eastAsia="Times New Roman" w:hAnsi="Times New Roman" w:cs="Times New Roman"/>
              </w:rPr>
            </w:pPr>
            <w:r w:rsidRPr="00AA0297">
              <w:rPr>
                <w:rFonts w:ascii="Times New Roman" w:eastAsia="Times New Roman" w:hAnsi="Times New Roman" w:cs="Times New Roman"/>
              </w:rPr>
              <w:t>DEQ determined that failure to amend the proposed rule would limit the scope of projects to reduce harmful emissions from diesel engines. Older diesel engines emit particulate matter and other pollutants that are harmful to human health and the environment. Federal clean diesel grants provide funding to improve the emission profile of diesel engines by decreasing the amount of such harmful emissions using a variety of effective methods including vehicle replacement and idle reduction technologies. Adopting the rule will allow DEQ to administer grants that meet federal funding criteria as authorized by Senate Bill 249 that will include a broader variety of methods than currently authorized under state rules. Limiting the scope of allowable activities will narrow the range of fundable projects in Oregon, which will undermine the Oregon Clean Diesel Initiative’s effort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727AA6">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r w:rsidR="00727AA6" w:rsidRPr="00E638D3" w:rsidTr="00727AA6">
        <w:trPr>
          <w:trHeight w:val="521"/>
        </w:trPr>
        <w:tc>
          <w:tcPr>
            <w:tcW w:w="2160" w:type="dxa"/>
            <w:tcBorders>
              <w:top w:val="dotted" w:sz="4" w:space="0" w:color="auto"/>
              <w:bottom w:val="double" w:sz="4" w:space="0" w:color="auto"/>
              <w:right w:val="dotted" w:sz="4" w:space="0" w:color="auto"/>
            </w:tcBorders>
            <w:shd w:val="clear" w:color="auto" w:fill="auto"/>
            <w:hideMark/>
          </w:tcPr>
          <w:p w:rsidR="00727AA6" w:rsidRPr="00E638D3" w:rsidRDefault="00727AA6" w:rsidP="00727AA6">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27AA6" w:rsidRPr="00E638D3" w:rsidRDefault="00727AA6" w:rsidP="00161CEB">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uble" w:sz="4" w:space="0" w:color="auto"/>
            </w:tcBorders>
            <w:shd w:val="clear" w:color="auto" w:fill="auto"/>
            <w:hideMark/>
          </w:tcPr>
          <w:p w:rsidR="00727AA6" w:rsidRPr="00E638D3" w:rsidRDefault="00727AA6" w:rsidP="00161CEB">
            <w:pPr>
              <w:ind w:left="0" w:right="18"/>
              <w:rPr>
                <w:rFonts w:ascii="Times New Roman" w:eastAsia="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all of the sections 1 through 9</w:t>
            </w:r>
            <w:r w:rsidRPr="00E638D3">
              <w:rPr>
                <w:rFonts w:ascii="Times New Roman" w:hAnsi="Times New Roman" w:cs="Times New Roman"/>
              </w:rPr>
              <w:t xml:space="preserve"> above, upon adoption by the EQC,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167D7C" w:rsidRPr="00E638D3" w:rsidDel="00727AA6" w:rsidRDefault="00167D7C" w:rsidP="00B34CF8">
      <w:pPr>
        <w:ind w:left="720" w:right="18"/>
        <w:rPr>
          <w:del w:id="4" w:author="mvandeh" w:date="2013-09-04T08:32:00Z"/>
        </w:rPr>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5"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5"/>
    <w:p w:rsidR="00CD6F9F" w:rsidRDefault="00CD6F9F" w:rsidP="00B34CF8">
      <w:pPr>
        <w:ind w:right="18"/>
        <w:outlineLvl w:val="0"/>
        <w:rPr>
          <w:rFonts w:eastAsia="Times New Roman"/>
          <w:bCs/>
          <w:sz w:val="28"/>
          <w:szCs w:val="28"/>
        </w:rPr>
        <w:sectPr w:rsidR="00CD6F9F" w:rsidSect="00B34CF8">
          <w:footerReference w:type="default" r:id="rId12"/>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0010, 0100,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xml:space="preserve">, </w:t>
      </w:r>
      <w:r w:rsidR="00BE0849">
        <w:rPr>
          <w:rFonts w:ascii="Times New Roman" w:eastAsia="Times New Roman" w:hAnsi="Times New Roman" w:cs="Times New Roman"/>
          <w:bCs/>
        </w:rPr>
        <w:lastRenderedPageBreak/>
        <w:t>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340-259-0010,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Renumber</w:t>
      </w:r>
      <w:r w:rsidR="00360B6F" w:rsidRPr="00FC471D">
        <w:rPr>
          <w:rFonts w:ascii="Times New Roman" w:eastAsia="Times New Roman" w:hAnsi="Times New Roman" w:cs="Times New Roman"/>
          <w:bCs/>
        </w:rPr>
        <w:t xml:space="preserve"> </w:t>
      </w:r>
      <w:r w:rsidR="00360B6F"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Pr="00D257F6">
        <w:rPr>
          <w:rFonts w:ascii="Times New Roman" w:eastAsia="Times New Roman" w:hAnsi="Times New Roman" w:cs="Times New Roman"/>
          <w:bCs/>
        </w:rPr>
        <w:t>0070</w:t>
      </w:r>
      <w:r w:rsidR="00360B6F">
        <w:rPr>
          <w:rFonts w:ascii="Times New Roman" w:eastAsia="Times New Roman" w:hAnsi="Times New Roman" w:cs="Times New Roman"/>
          <w:bCs/>
        </w:rPr>
        <w:t>, 340-</w:t>
      </w:r>
      <w:r w:rsidRPr="00D257F6">
        <w:rPr>
          <w:rFonts w:ascii="Times New Roman" w:eastAsia="Times New Roman" w:hAnsi="Times New Roman" w:cs="Times New Roman"/>
          <w:bCs/>
        </w:rPr>
        <w:t>224</w:t>
      </w:r>
      <w:r w:rsidR="00360B6F">
        <w:rPr>
          <w:rFonts w:ascii="Times New Roman" w:eastAsia="Times New Roman" w:hAnsi="Times New Roman" w:cs="Times New Roman"/>
          <w:bCs/>
        </w:rPr>
        <w:t>-</w:t>
      </w:r>
      <w:r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00A84D7F">
        <w:rPr>
          <w:rFonts w:ascii="Times New Roman" w:eastAsia="Times New Roman" w:hAnsi="Times New Roman" w:cs="Times New Roman"/>
          <w:bCs/>
        </w:rPr>
        <w:t>, 340-224-</w:t>
      </w:r>
      <w:r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FC471D">
        <w:rPr>
          <w:rFonts w:ascii="Times New Roman" w:eastAsia="Times New Roman" w:hAnsi="Times New Roman" w:cs="Times New Roman"/>
          <w:bCs/>
          <w:u w:val="single"/>
        </w:rPr>
        <w:t xml:space="preserve"> </w:t>
      </w:r>
      <w:r w:rsidR="00FC471D" w:rsidRPr="00FC471D">
        <w:rPr>
          <w:rFonts w:ascii="Times New Roman" w:eastAsia="Times New Roman" w:hAnsi="Times New Roman" w:cs="Times New Roman"/>
          <w:bCs/>
        </w:rPr>
        <w:t xml:space="preserve"> </w:t>
      </w:r>
      <w:r w:rsidR="00FC471D">
        <w:rPr>
          <w:rFonts w:ascii="Times New Roman" w:eastAsia="Times New Roman" w:hAnsi="Times New Roman" w:cs="Times New Roman"/>
          <w:bCs/>
        </w:rPr>
        <w:tab/>
        <w:t>OAR 340-</w:t>
      </w:r>
      <w:r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FC471D"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FC471D">
        <w:rPr>
          <w:rFonts w:ascii="Times New Roman" w:eastAsia="Times New Roman" w:hAnsi="Times New Roman" w:cs="Times New Roman"/>
          <w:bCs/>
        </w:rPr>
        <w:t>OAR 340-</w:t>
      </w:r>
      <w:r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Pr="00D257F6">
        <w:rPr>
          <w:rFonts w:ascii="Times New Roman" w:eastAsia="Times New Roman" w:hAnsi="Times New Roman" w:cs="Times New Roman"/>
          <w:bCs/>
        </w:rPr>
        <w:t>0600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0430</w:t>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201,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 implemented</w:t>
      </w:r>
      <w:r w:rsidRPr="00D257F6">
        <w:rPr>
          <w:rFonts w:ascii="Times New Roman" w:eastAsia="Times New Roman" w:hAnsi="Times New Roman" w:cs="Times New Roman"/>
          <w:bCs/>
        </w:rPr>
        <w:tab/>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Pr>
          <w:rFonts w:ascii="Times New Roman" w:eastAsia="Times New Roman" w:hAnsi="Times New Roman" w:cs="Times New Roman"/>
          <w:bCs/>
        </w:rPr>
        <w:t xml:space="preserve">468, 468A, </w:t>
      </w:r>
      <w:r w:rsidRPr="00D257F6">
        <w:rPr>
          <w:rFonts w:ascii="Times New Roman" w:eastAsia="Times New Roman" w:hAnsi="Times New Roman" w:cs="Times New Roman"/>
          <w:bCs/>
        </w:rPr>
        <w:t>468.020, 468A.025, 468A.035, 468A.040, 468A.050, 468A.055</w:t>
      </w:r>
      <w:r>
        <w:rPr>
          <w:rFonts w:ascii="Times New Roman" w:eastAsia="Times New Roman" w:hAnsi="Times New Roman" w:cs="Times New Roman"/>
          <w:bCs/>
        </w:rPr>
        <w:t xml:space="preserve">, </w:t>
      </w:r>
      <w:r w:rsidRPr="00D257F6">
        <w:rPr>
          <w:rFonts w:ascii="Times New Roman" w:eastAsia="Times New Roman" w:hAnsi="Times New Roman" w:cs="Times New Roman"/>
          <w:bCs/>
        </w:rPr>
        <w:t>468A.070</w:t>
      </w:r>
      <w:r>
        <w:rPr>
          <w:rFonts w:ascii="Times New Roman" w:eastAsia="Times New Roman" w:hAnsi="Times New Roman" w:cs="Times New Roman"/>
          <w:bCs/>
        </w:rPr>
        <w:t xml:space="preserve">, </w:t>
      </w:r>
      <w:r w:rsidRPr="00D257F6">
        <w:rPr>
          <w:rFonts w:ascii="Times New Roman" w:eastAsia="Times New Roman" w:hAnsi="Times New Roman" w:cs="Times New Roman"/>
          <w:bCs/>
        </w:rPr>
        <w:t xml:space="preserve">468A.310, </w:t>
      </w:r>
      <w:r w:rsidR="00844A6C">
        <w:rPr>
          <w:rFonts w:ascii="Times New Roman" w:eastAsia="Times New Roman" w:hAnsi="Times New Roman" w:cs="Times New Roman"/>
          <w:bCs/>
        </w:rPr>
        <w:t>468A.460</w:t>
      </w:r>
      <w:r w:rsidR="00E5756F">
        <w:rPr>
          <w:rFonts w:ascii="Times New Roman" w:eastAsia="Times New Roman" w:hAnsi="Times New Roman" w:cs="Times New Roman"/>
          <w:bCs/>
        </w:rPr>
        <w:t xml:space="preserve">, 468A.480, </w:t>
      </w:r>
      <w:r w:rsidR="00844A6C" w:rsidRPr="00E5756F">
        <w:rPr>
          <w:rFonts w:ascii="Times New Roman" w:eastAsia="Times New Roman" w:hAnsi="Times New Roman" w:cs="Times New Roman"/>
          <w:bCs/>
          <w:highlight w:val="yellow"/>
        </w:rPr>
        <w:t>-</w:t>
      </w:r>
      <w:r w:rsidR="00844A6C">
        <w:rPr>
          <w:rFonts w:ascii="Times New Roman" w:eastAsia="Times New Roman" w:hAnsi="Times New Roman" w:cs="Times New Roman"/>
          <w:bCs/>
        </w:rPr>
        <w:t>468A.515</w:t>
      </w:r>
      <w:r w:rsidR="00C71500">
        <w:rPr>
          <w:rFonts w:ascii="Times New Roman" w:eastAsia="Times New Roman" w:hAnsi="Times New Roman" w:cs="Times New Roman"/>
          <w:bCs/>
        </w:rPr>
        <w:t xml:space="preserve">, </w:t>
      </w:r>
      <w:r w:rsidR="003539AD" w:rsidRPr="003539AD">
        <w:rPr>
          <w:rFonts w:ascii="Times New Roman" w:eastAsia="Times New Roman" w:hAnsi="Times New Roman" w:cs="Times New Roman"/>
          <w:bCs/>
          <w:highlight w:val="yellow"/>
        </w:rPr>
        <w:t>468A.803</w:t>
      </w:r>
      <w:r w:rsidR="00C71500">
        <w:rPr>
          <w:rFonts w:ascii="Times New Roman" w:eastAsia="Times New Roman" w:hAnsi="Times New Roman" w:cs="Times New Roman"/>
          <w:bCs/>
        </w:rPr>
        <w:t>,</w:t>
      </w:r>
      <w:r w:rsidR="00844A6C">
        <w:rPr>
          <w:rFonts w:ascii="Times New Roman" w:eastAsia="Times New Roman" w:hAnsi="Times New Roman" w:cs="Times New Roman"/>
          <w:bCs/>
        </w:rPr>
        <w:t xml:space="preserve"> </w:t>
      </w:r>
      <w:r w:rsidR="00844A6C" w:rsidRPr="00D257F6">
        <w:rPr>
          <w:rFonts w:ascii="Times New Roman" w:eastAsia="Times New Roman" w:hAnsi="Times New Roman" w:cs="Times New Roman"/>
          <w:bCs/>
        </w:rPr>
        <w:t>OL 2007, Ch. 855 (HB 2172 (2007)</w:t>
      </w:r>
      <w:r w:rsidR="00844A6C">
        <w:rPr>
          <w:rFonts w:ascii="Times New Roman" w:eastAsia="Times New Roman" w:hAnsi="Times New Roman" w:cs="Times New Roman"/>
          <w:bCs/>
        </w:rPr>
        <w:t>)</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C71500" w:rsidRDefault="003539AD" w:rsidP="00844A6C">
      <w:pPr>
        <w:ind w:right="18"/>
        <w:rPr>
          <w:rFonts w:asciiTheme="minorHAnsi" w:eastAsia="Times New Roman" w:hAnsiTheme="minorHAnsi" w:cstheme="minorHAnsi"/>
          <w:bCs/>
          <w:color w:val="70481C" w:themeColor="accent6" w:themeShade="80"/>
          <w:sz w:val="22"/>
          <w:szCs w:val="22"/>
        </w:rPr>
      </w:pP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color w:val="70481C" w:themeColor="accent6" w:themeShade="80"/>
          <w:sz w:val="22"/>
          <w:szCs w:val="22"/>
        </w:rPr>
        <w:t>Legislation</w:t>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t>Year</w:t>
      </w:r>
    </w:p>
    <w:p w:rsidR="003539AD" w:rsidRPr="003539AD" w:rsidRDefault="003539AD" w:rsidP="003539AD">
      <w:pPr>
        <w:autoSpaceDE w:val="0"/>
        <w:autoSpaceDN w:val="0"/>
        <w:adjustRightInd w:val="0"/>
        <w:ind w:left="990"/>
        <w:rPr>
          <w:rFonts w:asciiTheme="minorHAnsi" w:eastAsia="Times New Roman" w:hAnsiTheme="minorHAnsi" w:cstheme="minorHAnsi"/>
          <w:bCs/>
        </w:rPr>
      </w:pPr>
      <w:r w:rsidRPr="00E5756F">
        <w:rPr>
          <w:rFonts w:asciiTheme="minorHAnsi" w:hAnsiTheme="minorHAnsi" w:cstheme="minorHAnsi"/>
        </w:rPr>
        <w:t xml:space="preserve">Clean Diesel Engine </w:t>
      </w:r>
      <w:r w:rsidRPr="00E5756F">
        <w:rPr>
          <w:rFonts w:asciiTheme="minorHAnsi" w:hAnsiTheme="minorHAnsi" w:cstheme="minorHAnsi"/>
        </w:rPr>
        <w:tab/>
      </w:r>
      <w:r w:rsidRPr="00E5756F">
        <w:rPr>
          <w:rFonts w:asciiTheme="minorHAnsi" w:hAnsiTheme="minorHAnsi" w:cstheme="minorHAnsi"/>
        </w:rPr>
        <w:tab/>
      </w:r>
      <w:r w:rsidRPr="00E5756F">
        <w:rPr>
          <w:rFonts w:asciiTheme="minorHAnsi" w:eastAsia="Times New Roman" w:hAnsiTheme="minorHAnsi" w:cstheme="minorHAnsi"/>
          <w:bCs/>
        </w:rPr>
        <w:t xml:space="preserve">ORS </w:t>
      </w:r>
      <w:r w:rsidRPr="00E5756F">
        <w:rPr>
          <w:rFonts w:asciiTheme="minorHAnsi" w:eastAsia="Times New Roman" w:hAnsiTheme="minorHAnsi" w:cstheme="minorHAnsi"/>
          <w:bCs/>
        </w:rPr>
        <w:tab/>
        <w:t>468A.803 (1)</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SB 249</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2013</w:t>
      </w:r>
    </w:p>
    <w:p w:rsidR="00844A6C" w:rsidRPr="00C71500" w:rsidRDefault="00C71500" w:rsidP="0070746D">
      <w:pPr>
        <w:ind w:left="720" w:right="18"/>
        <w:rPr>
          <w:rFonts w:ascii="Times New Roman" w:eastAsia="Times New Roman" w:hAnsi="Times New Roman" w:cs="Times New Roman"/>
          <w:bCs/>
          <w:sz w:val="22"/>
          <w:szCs w:val="22"/>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hyperlink r:id="rId13" w:history="1">
        <w:r w:rsidR="003539AD" w:rsidRPr="003539AD">
          <w:rPr>
            <w:rStyle w:val="Hyperlink"/>
            <w:rFonts w:ascii="Times New Roman" w:eastAsia="Times New Roman" w:hAnsi="Times New Roman" w:cs="Times New Roman"/>
            <w:bCs/>
            <w:sz w:val="22"/>
            <w:szCs w:val="22"/>
          </w:rPr>
          <w:t>http://www.leg.state.or.us/13reg/measpdf/sb0200.dir/sb0249.en.pdf</w:t>
        </w:r>
      </w:hyperlink>
    </w:p>
    <w:p w:rsidR="00844A6C" w:rsidRPr="00D257F6" w:rsidRDefault="00844A6C" w:rsidP="0070746D">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p w:rsidR="00844A6C" w:rsidRDefault="00844A6C" w:rsidP="00D257F6">
      <w:pPr>
        <w:ind w:left="720" w:right="18"/>
        <w:rPr>
          <w:rFonts w:ascii="Times New Roman" w:eastAsia="Times New Roman" w:hAnsi="Times New Roman" w:cs="Times New Roman"/>
          <w:bCs/>
        </w:rPr>
      </w:pPr>
    </w:p>
    <w:tbl>
      <w:tblPr>
        <w:tblStyle w:val="TableGrid"/>
        <w:tblW w:w="1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124"/>
        <w:gridCol w:w="90"/>
        <w:gridCol w:w="56"/>
        <w:gridCol w:w="4357"/>
        <w:gridCol w:w="270"/>
        <w:gridCol w:w="717"/>
        <w:gridCol w:w="630"/>
      </w:tblGrid>
      <w:tr w:rsidR="0070746D" w:rsidRPr="00D257F6" w:rsidTr="0070746D">
        <w:trPr>
          <w:gridAfter w:val="3"/>
          <w:wAfter w:w="1617" w:type="dxa"/>
        </w:trPr>
        <w:tc>
          <w:tcPr>
            <w:tcW w:w="5384" w:type="dxa"/>
            <w:shd w:val="clear" w:color="auto" w:fill="auto"/>
          </w:tcPr>
          <w:p w:rsidR="0070746D" w:rsidRPr="00C71500" w:rsidRDefault="0070746D" w:rsidP="0070746D">
            <w:pPr>
              <w:keepNext/>
              <w:keepLines/>
              <w:spacing w:before="480" w:line="276" w:lineRule="auto"/>
              <w:ind w:left="720" w:right="18"/>
              <w:outlineLvl w:val="0"/>
              <w:rPr>
                <w:rFonts w:ascii="Times New Roman" w:eastAsia="Times New Roman" w:hAnsi="Times New Roman" w:cs="Times New Roman"/>
                <w:bCs/>
                <w:sz w:val="24"/>
                <w:szCs w:val="24"/>
              </w:rPr>
            </w:pPr>
            <w:r w:rsidRPr="00C71500">
              <w:rPr>
                <w:rFonts w:ascii="Times New Roman" w:eastAsia="Times New Roman" w:hAnsi="Times New Roman" w:cs="Times New Roman"/>
                <w:bCs/>
                <w:sz w:val="24"/>
                <w:szCs w:val="24"/>
              </w:rPr>
              <w:tab/>
            </w:r>
            <w:r w:rsidR="003539AD" w:rsidRPr="003539AD">
              <w:rPr>
                <w:rFonts w:ascii="Times New Roman" w:eastAsia="Times New Roman" w:hAnsi="Times New Roman" w:cs="Times New Roman"/>
                <w:bCs/>
              </w:rPr>
              <w:t>Document title</w:t>
            </w:r>
          </w:p>
        </w:tc>
        <w:tc>
          <w:tcPr>
            <w:tcW w:w="4627" w:type="dxa"/>
            <w:gridSpan w:val="4"/>
            <w:shd w:val="clear" w:color="auto" w:fill="auto"/>
          </w:tcPr>
          <w:p w:rsidR="0070746D" w:rsidRPr="00C71500" w:rsidRDefault="003539AD" w:rsidP="0070746D">
            <w:pPr>
              <w:keepNext/>
              <w:keepLines/>
              <w:spacing w:before="480" w:line="276" w:lineRule="auto"/>
              <w:ind w:left="720" w:right="18"/>
              <w:outlineLvl w:val="0"/>
              <w:rPr>
                <w:rFonts w:ascii="Times New Roman" w:eastAsia="Times New Roman" w:hAnsi="Times New Roman" w:cs="Times New Roman"/>
                <w:bCs/>
                <w:sz w:val="24"/>
                <w:szCs w:val="24"/>
              </w:rPr>
            </w:pPr>
            <w:r w:rsidRPr="003539AD">
              <w:rPr>
                <w:rFonts w:ascii="Times New Roman" w:eastAsia="Times New Roman" w:hAnsi="Times New Roman" w:cs="Times New Roman"/>
                <w:bCs/>
              </w:rPr>
              <w:t>Document location</w:t>
            </w:r>
          </w:p>
        </w:tc>
      </w:tr>
      <w:tr w:rsidR="0070746D" w:rsidRPr="0070746D" w:rsidTr="0070746D">
        <w:trPr>
          <w:gridAfter w:val="2"/>
          <w:wAfter w:w="1347" w:type="dxa"/>
        </w:trPr>
        <w:tc>
          <w:tcPr>
            <w:tcW w:w="5654" w:type="dxa"/>
            <w:gridSpan w:val="4"/>
          </w:tcPr>
          <w:p w:rsidR="0070746D" w:rsidRPr="0070746D" w:rsidRDefault="003539AD" w:rsidP="0070746D">
            <w:pPr>
              <w:ind w:left="720" w:right="18"/>
              <w:rPr>
                <w:rFonts w:asciiTheme="minorHAnsi" w:eastAsia="Times New Roman" w:hAnsiTheme="minorHAnsi" w:cstheme="minorHAnsi"/>
                <w:bCs/>
              </w:rPr>
            </w:pPr>
            <w:r w:rsidRPr="003539AD">
              <w:rPr>
                <w:rFonts w:asciiTheme="minorHAnsi" w:eastAsia="Times New Roman" w:hAnsiTheme="minorHAnsi" w:cstheme="minorHAnsi"/>
                <w:bCs/>
              </w:rPr>
              <w:t xml:space="preserve">06/06/90 EPA guidance titled “Performance Test Calculation” </w:t>
            </w:r>
          </w:p>
        </w:tc>
        <w:tc>
          <w:tcPr>
            <w:tcW w:w="4627" w:type="dxa"/>
            <w:gridSpan w:val="2"/>
          </w:tcPr>
          <w:p w:rsidR="003539AD" w:rsidRPr="003539AD" w:rsidRDefault="00503B62" w:rsidP="003539AD">
            <w:pPr>
              <w:ind w:left="-74" w:right="18"/>
              <w:rPr>
                <w:rFonts w:asciiTheme="minorHAnsi" w:eastAsia="Times New Roman" w:hAnsiTheme="minorHAnsi" w:cstheme="minorHAnsi"/>
                <w:bCs/>
              </w:rPr>
            </w:pPr>
            <w:hyperlink r:id="rId15" w:history="1">
              <w:r w:rsidR="003539AD" w:rsidRPr="003539AD">
                <w:rPr>
                  <w:rStyle w:val="Hyperlink"/>
                  <w:rFonts w:asciiTheme="minorHAnsi" w:eastAsia="Times New Roman" w:hAnsiTheme="minorHAnsi" w:cstheme="minorHAnsi"/>
                  <w:bCs/>
                </w:rPr>
                <w:t>http://www.epa.gov/ttn/emc/rounding.pdf</w:t>
              </w:r>
            </w:hyperlink>
          </w:p>
        </w:tc>
      </w:tr>
      <w:tr w:rsidR="0070746D" w:rsidRPr="00D257F6" w:rsidTr="0070746D">
        <w:trPr>
          <w:gridAfter w:val="1"/>
          <w:wAfter w:w="630" w:type="dxa"/>
        </w:trPr>
        <w:tc>
          <w:tcPr>
            <w:tcW w:w="5598" w:type="dxa"/>
            <w:gridSpan w:val="3"/>
          </w:tcPr>
          <w:p w:rsidR="0070746D" w:rsidRPr="0070746D" w:rsidRDefault="0070746D" w:rsidP="0070746D">
            <w:pPr>
              <w:ind w:left="720" w:right="18"/>
              <w:rPr>
                <w:rFonts w:asciiTheme="minorHAnsi" w:eastAsia="Times New Roman" w:hAnsiTheme="minorHAnsi" w:cstheme="minorHAnsi"/>
                <w:bCs/>
              </w:rPr>
            </w:pPr>
          </w:p>
          <w:p w:rsidR="0070746D" w:rsidRPr="0070746D" w:rsidRDefault="003539AD" w:rsidP="0070746D">
            <w:pPr>
              <w:ind w:left="720" w:right="18"/>
              <w:rPr>
                <w:rFonts w:asciiTheme="minorHAnsi" w:eastAsia="Times New Roman" w:hAnsiTheme="minorHAnsi" w:cstheme="minorHAnsi"/>
                <w:bCs/>
              </w:rPr>
            </w:pPr>
            <w:r w:rsidRPr="003539AD">
              <w:rPr>
                <w:rFonts w:asciiTheme="minorHAnsi" w:eastAsia="Times New Roman" w:hAnsiTheme="minorHAnsi" w:cstheme="minorHAnsi"/>
                <w:bCs/>
              </w:rPr>
              <w:t xml:space="preserve">Regulations Pertaining to NPDES and WPCF Permits </w:t>
            </w:r>
            <w:r w:rsidRPr="00CD03A6">
              <w:rPr>
                <w:rFonts w:asciiTheme="minorHAnsi" w:eastAsia="Times New Roman" w:hAnsiTheme="minorHAnsi" w:cstheme="minorHAnsi"/>
                <w:bCs/>
              </w:rPr>
              <w:t>(OAR 340-45)</w:t>
            </w:r>
          </w:p>
        </w:tc>
        <w:tc>
          <w:tcPr>
            <w:tcW w:w="5400" w:type="dxa"/>
            <w:gridSpan w:val="4"/>
          </w:tcPr>
          <w:p w:rsidR="003539AD" w:rsidRPr="003539AD" w:rsidRDefault="00503B62" w:rsidP="003539AD">
            <w:pPr>
              <w:ind w:left="0" w:right="18"/>
              <w:rPr>
                <w:rFonts w:asciiTheme="minorHAnsi" w:eastAsia="Times New Roman" w:hAnsiTheme="minorHAnsi" w:cstheme="minorHAnsi"/>
                <w:bCs/>
                <w:sz w:val="20"/>
                <w:szCs w:val="20"/>
              </w:rPr>
            </w:pPr>
            <w:hyperlink r:id="rId16" w:history="1">
              <w:r w:rsidR="003539AD" w:rsidRPr="003539AD">
                <w:rPr>
                  <w:rStyle w:val="Hyperlink"/>
                  <w:rFonts w:asciiTheme="minorHAnsi" w:hAnsiTheme="minorHAnsi" w:cstheme="minorHAnsi"/>
                  <w:sz w:val="20"/>
                  <w:szCs w:val="20"/>
                </w:rPr>
                <w:t>http://arcweb.sos.state.or.us/pages/rules/oars_300/oar_340/340_045.html</w:t>
              </w:r>
            </w:hyperlink>
          </w:p>
          <w:p w:rsidR="003539AD" w:rsidRPr="003539AD" w:rsidRDefault="003539AD" w:rsidP="003539AD">
            <w:pPr>
              <w:ind w:left="-108" w:right="18"/>
              <w:rPr>
                <w:rFonts w:asciiTheme="minorHAnsi" w:eastAsia="Times New Roman" w:hAnsiTheme="minorHAnsi" w:cstheme="minorHAnsi"/>
                <w:bCs/>
              </w:rPr>
            </w:pPr>
          </w:p>
        </w:tc>
      </w:tr>
      <w:tr w:rsidR="0070746D" w:rsidRPr="00D257F6" w:rsidTr="0070746D">
        <w:tc>
          <w:tcPr>
            <w:tcW w:w="5508" w:type="dxa"/>
            <w:gridSpan w:val="2"/>
          </w:tcPr>
          <w:p w:rsidR="0070746D" w:rsidRPr="0070746D" w:rsidRDefault="0070746D" w:rsidP="0070746D">
            <w:pPr>
              <w:ind w:left="720" w:right="18"/>
              <w:rPr>
                <w:rFonts w:asciiTheme="minorHAnsi" w:eastAsia="Times New Roman" w:hAnsiTheme="minorHAnsi" w:cstheme="minorHAnsi"/>
                <w:bCs/>
              </w:rPr>
            </w:pPr>
          </w:p>
          <w:p w:rsidR="0070746D" w:rsidRPr="0070746D" w:rsidRDefault="003539AD" w:rsidP="0070746D">
            <w:pPr>
              <w:ind w:left="720" w:right="18"/>
              <w:rPr>
                <w:rFonts w:asciiTheme="minorHAnsi" w:eastAsia="Times New Roman" w:hAnsiTheme="minorHAnsi" w:cstheme="minorHAnsi"/>
                <w:bCs/>
              </w:rPr>
            </w:pPr>
            <w:r w:rsidRPr="003539AD">
              <w:rPr>
                <w:rFonts w:asciiTheme="minorHAnsi" w:eastAsia="Times New Roman" w:hAnsiTheme="minorHAnsi" w:cstheme="minorHAnsi"/>
                <w:bCs/>
              </w:rPr>
              <w:t>National Emission Standards for Hazardous Air Pollutants for Area Sources: Industrial, Commercial, and Institutional Boilers; Final Rule</w:t>
            </w:r>
          </w:p>
        </w:tc>
        <w:tc>
          <w:tcPr>
            <w:tcW w:w="6120" w:type="dxa"/>
            <w:gridSpan w:val="6"/>
          </w:tcPr>
          <w:p w:rsidR="003539AD" w:rsidRDefault="003539AD" w:rsidP="003539AD">
            <w:pPr>
              <w:ind w:left="0" w:right="18"/>
              <w:rPr>
                <w:rFonts w:asciiTheme="minorHAnsi" w:eastAsia="Times New Roman" w:hAnsiTheme="minorHAnsi" w:cstheme="minorHAnsi"/>
                <w:bCs/>
                <w:sz w:val="24"/>
                <w:szCs w:val="24"/>
              </w:rPr>
            </w:pPr>
          </w:p>
          <w:p w:rsidR="003539AD" w:rsidRDefault="00503B62" w:rsidP="003539AD">
            <w:pPr>
              <w:ind w:left="72" w:right="18"/>
              <w:rPr>
                <w:rFonts w:asciiTheme="minorHAnsi" w:eastAsia="Times New Roman" w:hAnsiTheme="minorHAnsi" w:cstheme="minorHAnsi"/>
                <w:bCs/>
                <w:sz w:val="20"/>
                <w:szCs w:val="20"/>
              </w:rPr>
            </w:pPr>
            <w:hyperlink r:id="rId17" w:history="1">
              <w:r w:rsidR="003539AD" w:rsidRPr="003539AD">
                <w:rPr>
                  <w:rStyle w:val="Hyperlink"/>
                  <w:rFonts w:asciiTheme="minorHAnsi" w:hAnsiTheme="minorHAnsi" w:cstheme="minorHAnsi"/>
                  <w:sz w:val="20"/>
                  <w:szCs w:val="20"/>
                </w:rPr>
                <w:t>http://www.gpo.gov/fdsys/pkg/FR-2013-02-01/pdf/2012-31645.pdf</w:t>
              </w:r>
            </w:hyperlink>
            <w:r w:rsidR="003539AD" w:rsidRPr="003539AD">
              <w:rPr>
                <w:rFonts w:asciiTheme="minorHAnsi" w:eastAsia="Times New Roman" w:hAnsiTheme="minorHAnsi" w:cstheme="minorHAnsi"/>
                <w:bCs/>
                <w:sz w:val="20"/>
                <w:szCs w:val="20"/>
              </w:rPr>
              <w:t>.</w:t>
            </w:r>
          </w:p>
          <w:p w:rsidR="003539AD" w:rsidRPr="003539AD" w:rsidRDefault="003539AD" w:rsidP="003539AD">
            <w:pPr>
              <w:ind w:left="72" w:right="18"/>
              <w:rPr>
                <w:rFonts w:asciiTheme="minorHAnsi" w:eastAsia="Times New Roman" w:hAnsiTheme="minorHAnsi" w:cstheme="minorHAnsi"/>
                <w:bCs/>
                <w:sz w:val="20"/>
                <w:szCs w:val="20"/>
              </w:rPr>
            </w:pPr>
          </w:p>
        </w:tc>
      </w:tr>
    </w:tbl>
    <w:p w:rsidR="0070746D" w:rsidRDefault="0070746D" w:rsidP="0070746D">
      <w:pPr>
        <w:ind w:left="720" w:right="18"/>
        <w:rPr>
          <w:rFonts w:ascii="Times New Roman" w:eastAsia="Times New Roman" w:hAnsi="Times New Roman" w:cs="Times New Roman"/>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844A6C" w:rsidRPr="00D257F6" w:rsidTr="00844A6C">
        <w:tc>
          <w:tcPr>
            <w:tcW w:w="5598" w:type="dxa"/>
          </w:tcPr>
          <w:p w:rsidR="00844A6C" w:rsidRPr="00D257F6" w:rsidRDefault="003539AD" w:rsidP="00844A6C">
            <w:pPr>
              <w:ind w:left="720" w:right="18"/>
              <w:rPr>
                <w:rFonts w:ascii="Times New Roman" w:eastAsia="Times New Roman" w:hAnsi="Times New Roman" w:cs="Times New Roman"/>
                <w:bCs/>
                <w:sz w:val="24"/>
                <w:szCs w:val="24"/>
              </w:rPr>
            </w:pPr>
            <w:r w:rsidRPr="003539AD">
              <w:rPr>
                <w:rFonts w:asciiTheme="minorHAnsi" w:eastAsia="Times New Roman" w:hAnsiTheme="minorHAnsi" w:cstheme="minorHAnsi"/>
                <w:bCs/>
              </w:rPr>
              <w:t>S</w:t>
            </w:r>
            <w:r w:rsidR="00844A6C">
              <w:rPr>
                <w:rFonts w:asciiTheme="minorHAnsi" w:eastAsia="Times New Roman" w:hAnsiTheme="minorHAnsi" w:cstheme="minorHAnsi"/>
                <w:bCs/>
              </w:rPr>
              <w:t xml:space="preserve">tationary Source Reporting Requirements </w:t>
            </w:r>
            <w:r w:rsidRPr="003539AD">
              <w:rPr>
                <w:rFonts w:asciiTheme="minorHAnsi" w:eastAsia="Times New Roman" w:hAnsiTheme="minorHAnsi" w:cstheme="minorHAnsi"/>
                <w:bCs/>
              </w:rPr>
              <w:t>- OAR 340-214-0110</w:t>
            </w:r>
          </w:p>
        </w:tc>
        <w:tc>
          <w:tcPr>
            <w:tcW w:w="5310" w:type="dxa"/>
          </w:tcPr>
          <w:p w:rsidR="00844A6C" w:rsidRDefault="00503B62" w:rsidP="00844A6C">
            <w:pPr>
              <w:ind w:left="0" w:right="18"/>
              <w:rPr>
                <w:rFonts w:ascii="Times New Roman" w:eastAsia="Times New Roman" w:hAnsi="Times New Roman" w:cs="Times New Roman"/>
                <w:bCs/>
                <w:sz w:val="20"/>
                <w:szCs w:val="20"/>
              </w:rPr>
            </w:pPr>
            <w:hyperlink r:id="rId18" w:history="1">
              <w:r w:rsidR="003539AD" w:rsidRPr="003539AD">
                <w:rPr>
                  <w:rStyle w:val="Hyperlink"/>
                  <w:sz w:val="20"/>
                  <w:szCs w:val="20"/>
                </w:rPr>
                <w:t>http://arcweb.sos.state.or.us/pages/rules/oars_300/oar_340/340_214.html</w:t>
              </w:r>
            </w:hyperlink>
          </w:p>
          <w:p w:rsidR="00844A6C" w:rsidRPr="00844A6C" w:rsidRDefault="00844A6C" w:rsidP="00844A6C">
            <w:pPr>
              <w:ind w:left="0" w:right="18"/>
              <w:rPr>
                <w:rFonts w:ascii="Times New Roman" w:eastAsia="Times New Roman" w:hAnsi="Times New Roman" w:cs="Times New Roman"/>
                <w:bCs/>
                <w:sz w:val="20"/>
                <w:szCs w:val="20"/>
              </w:rPr>
            </w:pPr>
          </w:p>
        </w:tc>
      </w:tr>
    </w:tbl>
    <w:p w:rsidR="00844A6C" w:rsidRDefault="00844A6C" w:rsidP="0070746D">
      <w:pPr>
        <w:ind w:left="720" w:right="18"/>
        <w:rPr>
          <w:rFonts w:ascii="Times New Roman" w:eastAsia="Times New Roman" w:hAnsi="Times New Roman" w:cs="Times New Roman"/>
          <w:bCs/>
        </w:rPr>
      </w:pPr>
    </w:p>
    <w:p w:rsidR="0070746D" w:rsidRDefault="0070746D"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6" w:name="RANGE!A226:B243"/>
      <w:bookmarkEnd w:id="6"/>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9"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Pr="003E691F">
        <w:rPr>
          <w:rFonts w:ascii="Times New Roman" w:eastAsia="Times New Roman" w:hAnsi="Times New Roman" w:cs="Times New Roman"/>
          <w:b/>
          <w:bCs/>
        </w:rPr>
        <w:t>Clarify and update rules</w:t>
      </w:r>
    </w:p>
    <w:p w:rsidR="003539AD" w:rsidRDefault="00C71500">
      <w:pPr>
        <w:ind w:left="72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Proposed rules in this category do not have </w:t>
      </w:r>
      <w:r w:rsidRPr="00E638D3">
        <w:rPr>
          <w:rFonts w:ascii="Times New Roman" w:eastAsia="Times New Roman" w:hAnsi="Times New Roman" w:cs="Times New Roman"/>
          <w:bCs/>
        </w:rPr>
        <w:t>fiscal or economic impacts</w:t>
      </w:r>
      <w:r>
        <w:rPr>
          <w:rFonts w:ascii="Times New Roman" w:eastAsia="Times New Roman" w:hAnsi="Times New Roman" w:cs="Times New Roman"/>
          <w:bCs/>
        </w:rPr>
        <w:t xml:space="preserve">. </w:t>
      </w:r>
    </w:p>
    <w:p w:rsidR="003539AD" w:rsidRDefault="003539AD">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600E0D">
        <w:rPr>
          <w:rFonts w:ascii="Times New Roman" w:eastAsia="Times New Roman" w:hAnsi="Times New Roman" w:cs="Times New Roman"/>
          <w:b/>
          <w:bCs/>
        </w:rPr>
        <w:t>Update particulate matter standards</w:t>
      </w:r>
    </w:p>
    <w:p w:rsidR="003539AD" w:rsidRDefault="00C71500">
      <w:pPr>
        <w:ind w:left="72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DEQ identified </w:t>
      </w:r>
      <w:r w:rsidR="00CD03A6">
        <w:rPr>
          <w:rFonts w:ascii="Times New Roman" w:eastAsia="Times New Roman" w:hAnsi="Times New Roman" w:cs="Times New Roman"/>
          <w:bCs/>
          <w:iCs/>
        </w:rPr>
        <w:t>8</w:t>
      </w:r>
      <w:r w:rsidRPr="00600E0D">
        <w:rPr>
          <w:rFonts w:ascii="Times New Roman" w:eastAsia="Times New Roman" w:hAnsi="Times New Roman" w:cs="Times New Roman"/>
          <w:bCs/>
          <w:iCs/>
        </w:rPr>
        <w:t xml:space="preserve"> businesses (1 small business) that may not be able to comply with the lower particulate standard without process changes, installation of control equipment or replacement of process equipment. These businesses are wood products facilities with wood-fired boilers. There are also two small asphalt plants that may not be able to comply with the lower visual and particulate matter standards. </w:t>
      </w:r>
    </w:p>
    <w:p w:rsidR="003539AD" w:rsidRDefault="00C71500">
      <w:pPr>
        <w:ind w:left="72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3539AD" w:rsidRDefault="00C71500">
      <w:pPr>
        <w:ind w:left="72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sidR="007029A0">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sidR="007029A0">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sidR="007029A0">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$5,000</w:t>
      </w:r>
      <w:r w:rsidR="007029A0">
        <w:rPr>
          <w:rFonts w:ascii="Times New Roman" w:eastAsia="Times New Roman" w:hAnsi="Times New Roman" w:cs="Times New Roman"/>
          <w:bCs/>
        </w:rPr>
        <w:t xml:space="preserve"> and </w:t>
      </w:r>
      <w:r w:rsidRPr="00700ACF">
        <w:rPr>
          <w:rFonts w:ascii="Times New Roman" w:eastAsia="Times New Roman" w:hAnsi="Times New Roman" w:cs="Times New Roman"/>
          <w:bCs/>
        </w:rPr>
        <w:t>$10,000. A tune</w:t>
      </w:r>
      <w:r w:rsidRPr="00600E0D">
        <w:rPr>
          <w:rFonts w:ascii="Times New Roman" w:eastAsia="Times New Roman" w:hAnsi="Times New Roman" w:cs="Times New Roman"/>
          <w:bCs/>
        </w:rPr>
        <w:t>-up may include:</w:t>
      </w:r>
    </w:p>
    <w:p w:rsidR="003539AD" w:rsidRDefault="00C71500">
      <w:pPr>
        <w:numPr>
          <w:ilvl w:val="0"/>
          <w:numId w:val="11"/>
        </w:num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3539AD" w:rsidRDefault="00C71500">
      <w:pPr>
        <w:numPr>
          <w:ilvl w:val="0"/>
          <w:numId w:val="10"/>
        </w:num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3539AD" w:rsidRDefault="00C71500">
      <w:pPr>
        <w:numPr>
          <w:ilvl w:val="0"/>
          <w:numId w:val="10"/>
        </w:num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3539AD" w:rsidRDefault="00C71500">
      <w:pPr>
        <w:numPr>
          <w:ilvl w:val="0"/>
          <w:numId w:val="10"/>
        </w:num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3539AD" w:rsidRDefault="003539AD">
      <w:pPr>
        <w:ind w:left="144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A more comprehensive boiler tune-up ranges in cost </w:t>
      </w:r>
      <w:r w:rsidRPr="00700ACF">
        <w:rPr>
          <w:rFonts w:ascii="Times New Roman" w:eastAsia="Times New Roman" w:hAnsi="Times New Roman" w:cs="Times New Roman"/>
          <w:bCs/>
          <w:iCs/>
        </w:rPr>
        <w:t>from $30,000 to $60,000.</w:t>
      </w:r>
      <w:r w:rsidRPr="00600E0D">
        <w:rPr>
          <w:rFonts w:ascii="Times New Roman" w:eastAsia="Times New Roman" w:hAnsi="Times New Roman" w:cs="Times New Roman"/>
          <w:bCs/>
          <w:iCs/>
        </w:rPr>
        <w:t xml:space="preserve"> A boiler tune-up may or may not allow sources to comply with the new standards over the long run but could provide other benefits such as reduced fuel costs. </w:t>
      </w:r>
    </w:p>
    <w:p w:rsidR="003539AD" w:rsidRDefault="003539AD">
      <w:pPr>
        <w:ind w:left="720" w:right="18"/>
        <w:outlineLvl w:val="0"/>
        <w:rPr>
          <w:rFonts w:ascii="Times New Roman" w:eastAsia="Times New Roman" w:hAnsi="Times New Roman" w:cs="Times New Roman"/>
          <w:bCs/>
          <w:iCs/>
        </w:rPr>
      </w:pPr>
    </w:p>
    <w:p w:rsidR="007029A0" w:rsidRDefault="007029A0" w:rsidP="00C71500">
      <w:pPr>
        <w:ind w:left="720" w:right="18"/>
        <w:outlineLvl w:val="0"/>
        <w:rPr>
          <w:rFonts w:ascii="Times New Roman" w:eastAsia="Times New Roman" w:hAnsi="Times New Roman" w:cs="Times New Roman"/>
          <w:bCs/>
        </w:rPr>
        <w:sectPr w:rsidR="007029A0" w:rsidSect="00B34CF8">
          <w:pgSz w:w="12240" w:h="15840"/>
          <w:pgMar w:top="1080" w:right="990" w:bottom="1080" w:left="360" w:header="720" w:footer="720" w:gutter="432"/>
          <w:cols w:space="720"/>
          <w:docGrid w:linePitch="360"/>
        </w:sectPr>
      </w:pPr>
    </w:p>
    <w:p w:rsidR="003539AD" w:rsidRDefault="007029A0">
      <w:pPr>
        <w:ind w:left="72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I</w:t>
      </w:r>
      <w:r w:rsidR="00C71500" w:rsidRPr="00600E0D">
        <w:rPr>
          <w:rFonts w:ascii="Times New Roman" w:eastAsia="Times New Roman" w:hAnsi="Times New Roman" w:cs="Times New Roman"/>
          <w:bCs/>
        </w:rPr>
        <w:t xml:space="preserve">f optimizing operations does not achieve compliance with the lower grain loading and opacity standards, businesses may need to install pollution control equipment such as multiclones or electrostatic precipitators. Based on vendor information, multiclones range in cost from $60,000 to $80,000 and will remove some particulate matter but may not be successful in removing enough to comply with the new standard. Information from vendors and a business that recently installed an electrostatic precipitator indicates the cost of a new ESP ranges from $450,000 to $1,500,000. Although not anticipated, boiler replacement to achieve compliance would have the greatest fiscal impact on a business. </w:t>
      </w:r>
      <w:r w:rsidR="00C71500" w:rsidRPr="00600E0D">
        <w:rPr>
          <w:rFonts w:ascii="Times New Roman" w:eastAsia="Times New Roman" w:hAnsi="Times New Roman" w:cs="Times New Roman"/>
          <w:bCs/>
          <w:iCs/>
        </w:rPr>
        <w:t xml:space="preserve">A business that recently installed a new wood-fired boiler capable of </w:t>
      </w:r>
      <w:r w:rsidR="00C71500">
        <w:rPr>
          <w:rFonts w:ascii="Times New Roman" w:eastAsia="Times New Roman" w:hAnsi="Times New Roman" w:cs="Times New Roman"/>
          <w:bCs/>
        </w:rPr>
        <w:t xml:space="preserve">100,000 pounds of steam per </w:t>
      </w:r>
      <w:r w:rsidR="00C71500" w:rsidRPr="00600E0D">
        <w:rPr>
          <w:rFonts w:ascii="Times New Roman" w:eastAsia="Times New Roman" w:hAnsi="Times New Roman" w:cs="Times New Roman"/>
          <w:bCs/>
        </w:rPr>
        <w:t xml:space="preserve">hour paid approximately $8 million.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600E0D">
        <w:rPr>
          <w:rFonts w:ascii="Times New Roman" w:eastAsia="Times New Roman" w:hAnsi="Times New Roman" w:cs="Times New Roman"/>
          <w:bCs/>
          <w:iCs/>
        </w:rPr>
        <w:t xml:space="preserve">The two small asphalt plants that may not be able to meet the lower standards are older plants that utilize wet scrubber controls. In general, for asphalt plants that cannot meet particulate matter standards, </w:t>
      </w:r>
      <w:r w:rsidRPr="00600E0D">
        <w:rPr>
          <w:rFonts w:ascii="Times New Roman" w:eastAsia="Times New Roman" w:hAnsi="Times New Roman" w:cs="Times New Roman"/>
          <w:bCs/>
        </w:rPr>
        <w:t>the equipment is simply worn out, and often too expensive to repair. In other instances the cont</w:t>
      </w:r>
      <w:r>
        <w:rPr>
          <w:rFonts w:ascii="Times New Roman" w:eastAsia="Times New Roman" w:hAnsi="Times New Roman" w:cs="Times New Roman"/>
          <w:bCs/>
        </w:rPr>
        <w:t>rol equipment (usually the wet</w:t>
      </w:r>
      <w:r w:rsidRPr="00600E0D">
        <w:rPr>
          <w:rFonts w:ascii="Times New Roman" w:eastAsia="Times New Roman" w:hAnsi="Times New Roman" w:cs="Times New Roman"/>
          <w:bCs/>
        </w:rPr>
        <w:t xml:space="preserve"> scrubber) is rusted and leaking air, compromising the pressure drop across the nozzles, thus reducing efficiency. Most of the time, companies with stationary asphalt plants will repair/patch together equipment. Making these repairs is usually done in-house. Portable plants have to be more durable due to set-up and break-down cycles. As a result, they are generally replaced with new or better used equipment.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iCs/>
        </w:rPr>
      </w:pPr>
      <w:r w:rsidRPr="00600E0D">
        <w:rPr>
          <w:rFonts w:ascii="Times New Roman" w:eastAsia="Times New Roman" w:hAnsi="Times New Roman" w:cs="Times New Roman"/>
          <w:bCs/>
        </w:rPr>
        <w:t>An asphalt plant that may not be able to meet the lower standards may elect to retire the plant if it is deemed too expensive to meet the new particulate matter standards. The cost of installing a used baghouse is approximately $150,000 to $250,000 and the cost of a new asphalt plant is approximately $1.5 to $2 million.</w:t>
      </w:r>
      <w:r w:rsidRPr="00C42F13">
        <w:rPr>
          <w:rFonts w:ascii="Times New Roman" w:eastAsia="Times New Roman" w:hAnsi="Times New Roman" w:cs="Times New Roman"/>
          <w:bCs/>
          <w:i/>
          <w:iCs/>
        </w:rPr>
        <w:t xml:space="preserve"> </w:t>
      </w:r>
    </w:p>
    <w:p w:rsidR="003539AD" w:rsidRDefault="003539AD">
      <w:pPr>
        <w:ind w:left="720" w:right="18"/>
        <w:outlineLvl w:val="0"/>
        <w:rPr>
          <w:rFonts w:ascii="Times New Roman" w:eastAsia="Times New Roman" w:hAnsi="Times New Roman" w:cs="Times New Roman"/>
          <w:bCs/>
          <w:iCs/>
        </w:rPr>
      </w:pPr>
    </w:p>
    <w:p w:rsidR="003539AD" w:rsidRDefault="00C71500">
      <w:pPr>
        <w:ind w:left="72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By proactively updating the particulate matter standards, DEQ hope to avoid additional nonattainment area designations in Oregon</w:t>
      </w:r>
      <w:r>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 xml:space="preserve">If </w:t>
      </w:r>
      <w:r w:rsidR="007029A0">
        <w:rPr>
          <w:rFonts w:ascii="Times New Roman" w:eastAsia="Times New Roman" w:hAnsi="Times New Roman" w:cs="Times New Roman"/>
          <w:bCs/>
          <w:iCs/>
        </w:rPr>
        <w:t xml:space="preserve">EPA </w:t>
      </w:r>
      <w:r w:rsidR="007029A0" w:rsidRPr="00A02E0A">
        <w:rPr>
          <w:rFonts w:ascii="Times New Roman" w:eastAsia="Times New Roman" w:hAnsi="Times New Roman" w:cs="Times New Roman"/>
          <w:bCs/>
          <w:iCs/>
        </w:rPr>
        <w:t>de</w:t>
      </w:r>
      <w:r w:rsidR="00EC0C81" w:rsidRPr="00A02E0A">
        <w:rPr>
          <w:rFonts w:ascii="Times New Roman" w:eastAsia="Times New Roman" w:hAnsi="Times New Roman" w:cs="Times New Roman"/>
          <w:bCs/>
          <w:iCs/>
        </w:rPr>
        <w:t>signates an area as non</w:t>
      </w:r>
      <w:r w:rsidRPr="00A02E0A">
        <w:rPr>
          <w:rFonts w:ascii="Times New Roman" w:eastAsia="Times New Roman" w:hAnsi="Times New Roman" w:cs="Times New Roman"/>
          <w:bCs/>
          <w:iCs/>
        </w:rPr>
        <w:t>attainment</w:t>
      </w:r>
      <w:r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3539AD" w:rsidRDefault="003539AD">
      <w:pPr>
        <w:ind w:left="720" w:right="18"/>
        <w:outlineLvl w:val="0"/>
        <w:rPr>
          <w:rFonts w:ascii="Times New Roman" w:eastAsia="Times New Roman" w:hAnsi="Times New Roman" w:cs="Times New Roman"/>
          <w:bCs/>
          <w:iCs/>
        </w:rPr>
      </w:pPr>
    </w:p>
    <w:p w:rsidR="003539AD" w:rsidRDefault="00C71500">
      <w:pPr>
        <w:ind w:left="72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 xml:space="preserve">When </w:t>
      </w:r>
      <w:r w:rsidR="00EC0C81" w:rsidRPr="00A02E0A">
        <w:rPr>
          <w:rFonts w:ascii="Times New Roman" w:eastAsia="Times New Roman" w:hAnsi="Times New Roman" w:cs="Times New Roman"/>
          <w:bCs/>
          <w:iCs/>
        </w:rPr>
        <w:t>EPA designates</w:t>
      </w:r>
      <w:r w:rsidR="001B23A9" w:rsidRPr="00A02E0A">
        <w:rPr>
          <w:rFonts w:ascii="Times New Roman" w:eastAsia="Times New Roman" w:hAnsi="Times New Roman" w:cs="Times New Roman"/>
          <w:bCs/>
          <w:iCs/>
        </w:rPr>
        <w:t xml:space="preserve"> </w:t>
      </w:r>
      <w:r w:rsidRPr="00A02E0A">
        <w:rPr>
          <w:rFonts w:ascii="Times New Roman" w:eastAsia="Times New Roman" w:hAnsi="Times New Roman" w:cs="Times New Roman"/>
          <w:bCs/>
          <w:iCs/>
        </w:rPr>
        <w:t>an</w:t>
      </w:r>
      <w:r w:rsidRPr="00700ACF">
        <w:rPr>
          <w:rFonts w:ascii="Times New Roman" w:eastAsia="Times New Roman" w:hAnsi="Times New Roman" w:cs="Times New Roman"/>
          <w:bCs/>
          <w:iCs/>
        </w:rPr>
        <w:t xml:space="preserve"> area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to the nonattainment area, they are designed to help clean up the air and ensure the health of all residents.</w:t>
      </w:r>
    </w:p>
    <w:p w:rsidR="003539AD" w:rsidRDefault="003539AD">
      <w:pPr>
        <w:ind w:left="720" w:right="18"/>
        <w:outlineLvl w:val="0"/>
        <w:rPr>
          <w:rFonts w:ascii="Times New Roman" w:eastAsia="Times New Roman" w:hAnsi="Times New Roman" w:cs="Times New Roman"/>
          <w:bCs/>
          <w:iCs/>
        </w:rPr>
      </w:pPr>
    </w:p>
    <w:p w:rsidR="003539AD" w:rsidRDefault="00C71500">
      <w:pPr>
        <w:ind w:left="72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11BE0" w:rsidRPr="00700ACF" w:rsidRDefault="00411BE0" w:rsidP="00C71500">
      <w:pPr>
        <w:ind w:left="720" w:right="18"/>
        <w:outlineLvl w:val="0"/>
        <w:rPr>
          <w:rFonts w:ascii="Times New Roman" w:eastAsia="Times New Roman" w:hAnsi="Times New Roman" w:cs="Times New Roman"/>
          <w:bCs/>
          <w:iCs/>
        </w:rPr>
      </w:pPr>
    </w:p>
    <w:p w:rsidR="003539AD" w:rsidRDefault="00C71500" w:rsidP="00DD6D6E">
      <w:pPr>
        <w:pStyle w:val="ListParagraph"/>
        <w:numPr>
          <w:ilvl w:val="0"/>
          <w:numId w:val="20"/>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 xml:space="preserve">small natural gas or oil-fired </w:t>
      </w:r>
      <w:r w:rsidR="00DD6D6E">
        <w:rPr>
          <w:rFonts w:ascii="Times New Roman" w:eastAsia="Times New Roman" w:hAnsi="Times New Roman" w:cs="Times New Roman"/>
          <w:b/>
          <w:bCs/>
        </w:rPr>
        <w:t>equipment</w:t>
      </w: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 xml:space="preserve">small natural gas or oil-fired </w:t>
      </w:r>
      <w:r w:rsidR="00DD6D6E">
        <w:rPr>
          <w:rFonts w:ascii="Times New Roman" w:eastAsia="Times New Roman" w:hAnsi="Times New Roman" w:cs="Times New Roman"/>
          <w:bCs/>
        </w:rPr>
        <w:t>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w:t>
      </w:r>
      <w:r w:rsidRPr="007624E9">
        <w:rPr>
          <w:rFonts w:ascii="Times New Roman" w:eastAsia="Times New Roman" w:hAnsi="Times New Roman" w:cs="Times New Roman"/>
          <w:bCs/>
        </w:rPr>
        <w:lastRenderedPageBreak/>
        <w:t xml:space="preserve">that </w:t>
      </w:r>
      <w:r w:rsidR="002B1663">
        <w:rPr>
          <w:rFonts w:ascii="Times New Roman" w:eastAsia="Times New Roman" w:hAnsi="Times New Roman" w:cs="Times New Roman"/>
          <w:bCs/>
        </w:rPr>
        <w:t>would</w:t>
      </w:r>
      <w:r w:rsidR="002B1663"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be required to get a permit </w:t>
      </w:r>
      <w:r w:rsidR="002B1663">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of the units that fall into these categories </w:t>
      </w:r>
      <w:r w:rsidR="002B1663">
        <w:rPr>
          <w:rFonts w:ascii="Times New Roman" w:eastAsia="Times New Roman" w:hAnsi="Times New Roman" w:cs="Times New Roman"/>
          <w:bCs/>
        </w:rPr>
        <w:t>would</w:t>
      </w:r>
      <w:r w:rsidR="002B1663"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w:t>
      </w:r>
      <w:r w:rsidR="002B1663">
        <w:rPr>
          <w:rFonts w:ascii="Times New Roman" w:eastAsia="Times New Roman" w:hAnsi="Times New Roman" w:cs="Times New Roman"/>
          <w:bCs/>
        </w:rPr>
        <w:t xml:space="preserve">ing </w:t>
      </w:r>
      <w:r>
        <w:rPr>
          <w:rFonts w:ascii="Times New Roman" w:eastAsia="Times New Roman" w:hAnsi="Times New Roman" w:cs="Times New Roman"/>
          <w:bCs/>
        </w:rPr>
        <w:t xml:space="preserve">on current environmental managements systems in place. </w:t>
      </w:r>
      <w:r w:rsidRPr="00BD316E">
        <w:rPr>
          <w:rFonts w:ascii="Times New Roman" w:eastAsia="Times New Roman" w:hAnsi="Times New Roman" w:cs="Times New Roman"/>
          <w:bCs/>
        </w:rPr>
        <w:t>DEQ lacks available information to accurately estimate those costs</w:t>
      </w:r>
      <w:r>
        <w:rPr>
          <w:rFonts w:ascii="Times New Roman" w:eastAsia="Times New Roman" w:hAnsi="Times New Roman" w:cs="Times New Roman"/>
          <w:bCs/>
        </w:rPr>
        <w:t>.</w:t>
      </w:r>
    </w:p>
    <w:p w:rsidR="00411BE0" w:rsidRPr="00E638D3" w:rsidRDefault="00411BE0" w:rsidP="00C71500">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r w:rsidR="001B23A9">
        <w:rPr>
          <w:rFonts w:ascii="Times New Roman" w:eastAsia="Times New Roman" w:hAnsi="Times New Roman" w:cs="Times New Roman"/>
          <w:bCs/>
        </w:rPr>
        <w:t xml:space="preserve">The proposed rules would </w:t>
      </w:r>
      <w:r w:rsidRPr="00E638D3">
        <w:rPr>
          <w:rFonts w:ascii="Times New Roman" w:eastAsia="Times New Roman" w:hAnsi="Times New Roman" w:cs="Times New Roman"/>
          <w:bCs/>
        </w:rPr>
        <w:t>rais</w:t>
      </w:r>
      <w:r w:rsidR="001B23A9">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a business may be required to get but allow for reduced offsets if the business chooses to get the offsets from the sources causing the problem in areas where air quality is close to </w:t>
      </w:r>
      <w:r w:rsidR="00511D76">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w:t>
      </w:r>
      <w:r w:rsidRPr="00E638D3">
        <w:rPr>
          <w:rFonts w:ascii="Times New Roman" w:eastAsia="Times New Roman" w:hAnsi="Times New Roman" w:cs="Times New Roman"/>
          <w:bCs/>
        </w:rPr>
        <w:t>air quality standard</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sidR="000F38D9">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sidR="000F38D9">
        <w:rPr>
          <w:rFonts w:ascii="Times New Roman" w:eastAsia="Times New Roman" w:hAnsi="Times New Roman" w:cs="Times New Roman"/>
          <w:bCs/>
        </w:rPr>
        <w:t>s</w:t>
      </w:r>
      <w:r w:rsidRPr="00E638D3">
        <w:rPr>
          <w:rFonts w:ascii="Times New Roman" w:eastAsia="Times New Roman" w:hAnsi="Times New Roman" w:cs="Times New Roman"/>
          <w:bCs/>
        </w:rPr>
        <w:t>.</w:t>
      </w:r>
    </w:p>
    <w:p w:rsidR="003539AD" w:rsidRDefault="003539AD">
      <w:pPr>
        <w:ind w:left="720" w:right="18"/>
        <w:outlineLvl w:val="0"/>
        <w:rPr>
          <w:rFonts w:ascii="Times New Roman" w:eastAsia="Times New Roman" w:hAnsi="Times New Roman" w:cs="Times New Roman"/>
          <w:bCs/>
        </w:rPr>
      </w:pPr>
    </w:p>
    <w:p w:rsidR="003539AD" w:rsidRDefault="00511D76">
      <w:pPr>
        <w:ind w:left="72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00C71500" w:rsidRPr="00E638D3">
        <w:rPr>
          <w:rFonts w:ascii="Times New Roman" w:eastAsia="Times New Roman" w:hAnsi="Times New Roman" w:cs="Times New Roman"/>
          <w:bCs/>
        </w:rPr>
        <w:t xml:space="preserve">If the business chooses to obtain offsets from the sources that are causing the problem, based on current information, the offsets would be required from woodstoves. </w:t>
      </w:r>
      <w:r w:rsidR="00C71500" w:rsidRPr="00BD316E">
        <w:rPr>
          <w:rFonts w:ascii="Times New Roman" w:eastAsia="Times New Roman" w:hAnsi="Times New Roman" w:cs="Times New Roman"/>
          <w:bCs/>
        </w:rPr>
        <w:t xml:space="preserve">The cost to replace an uncertified woodstove is </w:t>
      </w:r>
      <w:r w:rsidR="000F38D9">
        <w:rPr>
          <w:rFonts w:ascii="Times New Roman" w:eastAsia="Times New Roman" w:hAnsi="Times New Roman" w:cs="Times New Roman"/>
          <w:bCs/>
        </w:rPr>
        <w:t xml:space="preserve">approximately </w:t>
      </w:r>
      <w:r w:rsidR="00C71500" w:rsidRPr="00BD316E">
        <w:rPr>
          <w:rFonts w:ascii="Times New Roman" w:eastAsia="Times New Roman" w:hAnsi="Times New Roman" w:cs="Times New Roman"/>
          <w:bCs/>
        </w:rPr>
        <w:t>$3,000, which woul</w:t>
      </w:r>
      <w:r w:rsidR="00C71500">
        <w:rPr>
          <w:rFonts w:ascii="Times New Roman" w:eastAsia="Times New Roman" w:hAnsi="Times New Roman" w:cs="Times New Roman"/>
          <w:bCs/>
        </w:rPr>
        <w:t xml:space="preserve">d reduce emissions by 0.03 tons per </w:t>
      </w:r>
      <w:r w:rsidR="00C71500" w:rsidRPr="00BD316E">
        <w:rPr>
          <w:rFonts w:ascii="Times New Roman" w:eastAsia="Times New Roman" w:hAnsi="Times New Roman" w:cs="Times New Roman"/>
          <w:bCs/>
        </w:rPr>
        <w:t>woodstove</w:t>
      </w:r>
      <w:r w:rsidR="00C71500">
        <w:rPr>
          <w:rFonts w:ascii="Times New Roman" w:eastAsia="Times New Roman" w:hAnsi="Times New Roman" w:cs="Times New Roman"/>
          <w:bCs/>
        </w:rPr>
        <w:t xml:space="preserve">. </w:t>
      </w:r>
      <w:r w:rsidR="00C71500" w:rsidRPr="00BD316E">
        <w:rPr>
          <w:rFonts w:ascii="Times New Roman" w:eastAsia="Times New Roman" w:hAnsi="Times New Roman" w:cs="Times New Roman"/>
          <w:bCs/>
        </w:rPr>
        <w:t xml:space="preserve">The cost of a ton of offsets from woodstoves is approximately </w:t>
      </w:r>
      <w:r w:rsidR="00C71500">
        <w:rPr>
          <w:rFonts w:ascii="Times New Roman" w:eastAsia="Times New Roman" w:hAnsi="Times New Roman" w:cs="Times New Roman"/>
          <w:bCs/>
        </w:rPr>
        <w:t xml:space="preserve">$100,000 per </w:t>
      </w:r>
      <w:r w:rsidR="00C71500" w:rsidRPr="00BD316E">
        <w:rPr>
          <w:rFonts w:ascii="Times New Roman" w:eastAsia="Times New Roman" w:hAnsi="Times New Roman" w:cs="Times New Roman"/>
          <w:bCs/>
        </w:rPr>
        <w:t>ton.</w:t>
      </w:r>
      <w:r w:rsidR="00C71500" w:rsidRPr="00E638D3">
        <w:rPr>
          <w:rFonts w:ascii="Times New Roman" w:eastAsia="Times New Roman" w:hAnsi="Times New Roman" w:cs="Times New Roman"/>
          <w:bCs/>
        </w:rPr>
        <w:t xml:space="preserve">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areas </w:t>
      </w:r>
      <w:r w:rsidR="001B23A9">
        <w:rPr>
          <w:rFonts w:ascii="Times New Roman" w:eastAsia="Times New Roman" w:hAnsi="Times New Roman" w:cs="Times New Roman"/>
          <w:bCs/>
        </w:rPr>
        <w:t xml:space="preserve">where </w:t>
      </w:r>
      <w:r w:rsidRPr="00E638D3">
        <w:rPr>
          <w:rFonts w:ascii="Times New Roman" w:eastAsia="Times New Roman" w:hAnsi="Times New Roman" w:cs="Times New Roman"/>
          <w:bCs/>
        </w:rPr>
        <w:t xml:space="preserve">DEQ wants to transition back to attainment more quickly than EPA could redesignate the area, the proposed rules </w:t>
      </w:r>
      <w:r w:rsidR="001B23A9">
        <w:rPr>
          <w:rFonts w:ascii="Times New Roman" w:eastAsia="Times New Roman" w:hAnsi="Times New Roman" w:cs="Times New Roman"/>
          <w:bCs/>
        </w:rPr>
        <w:t>would</w:t>
      </w:r>
      <w:r w:rsidR="001B23A9"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a positive fiscal and economic impact on businesses because they </w:t>
      </w:r>
      <w:r w:rsidR="001B23A9">
        <w:rPr>
          <w:rFonts w:ascii="Times New Roman" w:eastAsia="Times New Roman" w:hAnsi="Times New Roman" w:cs="Times New Roman"/>
          <w:bCs/>
        </w:rPr>
        <w:t>would</w:t>
      </w:r>
      <w:r w:rsidR="001B23A9"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be allowed to meet the </w:t>
      </w:r>
      <w:r w:rsidR="00511D76">
        <w:rPr>
          <w:rFonts w:ascii="Times New Roman" w:eastAsia="Times New Roman" w:hAnsi="Times New Roman" w:cs="Times New Roman"/>
          <w:bCs/>
        </w:rPr>
        <w:t>maintenance (</w:t>
      </w:r>
      <w:r w:rsidRPr="00E638D3">
        <w:rPr>
          <w:rFonts w:ascii="Times New Roman" w:eastAsia="Times New Roman" w:hAnsi="Times New Roman" w:cs="Times New Roman"/>
          <w:bCs/>
        </w:rPr>
        <w:t>attainment</w:t>
      </w:r>
      <w:r w:rsidR="00511D76">
        <w:rPr>
          <w:rFonts w:ascii="Times New Roman" w:eastAsia="Times New Roman" w:hAnsi="Times New Roman" w:cs="Times New Roman"/>
          <w:bCs/>
        </w:rPr>
        <w:t>)</w:t>
      </w:r>
      <w:r w:rsidRPr="00E638D3">
        <w:rPr>
          <w:rFonts w:ascii="Times New Roman" w:eastAsia="Times New Roman" w:hAnsi="Times New Roman" w:cs="Times New Roman"/>
          <w:bCs/>
        </w:rPr>
        <w:t xml:space="preserve"> area requirements rather than the more stringent nonattainment area requirements. The control technology may be less expensive but </w:t>
      </w:r>
      <w:r>
        <w:rPr>
          <w:rFonts w:ascii="Times New Roman" w:eastAsia="Times New Roman" w:hAnsi="Times New Roman" w:cs="Times New Roman"/>
          <w:bCs/>
        </w:rPr>
        <w:t>if it results in lower emission reductions than could be achieve</w:t>
      </w:r>
      <w:r w:rsidR="00511D76">
        <w:rPr>
          <w:rFonts w:ascii="Times New Roman" w:eastAsia="Times New Roman" w:hAnsi="Times New Roman" w:cs="Times New Roman"/>
          <w:bCs/>
        </w:rPr>
        <w:t>d</w:t>
      </w:r>
      <w:r>
        <w:rPr>
          <w:rFonts w:ascii="Times New Roman" w:eastAsia="Times New Roman" w:hAnsi="Times New Roman" w:cs="Times New Roman"/>
          <w:bCs/>
        </w:rPr>
        <w:t xml:space="preserve"> with other more expensive technology, more offsets </w:t>
      </w:r>
      <w:r w:rsidR="001B23A9">
        <w:rPr>
          <w:rFonts w:ascii="Times New Roman" w:eastAsia="Times New Roman" w:hAnsi="Times New Roman" w:cs="Times New Roman"/>
          <w:bCs/>
        </w:rPr>
        <w:t xml:space="preserve">would </w:t>
      </w:r>
      <w:r>
        <w:rPr>
          <w:rFonts w:ascii="Times New Roman" w:eastAsia="Times New Roman" w:hAnsi="Times New Roman" w:cs="Times New Roman"/>
          <w:bCs/>
        </w:rPr>
        <w:t xml:space="preserve">be required. As a result, </w:t>
      </w:r>
      <w:r w:rsidRPr="00E638D3">
        <w:rPr>
          <w:rFonts w:ascii="Times New Roman" w:eastAsia="Times New Roman" w:hAnsi="Times New Roman" w:cs="Times New Roman"/>
          <w:bCs/>
        </w:rPr>
        <w:t xml:space="preserve">there may be higher emission offset costs if the less expensive control technology allows higher emissions.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sidR="001B23A9">
        <w:rPr>
          <w:rFonts w:ascii="Times New Roman" w:eastAsia="Times New Roman" w:hAnsi="Times New Roman" w:cs="Times New Roman"/>
          <w:bCs/>
        </w:rPr>
        <w:t>would</w:t>
      </w:r>
      <w:r w:rsidR="001B23A9"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be a positive fiscal and economic impact since that construction </w:t>
      </w:r>
      <w:r w:rsidR="00EC0C81" w:rsidRPr="00A02E0A">
        <w:rPr>
          <w:rFonts w:ascii="Times New Roman" w:eastAsia="Times New Roman" w:hAnsi="Times New Roman" w:cs="Times New Roman"/>
          <w:bCs/>
        </w:rPr>
        <w:t>would probably be allowed</w:t>
      </w:r>
      <w:r w:rsidRPr="00A02E0A">
        <w:rPr>
          <w:rFonts w:ascii="Times New Roman" w:eastAsia="Times New Roman" w:hAnsi="Times New Roman" w:cs="Times New Roman"/>
          <w:bCs/>
        </w:rPr>
        <w:t xml:space="preserve">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For these situations, since New Source Review permitting is a case-by-case analysis, and because the type of pollution controls and computer modeling varies for each case, DEQ lacks available information to estimate those costs</w:t>
      </w:r>
      <w:r w:rsidR="00411BE0">
        <w:rPr>
          <w:rFonts w:ascii="Times New Roman" w:eastAsia="Times New Roman" w:hAnsi="Times New Roman" w:cs="Times New Roman"/>
          <w:bCs/>
        </w:rPr>
        <w:t xml:space="preserve"> </w:t>
      </w:r>
      <w:r w:rsidR="00411BE0"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411BE0" w:rsidRPr="00E638D3" w:rsidRDefault="00411BE0" w:rsidP="00C71500">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Designate Lakeview as sustainment area</w:t>
      </w: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will have a positive fiscal and economic impact in Lakeview by allowing businesses to build or expand in the area as long as air quality is protected</w:t>
      </w:r>
      <w:r>
        <w:rPr>
          <w:rFonts w:ascii="Times New Roman" w:eastAsia="Times New Roman" w:hAnsi="Times New Roman" w:cs="Times New Roman"/>
          <w:bCs/>
        </w:rPr>
        <w:t xml:space="preserve">. </w:t>
      </w:r>
      <w:r w:rsidRPr="00E638D3">
        <w:rPr>
          <w:rFonts w:ascii="Times New Roman" w:eastAsia="Times New Roman" w:hAnsi="Times New Roman" w:cs="Times New Roman"/>
          <w:bCs/>
        </w:rPr>
        <w:t>Since New Source Review permitting is a case-by-case analysis, and because the type of pollution controls and computer modeling varies for each case, DEQ lacks available information to accurately estimate those costs</w:t>
      </w:r>
      <w:r>
        <w:rPr>
          <w:rFonts w:ascii="Times New Roman" w:eastAsia="Times New Roman" w:hAnsi="Times New Roman" w:cs="Times New Roman"/>
          <w:bCs/>
        </w:rPr>
        <w:t xml:space="preserve">. </w:t>
      </w:r>
    </w:p>
    <w:p w:rsidR="00D224B4" w:rsidRDefault="00D224B4">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3539AD" w:rsidRDefault="00C71500">
      <w:pPr>
        <w:ind w:left="72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1B23A9">
        <w:rPr>
          <w:rFonts w:ascii="Times New Roman" w:eastAsia="Times New Roman" w:hAnsi="Times New Roman" w:cs="Times New Roman"/>
          <w:bCs/>
        </w:rPr>
        <w:t>would</w:t>
      </w:r>
      <w:r w:rsidR="001B23A9" w:rsidRPr="00332F0A">
        <w:rPr>
          <w:rFonts w:ascii="Times New Roman" w:eastAsia="Times New Roman" w:hAnsi="Times New Roman" w:cs="Times New Roman"/>
          <w:bCs/>
        </w:rPr>
        <w:t xml:space="preserve"> </w:t>
      </w:r>
      <w:r w:rsidRPr="00332F0A">
        <w:rPr>
          <w:rFonts w:ascii="Times New Roman" w:eastAsia="Times New Roman" w:hAnsi="Times New Roman" w:cs="Times New Roman"/>
          <w:bCs/>
        </w:rPr>
        <w:t>have a positive fiscal and economic impact on DEQ because they will give DEQ the flexibility to hold virtual hearings with people calling in from around the state</w:t>
      </w:r>
      <w:r>
        <w:rPr>
          <w:rFonts w:ascii="Times New Roman" w:eastAsia="Times New Roman" w:hAnsi="Times New Roman" w:cs="Times New Roman"/>
          <w:bCs/>
        </w:rPr>
        <w:t xml:space="preserve">. </w:t>
      </w:r>
      <w:r w:rsidRPr="00332F0A">
        <w:rPr>
          <w:rFonts w:ascii="Times New Roman" w:eastAsia="Times New Roman" w:hAnsi="Times New Roman" w:cs="Times New Roman"/>
          <w:bCs/>
        </w:rPr>
        <w:t>This will reduce the amount of travel resources spent</w:t>
      </w:r>
      <w:r>
        <w:rPr>
          <w:rFonts w:ascii="Times New Roman" w:eastAsia="Times New Roman" w:hAnsi="Times New Roman" w:cs="Times New Roman"/>
          <w:bCs/>
        </w:rPr>
        <w:t xml:space="preserve">. </w:t>
      </w:r>
      <w:r w:rsidRPr="00332F0A">
        <w:rPr>
          <w:rFonts w:ascii="Times New Roman" w:eastAsia="Times New Roman" w:hAnsi="Times New Roman" w:cs="Times New Roman"/>
          <w:bCs/>
        </w:rPr>
        <w:t>Currently DEQ staff travel to hearings/meetings, not knowing whether there will be any attendees</w:t>
      </w:r>
      <w:r>
        <w:rPr>
          <w:rFonts w:ascii="Times New Roman" w:eastAsia="Times New Roman" w:hAnsi="Times New Roman" w:cs="Times New Roman"/>
          <w:bCs/>
        </w:rPr>
        <w:t xml:space="preserve">. </w:t>
      </w:r>
      <w:r w:rsidRPr="00332F0A">
        <w:rPr>
          <w:rFonts w:ascii="Times New Roman" w:eastAsia="Times New Roman" w:hAnsi="Times New Roman" w:cs="Times New Roman"/>
          <w:bCs/>
        </w:rPr>
        <w:t>The cost of using a state car is $0.565/mile</w:t>
      </w:r>
      <w:r>
        <w:rPr>
          <w:rFonts w:ascii="Times New Roman" w:eastAsia="Times New Roman" w:hAnsi="Times New Roman" w:cs="Times New Roman"/>
          <w:bCs/>
        </w:rPr>
        <w:t xml:space="preserve">. </w:t>
      </w:r>
      <w:r w:rsidRPr="00332F0A">
        <w:rPr>
          <w:rFonts w:ascii="Times New Roman" w:eastAsia="Times New Roman" w:hAnsi="Times New Roman" w:cs="Times New Roman"/>
          <w:bCs/>
        </w:rPr>
        <w:t xml:space="preserve">DEQ tries to hold hearings/meetings in offices that are free of charge. The average hourly rate of a permit </w:t>
      </w:r>
      <w:r w:rsidRPr="00332F0A">
        <w:rPr>
          <w:rFonts w:ascii="Times New Roman" w:eastAsia="Times New Roman" w:hAnsi="Times New Roman" w:cs="Times New Roman"/>
          <w:bCs/>
        </w:rPr>
        <w:lastRenderedPageBreak/>
        <w:t>writer</w:t>
      </w:r>
      <w:r>
        <w:rPr>
          <w:rFonts w:ascii="Times New Roman" w:eastAsia="Times New Roman" w:hAnsi="Times New Roman" w:cs="Times New Roman"/>
          <w:bCs/>
        </w:rPr>
        <w:t>, including benefits,</w:t>
      </w:r>
      <w:r w:rsidRPr="00332F0A">
        <w:rPr>
          <w:rFonts w:ascii="Times New Roman" w:eastAsia="Times New Roman" w:hAnsi="Times New Roman" w:cs="Times New Roman"/>
          <w:bCs/>
        </w:rPr>
        <w:t xml:space="preserve"> is</w:t>
      </w:r>
      <w:r>
        <w:rPr>
          <w:rFonts w:ascii="Times New Roman" w:eastAsia="Times New Roman" w:hAnsi="Times New Roman" w:cs="Times New Roman"/>
          <w:bCs/>
        </w:rPr>
        <w:t xml:space="preserve"> </w:t>
      </w:r>
      <w:r w:rsidRPr="00332F0A">
        <w:rPr>
          <w:rFonts w:ascii="Times New Roman" w:eastAsia="Times New Roman" w:hAnsi="Times New Roman" w:cs="Times New Roman"/>
          <w:bCs/>
        </w:rPr>
        <w:t>$70 to $85/hour</w:t>
      </w:r>
      <w:r>
        <w:rPr>
          <w:rFonts w:ascii="Times New Roman" w:eastAsia="Times New Roman" w:hAnsi="Times New Roman" w:cs="Times New Roman"/>
          <w:bCs/>
        </w:rPr>
        <w:t xml:space="preserve">. </w:t>
      </w:r>
      <w:r w:rsidRPr="00332F0A">
        <w:rPr>
          <w:rFonts w:ascii="Times New Roman" w:eastAsia="Times New Roman" w:hAnsi="Times New Roman" w:cs="Times New Roman"/>
          <w:bCs/>
        </w:rPr>
        <w:t xml:space="preserve">The cost of the hearing/meeting depends on the location and how far staff </w:t>
      </w:r>
      <w:r w:rsidR="00A42903">
        <w:rPr>
          <w:rFonts w:ascii="Times New Roman" w:eastAsia="Times New Roman" w:hAnsi="Times New Roman" w:cs="Times New Roman"/>
          <w:bCs/>
        </w:rPr>
        <w:t>must</w:t>
      </w:r>
      <w:r w:rsidRPr="00332F0A">
        <w:rPr>
          <w:rFonts w:ascii="Times New Roman" w:eastAsia="Times New Roman" w:hAnsi="Times New Roman" w:cs="Times New Roman"/>
          <w:bCs/>
        </w:rPr>
        <w:t xml:space="preserve"> travel</w:t>
      </w:r>
      <w:r>
        <w:rPr>
          <w:rFonts w:ascii="Times New Roman" w:eastAsia="Times New Roman" w:hAnsi="Times New Roman" w:cs="Times New Roman"/>
          <w:bCs/>
        </w:rPr>
        <w:t xml:space="preserve">. </w:t>
      </w:r>
      <w:r w:rsidRPr="00332F0A">
        <w:rPr>
          <w:rFonts w:ascii="Times New Roman" w:eastAsia="Times New Roman" w:hAnsi="Times New Roman" w:cs="Times New Roman"/>
          <w:bCs/>
        </w:rPr>
        <w:t xml:space="preserve">If the physical location of the hearing/meeting is 2 hours away, </w:t>
      </w:r>
      <w:r>
        <w:rPr>
          <w:rFonts w:ascii="Times New Roman" w:eastAsia="Times New Roman" w:hAnsi="Times New Roman" w:cs="Times New Roman"/>
          <w:bCs/>
        </w:rPr>
        <w:t xml:space="preserve">the cost of the hearing/meeting could be approximately $2000. At least $800 of that cost is due to transportation. </w:t>
      </w:r>
    </w:p>
    <w:p w:rsidR="003539AD" w:rsidRDefault="003539AD">
      <w:pPr>
        <w:ind w:left="720" w:right="18"/>
        <w:outlineLvl w:val="0"/>
        <w:rPr>
          <w:rFonts w:ascii="Times New Roman" w:eastAsia="Times New Roman" w:hAnsi="Times New Roman" w:cs="Times New Roman"/>
          <w:bCs/>
        </w:rPr>
      </w:pPr>
    </w:p>
    <w:p w:rsidR="003539AD" w:rsidRDefault="00C71500">
      <w:pPr>
        <w:ind w:left="72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1B23A9">
        <w:rPr>
          <w:rFonts w:ascii="Times New Roman" w:eastAsia="Times New Roman" w:hAnsi="Times New Roman" w:cs="Times New Roman"/>
          <w:bCs/>
        </w:rPr>
        <w:t>would</w:t>
      </w:r>
      <w:r w:rsidR="001B23A9" w:rsidRPr="00332F0A">
        <w:rPr>
          <w:rFonts w:ascii="Times New Roman" w:eastAsia="Times New Roman" w:hAnsi="Times New Roman" w:cs="Times New Roman"/>
          <w:bCs/>
        </w:rPr>
        <w:t xml:space="preserve"> </w:t>
      </w:r>
      <w:r w:rsidRPr="00332F0A">
        <w:rPr>
          <w:rFonts w:ascii="Times New Roman" w:eastAsia="Times New Roman" w:hAnsi="Times New Roman" w:cs="Times New Roman"/>
          <w:bCs/>
        </w:rPr>
        <w:t>also have a positive fiscal and economic impact on hearing/meeting attendees because they will be able to call in from around the state, rather than travel</w:t>
      </w:r>
      <w:r>
        <w:rPr>
          <w:rFonts w:ascii="Times New Roman" w:eastAsia="Times New Roman" w:hAnsi="Times New Roman" w:cs="Times New Roman"/>
          <w:bCs/>
        </w:rPr>
        <w:t xml:space="preserve">. </w:t>
      </w:r>
      <w:r w:rsidRPr="00332F0A">
        <w:rPr>
          <w:rFonts w:ascii="Times New Roman" w:eastAsia="Times New Roman" w:hAnsi="Times New Roman" w:cs="Times New Roman"/>
          <w:bCs/>
        </w:rPr>
        <w:t>Once again, these cost savings depend on the physical location of the hearing/meeting</w:t>
      </w:r>
      <w:r>
        <w:rPr>
          <w:rFonts w:ascii="Times New Roman" w:eastAsia="Times New Roman" w:hAnsi="Times New Roman" w:cs="Times New Roman"/>
          <w:bCs/>
        </w:rPr>
        <w:t xml:space="preserve">. </w:t>
      </w:r>
      <w:r w:rsidRPr="00332F0A">
        <w:rPr>
          <w:rFonts w:ascii="Times New Roman" w:eastAsia="Times New Roman" w:hAnsi="Times New Roman" w:cs="Times New Roman"/>
          <w:bCs/>
        </w:rPr>
        <w:t xml:space="preserve">DEQ lacks available information to estimate those costs </w:t>
      </w:r>
      <w:r w:rsidR="001B23A9" w:rsidRPr="00332F0A">
        <w:rPr>
          <w:rFonts w:ascii="Times New Roman" w:eastAsia="Times New Roman" w:hAnsi="Times New Roman" w:cs="Times New Roman"/>
          <w:bCs/>
        </w:rPr>
        <w:t xml:space="preserve">accurately </w:t>
      </w:r>
      <w:r w:rsidRPr="00332F0A">
        <w:rPr>
          <w:rFonts w:ascii="Times New Roman" w:eastAsia="Times New Roman" w:hAnsi="Times New Roman" w:cs="Times New Roman"/>
          <w:bCs/>
        </w:rPr>
        <w:t>since the travel distance for hearing/meeting attendees is unknown</w:t>
      </w:r>
      <w:r>
        <w:rPr>
          <w:rFonts w:ascii="Times New Roman" w:eastAsia="Times New Roman" w:hAnsi="Times New Roman" w:cs="Times New Roman"/>
          <w:bCs/>
        </w:rPr>
        <w:t xml:space="preserve">. </w:t>
      </w:r>
    </w:p>
    <w:p w:rsidR="00411BE0" w:rsidRPr="00332F0A" w:rsidRDefault="00411BE0" w:rsidP="00C71500">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HeatSmart</w:t>
      </w:r>
    </w:p>
    <w:p w:rsidR="003539AD" w:rsidRDefault="00C71500">
      <w:pPr>
        <w:ind w:left="72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sidR="001B23A9">
        <w:rPr>
          <w:rFonts w:ascii="Times New Roman" w:eastAsia="Times New Roman" w:hAnsi="Times New Roman" w:cs="Times New Roman"/>
          <w:bCs/>
        </w:rPr>
        <w:t>that</w:t>
      </w:r>
      <w:r w:rsidR="001B23A9" w:rsidRPr="00EA0F3C">
        <w:rPr>
          <w:rFonts w:ascii="Times New Roman" w:eastAsia="Times New Roman" w:hAnsi="Times New Roman" w:cs="Times New Roman"/>
          <w:bCs/>
        </w:rPr>
        <w:t xml:space="preserve"> </w:t>
      </w:r>
      <w:r w:rsidRPr="00EA0F3C">
        <w:rPr>
          <w:rFonts w:ascii="Times New Roman" w:eastAsia="Times New Roman" w:hAnsi="Times New Roman" w:cs="Times New Roman"/>
          <w:bCs/>
        </w:rPr>
        <w:t>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These proposed rules are to re-establish a pathway for small biomass boilers to be sold for commercial, industrial, and institutional uses in Oregon.</w:t>
      </w:r>
    </w:p>
    <w:p w:rsidR="00411BE0" w:rsidRPr="00357150" w:rsidRDefault="00411BE0" w:rsidP="00C71500">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Implement SB 249A - Clean diesel grant and loan rules</w:t>
      </w: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There is no fiscal or economic impact from this proposed rule change because it is a voluntary program</w:t>
      </w:r>
      <w:r>
        <w:rPr>
          <w:rFonts w:ascii="Times New Roman" w:eastAsia="Times New Roman" w:hAnsi="Times New Roman" w:cs="Times New Roman"/>
          <w:bCs/>
        </w:rPr>
        <w:t xml:space="preserve">. </w:t>
      </w:r>
    </w:p>
    <w:p w:rsidR="00411BE0" w:rsidRPr="00E638D3" w:rsidRDefault="00411BE0" w:rsidP="00C71500">
      <w:pPr>
        <w:ind w:left="720" w:right="18"/>
        <w:outlineLvl w:val="0"/>
        <w:rPr>
          <w:rFonts w:ascii="Times New Roman" w:eastAsia="Times New Roman" w:hAnsi="Times New Roman" w:cs="Times New Roman"/>
          <w:bCs/>
        </w:rPr>
      </w:pPr>
    </w:p>
    <w:p w:rsidR="003539AD" w:rsidRDefault="00C71500">
      <w:pPr>
        <w:pStyle w:val="ListParagraph"/>
        <w:numPr>
          <w:ilvl w:val="0"/>
          <w:numId w:val="20"/>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3539AD" w:rsidRDefault="00C71500">
      <w:pPr>
        <w:ind w:left="72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anticipates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411BE0"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Pr>
          <w:rFonts w:ascii="Times New Roman" w:eastAsia="Times New Roman" w:hAnsi="Times New Roman" w:cs="Times New Roman"/>
          <w:b/>
          <w:bCs/>
        </w:rPr>
        <w:t>rules</w:t>
      </w:r>
    </w:p>
    <w:p w:rsidR="00D224B4"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does not anticipate any direct fiscal or economic impacts from the</w:t>
      </w:r>
      <w:r>
        <w:rPr>
          <w:rFonts w:ascii="Times New Roman" w:eastAsia="Times New Roman" w:hAnsi="Times New Roman" w:cs="Times New Roman"/>
          <w:bCs/>
        </w:rPr>
        <w:t xml:space="preserve">se changes </w:t>
      </w:r>
      <w:r w:rsidRPr="00E638D3">
        <w:rPr>
          <w:rFonts w:ascii="Times New Roman" w:eastAsia="Times New Roman" w:hAnsi="Times New Roman" w:cs="Times New Roman"/>
          <w:bCs/>
        </w:rPr>
        <w:t>on the general public because these changes will not affect the stringency of DEQ’s rules</w:t>
      </w:r>
      <w:r>
        <w:rPr>
          <w:rFonts w:ascii="Times New Roman" w:eastAsia="Times New Roman" w:hAnsi="Times New Roman" w:cs="Times New Roman"/>
          <w:bCs/>
        </w:rPr>
        <w:t xml:space="preserve">. </w:t>
      </w:r>
    </w:p>
    <w:p w:rsidR="00D224B4" w:rsidRPr="00E638D3" w:rsidRDefault="00D224B4" w:rsidP="00623611">
      <w:pPr>
        <w:ind w:left="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224B4" w:rsidRPr="00E638D3"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does not anticipate any direct fiscal or economic impacts from the proposed rules on the general public because of potential changes due to the lower particulate matter standards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However, indirect fiscal or economic impacts to the public may occur through increased prices for services or products as a result of costs associated with additional control or process equipment that may be required to meet lower particulate matter standards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expects any such price increases to be small and lacks available information upon which it could accurately estimate potential increases.</w:t>
      </w:r>
      <w:r w:rsidR="0069591F">
        <w:rPr>
          <w:rFonts w:ascii="Times New Roman" w:eastAsia="Times New Roman" w:hAnsi="Times New Roman" w:cs="Times New Roman"/>
          <w:bCs/>
        </w:rPr>
        <w:t xml:space="preserve"> </w:t>
      </w:r>
    </w:p>
    <w:p w:rsidR="00D224B4" w:rsidRPr="00E638D3" w:rsidRDefault="00D224B4" w:rsidP="00DA6A20">
      <w:pPr>
        <w:ind w:left="0" w:right="18"/>
        <w:outlineLvl w:val="0"/>
        <w:rPr>
          <w:rFonts w:ascii="Times New Roman" w:eastAsia="Times New Roman" w:hAnsi="Times New Roman" w:cs="Times New Roman"/>
          <w:bCs/>
        </w:rPr>
      </w:pPr>
    </w:p>
    <w:p w:rsidR="00D224B4"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These health problems have negative economic impacts. The proposed rules could create </w:t>
      </w:r>
      <w:r w:rsidRPr="00E638D3">
        <w:rPr>
          <w:rFonts w:ascii="Times New Roman" w:eastAsia="Times New Roman" w:hAnsi="Times New Roman" w:cs="Times New Roman"/>
          <w:bCs/>
        </w:rPr>
        <w:lastRenderedPageBreak/>
        <w:t>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D224B4" w:rsidRPr="00D224B4" w:rsidRDefault="00D224B4" w:rsidP="00137427">
      <w:pPr>
        <w:pStyle w:val="ListParagraph"/>
        <w:numPr>
          <w:ilvl w:val="0"/>
          <w:numId w:val="21"/>
        </w:numPr>
        <w:ind w:right="18"/>
        <w:outlineLvl w:val="0"/>
        <w:rPr>
          <w:rFonts w:ascii="Times New Roman" w:eastAsia="Times New Roman" w:hAnsi="Times New Roman" w:cs="Times New Roman"/>
          <w:b/>
          <w:bCs/>
        </w:rPr>
      </w:pPr>
      <w:r w:rsidRPr="00D224B4">
        <w:rPr>
          <w:rFonts w:ascii="Times New Roman" w:eastAsia="Times New Roman" w:hAnsi="Times New Roman" w:cs="Times New Roman"/>
          <w:b/>
          <w:bCs/>
        </w:rPr>
        <w:t>Change permitting requirements for emergency generators and small natural gas or oil-fired equipment</w:t>
      </w:r>
    </w:p>
    <w:p w:rsidR="00D224B4"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does not anticipate any direct fiscal or economic impacts from the proposed rules on the general public because of the requirement to get a new permit or modify an existing permit to add emergency generators or </w:t>
      </w:r>
      <w:r>
        <w:rPr>
          <w:rFonts w:ascii="Times New Roman" w:eastAsia="Times New Roman" w:hAnsi="Times New Roman" w:cs="Times New Roman"/>
          <w:bCs/>
        </w:rPr>
        <w:t xml:space="preserve">small natural gas or oil-fired equipment. </w:t>
      </w:r>
      <w:r w:rsidRPr="00E638D3">
        <w:rPr>
          <w:rFonts w:ascii="Times New Roman" w:eastAsia="Times New Roman" w:hAnsi="Times New Roman" w:cs="Times New Roman"/>
          <w:bCs/>
        </w:rPr>
        <w:t>However, indirect fiscal or economic impacts to the public may occur through increased prices for services or products as a result of costs associated with a new permit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expects any such price increases to be small and lacks available information upon which it could accurately estimate potential increases.</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69591F" w:rsidRPr="0069591F" w:rsidRDefault="00D224B4" w:rsidP="0069591F">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does not anticipate any direct fiscal or economic impacts from the proposed rules on the general public because of the requirement to get a New Source Review permit based on the amount of emissions or the location of the new or modified business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However, indirect fiscal or economic impacts to the public may occur through increased prices for services or products as a result of costs associated with a new permit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expects any such price increases to be small and lacks available information upon which it could accurately estimate potential increases.</w:t>
      </w:r>
      <w:r w:rsidR="0069591F">
        <w:rPr>
          <w:rFonts w:ascii="Times New Roman" w:eastAsia="Times New Roman" w:hAnsi="Times New Roman" w:cs="Times New Roman"/>
          <w:bCs/>
        </w:rPr>
        <w:t xml:space="preserve"> </w:t>
      </w:r>
      <w:r w:rsidR="0069591F" w:rsidRPr="0069591F">
        <w:rPr>
          <w:rFonts w:ascii="Times New Roman" w:eastAsia="Times New Roman" w:hAnsi="Times New Roman" w:cs="Times New Roman"/>
          <w:bCs/>
        </w:rPr>
        <w:t>Some members of the public may benefit from woodstove replacements.</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224B4"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does not anticipate any direct fiscal or economic impacts from the proposed rules on the general public because of the Lakeview sustainment area designation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However, positive indirect fiscal or economic impacts to the public may occur through more businesses being able to locate in Lakeview</w:t>
      </w:r>
      <w:r>
        <w:rPr>
          <w:rFonts w:ascii="Times New Roman" w:eastAsia="Times New Roman" w:hAnsi="Times New Roman" w:cs="Times New Roman"/>
          <w:bCs/>
        </w:rPr>
        <w:t xml:space="preserve">. In addition, if new businesses locate in Lakeview, some members of the public may benefit from woodstove replacements. </w:t>
      </w:r>
      <w:r w:rsidRPr="00E638D3">
        <w:rPr>
          <w:rFonts w:ascii="Times New Roman" w:eastAsia="Times New Roman" w:hAnsi="Times New Roman" w:cs="Times New Roman"/>
          <w:bCs/>
        </w:rPr>
        <w:t>DEQ expects any such price decreases to be small and lacks available information upon which it could accurately estimate potential decreases.</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D224B4"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does not anticipate any direct fiscal or economic impacts from the proposed rules on the general public because of more flexibility in holding public hearings and meetings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However, positive indirect fiscal or economic impacts to the public may occur through more efficient use of DEQ resources and ease of attending the meetings by communities around the state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expects any such price decreases to be small and lacks available information upon which it could accurately estimate potential decreases.</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HeatSmart</w:t>
      </w:r>
    </w:p>
    <w:p w:rsidR="00D224B4" w:rsidRDefault="00D224B4" w:rsidP="00D224B4">
      <w:pPr>
        <w:ind w:left="360" w:right="18"/>
        <w:outlineLvl w:val="0"/>
        <w:rPr>
          <w:rFonts w:ascii="Times New Roman" w:eastAsia="Times New Roman" w:hAnsi="Times New Roman" w:cs="Times New Roman"/>
          <w:bCs/>
        </w:rPr>
      </w:pPr>
      <w:r w:rsidRPr="00357150">
        <w:rPr>
          <w:rFonts w:ascii="Times New Roman" w:eastAsia="Times New Roman" w:hAnsi="Times New Roman" w:cs="Times New Roman"/>
          <w:bCs/>
        </w:rPr>
        <w:t>DEQ does not anticipate any direct, negative fiscal or economic impacts from the proposed rules on the general public</w:t>
      </w:r>
      <w:r>
        <w:rPr>
          <w:rFonts w:ascii="Times New Roman" w:eastAsia="Times New Roman" w:hAnsi="Times New Roman" w:cs="Times New Roman"/>
          <w:bCs/>
        </w:rPr>
        <w:t xml:space="preserve">. </w:t>
      </w:r>
    </w:p>
    <w:p w:rsidR="00D224B4" w:rsidRPr="00357150"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Pr="003F4AEF">
        <w:rPr>
          <w:rFonts w:ascii="Times New Roman" w:eastAsia="Times New Roman" w:hAnsi="Times New Roman" w:cs="Times New Roman"/>
          <w:b/>
          <w:bCs/>
        </w:rPr>
        <w:t>Clean diesel grant and loan rules</w:t>
      </w:r>
    </w:p>
    <w:p w:rsidR="00D224B4" w:rsidRDefault="00D224B4" w:rsidP="00D224B4">
      <w:pPr>
        <w:ind w:left="360" w:right="18"/>
        <w:outlineLvl w:val="0"/>
        <w:rPr>
          <w:rFonts w:ascii="Times New Roman" w:eastAsia="Times New Roman" w:hAnsi="Times New Roman" w:cs="Times New Roman"/>
          <w:bCs/>
        </w:rPr>
      </w:pPr>
      <w:r>
        <w:rPr>
          <w:rFonts w:ascii="Times New Roman" w:eastAsia="Times New Roman" w:hAnsi="Times New Roman" w:cs="Times New Roman"/>
          <w:bCs/>
        </w:rPr>
        <w:t xml:space="preserve">DEQ anticipates that there would be </w:t>
      </w:r>
      <w:r w:rsidRPr="00CD7EF0">
        <w:rPr>
          <w:rFonts w:ascii="Times New Roman" w:eastAsia="Times New Roman" w:hAnsi="Times New Roman" w:cs="Times New Roman"/>
          <w:bCs/>
        </w:rPr>
        <w:t xml:space="preserve">a positive fiscal </w:t>
      </w:r>
      <w:r>
        <w:rPr>
          <w:rFonts w:ascii="Times New Roman" w:eastAsia="Times New Roman" w:hAnsi="Times New Roman" w:cs="Times New Roman"/>
          <w:bCs/>
        </w:rPr>
        <w:t xml:space="preserve">and economic impact on the general public </w:t>
      </w:r>
      <w:r w:rsidRPr="00CD7EF0">
        <w:rPr>
          <w:rFonts w:ascii="Times New Roman" w:eastAsia="Times New Roman" w:hAnsi="Times New Roman" w:cs="Times New Roman"/>
          <w:bCs/>
        </w:rPr>
        <w:t>with this change if more equipment upgrades occur in Oregon</w:t>
      </w:r>
      <w:r>
        <w:rPr>
          <w:rFonts w:ascii="Times New Roman" w:eastAsia="Times New Roman" w:hAnsi="Times New Roman" w:cs="Times New Roman"/>
          <w:bCs/>
        </w:rPr>
        <w:t xml:space="preserve">. </w:t>
      </w:r>
      <w:r w:rsidRPr="00CD7EF0">
        <w:rPr>
          <w:rFonts w:ascii="Times New Roman" w:eastAsia="Times New Roman" w:hAnsi="Times New Roman" w:cs="Times New Roman"/>
          <w:bCs/>
        </w:rPr>
        <w:t>DEQ estimates that this impact would be very small and would probably not be passed on to the general public or customers</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Remove a</w:t>
      </w:r>
      <w:r w:rsidRPr="003F4AEF">
        <w:rPr>
          <w:rFonts w:ascii="Times New Roman" w:eastAsia="Times New Roman" w:hAnsi="Times New Roman" w:cs="Times New Roman"/>
          <w:b/>
          <w:bCs/>
        </w:rPr>
        <w:t>nnual reporting requirement for small gasoline dispensing facilities</w:t>
      </w:r>
    </w:p>
    <w:p w:rsidR="00D224B4" w:rsidRPr="00E638D3" w:rsidRDefault="00D224B4" w:rsidP="00D224B4">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DEQ anticipates that there would be a positive fiscal and economic impact on the general public as a result of EQC removing the annual reporting requirement for gasoline dispensing facilities with monthly throughput of less than 10,000 gallons of gasoline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estimates that this impact would be very small and would probably not be passed on to the general public or customers</w:t>
      </w:r>
      <w:r>
        <w:rPr>
          <w:rFonts w:ascii="Times New Roman" w:eastAsia="Times New Roman" w:hAnsi="Times New Roman" w:cs="Times New Roman"/>
          <w:bCs/>
        </w:rPr>
        <w:t xml:space="preserve">. </w:t>
      </w:r>
    </w:p>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0" w:history="1">
        <w:r w:rsidRPr="00E638D3">
          <w:rPr>
            <w:rStyle w:val="Hyperlink"/>
            <w:rFonts w:asciiTheme="majorHAnsi" w:eastAsia="Times New Roman" w:hAnsiTheme="majorHAnsi" w:cstheme="majorHAnsi"/>
            <w:bCs/>
            <w:color w:val="auto"/>
            <w:sz w:val="22"/>
            <w:szCs w:val="22"/>
          </w:rPr>
          <w:t>ORS 183.335</w:t>
        </w:r>
      </w:hyperlink>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Pr>
          <w:rFonts w:ascii="Times New Roman" w:eastAsia="Times New Roman" w:hAnsi="Times New Roman" w:cs="Times New Roman"/>
          <w:b/>
          <w:bCs/>
          <w:iCs/>
        </w:rPr>
        <w:t>rules</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Initial workload for DEQ will increase as a result of the proposed rule changes but will eventually decrease as staff becomes familiar with the proposed rules</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i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Initial workload for DEQ will increase as a result of the proposed rule changes but will eventually decrease as staff becomes familiar with the proposed rules</w:t>
      </w:r>
      <w:r>
        <w:rPr>
          <w:rFonts w:ascii="Times New Roman" w:eastAsia="Times New Roman" w:hAnsi="Times New Roman" w:cs="Times New Roman"/>
          <w:bCs/>
          <w:iCs/>
        </w:rPr>
        <w:t>. Preventing areas from becoming</w:t>
      </w:r>
      <w:r w:rsidRPr="00357150">
        <w:rPr>
          <w:rFonts w:ascii="Times New Roman" w:eastAsia="Times New Roman" w:hAnsi="Times New Roman" w:cs="Times New Roman"/>
          <w:bCs/>
          <w:iCs/>
        </w:rPr>
        <w:t xml:space="preserve"> nonattainment will </w:t>
      </w:r>
      <w:r>
        <w:rPr>
          <w:rFonts w:ascii="Times New Roman" w:eastAsia="Times New Roman" w:hAnsi="Times New Roman" w:cs="Times New Roman"/>
          <w:bCs/>
          <w:iCs/>
        </w:rPr>
        <w:t xml:space="preserve">avoid future increases in </w:t>
      </w:r>
      <w:r w:rsidRPr="00357150">
        <w:rPr>
          <w:rFonts w:ascii="Times New Roman" w:eastAsia="Times New Roman" w:hAnsi="Times New Roman" w:cs="Times New Roman"/>
          <w:bCs/>
          <w:iCs/>
        </w:rPr>
        <w:t>DEQ workload</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Pr>
          <w:rFonts w:ascii="Times New Roman" w:eastAsia="Times New Roman" w:hAnsi="Times New Roman" w:cs="Times New Roman"/>
          <w:b/>
          <w:bCs/>
        </w:rPr>
        <w:t>emergency generators and small natural gas or oil-fired equipment</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 xml:space="preserve">Initial workload for DEQ will increase as a result of the proposed rule changes but </w:t>
      </w:r>
      <w:proofErr w:type="gramStart"/>
      <w:r>
        <w:rPr>
          <w:rFonts w:ascii="Times New Roman" w:eastAsia="Times New Roman" w:hAnsi="Times New Roman" w:cs="Times New Roman"/>
          <w:bCs/>
          <w:iCs/>
        </w:rPr>
        <w:t>may</w:t>
      </w:r>
      <w:proofErr w:type="gramEnd"/>
      <w:r>
        <w:rPr>
          <w:rFonts w:ascii="Times New Roman" w:eastAsia="Times New Roman" w:hAnsi="Times New Roman" w:cs="Times New Roman"/>
          <w:bCs/>
          <w:iCs/>
        </w:rPr>
        <w:t xml:space="preserve"> later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sources that require permits.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Initial workload for DEQ will increase as a result of the proposed rule changes but will eventually decrease as staff becomes familiar with the proposed rules</w:t>
      </w:r>
      <w:r>
        <w:rPr>
          <w:rFonts w:ascii="Times New Roman" w:eastAsia="Times New Roman" w:hAnsi="Times New Roman" w:cs="Times New Roman"/>
          <w:bCs/>
          <w:iCs/>
        </w:rPr>
        <w:t xml:space="preserve">. </w:t>
      </w:r>
      <w:r w:rsidRPr="005B28F9">
        <w:rPr>
          <w:rFonts w:ascii="Times New Roman" w:eastAsia="Times New Roman" w:hAnsi="Times New Roman" w:cs="Times New Roman"/>
          <w:bCs/>
          <w:iCs/>
        </w:rPr>
        <w:t>Preventing areas from becoming nonattainment will avoid future increases in DEQ workload</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Initial workload for DEQ will increase as a result of the proposed rule changes but will eventually decrease as staff becomes familiar with the proposed rules</w:t>
      </w:r>
      <w:r>
        <w:rPr>
          <w:rFonts w:ascii="Times New Roman" w:eastAsia="Times New Roman" w:hAnsi="Times New Roman" w:cs="Times New Roman"/>
          <w:bCs/>
          <w:iCs/>
        </w:rPr>
        <w:t xml:space="preserve">. </w:t>
      </w:r>
      <w:r w:rsidRPr="005B28F9">
        <w:rPr>
          <w:rFonts w:ascii="Times New Roman" w:eastAsia="Times New Roman" w:hAnsi="Times New Roman" w:cs="Times New Roman"/>
          <w:bCs/>
          <w:iCs/>
        </w:rPr>
        <w:t>Preventing areas from becoming nonattainment will avoid future increases in DEQ workload</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3F35B2" w:rsidRDefault="003F35B2" w:rsidP="003F35B2">
      <w:pPr>
        <w:ind w:left="360" w:right="18"/>
        <w:outlineLvl w:val="0"/>
        <w:rPr>
          <w:rFonts w:ascii="Times New Roman" w:eastAsia="Times New Roman" w:hAnsi="Times New Roman" w:cs="Times New Roman"/>
          <w:bCs/>
          <w:iCs/>
        </w:rPr>
      </w:pPr>
      <w:r>
        <w:rPr>
          <w:rFonts w:ascii="Times New Roman" w:eastAsia="Times New Roman" w:hAnsi="Times New Roman" w:cs="Times New Roman"/>
          <w:bCs/>
          <w:iCs/>
        </w:rPr>
        <w:t>W</w:t>
      </w:r>
      <w:r w:rsidRPr="00357150">
        <w:rPr>
          <w:rFonts w:ascii="Times New Roman" w:eastAsia="Times New Roman" w:hAnsi="Times New Roman" w:cs="Times New Roman"/>
          <w:bCs/>
          <w:iCs/>
        </w:rPr>
        <w:t xml:space="preserve">orkload for DEQ </w:t>
      </w:r>
      <w:r>
        <w:rPr>
          <w:rFonts w:ascii="Times New Roman" w:eastAsia="Times New Roman" w:hAnsi="Times New Roman" w:cs="Times New Roman"/>
          <w:bCs/>
          <w:iCs/>
        </w:rPr>
        <w:t xml:space="preserve">may increase or decrease depending on how this rule is implemented.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0578E8">
        <w:rPr>
          <w:rFonts w:ascii="Times New Roman" w:eastAsia="Times New Roman" w:hAnsi="Times New Roman" w:cs="Times New Roman"/>
          <w:b/>
          <w:bCs/>
        </w:rPr>
        <w:t>HeatSmart</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iCs/>
        </w:rPr>
        <w:t>The workload for DEQ will not change because these rules reestablish a pathway for small scale industrial, commercial, and institutional boilers to be sold in Oregon again</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Implement SB 249A - </w:t>
      </w:r>
      <w:r w:rsidRPr="000578E8">
        <w:rPr>
          <w:rFonts w:ascii="Times New Roman" w:eastAsia="Times New Roman" w:hAnsi="Times New Roman" w:cs="Times New Roman"/>
          <w:b/>
          <w:bCs/>
        </w:rPr>
        <w:t>Clean diesel grant and loan rules</w:t>
      </w:r>
    </w:p>
    <w:p w:rsidR="003F35B2" w:rsidRDefault="003F35B2" w:rsidP="003F35B2">
      <w:pPr>
        <w:ind w:left="360" w:right="18"/>
        <w:outlineLvl w:val="0"/>
        <w:rPr>
          <w:rFonts w:ascii="Times New Roman" w:eastAsia="Times New Roman" w:hAnsi="Times New Roman" w:cs="Times New Roman"/>
          <w:bCs/>
          <w:iCs/>
        </w:rPr>
      </w:pPr>
      <w:r w:rsidRPr="00357150">
        <w:rPr>
          <w:rFonts w:ascii="Times New Roman" w:eastAsia="Times New Roman" w:hAnsi="Times New Roman" w:cs="Times New Roman"/>
          <w:bCs/>
        </w:rPr>
        <w:t xml:space="preserve">There is no fiscal or economic impact on </w:t>
      </w:r>
      <w:r>
        <w:rPr>
          <w:rFonts w:ascii="Times New Roman" w:eastAsia="Times New Roman" w:hAnsi="Times New Roman" w:cs="Times New Roman"/>
          <w:bCs/>
        </w:rPr>
        <w:t>DEQ</w:t>
      </w:r>
      <w:r w:rsidRPr="00357150">
        <w:rPr>
          <w:rFonts w:ascii="Times New Roman" w:eastAsia="Times New Roman" w:hAnsi="Times New Roman" w:cs="Times New Roman"/>
          <w:bCs/>
        </w:rPr>
        <w:t xml:space="preserve"> from this proposed rule change because t</w:t>
      </w:r>
      <w:r w:rsidRPr="00357150">
        <w:rPr>
          <w:rFonts w:ascii="Times New Roman" w:eastAsia="Times New Roman" w:hAnsi="Times New Roman" w:cs="Times New Roman"/>
          <w:bCs/>
          <w:iCs/>
        </w:rPr>
        <w:t>he costs of administering the grant are recovered from the grant itself, including indirect costs</w:t>
      </w:r>
      <w:r>
        <w:rPr>
          <w:rFonts w:ascii="Times New Roman" w:eastAsia="Times New Roman" w:hAnsi="Times New Roman" w:cs="Times New Roman"/>
          <w:bCs/>
          <w:iCs/>
        </w:rPr>
        <w:t xml:space="preserve">. </w:t>
      </w:r>
    </w:p>
    <w:p w:rsidR="003F35B2" w:rsidRPr="00357150" w:rsidRDefault="003F35B2" w:rsidP="003F35B2">
      <w:pPr>
        <w:ind w:left="360" w:right="18"/>
        <w:outlineLvl w:val="0"/>
        <w:rPr>
          <w:rFonts w:ascii="Times New Roman" w:eastAsia="Times New Roman" w:hAnsi="Times New Roman" w:cs="Times New Roman"/>
          <w:bCs/>
        </w:rPr>
      </w:pPr>
    </w:p>
    <w:p w:rsidR="003F35B2" w:rsidRPr="000578E8" w:rsidRDefault="003F35B2"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Pr="000578E8">
        <w:rPr>
          <w:rFonts w:ascii="Times New Roman" w:eastAsia="Times New Roman" w:hAnsi="Times New Roman" w:cs="Times New Roman"/>
          <w:b/>
          <w:bCs/>
        </w:rPr>
        <w:t>nnual reporting requirement for small gasoline dispensing facilities</w:t>
      </w:r>
    </w:p>
    <w:p w:rsidR="003F35B2" w:rsidRPr="00357150" w:rsidRDefault="003F35B2" w:rsidP="003F35B2">
      <w:pPr>
        <w:ind w:left="360" w:right="18"/>
        <w:outlineLvl w:val="0"/>
        <w:rPr>
          <w:rFonts w:ascii="Times New Roman" w:eastAsia="Times New Roman" w:hAnsi="Times New Roman" w:cs="Times New Roman"/>
          <w:bCs/>
        </w:rPr>
      </w:pPr>
      <w:r w:rsidRPr="00357150">
        <w:rPr>
          <w:rFonts w:ascii="Times New Roman" w:eastAsia="Times New Roman" w:hAnsi="Times New Roman" w:cs="Times New Roman"/>
          <w:bCs/>
          <w:iCs/>
        </w:rPr>
        <w:t>The workload for DEQ will decrease as a result of the proposed rule changes because there will be fewer reports to process and review</w:t>
      </w:r>
      <w:r>
        <w:rPr>
          <w:rFonts w:ascii="Times New Roman" w:eastAsia="Times New Roman" w:hAnsi="Times New Roman" w:cs="Times New Roman"/>
          <w:bCs/>
          <w:iCs/>
        </w:rPr>
        <w:t xml:space="preserve">. </w:t>
      </w:r>
    </w:p>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1"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62EB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will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39216C">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DEQ does not expect </w:t>
            </w:r>
            <w:r w:rsidR="00D02904" w:rsidRPr="00E638D3">
              <w:rPr>
                <w:rFonts w:ascii="Times New Roman" w:eastAsia="Times New Roman" w:hAnsi="Times New Roman" w:cs="Times New Roman"/>
                <w:bCs/>
                <w:iCs/>
                <w:sz w:val="24"/>
                <w:szCs w:val="24"/>
              </w:rPr>
              <w:t>additional costs for equipment, supplies, labor or administration 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Comments are being requested during the Public Comment period and at Public Hearings </w:t>
            </w:r>
            <w:r w:rsidRPr="00E638D3">
              <w:rPr>
                <w:rFonts w:ascii="Times New Roman" w:eastAsia="Times New Roman" w:hAnsi="Times New Roman" w:cs="Times New Roman"/>
                <w:bCs/>
                <w:iCs/>
                <w:sz w:val="24"/>
                <w:szCs w:val="24"/>
              </w:rPr>
              <w:lastRenderedPageBreak/>
              <w:t>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3539AD" w:rsidRDefault="0039216C"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3539AD">
      <w:pPr>
        <w:ind w:left="108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9216C" w:rsidP="003539AD">
      <w:pPr>
        <w:ind w:left="1080" w:right="18"/>
        <w:rPr>
          <w:rFonts w:asciiTheme="minorHAnsi" w:eastAsia="Times New Roman" w:hAnsiTheme="minorHAnsi" w:cstheme="minorHAnsi"/>
          <w:bCs/>
        </w:rPr>
      </w:pPr>
      <w:r w:rsidRPr="00BD316E">
        <w:rPr>
          <w:rFonts w:asciiTheme="minorHAnsi" w:eastAsia="Times New Roman" w:hAnsiTheme="minorHAnsi" w:cstheme="minorHAnsi"/>
          <w:bCs/>
        </w:rPr>
        <w:t>http://arcweb.sos.state.or.us/pages/rules/oars_300/oar_340/_340_tables/340-216-0020_3-27.pdf</w:t>
      </w: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ins w:id="7" w:author="mvandeh" w:date="2013-09-03T14:16: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39216C" w:rsidRDefault="0039216C" w:rsidP="00B34CF8">
      <w:pPr>
        <w:spacing w:after="120"/>
        <w:ind w:left="360" w:right="18"/>
        <w:outlineLvl w:val="0"/>
        <w:rPr>
          <w:ins w:id="8" w:author="mvandeh" w:date="2013-09-03T14:15:00Z"/>
          <w:rFonts w:asciiTheme="majorHAnsi" w:eastAsia="Times New Roman" w:hAnsiTheme="majorHAnsi" w:cstheme="majorHAnsi"/>
          <w:bCs/>
          <w:sz w:val="22"/>
          <w:szCs w:val="22"/>
        </w:rPr>
      </w:pPr>
      <w:ins w:id="9" w:author="mvandeh" w:date="2013-09-03T14:16:00Z">
        <w:r>
          <w:rPr>
            <w:rFonts w:asciiTheme="majorHAnsi" w:eastAsia="Times New Roman" w:hAnsiTheme="majorHAnsi" w:cstheme="majorHAnsi"/>
            <w:bCs/>
            <w:sz w:val="22"/>
            <w:szCs w:val="22"/>
          </w:rPr>
          <w:t>Jill, I need to do some work on this</w:t>
        </w:r>
      </w:ins>
      <w:ins w:id="10" w:author="mvandeh" w:date="2013-09-03T14:17:00Z">
        <w:r>
          <w:rPr>
            <w:rFonts w:asciiTheme="majorHAnsi" w:eastAsia="Times New Roman" w:hAnsiTheme="majorHAnsi" w:cstheme="majorHAnsi"/>
            <w:bCs/>
            <w:sz w:val="22"/>
            <w:szCs w:val="22"/>
          </w:rPr>
          <w:t xml:space="preserve"> to combine it into one statement.</w:t>
        </w:r>
      </w:ins>
    </w:p>
    <w:p w:rsidR="0039216C" w:rsidRPr="00BD316E" w:rsidDel="0039216C" w:rsidRDefault="0039216C" w:rsidP="00B34CF8">
      <w:pPr>
        <w:spacing w:after="120"/>
        <w:ind w:left="360" w:right="18"/>
        <w:outlineLvl w:val="0"/>
        <w:rPr>
          <w:del w:id="11" w:author="mvandeh" w:date="2013-09-03T14:16:00Z"/>
          <w:rFonts w:asciiTheme="majorHAnsi" w:eastAsia="Times New Roman" w:hAnsiTheme="majorHAnsi" w:cstheme="majorHAnsi"/>
          <w:bCs/>
          <w:sz w:val="22"/>
          <w:szCs w:val="22"/>
        </w:rPr>
      </w:pPr>
    </w:p>
    <w:tbl>
      <w:tblPr>
        <w:tblStyle w:val="TableGrid"/>
        <w:tblW w:w="10386" w:type="dxa"/>
        <w:tblInd w:w="360" w:type="dxa"/>
        <w:tblLook w:val="04A0"/>
      </w:tblPr>
      <w:tblGrid>
        <w:gridCol w:w="10386"/>
      </w:tblGrid>
      <w:tr w:rsidR="00602D45" w:rsidRPr="00BD316E" w:rsidTr="00541273">
        <w:tc>
          <w:tcPr>
            <w:tcW w:w="10386" w:type="dxa"/>
          </w:tcPr>
          <w:p w:rsidR="00E73C37" w:rsidRPr="00137427" w:rsidDel="0039216C" w:rsidRDefault="00E73C37" w:rsidP="00137427">
            <w:pPr>
              <w:pStyle w:val="ListParagraph"/>
              <w:numPr>
                <w:ilvl w:val="0"/>
                <w:numId w:val="25"/>
              </w:numPr>
              <w:ind w:right="18"/>
              <w:rPr>
                <w:del w:id="12" w:author="mvandeh" w:date="2013-09-03T14:17:00Z"/>
                <w:rFonts w:ascii="Times New Roman" w:hAnsi="Times New Roman" w:cs="Times New Roman"/>
                <w:b/>
                <w:bCs/>
              </w:rPr>
            </w:pPr>
            <w:del w:id="13" w:author="mvandeh" w:date="2013-09-03T14:17:00Z">
              <w:r w:rsidRPr="00137427" w:rsidDel="0039216C">
                <w:rPr>
                  <w:rFonts w:ascii="Times New Roman" w:hAnsi="Times New Roman" w:cs="Times New Roman"/>
                  <w:b/>
                  <w:bCs/>
                </w:rPr>
                <w:delText>Clarif</w:delText>
              </w:r>
              <w:r w:rsidR="00137427" w:rsidDel="0039216C">
                <w:rPr>
                  <w:rFonts w:ascii="Times New Roman" w:hAnsi="Times New Roman" w:cs="Times New Roman"/>
                  <w:b/>
                  <w:bCs/>
                </w:rPr>
                <w:delText xml:space="preserve">y </w:delText>
              </w:r>
              <w:r w:rsidRPr="00137427" w:rsidDel="0039216C">
                <w:rPr>
                  <w:rFonts w:ascii="Times New Roman" w:hAnsi="Times New Roman" w:cs="Times New Roman"/>
                  <w:b/>
                  <w:bCs/>
                </w:rPr>
                <w:delText xml:space="preserve">and </w:delText>
              </w:r>
              <w:r w:rsidR="00137427" w:rsidDel="0039216C">
                <w:rPr>
                  <w:rFonts w:ascii="Times New Roman" w:hAnsi="Times New Roman" w:cs="Times New Roman"/>
                  <w:b/>
                  <w:bCs/>
                </w:rPr>
                <w:delText>u</w:delText>
              </w:r>
              <w:r w:rsidRPr="00137427" w:rsidDel="0039216C">
                <w:rPr>
                  <w:rFonts w:ascii="Times New Roman" w:hAnsi="Times New Roman" w:cs="Times New Roman"/>
                  <w:b/>
                  <w:bCs/>
                </w:rPr>
                <w:delText xml:space="preserve">pdate </w:delText>
              </w:r>
              <w:r w:rsidR="00137427" w:rsidDel="0039216C">
                <w:rPr>
                  <w:rFonts w:ascii="Times New Roman" w:hAnsi="Times New Roman" w:cs="Times New Roman"/>
                  <w:b/>
                  <w:bCs/>
                </w:rPr>
                <w:delText>rules</w:delText>
              </w:r>
            </w:del>
          </w:p>
          <w:p w:rsidR="00602D45" w:rsidRPr="00BD316E" w:rsidRDefault="00E65F41" w:rsidP="00E65F41">
            <w:pPr>
              <w:ind w:left="0" w:right="18"/>
              <w:rPr>
                <w:rFonts w:ascii="Times New Roman" w:hAnsi="Times New Roman" w:cs="Times New Roman"/>
                <w:bCs/>
                <w:sz w:val="24"/>
                <w:szCs w:val="24"/>
              </w:rPr>
            </w:pPr>
            <w:del w:id="14" w:author="mvandeh" w:date="2013-09-03T14:17:00Z">
              <w:r w:rsidRPr="00BD316E" w:rsidDel="0039216C">
                <w:rPr>
                  <w:rFonts w:ascii="Times New Roman" w:hAnsi="Times New Roman" w:cs="Times New Roman"/>
                  <w:bCs/>
                  <w:sz w:val="24"/>
                  <w:szCs w:val="24"/>
                </w:rPr>
                <w:delText>DEQ determined the proposed rules would have no effect on the development cost of a 6,000-square-foot parcel and construction of a 1,200-square-foot detached, single-family dwelling on that parcel. The proposed rule only affects the ease of use of DEQ’s rules</w:delText>
              </w:r>
              <w:r w:rsidR="0019640C" w:rsidDel="0039216C">
                <w:rPr>
                  <w:rFonts w:ascii="Times New Roman" w:hAnsi="Times New Roman" w:cs="Times New Roman"/>
                  <w:bCs/>
                  <w:sz w:val="24"/>
                  <w:szCs w:val="24"/>
                </w:rPr>
                <w:delText>.</w:delText>
              </w:r>
            </w:del>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may have an effect on the development cost of a 6,000-square-foot parcel and construction of a 1,200-square-foot detached, single-family dwelling on that parcel </w:t>
            </w:r>
            <w:r w:rsidR="00503B62" w:rsidRPr="00503B62">
              <w:rPr>
                <w:rFonts w:ascii="Times New Roman" w:hAnsi="Times New Roman" w:cs="Times New Roman"/>
                <w:bCs/>
                <w:highlight w:val="magenta"/>
                <w:rPrChange w:id="15" w:author="mvandeh" w:date="2013-09-03T14:18:00Z">
                  <w:rPr>
                    <w:rFonts w:ascii="Times New Roman" w:hAnsi="Times New Roman" w:cs="Times New Roman"/>
                    <w:bCs/>
                    <w:color w:val="2D4375" w:themeColor="hyperlink"/>
                    <w:u w:val="single"/>
                  </w:rPr>
                </w:rPrChange>
              </w:rPr>
              <w:t xml:space="preserve">if the costs for additional control or process equipment </w:t>
            </w:r>
            <w:r w:rsidRPr="0039216C">
              <w:rPr>
                <w:rFonts w:ascii="Times New Roman" w:hAnsi="Times New Roman" w:cs="Times New Roman"/>
                <w:bCs/>
                <w:sz w:val="24"/>
                <w:szCs w:val="24"/>
              </w:rPr>
              <w:t>are passed through by businesses providing products and services for such development and construction.</w:t>
            </w:r>
            <w:r w:rsidRPr="00BD316E">
              <w:rPr>
                <w:rFonts w:ascii="Times New Roman" w:hAnsi="Times New Roman" w:cs="Times New Roman"/>
                <w:bCs/>
                <w:sz w:val="24"/>
                <w:szCs w:val="24"/>
              </w:rPr>
              <w:t xml:space="preserve">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00E51708">
              <w:rPr>
                <w:rFonts w:ascii="Times New Roman" w:hAnsi="Times New Roman" w:cs="Times New Roman"/>
                <w:b/>
                <w:bCs/>
              </w:rPr>
              <w:t xml:space="preserve">small natural gas or oil-fired </w:t>
            </w:r>
            <w:r w:rsidR="00DD6D6E">
              <w:rPr>
                <w:rFonts w:ascii="Times New Roman" w:hAnsi="Times New Roman" w:cs="Times New Roman"/>
                <w:b/>
                <w:bCs/>
              </w:rPr>
              <w:t>equipment</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w:t>
            </w:r>
            <w:r w:rsidR="00503B62" w:rsidRPr="00503B62">
              <w:rPr>
                <w:rFonts w:ascii="Times New Roman" w:hAnsi="Times New Roman" w:cs="Times New Roman"/>
                <w:bCs/>
                <w:highlight w:val="magenta"/>
                <w:rPrChange w:id="16" w:author="mvandeh" w:date="2013-09-03T14:18:00Z">
                  <w:rPr>
                    <w:rFonts w:ascii="Times New Roman" w:hAnsi="Times New Roman" w:cs="Times New Roman"/>
                    <w:bCs/>
                    <w:color w:val="2D4375" w:themeColor="hyperlink"/>
                    <w:u w:val="single"/>
                  </w:rPr>
                </w:rPrChange>
              </w:rPr>
              <w:t>f the costs for additional permits</w:t>
            </w:r>
            <w:r w:rsidRPr="00BD316E">
              <w:rPr>
                <w:rFonts w:ascii="Times New Roman" w:hAnsi="Times New Roman" w:cs="Times New Roman"/>
                <w:bCs/>
                <w:sz w:val="24"/>
                <w:szCs w:val="24"/>
              </w:rPr>
              <w:t xml:space="preserve">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may have an effect on the development cost of a 6,000-square-foot parcel and construction of a 1,200-square-foot detached, single-family dwelling on that parcel </w:t>
            </w:r>
            <w:r w:rsidR="00503B62" w:rsidRPr="00503B62">
              <w:rPr>
                <w:rFonts w:ascii="Times New Roman" w:hAnsi="Times New Roman" w:cs="Times New Roman"/>
                <w:bCs/>
                <w:highlight w:val="magenta"/>
                <w:rPrChange w:id="17" w:author="mvandeh" w:date="2013-09-03T14:19:00Z">
                  <w:rPr>
                    <w:rFonts w:ascii="Times New Roman" w:hAnsi="Times New Roman" w:cs="Times New Roman"/>
                    <w:bCs/>
                    <w:color w:val="2D4375" w:themeColor="hyperlink"/>
                    <w:u w:val="single"/>
                  </w:rPr>
                </w:rPrChange>
              </w:rPr>
              <w:t>if the costs for additional permits, control or process equipment</w:t>
            </w:r>
            <w:r w:rsidRPr="00BD316E">
              <w:rPr>
                <w:rFonts w:ascii="Times New Roman" w:hAnsi="Times New Roman" w:cs="Times New Roman"/>
                <w:bCs/>
                <w:sz w:val="24"/>
                <w:szCs w:val="24"/>
              </w:rPr>
              <w:t xml:space="preserve">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DEQ cannot quantify the impact at this time because the information available to it does not indicate whether the costs </w:t>
            </w:r>
            <w:r w:rsidRPr="00BD316E">
              <w:rPr>
                <w:rFonts w:ascii="Times New Roman" w:hAnsi="Times New Roman" w:cs="Times New Roman"/>
                <w:bCs/>
                <w:sz w:val="24"/>
                <w:szCs w:val="24"/>
              </w:rPr>
              <w:lastRenderedPageBreak/>
              <w:t>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lastRenderedPageBreak/>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00503B62">
              <w:fldChar w:fldCharType="begin"/>
            </w:r>
            <w:r w:rsidR="000A60E5">
              <w:instrText>HYPERLINK "http://www.leg.state.or.us/ors/468a.html"</w:instrText>
            </w:r>
            <w:r w:rsidR="00503B62">
              <w:fldChar w:fldCharType="separate"/>
            </w:r>
            <w:ins w:id="18" w:author="gdavis" w:date="2013-09-04T11:34:00Z">
              <w:r w:rsidR="00F35652" w:rsidRPr="00F35652">
                <w:rPr>
                  <w:rStyle w:val="Hyperlink"/>
                </w:rPr>
                <w:t>http://www.leg.state.or.us/ors/468a.html</w:t>
              </w:r>
            </w:ins>
            <w:r w:rsidR="00503B62">
              <w:fldChar w:fldCharType="end"/>
            </w:r>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755992">
      <w:pPr>
        <w:ind w:left="0" w:right="18"/>
        <w:rPr>
          <w:rFonts w:ascii="Times New Roman" w:hAnsi="Times New Roman" w:cs="Times New Roman"/>
          <w:bCs/>
        </w:rPr>
      </w:pP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 xml:space="preserve">DEQ identified two NSPS that have opacity limits for fugitive emissions. The New Source Performance Standard (NSPS) for Metallic Mineral Processing Plants (Subpart LL) requires fugitive emissions to </w:t>
      </w:r>
      <w:r w:rsidRPr="00BD316E">
        <w:rPr>
          <w:rFonts w:ascii="Times New Roman" w:hAnsi="Times New Roman" w:cs="Times New Roman"/>
          <w:bCs/>
        </w:rPr>
        <w:lastRenderedPageBreak/>
        <w:t>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541273">
      <w:pPr>
        <w:ind w:left="0" w:right="18"/>
        <w:rPr>
          <w:rFonts w:ascii="Times New Roman" w:hAnsi="Times New Roman" w:cs="Times New Roman"/>
          <w:bCs/>
        </w:rPr>
      </w:pP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Pr="00BD316E">
        <w:rPr>
          <w:rFonts w:ascii="Times New Roman" w:hAnsi="Times New Roman" w:cs="Times New Roman"/>
          <w:bCs/>
        </w:rPr>
        <w:t xml:space="preserve">will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will also align DEQ rules with applicable federal requirements</w:t>
      </w:r>
      <w:r>
        <w:rPr>
          <w:rFonts w:ascii="Times New Roman" w:hAnsi="Times New Roman" w:cs="Times New Roman"/>
          <w:bCs/>
        </w:rPr>
        <w:t xml:space="preserve"> and policies. </w:t>
      </w:r>
    </w:p>
    <w:p w:rsidR="005B5BB9" w:rsidRPr="00BD316E" w:rsidRDefault="005B5BB9" w:rsidP="005B5BB9">
      <w:pPr>
        <w:ind w:left="360" w:right="18"/>
        <w:rPr>
          <w:rFonts w:ascii="Times New Roman" w:hAnsi="Times New Roman" w:cs="Times New Roman"/>
          <w:bCs/>
        </w:rPr>
      </w:pPr>
    </w:p>
    <w:p w:rsidR="005B5BB9" w:rsidRPr="005B5BB9" w:rsidRDefault="005B5BB9" w:rsidP="00870068">
      <w:pPr>
        <w:pStyle w:val="ListParagraph"/>
        <w:numPr>
          <w:ilvl w:val="0"/>
          <w:numId w:val="26"/>
        </w:numPr>
        <w:ind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5B5BB9">
      <w:pPr>
        <w:ind w:left="36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Pr>
          <w:rFonts w:ascii="Times New Roman" w:hAnsi="Times New Roman" w:cs="Times New Roman"/>
          <w:bCs/>
        </w:rPr>
        <w:t xml:space="preserve">will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561B7E">
      <w:pPr>
        <w:ind w:left="0" w:right="18"/>
        <w:rPr>
          <w:rFonts w:ascii="Times New Roman" w:hAnsi="Times New Roman" w:cs="Times New Roman"/>
          <w:bCs/>
        </w:rPr>
      </w:pP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DEQ is proposing to change the definition of a major source to match EPA’s definition. There will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The program for smaller businesses will be called State New Source Review. This change, along with the designation of sustainment and reattainment areas will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561B7E">
      <w:pPr>
        <w:ind w:left="0" w:right="18"/>
        <w:rPr>
          <w:rFonts w:ascii="Times New Roman" w:hAnsi="Times New Roman" w:cs="Times New Roman"/>
          <w:bCs/>
        </w:rPr>
      </w:pP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Pr="00BD316E">
        <w:rPr>
          <w:rFonts w:ascii="Times New Roman" w:hAnsi="Times New Roman" w:cs="Times New Roman"/>
          <w:bCs/>
        </w:rPr>
        <w:t>DEQ feels that these two new areas will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561B7E">
      <w:pPr>
        <w:ind w:left="0" w:right="18"/>
        <w:rPr>
          <w:rFonts w:ascii="Times New Roman" w:hAnsi="Times New Roman" w:cs="Times New Roman"/>
          <w:bCs/>
        </w:rPr>
      </w:pP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t>DEQ’s program, although substantially different from EPA’s regulations, provides a workable program which is equivalent to EPA’s and will accomplish the Clean Air Act goal of preventing significant deterioration of air quality</w:t>
      </w:r>
      <w:r>
        <w:rPr>
          <w:rFonts w:ascii="Times New Roman" w:hAnsi="Times New Roman" w:cs="Times New Roman"/>
          <w:bCs/>
        </w:rPr>
        <w:t xml:space="preserve">. </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 and protect public health and the environment while addressing economic concerns. EPA only designates nonattainment areas. DEQ’s proposal to 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will improve Oregon’s New Source Review program by improving air quality in areas where it is needed and providing permitting flexibility for smaller businesses</w:t>
      </w:r>
      <w:r>
        <w:rPr>
          <w:rFonts w:ascii="Times New Roman" w:hAnsi="Times New Roman" w:cs="Times New Roman"/>
          <w:bCs/>
        </w:rPr>
        <w:t xml:space="preserve">. </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HeatSmart</w:t>
      </w:r>
    </w:p>
    <w:p w:rsidR="005B5BB9" w:rsidRDefault="005B5BB9" w:rsidP="005B5BB9">
      <w:pPr>
        <w:ind w:left="36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Pr="00870068">
        <w:rPr>
          <w:rFonts w:ascii="Times New Roman" w:hAnsi="Times New Roman" w:cs="Times New Roman"/>
          <w:b/>
          <w:bCs/>
        </w:rPr>
        <w:t>Clean diesel grant and loan rules</w:t>
      </w:r>
    </w:p>
    <w:p w:rsidR="005B5BB9" w:rsidRDefault="005B5BB9" w:rsidP="005B5BB9">
      <w:pPr>
        <w:ind w:left="360" w:right="18"/>
        <w:rPr>
          <w:rFonts w:ascii="Times New Roman" w:hAnsi="Times New Roman" w:cs="Times New Roman"/>
          <w:bCs/>
        </w:rPr>
      </w:pPr>
      <w:r w:rsidRPr="00E73C37">
        <w:rPr>
          <w:rFonts w:ascii="Times New Roman" w:hAnsi="Times New Roman" w:cs="Times New Roman"/>
          <w:bCs/>
        </w:rPr>
        <w:t>The proposed rules are “in addition to federal requirements” and</w:t>
      </w:r>
      <w:r>
        <w:rPr>
          <w:rFonts w:ascii="Times New Roman" w:hAnsi="Times New Roman" w:cs="Times New Roman"/>
          <w:bCs/>
        </w:rPr>
        <w:t xml:space="preserve"> not required by federal requirements.</w:t>
      </w:r>
    </w:p>
    <w:p w:rsidR="005B5BB9" w:rsidRPr="00BD316E" w:rsidRDefault="005B5BB9" w:rsidP="005B5BB9">
      <w:pPr>
        <w:ind w:left="360" w:right="18"/>
        <w:rPr>
          <w:rFonts w:ascii="Times New Roman" w:hAnsi="Times New Roman" w:cs="Times New Roman"/>
          <w:bCs/>
        </w:rPr>
      </w:pPr>
    </w:p>
    <w:p w:rsidR="005B5BB9" w:rsidRPr="00870068" w:rsidRDefault="005B5BB9"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5B5BB9">
      <w:pPr>
        <w:ind w:left="36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19" w:name="AlternativesConsidered"/>
      <w:bookmarkStart w:id="20" w:name="RANGE!C35"/>
      <w:r w:rsidRPr="005B116B">
        <w:rPr>
          <w:rFonts w:asciiTheme="majorHAnsi" w:eastAsia="Times New Roman" w:hAnsiTheme="majorHAnsi" w:cstheme="majorHAnsi"/>
          <w:bCs/>
          <w:sz w:val="22"/>
          <w:szCs w:val="22"/>
        </w:rPr>
        <w:t>What alternatives did DEQ consider</w:t>
      </w:r>
      <w:bookmarkEnd w:id="19"/>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20"/>
      <w:r w:rsidRPr="005B116B">
        <w:rPr>
          <w:rFonts w:asciiTheme="majorHAnsi" w:eastAsia="Times New Roman" w:hAnsiTheme="majorHAnsi" w:cstheme="majorHAnsi"/>
          <w:bCs/>
          <w:sz w:val="22"/>
          <w:szCs w:val="22"/>
        </w:rPr>
        <w:t xml:space="preserve"> </w:t>
      </w: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Clarify and update rules</w:t>
      </w:r>
    </w:p>
    <w:p w:rsidR="005B5BB9" w:rsidRDefault="005B5BB9" w:rsidP="005B5BB9">
      <w:pPr>
        <w:ind w:left="36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5B5BB9" w:rsidRPr="008502BB" w:rsidRDefault="005B5BB9" w:rsidP="005B5BB9">
      <w:pPr>
        <w:ind w:left="720" w:right="18"/>
        <w:rPr>
          <w:rFonts w:ascii="Times New Roman" w:hAnsi="Times New Roman" w:cs="Times New Roman"/>
          <w:bCs/>
        </w:rPr>
      </w:pPr>
    </w:p>
    <w:p w:rsidR="005B5BB9" w:rsidRPr="00ED727D" w:rsidRDefault="005B5BB9" w:rsidP="005B5BB9">
      <w:pPr>
        <w:pStyle w:val="ListParagraph"/>
        <w:numPr>
          <w:ilvl w:val="0"/>
          <w:numId w:val="27"/>
        </w:numPr>
        <w:ind w:left="720" w:right="18"/>
        <w:rPr>
          <w:rFonts w:ascii="Times New Roman" w:hAnsi="Times New Roman" w:cs="Times New Roman"/>
          <w:b/>
          <w:bCs/>
        </w:rPr>
      </w:pPr>
      <w:r w:rsidRPr="00ED727D">
        <w:rPr>
          <w:rFonts w:ascii="Times New Roman" w:hAnsi="Times New Roman" w:cs="Times New Roman"/>
          <w:b/>
          <w:bCs/>
        </w:rPr>
        <w:t>Update particulate matter standards</w:t>
      </w:r>
    </w:p>
    <w:p w:rsidR="005B5BB9" w:rsidRPr="00ED727D" w:rsidRDefault="005B5BB9" w:rsidP="005B5BB9">
      <w:pPr>
        <w:ind w:left="36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5B5BB9" w:rsidRPr="00ED727D" w:rsidRDefault="005B5BB9" w:rsidP="005B5BB9">
      <w:pPr>
        <w:ind w:left="360" w:right="18"/>
        <w:rPr>
          <w:rFonts w:ascii="Times New Roman" w:hAnsi="Times New Roman" w:cs="Times New Roman"/>
          <w:bCs/>
        </w:rPr>
      </w:pPr>
    </w:p>
    <w:p w:rsidR="005B5BB9" w:rsidRPr="00ED727D" w:rsidRDefault="005B5BB9" w:rsidP="005B5BB9">
      <w:pPr>
        <w:ind w:left="36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5B5BB9" w:rsidRPr="00ED727D" w:rsidRDefault="005B5BB9" w:rsidP="005B5BB9">
      <w:pPr>
        <w:ind w:left="360" w:right="18"/>
        <w:rPr>
          <w:rFonts w:ascii="Times New Roman" w:hAnsi="Times New Roman" w:cs="Times New Roman"/>
          <w:bCs/>
        </w:rPr>
      </w:pPr>
    </w:p>
    <w:p w:rsidR="005B5BB9" w:rsidRDefault="005B5BB9" w:rsidP="005B5BB9">
      <w:pPr>
        <w:ind w:left="36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5B5BB9" w:rsidRPr="00ED727D"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 xml:space="preserve">Change permitting requirements for emergency generators and </w:t>
      </w:r>
      <w:r>
        <w:rPr>
          <w:rFonts w:ascii="Times New Roman" w:hAnsi="Times New Roman" w:cs="Times New Roman"/>
          <w:b/>
          <w:bCs/>
        </w:rPr>
        <w:t>small natural gas or oil-fired equipment</w:t>
      </w:r>
    </w:p>
    <w:p w:rsidR="005B5BB9" w:rsidRDefault="005B5BB9" w:rsidP="005B5BB9">
      <w:pPr>
        <w:ind w:left="360" w:right="18"/>
        <w:rPr>
          <w:rFonts w:ascii="Times New Roman" w:hAnsi="Times New Roman" w:cs="Times New Roman"/>
          <w:bCs/>
        </w:rPr>
      </w:pPr>
      <w:r w:rsidRPr="001E57C6">
        <w:rPr>
          <w:rFonts w:ascii="Times New Roman" w:hAnsi="Times New Roman" w:cs="Times New Roman"/>
          <w:bCs/>
        </w:rPr>
        <w:lastRenderedPageBreak/>
        <w:t>DEQ did not consider any alternatives because leaving the permitting requirements for small sources as is would cause potential violations of the internal combustion engine standards and DEQ rules for operating without a permit.</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5B5BB9" w:rsidRDefault="005B5BB9" w:rsidP="005B5BB9">
      <w:pPr>
        <w:ind w:left="36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believes the proposed changes will improve air quality and provide flexibility for smaller businesses. DEQ did not pursue this alternative because in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there is </w:t>
      </w:r>
      <w:r>
        <w:rPr>
          <w:rFonts w:ascii="Times New Roman" w:hAnsi="Times New Roman" w:cs="Times New Roman"/>
          <w:bCs/>
        </w:rPr>
        <w:t xml:space="preserve">essentially </w:t>
      </w:r>
      <w:r w:rsidRPr="005B116B">
        <w:rPr>
          <w:rFonts w:ascii="Times New Roman" w:hAnsi="Times New Roman" w:cs="Times New Roman"/>
          <w:bCs/>
        </w:rPr>
        <w:t xml:space="preserve">a construction ban. </w:t>
      </w:r>
      <w:r>
        <w:rPr>
          <w:rFonts w:ascii="Times New Roman" w:hAnsi="Times New Roman" w:cs="Times New Roman"/>
          <w:bCs/>
        </w:rPr>
        <w:t xml:space="preserve">DEQ has also found that current rules for demonstrating net air quality benefit in nonattainment areas are overly prescriptive and do not meet the goals of the program. </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Designate Lakeview as sustainment area</w:t>
      </w:r>
    </w:p>
    <w:p w:rsidR="005B5BB9" w:rsidRDefault="005B5BB9" w:rsidP="005B5BB9">
      <w:pPr>
        <w:ind w:left="360" w:right="18"/>
        <w:rPr>
          <w:rFonts w:ascii="Times New Roman" w:hAnsi="Times New Roman" w:cs="Times New Roman"/>
          <w:bCs/>
        </w:rPr>
      </w:pPr>
      <w:r w:rsidRPr="005B116B">
        <w:rPr>
          <w:rFonts w:ascii="Times New Roman" w:hAnsi="Times New Roman" w:cs="Times New Roman"/>
          <w:bCs/>
        </w:rPr>
        <w:t>DEQ considered not designating Lakeview as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construction should be allowed as long as air quality is protected</w:t>
      </w:r>
      <w:r>
        <w:rPr>
          <w:rFonts w:ascii="Times New Roman" w:hAnsi="Times New Roman" w:cs="Times New Roman"/>
          <w:bCs/>
        </w:rPr>
        <w:t xml:space="preserve">. </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5B5BB9" w:rsidRDefault="005B5BB9" w:rsidP="005B5BB9">
      <w:pPr>
        <w:ind w:left="36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will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general public</w:t>
      </w:r>
      <w:r>
        <w:rPr>
          <w:rFonts w:ascii="Times New Roman" w:hAnsi="Times New Roman" w:cs="Times New Roman"/>
          <w:bCs/>
        </w:rPr>
        <w:t xml:space="preserve">. </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Update HeatSmart</w:t>
      </w:r>
    </w:p>
    <w:p w:rsidR="005B5BB9" w:rsidRDefault="005B5BB9" w:rsidP="005B5BB9">
      <w:pPr>
        <w:ind w:left="360" w:right="18"/>
        <w:rPr>
          <w:rFonts w:ascii="Times New Roman" w:hAnsi="Times New Roman" w:cs="Times New Roman"/>
          <w:bCs/>
        </w:rPr>
      </w:pPr>
      <w:r w:rsidRPr="005B116B">
        <w:rPr>
          <w:rFonts w:ascii="Times New Roman" w:hAnsi="Times New Roman" w:cs="Times New Roman"/>
          <w:bCs/>
        </w:rPr>
        <w:t xml:space="preserve">DEQ did not consider any other alternatives because this rulemaking is to fix the rules to return it to its previous state, before EPA amended the NESHAP rules. </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Implement SB 249A - Clean diesel grant and loan rules</w:t>
      </w:r>
    </w:p>
    <w:p w:rsidR="005B5BB9" w:rsidRDefault="005B5BB9" w:rsidP="005B5BB9">
      <w:pPr>
        <w:ind w:left="360" w:right="18"/>
        <w:rPr>
          <w:rFonts w:ascii="Times New Roman" w:hAnsi="Times New Roman" w:cs="Times New Roman"/>
          <w:bCs/>
        </w:rPr>
      </w:pPr>
      <w:r w:rsidRPr="005B116B">
        <w:rPr>
          <w:rFonts w:ascii="Times New Roman" w:hAnsi="Times New Roman" w:cs="Times New Roman"/>
          <w:bCs/>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p w:rsidR="005B5BB9" w:rsidRPr="005B116B" w:rsidRDefault="005B5BB9" w:rsidP="005B5BB9">
      <w:pPr>
        <w:ind w:left="360" w:right="18"/>
        <w:rPr>
          <w:rFonts w:ascii="Times New Roman" w:hAnsi="Times New Roman" w:cs="Times New Roman"/>
          <w:bCs/>
        </w:rPr>
      </w:pPr>
    </w:p>
    <w:p w:rsidR="005B5BB9" w:rsidRPr="008502BB" w:rsidRDefault="005B5BB9" w:rsidP="005B5BB9">
      <w:pPr>
        <w:pStyle w:val="ListParagraph"/>
        <w:numPr>
          <w:ilvl w:val="0"/>
          <w:numId w:val="27"/>
        </w:numPr>
        <w:ind w:left="720" w:right="18"/>
        <w:rPr>
          <w:rFonts w:ascii="Times New Roman" w:hAnsi="Times New Roman" w:cs="Times New Roman"/>
          <w:b/>
          <w:bCs/>
        </w:rPr>
      </w:pPr>
      <w:r w:rsidRPr="008502BB">
        <w:rPr>
          <w:rFonts w:ascii="Times New Roman" w:hAnsi="Times New Roman" w:cs="Times New Roman"/>
          <w:b/>
          <w:bCs/>
        </w:rPr>
        <w:t>Remove annual reporting requirement for small gasoline dispensing facilities</w:t>
      </w:r>
    </w:p>
    <w:p w:rsidR="005B5BB9" w:rsidRPr="005B116B" w:rsidRDefault="005B5BB9" w:rsidP="005B5BB9">
      <w:pPr>
        <w:ind w:left="36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2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2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lastRenderedPageBreak/>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503B62"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2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w:t>
      </w:r>
      <w:proofErr w:type="gramStart"/>
      <w:r w:rsidRPr="006D17B2">
        <w:rPr>
          <w:rFonts w:asciiTheme="minorHAnsi" w:hAnsiTheme="minorHAnsi" w:cstheme="minorHAnsi"/>
        </w:rPr>
        <w:t>)(</w:t>
      </w:r>
      <w:proofErr w:type="gramEnd"/>
      <w:r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21" w:name="AdvisoryCommittee"/>
      <w:r w:rsidR="00C9239E" w:rsidRPr="006E3C74">
        <w:rPr>
          <w:rFonts w:asciiTheme="majorHAnsi" w:eastAsia="Times New Roman" w:hAnsiTheme="majorHAnsi" w:cstheme="majorHAnsi"/>
          <w:bCs/>
          <w:sz w:val="22"/>
          <w:szCs w:val="22"/>
        </w:rPr>
        <w:t>Advisory committee</w:t>
      </w:r>
      <w:bookmarkEnd w:id="21"/>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 xml:space="preserve">through </w:t>
      </w:r>
      <w:proofErr w:type="gramStart"/>
      <w:r w:rsidR="00A74227" w:rsidRPr="00B13120">
        <w:rPr>
          <w:rFonts w:ascii="Times New Roman" w:eastAsia="Times New Roman" w:hAnsi="Times New Roman" w:cs="Times New Roman"/>
        </w:rPr>
        <w:t>an i</w:t>
      </w:r>
      <w:r w:rsidR="001F2D3C" w:rsidRPr="00B13120">
        <w:rPr>
          <w:rFonts w:ascii="Times New Roman" w:eastAsia="Times New Roman" w:hAnsi="Times New Roman" w:cs="Times New Roman"/>
        </w:rPr>
        <w:t>nformation</w:t>
      </w:r>
      <w:proofErr w:type="gramEnd"/>
      <w:r w:rsidR="001F2D3C" w:rsidRPr="00B13120">
        <w:rPr>
          <w:rFonts w:ascii="Times New Roman" w:eastAsia="Times New Roman" w:hAnsi="Times New Roman" w:cs="Times New Roman"/>
        </w:rPr>
        <w:t xml:space="preserve">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proofErr w:type="spellStart"/>
      <w:r w:rsidR="00FE52C2" w:rsidRPr="007335E8">
        <w:rPr>
          <w:rFonts w:asciiTheme="minorHAnsi" w:eastAsia="Times New Roman" w:hAnsiTheme="minorHAnsi" w:cstheme="minorHAnsi"/>
          <w:bCs/>
          <w:highlight w:val="magenta"/>
        </w:rPr>
        <w:t>mmm</w:t>
      </w:r>
      <w:proofErr w:type="spellEnd"/>
      <w:r w:rsidR="00FE52C2" w:rsidRPr="007335E8">
        <w:rPr>
          <w:rFonts w:asciiTheme="minorHAnsi" w:eastAsia="Times New Roman" w:hAnsiTheme="minorHAnsi" w:cstheme="minorHAnsi"/>
          <w:bCs/>
          <w:highlight w:val="magenta"/>
        </w:rPr>
        <w:t xml:space="preserve"> </w:t>
      </w:r>
      <w:proofErr w:type="spellStart"/>
      <w:r w:rsidR="00FE52C2" w:rsidRPr="007335E8">
        <w:rPr>
          <w:rFonts w:asciiTheme="minorHAnsi" w:eastAsia="Times New Roman" w:hAnsiTheme="minorHAnsi" w:cstheme="minorHAnsi"/>
          <w:bCs/>
          <w:highlight w:val="magenta"/>
        </w:rPr>
        <w:t>dd</w:t>
      </w:r>
      <w:proofErr w:type="spellEnd"/>
      <w:r w:rsidR="00FE52C2" w:rsidRPr="007335E8">
        <w:rPr>
          <w:rFonts w:asciiTheme="minorHAnsi" w:eastAsia="Times New Roman" w:hAnsiTheme="minorHAnsi" w:cstheme="minorHAnsi"/>
          <w:bCs/>
          <w:highlight w:val="magenta"/>
        </w:rPr>
        <w:t xml:space="preserve">, </w:t>
      </w:r>
      <w:r w:rsidR="00601B00" w:rsidRPr="007335E8">
        <w:rPr>
          <w:rFonts w:asciiTheme="minorHAnsi" w:eastAsia="Times New Roman" w:hAnsiTheme="minorHAnsi" w:cstheme="minorHAnsi"/>
          <w:bCs/>
          <w:highlight w:val="magenta"/>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2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27"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proofErr w:type="gramStart"/>
      <w:r w:rsidR="00CD03A6" w:rsidRPr="00CD03A6">
        <w:rPr>
          <w:highlight w:val="magenta"/>
        </w:rPr>
        <w:t>??</w:t>
      </w:r>
      <w:r w:rsidR="00C21575" w:rsidRPr="006E3C74">
        <w:rPr>
          <w:rFonts w:asciiTheme="minorHAnsi" w:eastAsia="Times New Roman" w:hAnsiTheme="minorHAnsi" w:cstheme="minorHAnsi"/>
        </w:rPr>
        <w:t>,</w:t>
      </w:r>
      <w:proofErr w:type="gramEnd"/>
      <w:r w:rsidR="00C21575" w:rsidRPr="006E3C74">
        <w:rPr>
          <w:rFonts w:asciiTheme="minorHAnsi" w:eastAsia="Times New Roman" w:hAnsiTheme="minorHAnsi" w:cstheme="minorHAnsi"/>
        </w:rPr>
        <w:t xml:space="preserve">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October 1</w:t>
      </w:r>
      <w:r w:rsidR="00CD03A6" w:rsidRPr="00CD03A6">
        <w:rPr>
          <w:rFonts w:asciiTheme="minorHAnsi" w:eastAsia="Times New Roman" w:hAnsiTheme="minorHAnsi" w:cstheme="minorHAnsi"/>
          <w:highlight w:val="magenta"/>
        </w:rPr>
        <w:t>??</w:t>
      </w:r>
      <w:r w:rsidR="00C21575" w:rsidRPr="006E3C74">
        <w:rPr>
          <w:rFonts w:asciiTheme="minorHAnsi" w:eastAsia="Times New Roman" w:hAnsiTheme="minorHAnsi" w:cstheme="minorHAnsi"/>
        </w:rPr>
        <w:t xml:space="preserve">,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w:t>
      </w:r>
      <w:proofErr w:type="gramStart"/>
      <w:r w:rsidR="00CD03A6" w:rsidRPr="00CD03A6">
        <w:rPr>
          <w:rFonts w:asciiTheme="minorHAnsi" w:eastAsia="Times New Roman" w:hAnsiTheme="minorHAnsi" w:cstheme="minorHAnsi"/>
          <w:bCs/>
          <w:highlight w:val="magenta"/>
        </w:rPr>
        <w:t>??</w:t>
      </w:r>
      <w:r w:rsidR="00B13120" w:rsidRPr="00B13120">
        <w:rPr>
          <w:rFonts w:asciiTheme="minorHAnsi" w:eastAsia="Times New Roman" w:hAnsiTheme="minorHAnsi" w:cstheme="minorHAnsi"/>
          <w:bCs/>
        </w:rPr>
        <w:t>,</w:t>
      </w:r>
      <w:proofErr w:type="gramEnd"/>
      <w:r w:rsidR="00B13120" w:rsidRPr="00B13120">
        <w:rPr>
          <w:rFonts w:asciiTheme="minorHAnsi" w:eastAsia="Times New Roman" w:hAnsiTheme="minorHAnsi" w:cstheme="minorHAnsi"/>
          <w:bCs/>
        </w:rPr>
        <w:t xml:space="preserve">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w:t>
      </w:r>
      <w:proofErr w:type="gramStart"/>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proofErr w:type="gramEnd"/>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28"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w:t>
      </w:r>
      <w:proofErr w:type="gramStart"/>
      <w:r w:rsidR="00CD03A6" w:rsidRPr="00CD03A6">
        <w:rPr>
          <w:rFonts w:asciiTheme="minorHAnsi" w:eastAsia="Times New Roman" w:hAnsiTheme="minorHAnsi" w:cstheme="minorHAnsi"/>
          <w:highlight w:val="magenta"/>
        </w:rPr>
        <w:t>??</w:t>
      </w:r>
      <w:r w:rsidR="00B13120">
        <w:rPr>
          <w:rFonts w:asciiTheme="minorHAnsi" w:eastAsia="Times New Roman" w:hAnsiTheme="minorHAnsi" w:cstheme="minorHAnsi"/>
        </w:rPr>
        <w:t>,</w:t>
      </w:r>
      <w:proofErr w:type="gramEnd"/>
      <w:r w:rsidR="00B13120">
        <w:rPr>
          <w:rFonts w:asciiTheme="minorHAnsi" w:eastAsia="Times New Roman" w:hAnsiTheme="minorHAnsi" w:cstheme="minorHAnsi"/>
        </w:rPr>
        <w:t xml:space="preserve">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w:t>
      </w:r>
      <w:proofErr w:type="gramStart"/>
      <w:r w:rsidR="00CD03A6" w:rsidRPr="00CD03A6">
        <w:rPr>
          <w:rFonts w:asciiTheme="minorHAnsi" w:eastAsia="Times New Roman" w:hAnsiTheme="minorHAnsi" w:cstheme="minorHAnsi"/>
          <w:bCs/>
          <w:highlight w:val="magenta"/>
        </w:rPr>
        <w:t>??</w:t>
      </w:r>
      <w:r w:rsidR="00B13120" w:rsidRPr="00B13120">
        <w:rPr>
          <w:rFonts w:asciiTheme="minorHAnsi" w:eastAsia="Times New Roman" w:hAnsiTheme="minorHAnsi" w:cstheme="minorHAnsi"/>
          <w:bCs/>
        </w:rPr>
        <w:t>,</w:t>
      </w:r>
      <w:proofErr w:type="gramEnd"/>
      <w:r w:rsidR="00B13120" w:rsidRPr="00B13120">
        <w:rPr>
          <w:rFonts w:asciiTheme="minorHAnsi" w:eastAsia="Times New Roman" w:hAnsiTheme="minorHAnsi" w:cstheme="minorHAnsi"/>
          <w:bCs/>
        </w:rPr>
        <w:t xml:space="preserve">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DEQ plans to hold </w:t>
      </w:r>
      <w:commentRangeStart w:id="22"/>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w:t>
      </w:r>
      <w:commentRangeEnd w:id="22"/>
      <w:r w:rsidR="007335E8">
        <w:rPr>
          <w:rStyle w:val="CommentReference"/>
        </w:rPr>
        <w:commentReference w:id="22"/>
      </w:r>
      <w:r w:rsidR="006E3C74">
        <w:rPr>
          <w:rFonts w:asciiTheme="minorHAnsi" w:eastAsia="Times New Roman" w:hAnsiTheme="minorHAnsi" w:cstheme="minorHAnsi"/>
          <w:bCs/>
        </w:rPr>
        <w:t>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503B62"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DC064E" w:rsidRPr="004D5553" w:rsidRDefault="00DC064E"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DC064E" w:rsidRDefault="00DC064E"/>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23" w:name="_MON_1421138453"/>
    <w:bookmarkEnd w:id="23"/>
    <w:p w:rsidR="00982C6B" w:rsidRPr="006E3C74" w:rsidRDefault="002E046A"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205.8pt" o:ole="">
            <v:imagedata r:id="rId32" o:title=""/>
          </v:shape>
          <o:OLEObject Type="Embed" ProgID="Excel.Sheet.12" ShapeID="_x0000_i1025" DrawAspect="Content" ObjectID="_1439968121" r:id="rId33"/>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26</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Preferred Customer" w:date="2013-09-03T15:00:00Z" w:initials="JSI">
    <w:p w:rsidR="00DC064E" w:rsidRDefault="00DC064E" w:rsidP="007335E8">
      <w:pPr>
        <w:pStyle w:val="CommentText"/>
        <w:ind w:left="0"/>
      </w:pPr>
      <w:r>
        <w:rPr>
          <w:rStyle w:val="CommentReference"/>
        </w:rPr>
        <w:annotationRef/>
      </w:r>
      <w:r>
        <w:t>Maggie - How should this be indicated in the table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4E" w:rsidRDefault="00DC064E" w:rsidP="00BD316E">
      <w:r>
        <w:separator/>
      </w:r>
    </w:p>
  </w:endnote>
  <w:endnote w:type="continuationSeparator" w:id="0">
    <w:p w:rsidR="00DC064E" w:rsidRDefault="00DC064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4E" w:rsidRPr="00BD316E" w:rsidRDefault="00503B62">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DC064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D03A6">
      <w:rPr>
        <w:rFonts w:asciiTheme="minorHAnsi" w:hAnsiTheme="minorHAnsi" w:cstheme="minorHAnsi"/>
        <w:noProof/>
        <w:sz w:val="20"/>
        <w:szCs w:val="20"/>
      </w:rPr>
      <w:t>9/6/2013 10:07 AM</w:t>
    </w:r>
    <w:r w:rsidRPr="00BD316E">
      <w:rPr>
        <w:rFonts w:asciiTheme="minorHAnsi" w:hAnsiTheme="minorHAnsi" w:cstheme="minorHAnsi"/>
        <w:sz w:val="20"/>
        <w:szCs w:val="20"/>
      </w:rPr>
      <w:fldChar w:fldCharType="end"/>
    </w:r>
    <w:r w:rsidR="00DC064E" w:rsidRPr="00BD316E">
      <w:rPr>
        <w:rFonts w:asciiTheme="minorHAnsi" w:hAnsiTheme="minorHAnsi" w:cstheme="minorHAnsi"/>
        <w:sz w:val="20"/>
        <w:szCs w:val="20"/>
      </w:rPr>
      <w:ptab w:relativeTo="margin" w:alignment="right" w:leader="none"/>
    </w:r>
    <w:r w:rsidR="00DC064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DC064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115140">
      <w:rPr>
        <w:rFonts w:asciiTheme="minorHAnsi" w:hAnsiTheme="minorHAnsi" w:cstheme="minorHAnsi"/>
        <w:noProof/>
        <w:sz w:val="20"/>
        <w:szCs w:val="20"/>
      </w:rPr>
      <w:t>21</w:t>
    </w:r>
    <w:r w:rsidRPr="00BD316E">
      <w:rPr>
        <w:rFonts w:asciiTheme="minorHAnsi" w:hAnsiTheme="minorHAnsi" w:cstheme="minorHAnsi"/>
        <w:sz w:val="20"/>
        <w:szCs w:val="20"/>
      </w:rPr>
      <w:fldChar w:fldCharType="end"/>
    </w:r>
  </w:p>
  <w:p w:rsidR="00DC064E" w:rsidRDefault="00DC0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4E" w:rsidRDefault="00DC064E" w:rsidP="00BD316E">
      <w:r>
        <w:separator/>
      </w:r>
    </w:p>
  </w:footnote>
  <w:footnote w:type="continuationSeparator" w:id="0">
    <w:p w:rsidR="00DC064E" w:rsidRDefault="00DC064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457A5"/>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1">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3">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4">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5">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8">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3"/>
  </w:num>
  <w:num w:numId="4">
    <w:abstractNumId w:val="7"/>
  </w:num>
  <w:num w:numId="5">
    <w:abstractNumId w:val="26"/>
  </w:num>
  <w:num w:numId="6">
    <w:abstractNumId w:val="22"/>
  </w:num>
  <w:num w:numId="7">
    <w:abstractNumId w:val="3"/>
  </w:num>
  <w:num w:numId="8">
    <w:abstractNumId w:val="17"/>
  </w:num>
  <w:num w:numId="9">
    <w:abstractNumId w:val="19"/>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num>
  <w:num w:numId="13">
    <w:abstractNumId w:val="15"/>
  </w:num>
  <w:num w:numId="14">
    <w:abstractNumId w:val="10"/>
  </w:num>
  <w:num w:numId="15">
    <w:abstractNumId w:val="33"/>
  </w:num>
  <w:num w:numId="16">
    <w:abstractNumId w:val="24"/>
  </w:num>
  <w:num w:numId="17">
    <w:abstractNumId w:val="18"/>
  </w:num>
  <w:num w:numId="18">
    <w:abstractNumId w:val="8"/>
  </w:num>
  <w:num w:numId="19">
    <w:abstractNumId w:val="1"/>
  </w:num>
  <w:num w:numId="20">
    <w:abstractNumId w:val="31"/>
  </w:num>
  <w:num w:numId="21">
    <w:abstractNumId w:val="9"/>
  </w:num>
  <w:num w:numId="22">
    <w:abstractNumId w:val="12"/>
  </w:num>
  <w:num w:numId="23">
    <w:abstractNumId w:val="30"/>
  </w:num>
  <w:num w:numId="24">
    <w:abstractNumId w:val="6"/>
  </w:num>
  <w:num w:numId="25">
    <w:abstractNumId w:val="4"/>
  </w:num>
  <w:num w:numId="26">
    <w:abstractNumId w:val="32"/>
  </w:num>
  <w:num w:numId="27">
    <w:abstractNumId w:val="25"/>
  </w:num>
  <w:num w:numId="28">
    <w:abstractNumId w:val="28"/>
  </w:num>
  <w:num w:numId="29">
    <w:abstractNumId w:val="35"/>
  </w:num>
  <w:num w:numId="30">
    <w:abstractNumId w:val="16"/>
  </w:num>
  <w:num w:numId="31">
    <w:abstractNumId w:val="34"/>
  </w:num>
  <w:num w:numId="32">
    <w:abstractNumId w:val="29"/>
  </w:num>
  <w:num w:numId="33">
    <w:abstractNumId w:val="20"/>
  </w:num>
  <w:num w:numId="34">
    <w:abstractNumId w:val="2"/>
  </w:num>
  <w:num w:numId="35">
    <w:abstractNumId w:val="13"/>
  </w:num>
  <w:num w:numId="36">
    <w:abstractNumId w:val="2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08D9"/>
    <w:rsid w:val="000319E1"/>
    <w:rsid w:val="00035352"/>
    <w:rsid w:val="00040479"/>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563A"/>
    <w:rsid w:val="0007627C"/>
    <w:rsid w:val="00076D25"/>
    <w:rsid w:val="000778E2"/>
    <w:rsid w:val="00081F93"/>
    <w:rsid w:val="000832D3"/>
    <w:rsid w:val="000904FA"/>
    <w:rsid w:val="0009279B"/>
    <w:rsid w:val="00092C70"/>
    <w:rsid w:val="00092CB8"/>
    <w:rsid w:val="00092F0F"/>
    <w:rsid w:val="00093659"/>
    <w:rsid w:val="0009416B"/>
    <w:rsid w:val="00095A1D"/>
    <w:rsid w:val="0009694C"/>
    <w:rsid w:val="00096DC5"/>
    <w:rsid w:val="000A60E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38D9"/>
    <w:rsid w:val="000F7758"/>
    <w:rsid w:val="001005DB"/>
    <w:rsid w:val="00104859"/>
    <w:rsid w:val="00104B43"/>
    <w:rsid w:val="001057B1"/>
    <w:rsid w:val="00106B3F"/>
    <w:rsid w:val="00107189"/>
    <w:rsid w:val="00107289"/>
    <w:rsid w:val="00107B12"/>
    <w:rsid w:val="0011396A"/>
    <w:rsid w:val="00115140"/>
    <w:rsid w:val="00122920"/>
    <w:rsid w:val="001329B4"/>
    <w:rsid w:val="001329E5"/>
    <w:rsid w:val="001333E2"/>
    <w:rsid w:val="0013432F"/>
    <w:rsid w:val="00137427"/>
    <w:rsid w:val="00141EBE"/>
    <w:rsid w:val="0014434D"/>
    <w:rsid w:val="00146E3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273D"/>
    <w:rsid w:val="001A3880"/>
    <w:rsid w:val="001A4AB6"/>
    <w:rsid w:val="001B23A9"/>
    <w:rsid w:val="001B7E05"/>
    <w:rsid w:val="001C05D1"/>
    <w:rsid w:val="001C0BC0"/>
    <w:rsid w:val="001C3C72"/>
    <w:rsid w:val="001C54D4"/>
    <w:rsid w:val="001C7274"/>
    <w:rsid w:val="001C7981"/>
    <w:rsid w:val="001C7C84"/>
    <w:rsid w:val="001D0F2E"/>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0E40"/>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6750D"/>
    <w:rsid w:val="00270504"/>
    <w:rsid w:val="0027111E"/>
    <w:rsid w:val="0027774D"/>
    <w:rsid w:val="00281104"/>
    <w:rsid w:val="00284F61"/>
    <w:rsid w:val="00286CEC"/>
    <w:rsid w:val="0029119A"/>
    <w:rsid w:val="00291A33"/>
    <w:rsid w:val="0029662E"/>
    <w:rsid w:val="00296CD3"/>
    <w:rsid w:val="00296D4D"/>
    <w:rsid w:val="00296EAB"/>
    <w:rsid w:val="00297119"/>
    <w:rsid w:val="002A176D"/>
    <w:rsid w:val="002A2E51"/>
    <w:rsid w:val="002A507D"/>
    <w:rsid w:val="002A5ACA"/>
    <w:rsid w:val="002A7315"/>
    <w:rsid w:val="002B0C9C"/>
    <w:rsid w:val="002B1663"/>
    <w:rsid w:val="002B1B77"/>
    <w:rsid w:val="002B4E81"/>
    <w:rsid w:val="002B68A3"/>
    <w:rsid w:val="002B6D58"/>
    <w:rsid w:val="002B7331"/>
    <w:rsid w:val="002C068B"/>
    <w:rsid w:val="002C2D98"/>
    <w:rsid w:val="002C3A6B"/>
    <w:rsid w:val="002C5923"/>
    <w:rsid w:val="002C7A23"/>
    <w:rsid w:val="002D1EF7"/>
    <w:rsid w:val="002D735D"/>
    <w:rsid w:val="002E046A"/>
    <w:rsid w:val="002E27EF"/>
    <w:rsid w:val="002E283F"/>
    <w:rsid w:val="002E4AA0"/>
    <w:rsid w:val="002E4B0F"/>
    <w:rsid w:val="002E5F1C"/>
    <w:rsid w:val="002F0C21"/>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249D9"/>
    <w:rsid w:val="003309C4"/>
    <w:rsid w:val="00332F0A"/>
    <w:rsid w:val="00333429"/>
    <w:rsid w:val="0033534B"/>
    <w:rsid w:val="003359FB"/>
    <w:rsid w:val="003372D5"/>
    <w:rsid w:val="00342615"/>
    <w:rsid w:val="00343477"/>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16C"/>
    <w:rsid w:val="00392381"/>
    <w:rsid w:val="00394372"/>
    <w:rsid w:val="00395651"/>
    <w:rsid w:val="00396465"/>
    <w:rsid w:val="003970AB"/>
    <w:rsid w:val="00397D49"/>
    <w:rsid w:val="003A039C"/>
    <w:rsid w:val="003A2F55"/>
    <w:rsid w:val="003A508B"/>
    <w:rsid w:val="003B015F"/>
    <w:rsid w:val="003B28BE"/>
    <w:rsid w:val="003B2BBA"/>
    <w:rsid w:val="003B467D"/>
    <w:rsid w:val="003B5574"/>
    <w:rsid w:val="003B628A"/>
    <w:rsid w:val="003B6F1C"/>
    <w:rsid w:val="003C12DB"/>
    <w:rsid w:val="003C2EA5"/>
    <w:rsid w:val="003C325E"/>
    <w:rsid w:val="003C60B9"/>
    <w:rsid w:val="003C6C7E"/>
    <w:rsid w:val="003D04F0"/>
    <w:rsid w:val="003D1D26"/>
    <w:rsid w:val="003D3B3C"/>
    <w:rsid w:val="003D6D98"/>
    <w:rsid w:val="003E0361"/>
    <w:rsid w:val="003E691F"/>
    <w:rsid w:val="003E787C"/>
    <w:rsid w:val="003F0390"/>
    <w:rsid w:val="003F0606"/>
    <w:rsid w:val="003F35B2"/>
    <w:rsid w:val="003F3799"/>
    <w:rsid w:val="003F413E"/>
    <w:rsid w:val="003F45CC"/>
    <w:rsid w:val="003F4AEF"/>
    <w:rsid w:val="003F7283"/>
    <w:rsid w:val="004009BC"/>
    <w:rsid w:val="00401019"/>
    <w:rsid w:val="004035F7"/>
    <w:rsid w:val="004109DC"/>
    <w:rsid w:val="00411BE0"/>
    <w:rsid w:val="00412061"/>
    <w:rsid w:val="00412380"/>
    <w:rsid w:val="00416BE8"/>
    <w:rsid w:val="00417482"/>
    <w:rsid w:val="0042225B"/>
    <w:rsid w:val="004228DE"/>
    <w:rsid w:val="004229AB"/>
    <w:rsid w:val="00423BCC"/>
    <w:rsid w:val="00425244"/>
    <w:rsid w:val="004272FD"/>
    <w:rsid w:val="00427970"/>
    <w:rsid w:val="004316B6"/>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2192"/>
    <w:rsid w:val="004847C0"/>
    <w:rsid w:val="004866E7"/>
    <w:rsid w:val="004905F1"/>
    <w:rsid w:val="004918AF"/>
    <w:rsid w:val="00496A70"/>
    <w:rsid w:val="00497709"/>
    <w:rsid w:val="004A1CB2"/>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3B62"/>
    <w:rsid w:val="0050509A"/>
    <w:rsid w:val="00505C99"/>
    <w:rsid w:val="005102CA"/>
    <w:rsid w:val="005103FC"/>
    <w:rsid w:val="005115F8"/>
    <w:rsid w:val="00511D76"/>
    <w:rsid w:val="00513840"/>
    <w:rsid w:val="0051405A"/>
    <w:rsid w:val="00515161"/>
    <w:rsid w:val="0051593A"/>
    <w:rsid w:val="005160CB"/>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413E"/>
    <w:rsid w:val="0055604D"/>
    <w:rsid w:val="00556367"/>
    <w:rsid w:val="00556726"/>
    <w:rsid w:val="00561B7E"/>
    <w:rsid w:val="00562330"/>
    <w:rsid w:val="00565AEE"/>
    <w:rsid w:val="005664EB"/>
    <w:rsid w:val="00567DA1"/>
    <w:rsid w:val="0057078C"/>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E0D"/>
    <w:rsid w:val="00601B00"/>
    <w:rsid w:val="00602D45"/>
    <w:rsid w:val="00602EF0"/>
    <w:rsid w:val="0060685A"/>
    <w:rsid w:val="00610286"/>
    <w:rsid w:val="0061029F"/>
    <w:rsid w:val="00612AFF"/>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574CF"/>
    <w:rsid w:val="00660658"/>
    <w:rsid w:val="00663ABA"/>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0ACF"/>
    <w:rsid w:val="007013EC"/>
    <w:rsid w:val="00702678"/>
    <w:rsid w:val="007029A0"/>
    <w:rsid w:val="00705C22"/>
    <w:rsid w:val="007068CE"/>
    <w:rsid w:val="0070746D"/>
    <w:rsid w:val="0071134D"/>
    <w:rsid w:val="00712104"/>
    <w:rsid w:val="007122C2"/>
    <w:rsid w:val="00712AA9"/>
    <w:rsid w:val="007145F7"/>
    <w:rsid w:val="0071688C"/>
    <w:rsid w:val="0072191D"/>
    <w:rsid w:val="00721D94"/>
    <w:rsid w:val="00723DD6"/>
    <w:rsid w:val="00724CF1"/>
    <w:rsid w:val="00726E7C"/>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61C1E"/>
    <w:rsid w:val="00761D5C"/>
    <w:rsid w:val="007624E9"/>
    <w:rsid w:val="00762C97"/>
    <w:rsid w:val="00764239"/>
    <w:rsid w:val="00764B62"/>
    <w:rsid w:val="00764BF6"/>
    <w:rsid w:val="007659B3"/>
    <w:rsid w:val="00765DA1"/>
    <w:rsid w:val="007667BF"/>
    <w:rsid w:val="007677D5"/>
    <w:rsid w:val="00770F2D"/>
    <w:rsid w:val="007718C0"/>
    <w:rsid w:val="00772447"/>
    <w:rsid w:val="00772D5F"/>
    <w:rsid w:val="00773184"/>
    <w:rsid w:val="00774706"/>
    <w:rsid w:val="00775068"/>
    <w:rsid w:val="0078154A"/>
    <w:rsid w:val="007826BA"/>
    <w:rsid w:val="0078370D"/>
    <w:rsid w:val="0079043C"/>
    <w:rsid w:val="00797FC9"/>
    <w:rsid w:val="007A1EFB"/>
    <w:rsid w:val="007A24BE"/>
    <w:rsid w:val="007A34ED"/>
    <w:rsid w:val="007B080C"/>
    <w:rsid w:val="007B114D"/>
    <w:rsid w:val="007B4301"/>
    <w:rsid w:val="007B56D1"/>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1852"/>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6E22"/>
    <w:rsid w:val="00866F57"/>
    <w:rsid w:val="00867284"/>
    <w:rsid w:val="00870068"/>
    <w:rsid w:val="008737CA"/>
    <w:rsid w:val="00882392"/>
    <w:rsid w:val="0088347B"/>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784D"/>
    <w:rsid w:val="008E5D1D"/>
    <w:rsid w:val="008F1CC3"/>
    <w:rsid w:val="008F2AA3"/>
    <w:rsid w:val="008F5048"/>
    <w:rsid w:val="009007EC"/>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4F7B"/>
    <w:rsid w:val="0098522D"/>
    <w:rsid w:val="00985718"/>
    <w:rsid w:val="0098579E"/>
    <w:rsid w:val="00985A36"/>
    <w:rsid w:val="00990248"/>
    <w:rsid w:val="00993C34"/>
    <w:rsid w:val="00994D7D"/>
    <w:rsid w:val="009A049C"/>
    <w:rsid w:val="009A0F5A"/>
    <w:rsid w:val="009A31B5"/>
    <w:rsid w:val="009A4672"/>
    <w:rsid w:val="009A6E8A"/>
    <w:rsid w:val="009B000B"/>
    <w:rsid w:val="009B0585"/>
    <w:rsid w:val="009B4ACA"/>
    <w:rsid w:val="009B5271"/>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364B"/>
    <w:rsid w:val="009F463D"/>
    <w:rsid w:val="009F48C3"/>
    <w:rsid w:val="009F5E73"/>
    <w:rsid w:val="009F669D"/>
    <w:rsid w:val="009F72B5"/>
    <w:rsid w:val="00A00262"/>
    <w:rsid w:val="00A00404"/>
    <w:rsid w:val="00A00427"/>
    <w:rsid w:val="00A00692"/>
    <w:rsid w:val="00A019B4"/>
    <w:rsid w:val="00A02ADB"/>
    <w:rsid w:val="00A02E0A"/>
    <w:rsid w:val="00A04151"/>
    <w:rsid w:val="00A04AFA"/>
    <w:rsid w:val="00A10362"/>
    <w:rsid w:val="00A1268D"/>
    <w:rsid w:val="00A16894"/>
    <w:rsid w:val="00A17802"/>
    <w:rsid w:val="00A1795E"/>
    <w:rsid w:val="00A22EAE"/>
    <w:rsid w:val="00A23B90"/>
    <w:rsid w:val="00A25345"/>
    <w:rsid w:val="00A27771"/>
    <w:rsid w:val="00A32043"/>
    <w:rsid w:val="00A3244F"/>
    <w:rsid w:val="00A3377B"/>
    <w:rsid w:val="00A34D40"/>
    <w:rsid w:val="00A401AA"/>
    <w:rsid w:val="00A40BA9"/>
    <w:rsid w:val="00A413FE"/>
    <w:rsid w:val="00A415F3"/>
    <w:rsid w:val="00A42903"/>
    <w:rsid w:val="00A43169"/>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84D7F"/>
    <w:rsid w:val="00A917D3"/>
    <w:rsid w:val="00A924CA"/>
    <w:rsid w:val="00A9276C"/>
    <w:rsid w:val="00A97ACC"/>
    <w:rsid w:val="00AA0297"/>
    <w:rsid w:val="00AA092F"/>
    <w:rsid w:val="00AA26D5"/>
    <w:rsid w:val="00AA2CB2"/>
    <w:rsid w:val="00AA4C43"/>
    <w:rsid w:val="00AA4C75"/>
    <w:rsid w:val="00AA5041"/>
    <w:rsid w:val="00AA5D4C"/>
    <w:rsid w:val="00AA5F8D"/>
    <w:rsid w:val="00AB112F"/>
    <w:rsid w:val="00AB1B3E"/>
    <w:rsid w:val="00AB25E5"/>
    <w:rsid w:val="00AB2CEA"/>
    <w:rsid w:val="00AB34D8"/>
    <w:rsid w:val="00AB3877"/>
    <w:rsid w:val="00AB46AA"/>
    <w:rsid w:val="00AB6436"/>
    <w:rsid w:val="00AB65CF"/>
    <w:rsid w:val="00AB65D0"/>
    <w:rsid w:val="00AC1660"/>
    <w:rsid w:val="00AC60DC"/>
    <w:rsid w:val="00AD0243"/>
    <w:rsid w:val="00AD1BBA"/>
    <w:rsid w:val="00AD33B5"/>
    <w:rsid w:val="00AD357E"/>
    <w:rsid w:val="00AD3584"/>
    <w:rsid w:val="00AE29F3"/>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056B"/>
    <w:rsid w:val="00BA1AC8"/>
    <w:rsid w:val="00BA466F"/>
    <w:rsid w:val="00BA56F4"/>
    <w:rsid w:val="00BB0113"/>
    <w:rsid w:val="00BB4089"/>
    <w:rsid w:val="00BB5803"/>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2CB0"/>
    <w:rsid w:val="00BE5B6B"/>
    <w:rsid w:val="00BE7983"/>
    <w:rsid w:val="00BF347E"/>
    <w:rsid w:val="00BF43D3"/>
    <w:rsid w:val="00BF70F1"/>
    <w:rsid w:val="00C02811"/>
    <w:rsid w:val="00C046A4"/>
    <w:rsid w:val="00C15DD4"/>
    <w:rsid w:val="00C163B2"/>
    <w:rsid w:val="00C175C0"/>
    <w:rsid w:val="00C21575"/>
    <w:rsid w:val="00C223EF"/>
    <w:rsid w:val="00C22E0C"/>
    <w:rsid w:val="00C236BB"/>
    <w:rsid w:val="00C257E0"/>
    <w:rsid w:val="00C2676F"/>
    <w:rsid w:val="00C27A23"/>
    <w:rsid w:val="00C32274"/>
    <w:rsid w:val="00C348B1"/>
    <w:rsid w:val="00C34AC9"/>
    <w:rsid w:val="00C35520"/>
    <w:rsid w:val="00C363DB"/>
    <w:rsid w:val="00C42F13"/>
    <w:rsid w:val="00C464F1"/>
    <w:rsid w:val="00C472FB"/>
    <w:rsid w:val="00C5171A"/>
    <w:rsid w:val="00C51FAE"/>
    <w:rsid w:val="00C531D0"/>
    <w:rsid w:val="00C53F0F"/>
    <w:rsid w:val="00C54DE2"/>
    <w:rsid w:val="00C56A67"/>
    <w:rsid w:val="00C603D7"/>
    <w:rsid w:val="00C625B2"/>
    <w:rsid w:val="00C62ECC"/>
    <w:rsid w:val="00C65D06"/>
    <w:rsid w:val="00C708DA"/>
    <w:rsid w:val="00C71500"/>
    <w:rsid w:val="00C73733"/>
    <w:rsid w:val="00C7432A"/>
    <w:rsid w:val="00C74D58"/>
    <w:rsid w:val="00C75E60"/>
    <w:rsid w:val="00C76B21"/>
    <w:rsid w:val="00C804DA"/>
    <w:rsid w:val="00C9050A"/>
    <w:rsid w:val="00C9239E"/>
    <w:rsid w:val="00C933AC"/>
    <w:rsid w:val="00C944E5"/>
    <w:rsid w:val="00C9650B"/>
    <w:rsid w:val="00CA0B1D"/>
    <w:rsid w:val="00CA156F"/>
    <w:rsid w:val="00CA42E0"/>
    <w:rsid w:val="00CA45A4"/>
    <w:rsid w:val="00CA4696"/>
    <w:rsid w:val="00CA507D"/>
    <w:rsid w:val="00CA5C13"/>
    <w:rsid w:val="00CA7192"/>
    <w:rsid w:val="00CA783C"/>
    <w:rsid w:val="00CB06BC"/>
    <w:rsid w:val="00CB06CD"/>
    <w:rsid w:val="00CB188A"/>
    <w:rsid w:val="00CB2EED"/>
    <w:rsid w:val="00CB32C2"/>
    <w:rsid w:val="00CB4C68"/>
    <w:rsid w:val="00CB5339"/>
    <w:rsid w:val="00CB54E6"/>
    <w:rsid w:val="00CB7D27"/>
    <w:rsid w:val="00CC00F6"/>
    <w:rsid w:val="00CC74F4"/>
    <w:rsid w:val="00CD03A6"/>
    <w:rsid w:val="00CD1C91"/>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24B4"/>
    <w:rsid w:val="00D257F6"/>
    <w:rsid w:val="00D25F9E"/>
    <w:rsid w:val="00D27525"/>
    <w:rsid w:val="00D3083F"/>
    <w:rsid w:val="00D30992"/>
    <w:rsid w:val="00D30BCF"/>
    <w:rsid w:val="00D34D18"/>
    <w:rsid w:val="00D36404"/>
    <w:rsid w:val="00D36887"/>
    <w:rsid w:val="00D40898"/>
    <w:rsid w:val="00D4378B"/>
    <w:rsid w:val="00D45797"/>
    <w:rsid w:val="00D45EE2"/>
    <w:rsid w:val="00D47C2C"/>
    <w:rsid w:val="00D47FDF"/>
    <w:rsid w:val="00D509DB"/>
    <w:rsid w:val="00D52334"/>
    <w:rsid w:val="00D537F4"/>
    <w:rsid w:val="00D54E83"/>
    <w:rsid w:val="00D565A7"/>
    <w:rsid w:val="00D567E6"/>
    <w:rsid w:val="00D574D7"/>
    <w:rsid w:val="00D57B8B"/>
    <w:rsid w:val="00D57C32"/>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3097"/>
    <w:rsid w:val="00DA6A20"/>
    <w:rsid w:val="00DB5E82"/>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25FE"/>
    <w:rsid w:val="00DE2846"/>
    <w:rsid w:val="00DE3472"/>
    <w:rsid w:val="00DE40BA"/>
    <w:rsid w:val="00DE5AD5"/>
    <w:rsid w:val="00DE7D25"/>
    <w:rsid w:val="00DF1042"/>
    <w:rsid w:val="00DF31D2"/>
    <w:rsid w:val="00DF543F"/>
    <w:rsid w:val="00E046C6"/>
    <w:rsid w:val="00E047AE"/>
    <w:rsid w:val="00E04844"/>
    <w:rsid w:val="00E07926"/>
    <w:rsid w:val="00E07FE1"/>
    <w:rsid w:val="00E11474"/>
    <w:rsid w:val="00E1250E"/>
    <w:rsid w:val="00E1311F"/>
    <w:rsid w:val="00E138F7"/>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5756F"/>
    <w:rsid w:val="00E6175F"/>
    <w:rsid w:val="00E61A63"/>
    <w:rsid w:val="00E61C21"/>
    <w:rsid w:val="00E62757"/>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978"/>
    <w:rsid w:val="00E939AF"/>
    <w:rsid w:val="00EA0893"/>
    <w:rsid w:val="00EA0F3C"/>
    <w:rsid w:val="00EA20E8"/>
    <w:rsid w:val="00EA27BD"/>
    <w:rsid w:val="00EA4362"/>
    <w:rsid w:val="00EA4AC5"/>
    <w:rsid w:val="00EA4AE2"/>
    <w:rsid w:val="00EA70CE"/>
    <w:rsid w:val="00EB2CFC"/>
    <w:rsid w:val="00EC0C81"/>
    <w:rsid w:val="00EC1212"/>
    <w:rsid w:val="00EC1D7C"/>
    <w:rsid w:val="00EC237B"/>
    <w:rsid w:val="00EC2D21"/>
    <w:rsid w:val="00EC3291"/>
    <w:rsid w:val="00ED1A3D"/>
    <w:rsid w:val="00ED49D2"/>
    <w:rsid w:val="00ED727D"/>
    <w:rsid w:val="00ED72B2"/>
    <w:rsid w:val="00EE0461"/>
    <w:rsid w:val="00EE3582"/>
    <w:rsid w:val="00EE6743"/>
    <w:rsid w:val="00EE6E51"/>
    <w:rsid w:val="00EE732F"/>
    <w:rsid w:val="00EE7FE1"/>
    <w:rsid w:val="00EF0526"/>
    <w:rsid w:val="00EF0934"/>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B1"/>
    <w:rsid w:val="00F305DD"/>
    <w:rsid w:val="00F32478"/>
    <w:rsid w:val="00F33850"/>
    <w:rsid w:val="00F3457A"/>
    <w:rsid w:val="00F35652"/>
    <w:rsid w:val="00F373FF"/>
    <w:rsid w:val="00F37417"/>
    <w:rsid w:val="00F42724"/>
    <w:rsid w:val="00F44E4D"/>
    <w:rsid w:val="00F47E89"/>
    <w:rsid w:val="00F516F6"/>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471D"/>
    <w:rsid w:val="00FC4A58"/>
    <w:rsid w:val="00FC5C08"/>
    <w:rsid w:val="00FC7AD6"/>
    <w:rsid w:val="00FD1928"/>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13reg/measpdf/sb0200.dir/sb0249.en.pdf" TargetMode="External"/><Relationship Id="rId18" Type="http://schemas.openxmlformats.org/officeDocument/2006/relationships/hyperlink" Target="http://arcweb.sos.state.or.us/pages/rules/oars_300/oar_340/340_214.html" TargetMode="External"/><Relationship Id="rId26" Type="http://schemas.openxmlformats.org/officeDocument/2006/relationships/hyperlink" Target="http://arcweb.sos.state.or.us/pages/rules/bulletin/past.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2-01/pdf/2012-31645.pdf" TargetMode="External"/><Relationship Id="rId25" Type="http://schemas.openxmlformats.org/officeDocument/2006/relationships/hyperlink" Target="http://www.deq.state.or.us/pubs/permithandbook/lucs.htm" TargetMode="External"/><Relationship Id="rId33" Type="http://schemas.openxmlformats.org/officeDocument/2006/relationships/package" Target="embeddings/Microsoft_Office_Excel_Worksheet1.xls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arcweb.sos.state.or.us/pages/rules/oars_300/oar_340/340_045.html" TargetMode="External"/><Relationship Id="rId20" Type="http://schemas.openxmlformats.org/officeDocument/2006/relationships/hyperlink" Target="http://www.leg.state.or.us/ors/183.html"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regulations/proposedrules.htm%20on%20October%201"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9D2DBD0-78C5-4051-B33A-0BD861DE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11836</Words>
  <Characters>67466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11</cp:revision>
  <cp:lastPrinted>2013-09-04T18:34:00Z</cp:lastPrinted>
  <dcterms:created xsi:type="dcterms:W3CDTF">2013-09-04T20:01:00Z</dcterms:created>
  <dcterms:modified xsi:type="dcterms:W3CDTF">2013-09-06T17:22:00Z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