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6AF" w:rsidRPr="001436AF" w:rsidRDefault="001436AF" w:rsidP="001436AF">
      <w:pPr>
        <w:pStyle w:val="TOCHeading"/>
        <w:spacing w:before="0"/>
        <w:jc w:val="center"/>
        <w:rPr>
          <w:rFonts w:ascii="Times New Roman" w:eastAsiaTheme="minorHAnsi" w:hAnsi="Times New Roman" w:cs="Times New Roman"/>
          <w:color w:val="auto"/>
          <w:lang w:eastAsia="en-US"/>
        </w:rPr>
      </w:pPr>
      <w:r w:rsidRPr="001436AF">
        <w:rPr>
          <w:rFonts w:ascii="Times New Roman" w:eastAsiaTheme="minorHAnsi" w:hAnsi="Times New Roman" w:cs="Times New Roman"/>
          <w:color w:val="auto"/>
          <w:lang w:eastAsia="en-US"/>
        </w:rPr>
        <w:t>Air Quality Rule Changes and Updates</w:t>
      </w:r>
    </w:p>
    <w:sdt>
      <w:sdtPr>
        <w:rPr>
          <w:rFonts w:asciiTheme="minorHAnsi" w:eastAsiaTheme="minorHAnsi" w:hAnsiTheme="minorHAnsi" w:cstheme="minorBidi"/>
          <w:b w:val="0"/>
          <w:bCs w:val="0"/>
          <w:color w:val="auto"/>
          <w:sz w:val="22"/>
          <w:szCs w:val="22"/>
          <w:lang w:eastAsia="en-US"/>
        </w:rPr>
        <w:id w:val="-899906529"/>
        <w:docPartObj>
          <w:docPartGallery w:val="Table of Contents"/>
          <w:docPartUnique/>
        </w:docPartObj>
      </w:sdtPr>
      <w:sdtEndPr>
        <w:rPr>
          <w:noProof/>
        </w:rPr>
      </w:sdtEndPr>
      <w:sdtContent>
        <w:p w:rsidR="00C002E8" w:rsidRDefault="00C002E8">
          <w:pPr>
            <w:pStyle w:val="TOCHeading"/>
          </w:pPr>
          <w:r>
            <w:t>Table of Contents</w:t>
          </w:r>
        </w:p>
        <w:p w:rsidR="005329D6" w:rsidRPr="001436AF" w:rsidRDefault="00333FF9">
          <w:pPr>
            <w:pStyle w:val="TOC1"/>
            <w:tabs>
              <w:tab w:val="right" w:leader="dot" w:pos="9350"/>
            </w:tabs>
            <w:rPr>
              <w:rFonts w:ascii="Times New Roman" w:eastAsiaTheme="minorEastAsia" w:hAnsi="Times New Roman" w:cs="Times New Roman"/>
              <w:noProof/>
              <w:sz w:val="24"/>
              <w:szCs w:val="24"/>
            </w:rPr>
          </w:pPr>
          <w:r>
            <w:fldChar w:fldCharType="begin"/>
          </w:r>
          <w:r w:rsidR="00C002E8">
            <w:instrText xml:space="preserve"> TOC \o "1-3" \h \z \u </w:instrText>
          </w:r>
          <w:r>
            <w:fldChar w:fldCharType="separate"/>
          </w:r>
          <w:hyperlink w:anchor="_Toc357496192" w:history="1">
            <w:r w:rsidR="005329D6" w:rsidRPr="001436AF">
              <w:rPr>
                <w:rStyle w:val="Hyperlink"/>
                <w:rFonts w:ascii="Times New Roman" w:hAnsi="Times New Roman" w:cs="Times New Roman"/>
                <w:noProof/>
                <w:sz w:val="24"/>
                <w:szCs w:val="24"/>
              </w:rPr>
              <w:t>Rule Improvements</w:t>
            </w:r>
            <w:r w:rsidR="005329D6" w:rsidRPr="001436AF">
              <w:rPr>
                <w:rFonts w:ascii="Times New Roman" w:hAnsi="Times New Roman" w:cs="Times New Roman"/>
                <w:noProof/>
                <w:webHidden/>
                <w:sz w:val="24"/>
                <w:szCs w:val="24"/>
              </w:rPr>
              <w:tab/>
            </w:r>
            <w:r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_Toc357496192 \h </w:instrText>
            </w:r>
            <w:r w:rsidRPr="001436AF">
              <w:rPr>
                <w:rFonts w:ascii="Times New Roman" w:hAnsi="Times New Roman" w:cs="Times New Roman"/>
                <w:noProof/>
                <w:webHidden/>
                <w:sz w:val="24"/>
                <w:szCs w:val="24"/>
              </w:rPr>
            </w:r>
            <w:r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2</w:t>
            </w:r>
            <w:r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193" w:history="1">
            <w:r w:rsidR="005329D6" w:rsidRPr="001436AF">
              <w:rPr>
                <w:rStyle w:val="Hyperlink"/>
                <w:rFonts w:ascii="Times New Roman" w:hAnsi="Times New Roman" w:cs="Times New Roman"/>
                <w:noProof/>
                <w:sz w:val="24"/>
                <w:szCs w:val="24"/>
              </w:rPr>
              <w:t>Make the rules easier to use by reorganizing</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_Toc357496193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2</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194" w:history="1">
            <w:r w:rsidR="005329D6" w:rsidRPr="001436AF">
              <w:rPr>
                <w:rStyle w:val="Hyperlink"/>
                <w:rFonts w:ascii="Times New Roman" w:hAnsi="Times New Roman" w:cs="Times New Roman"/>
                <w:noProof/>
                <w:sz w:val="24"/>
                <w:szCs w:val="24"/>
              </w:rPr>
              <w:t>Provide clarification when needed</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_Toc357496194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3</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195" w:history="1">
            <w:r w:rsidR="005329D6" w:rsidRPr="001436AF">
              <w:rPr>
                <w:rStyle w:val="Hyperlink"/>
                <w:rFonts w:ascii="Times New Roman" w:hAnsi="Times New Roman" w:cs="Times New Roman"/>
                <w:noProof/>
                <w:sz w:val="24"/>
                <w:szCs w:val="24"/>
              </w:rPr>
              <w:t>Make housekeeping changes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_Toc357496195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3</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1"/>
            <w:tabs>
              <w:tab w:val="right" w:leader="dot" w:pos="9350"/>
            </w:tabs>
            <w:rPr>
              <w:rFonts w:ascii="Times New Roman" w:eastAsiaTheme="minorEastAsia" w:hAnsi="Times New Roman" w:cs="Times New Roman"/>
              <w:noProof/>
              <w:sz w:val="24"/>
              <w:szCs w:val="24"/>
            </w:rPr>
          </w:pPr>
          <w:hyperlink w:anchor="_Toc357496196" w:history="1">
            <w:r w:rsidR="005329D6" w:rsidRPr="001436AF">
              <w:rPr>
                <w:rStyle w:val="Hyperlink"/>
                <w:rFonts w:ascii="Times New Roman" w:hAnsi="Times New Roman" w:cs="Times New Roman"/>
                <w:noProof/>
                <w:sz w:val="24"/>
                <w:szCs w:val="24"/>
              </w:rPr>
              <w:t>Emission Limits and Standards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_Toc357496196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3</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197" w:history="1">
            <w:r w:rsidR="005329D6" w:rsidRPr="001436AF">
              <w:rPr>
                <w:rStyle w:val="Hyperlink"/>
                <w:rFonts w:ascii="Times New Roman" w:hAnsi="Times New Roman" w:cs="Times New Roman"/>
                <w:noProof/>
                <w:sz w:val="24"/>
                <w:szCs w:val="24"/>
              </w:rPr>
              <w:t>Repeal outdated rules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_Toc357496197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3</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198" w:history="1">
            <w:r w:rsidR="005329D6" w:rsidRPr="001436AF">
              <w:rPr>
                <w:rStyle w:val="Hyperlink"/>
                <w:rFonts w:ascii="Times New Roman" w:hAnsi="Times New Roman" w:cs="Times New Roman"/>
                <w:noProof/>
                <w:sz w:val="24"/>
                <w:szCs w:val="24"/>
              </w:rPr>
              <w:t>Update existing limits to address PM2.5</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_Toc357496198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5</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3"/>
            <w:tabs>
              <w:tab w:val="right" w:leader="dot" w:pos="9350"/>
            </w:tabs>
            <w:rPr>
              <w:rFonts w:ascii="Times New Roman" w:eastAsiaTheme="minorEastAsia" w:hAnsi="Times New Roman" w:cs="Times New Roman"/>
              <w:noProof/>
              <w:sz w:val="24"/>
              <w:szCs w:val="24"/>
            </w:rPr>
          </w:pPr>
          <w:hyperlink w:anchor="_Toc357496199" w:history="1">
            <w:r w:rsidR="005329D6" w:rsidRPr="001436AF">
              <w:rPr>
                <w:rStyle w:val="Hyperlink"/>
                <w:rFonts w:ascii="Times New Roman" w:hAnsi="Times New Roman" w:cs="Times New Roman"/>
                <w:noProof/>
                <w:sz w:val="24"/>
                <w:szCs w:val="24"/>
              </w:rPr>
              <w:t>Opacity</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_Toc357496199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5</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3"/>
            <w:tabs>
              <w:tab w:val="right" w:leader="dot" w:pos="9350"/>
            </w:tabs>
            <w:rPr>
              <w:rFonts w:ascii="Times New Roman" w:eastAsiaTheme="minorEastAsia" w:hAnsi="Times New Roman" w:cs="Times New Roman"/>
              <w:noProof/>
              <w:sz w:val="24"/>
              <w:szCs w:val="24"/>
            </w:rPr>
          </w:pPr>
          <w:hyperlink w:anchor="_Toc357496200" w:history="1">
            <w:r w:rsidR="005329D6" w:rsidRPr="001436AF">
              <w:rPr>
                <w:rStyle w:val="Hyperlink"/>
                <w:rFonts w:ascii="Times New Roman" w:hAnsi="Times New Roman" w:cs="Times New Roman"/>
                <w:noProof/>
                <w:sz w:val="24"/>
                <w:szCs w:val="24"/>
              </w:rPr>
              <w:t>Grain loading</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_Toc357496200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5</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1"/>
            <w:tabs>
              <w:tab w:val="right" w:leader="dot" w:pos="9350"/>
            </w:tabs>
            <w:rPr>
              <w:rFonts w:ascii="Times New Roman" w:eastAsiaTheme="minorEastAsia" w:hAnsi="Times New Roman" w:cs="Times New Roman"/>
              <w:noProof/>
              <w:sz w:val="24"/>
              <w:szCs w:val="24"/>
            </w:rPr>
          </w:pPr>
          <w:hyperlink w:anchor="_Toc357496201" w:history="1">
            <w:r w:rsidR="005329D6" w:rsidRPr="001436AF">
              <w:rPr>
                <w:rStyle w:val="Hyperlink"/>
                <w:rFonts w:ascii="Times New Roman" w:hAnsi="Times New Roman" w:cs="Times New Roman"/>
                <w:noProof/>
                <w:sz w:val="24"/>
                <w:szCs w:val="24"/>
              </w:rPr>
              <w:t>New Source Review program overhaul</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_Toc357496201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5</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02" w:history="1">
            <w:r w:rsidR="005329D6" w:rsidRPr="001436AF">
              <w:rPr>
                <w:rStyle w:val="Hyperlink"/>
                <w:rFonts w:ascii="Times New Roman" w:hAnsi="Times New Roman" w:cs="Times New Roman"/>
                <w:noProof/>
                <w:sz w:val="24"/>
                <w:szCs w:val="24"/>
              </w:rPr>
              <w:t>Redefine major source</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_Toc357496202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5</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03" w:history="1">
            <w:r w:rsidR="005329D6" w:rsidRPr="001436AF">
              <w:rPr>
                <w:rStyle w:val="Hyperlink"/>
                <w:rFonts w:ascii="Times New Roman" w:hAnsi="Times New Roman" w:cs="Times New Roman"/>
                <w:noProof/>
                <w:sz w:val="24"/>
                <w:szCs w:val="24"/>
              </w:rPr>
              <w:t>Define two new types of areas to improve or maintain air quality</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_Toc357496203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6</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04" w:history="1">
            <w:r w:rsidR="005329D6" w:rsidRPr="001436AF">
              <w:rPr>
                <w:rStyle w:val="Hyperlink"/>
                <w:rFonts w:ascii="Times New Roman" w:hAnsi="Times New Roman" w:cs="Times New Roman"/>
                <w:noProof/>
                <w:sz w:val="24"/>
                <w:szCs w:val="24"/>
              </w:rPr>
              <w:t>Mandatory ambient air quality monitoring in some cases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_Toc357496204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7</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05" w:history="1">
            <w:r w:rsidR="005329D6" w:rsidRPr="001436AF">
              <w:rPr>
                <w:rStyle w:val="Hyperlink"/>
                <w:rFonts w:ascii="Times New Roman" w:hAnsi="Times New Roman" w:cs="Times New Roman"/>
                <w:noProof/>
                <w:sz w:val="24"/>
                <w:szCs w:val="24"/>
              </w:rPr>
              <w:t>Define State New Source Review program (component of overall Minor New Source Review Program)</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_Toc357496205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7</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06" w:history="1">
            <w:r w:rsidR="005329D6" w:rsidRPr="001436AF">
              <w:rPr>
                <w:rStyle w:val="Hyperlink"/>
                <w:rFonts w:ascii="Times New Roman" w:hAnsi="Times New Roman" w:cs="Times New Roman"/>
                <w:noProof/>
                <w:sz w:val="24"/>
                <w:szCs w:val="24"/>
              </w:rPr>
              <w:t>Redefine net air quality benefit</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_Toc357496206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10</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07" w:history="1">
            <w:r w:rsidR="005329D6" w:rsidRPr="001436AF">
              <w:rPr>
                <w:rStyle w:val="Hyperlink"/>
                <w:rFonts w:ascii="Times New Roman" w:hAnsi="Times New Roman" w:cs="Times New Roman"/>
                <w:noProof/>
                <w:sz w:val="24"/>
                <w:szCs w:val="24"/>
              </w:rPr>
              <w:t>Enhancements to Major and State New Source Review Programs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_Toc357496207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12</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3"/>
            <w:tabs>
              <w:tab w:val="right" w:leader="dot" w:pos="9350"/>
            </w:tabs>
            <w:rPr>
              <w:rFonts w:ascii="Times New Roman" w:eastAsiaTheme="minorEastAsia" w:hAnsi="Times New Roman" w:cs="Times New Roman"/>
              <w:noProof/>
              <w:sz w:val="24"/>
              <w:szCs w:val="24"/>
            </w:rPr>
          </w:pPr>
          <w:hyperlink w:anchor="_Toc357496208" w:history="1">
            <w:r w:rsidR="005329D6" w:rsidRPr="001436AF">
              <w:rPr>
                <w:rStyle w:val="Hyperlink"/>
                <w:rFonts w:ascii="Times New Roman" w:hAnsi="Times New Roman" w:cs="Times New Roman"/>
                <w:noProof/>
                <w:sz w:val="24"/>
                <w:szCs w:val="24"/>
              </w:rPr>
              <w:t>Offsets from “priority” sources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_Toc357496208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12</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3"/>
            <w:tabs>
              <w:tab w:val="right" w:leader="dot" w:pos="9350"/>
            </w:tabs>
            <w:rPr>
              <w:rFonts w:ascii="Times New Roman" w:eastAsiaTheme="minorEastAsia" w:hAnsi="Times New Roman" w:cs="Times New Roman"/>
              <w:noProof/>
              <w:sz w:val="24"/>
              <w:szCs w:val="24"/>
            </w:rPr>
          </w:pPr>
          <w:hyperlink w:anchor="_Toc357496209" w:history="1">
            <w:r w:rsidR="005329D6" w:rsidRPr="001436AF">
              <w:rPr>
                <w:rStyle w:val="Hyperlink"/>
                <w:rFonts w:ascii="Times New Roman" w:hAnsi="Times New Roman" w:cs="Times New Roman"/>
                <w:noProof/>
                <w:sz w:val="24"/>
                <w:szCs w:val="24"/>
              </w:rPr>
              <w:t>Increased Offset Ratio</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_Toc357496209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12</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1"/>
            <w:tabs>
              <w:tab w:val="right" w:leader="dot" w:pos="9350"/>
            </w:tabs>
            <w:rPr>
              <w:rFonts w:ascii="Times New Roman" w:eastAsiaTheme="minorEastAsia" w:hAnsi="Times New Roman" w:cs="Times New Roman"/>
              <w:noProof/>
              <w:sz w:val="24"/>
              <w:szCs w:val="24"/>
            </w:rPr>
          </w:pPr>
          <w:hyperlink w:anchor="_Toc357496210" w:history="1">
            <w:r w:rsidR="005329D6" w:rsidRPr="001436AF">
              <w:rPr>
                <w:rStyle w:val="Hyperlink"/>
                <w:rFonts w:ascii="Times New Roman" w:hAnsi="Times New Roman" w:cs="Times New Roman"/>
                <w:noProof/>
                <w:sz w:val="24"/>
                <w:szCs w:val="24"/>
              </w:rPr>
              <w:t>Compliance</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_Toc357496210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12</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11" w:history="1">
            <w:r w:rsidR="005329D6" w:rsidRPr="001436AF">
              <w:rPr>
                <w:rStyle w:val="Hyperlink"/>
                <w:rFonts w:ascii="Times New Roman" w:hAnsi="Times New Roman" w:cs="Times New Roman"/>
                <w:noProof/>
                <w:sz w:val="24"/>
                <w:szCs w:val="24"/>
              </w:rPr>
              <w:t>Update continuous monitoring and source sampling manuals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_Toc357496211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12</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12" w:history="1">
            <w:r w:rsidR="005329D6" w:rsidRPr="001436AF">
              <w:rPr>
                <w:rStyle w:val="Hyperlink"/>
                <w:rFonts w:ascii="Times New Roman" w:hAnsi="Times New Roman" w:cs="Times New Roman"/>
                <w:noProof/>
                <w:sz w:val="24"/>
                <w:szCs w:val="24"/>
              </w:rPr>
              <w:t>Excess emissions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_Toc357496212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13</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13" w:history="1">
            <w:r w:rsidR="005329D6" w:rsidRPr="001436AF">
              <w:rPr>
                <w:rStyle w:val="Hyperlink"/>
                <w:rFonts w:ascii="Times New Roman" w:hAnsi="Times New Roman" w:cs="Times New Roman"/>
                <w:noProof/>
                <w:sz w:val="24"/>
                <w:szCs w:val="24"/>
              </w:rPr>
              <w:t>Test methods with all standards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_Toc357496213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14</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1"/>
            <w:tabs>
              <w:tab w:val="right" w:leader="dot" w:pos="9350"/>
            </w:tabs>
            <w:rPr>
              <w:rFonts w:ascii="Times New Roman" w:eastAsiaTheme="minorEastAsia" w:hAnsi="Times New Roman" w:cs="Times New Roman"/>
              <w:noProof/>
              <w:sz w:val="24"/>
              <w:szCs w:val="24"/>
            </w:rPr>
          </w:pPr>
          <w:hyperlink w:anchor="_Toc357496214" w:history="1">
            <w:r w:rsidR="005329D6" w:rsidRPr="001436AF">
              <w:rPr>
                <w:rStyle w:val="Hyperlink"/>
                <w:rFonts w:ascii="Times New Roman" w:hAnsi="Times New Roman" w:cs="Times New Roman"/>
                <w:noProof/>
                <w:sz w:val="24"/>
                <w:szCs w:val="24"/>
              </w:rPr>
              <w:t>Permitting Changes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_Toc357496214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14</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15" w:history="1">
            <w:r w:rsidR="005329D6" w:rsidRPr="001436AF">
              <w:rPr>
                <w:rStyle w:val="Hyperlink"/>
                <w:rFonts w:ascii="Times New Roman" w:hAnsi="Times New Roman" w:cs="Times New Roman"/>
                <w:noProof/>
                <w:sz w:val="24"/>
                <w:szCs w:val="24"/>
              </w:rPr>
              <w:t>Revise definition of categorically insignificant activities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_Toc357496215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14</w:t>
            </w:r>
            <w:r w:rsidR="00333FF9" w:rsidRPr="001436AF">
              <w:rPr>
                <w:rFonts w:ascii="Times New Roman" w:hAnsi="Times New Roman" w:cs="Times New Roman"/>
                <w:noProof/>
                <w:webHidden/>
                <w:sz w:val="24"/>
                <w:szCs w:val="24"/>
              </w:rPr>
              <w:fldChar w:fldCharType="end"/>
            </w:r>
          </w:hyperlink>
        </w:p>
        <w:p w:rsidR="005329D6" w:rsidRPr="001436AF" w:rsidRDefault="001A67FF">
          <w:pPr>
            <w:pStyle w:val="TOC2"/>
            <w:tabs>
              <w:tab w:val="right" w:leader="dot" w:pos="9350"/>
            </w:tabs>
            <w:rPr>
              <w:rFonts w:ascii="Times New Roman" w:eastAsiaTheme="minorEastAsia" w:hAnsi="Times New Roman" w:cs="Times New Roman"/>
              <w:noProof/>
              <w:sz w:val="24"/>
              <w:szCs w:val="24"/>
            </w:rPr>
          </w:pPr>
          <w:hyperlink w:anchor="_Toc357496216" w:history="1">
            <w:r w:rsidR="005329D6" w:rsidRPr="001436AF">
              <w:rPr>
                <w:rStyle w:val="Hyperlink"/>
                <w:rFonts w:ascii="Times New Roman" w:hAnsi="Times New Roman" w:cs="Times New Roman"/>
                <w:noProof/>
                <w:sz w:val="24"/>
                <w:szCs w:val="24"/>
              </w:rPr>
              <w:t>Update ACDP source categories – Table 1 changes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_Toc357496216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15</w:t>
            </w:r>
            <w:r w:rsidR="00333FF9" w:rsidRPr="001436AF">
              <w:rPr>
                <w:rFonts w:ascii="Times New Roman" w:hAnsi="Times New Roman" w:cs="Times New Roman"/>
                <w:noProof/>
                <w:webHidden/>
                <w:sz w:val="24"/>
                <w:szCs w:val="24"/>
              </w:rPr>
              <w:fldChar w:fldCharType="end"/>
            </w:r>
          </w:hyperlink>
        </w:p>
        <w:p w:rsidR="005329D6" w:rsidRDefault="001A67FF">
          <w:pPr>
            <w:pStyle w:val="TOC2"/>
            <w:tabs>
              <w:tab w:val="right" w:leader="dot" w:pos="9350"/>
            </w:tabs>
            <w:rPr>
              <w:rFonts w:eastAsiaTheme="minorEastAsia"/>
              <w:noProof/>
            </w:rPr>
          </w:pPr>
          <w:hyperlink w:anchor="_Toc357496217" w:history="1">
            <w:r w:rsidR="005329D6" w:rsidRPr="001436AF">
              <w:rPr>
                <w:rStyle w:val="Hyperlink"/>
                <w:rFonts w:ascii="Times New Roman" w:hAnsi="Times New Roman" w:cs="Times New Roman"/>
                <w:noProof/>
                <w:sz w:val="24"/>
                <w:szCs w:val="24"/>
              </w:rPr>
              <w:t>Improve ACDP timeliness</w:t>
            </w:r>
            <w:r w:rsidR="005329D6" w:rsidRPr="001436AF">
              <w:rPr>
                <w:rFonts w:ascii="Times New Roman" w:hAnsi="Times New Roman" w:cs="Times New Roman"/>
                <w:noProof/>
                <w:webHidden/>
                <w:sz w:val="24"/>
                <w:szCs w:val="24"/>
              </w:rPr>
              <w:tab/>
            </w:r>
            <w:r w:rsidR="00333FF9" w:rsidRPr="001436AF">
              <w:rPr>
                <w:rFonts w:ascii="Times New Roman" w:hAnsi="Times New Roman" w:cs="Times New Roman"/>
                <w:noProof/>
                <w:webHidden/>
                <w:sz w:val="24"/>
                <w:szCs w:val="24"/>
              </w:rPr>
              <w:fldChar w:fldCharType="begin"/>
            </w:r>
            <w:r w:rsidR="005329D6" w:rsidRPr="001436AF">
              <w:rPr>
                <w:rFonts w:ascii="Times New Roman" w:hAnsi="Times New Roman" w:cs="Times New Roman"/>
                <w:noProof/>
                <w:webHidden/>
                <w:sz w:val="24"/>
                <w:szCs w:val="24"/>
              </w:rPr>
              <w:instrText xml:space="preserve"> PAGEREF _Toc357496217 \h </w:instrText>
            </w:r>
            <w:r w:rsidR="00333FF9" w:rsidRPr="001436AF">
              <w:rPr>
                <w:rFonts w:ascii="Times New Roman" w:hAnsi="Times New Roman" w:cs="Times New Roman"/>
                <w:noProof/>
                <w:webHidden/>
                <w:sz w:val="24"/>
                <w:szCs w:val="24"/>
              </w:rPr>
            </w:r>
            <w:r w:rsidR="00333FF9" w:rsidRPr="001436AF">
              <w:rPr>
                <w:rFonts w:ascii="Times New Roman" w:hAnsi="Times New Roman" w:cs="Times New Roman"/>
                <w:noProof/>
                <w:webHidden/>
                <w:sz w:val="24"/>
                <w:szCs w:val="24"/>
              </w:rPr>
              <w:fldChar w:fldCharType="separate"/>
            </w:r>
            <w:r w:rsidR="005329D6" w:rsidRPr="001436AF">
              <w:rPr>
                <w:rFonts w:ascii="Times New Roman" w:hAnsi="Times New Roman" w:cs="Times New Roman"/>
                <w:noProof/>
                <w:webHidden/>
                <w:sz w:val="24"/>
                <w:szCs w:val="24"/>
              </w:rPr>
              <w:t>15</w:t>
            </w:r>
            <w:r w:rsidR="00333FF9" w:rsidRPr="001436AF">
              <w:rPr>
                <w:rFonts w:ascii="Times New Roman" w:hAnsi="Times New Roman" w:cs="Times New Roman"/>
                <w:noProof/>
                <w:webHidden/>
                <w:sz w:val="24"/>
                <w:szCs w:val="24"/>
              </w:rPr>
              <w:fldChar w:fldCharType="end"/>
            </w:r>
          </w:hyperlink>
        </w:p>
        <w:p w:rsidR="00C002E8" w:rsidRDefault="00333FF9">
          <w:r>
            <w:rPr>
              <w:b/>
              <w:bCs/>
              <w:noProof/>
            </w:rPr>
            <w:fldChar w:fldCharType="end"/>
          </w:r>
        </w:p>
      </w:sdtContent>
    </w:sdt>
    <w:p w:rsidR="002E54E2" w:rsidRPr="00451352" w:rsidRDefault="002E54E2" w:rsidP="00C90516">
      <w:pPr>
        <w:spacing w:after="0" w:line="240" w:lineRule="auto"/>
        <w:rPr>
          <w:rFonts w:ascii="Times New Roman" w:hAnsi="Times New Roman" w:cs="Times New Roman"/>
          <w:bCs/>
          <w:sz w:val="24"/>
          <w:szCs w:val="24"/>
        </w:rPr>
      </w:pPr>
    </w:p>
    <w:p w:rsidR="00076B31" w:rsidRDefault="00076B31"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DEQ is undertaking a large rulemaking in order to accomplish the </w:t>
      </w:r>
      <w:r w:rsidR="00451352">
        <w:rPr>
          <w:rFonts w:ascii="Times New Roman" w:hAnsi="Times New Roman" w:cs="Times New Roman"/>
          <w:bCs/>
          <w:sz w:val="24"/>
          <w:szCs w:val="24"/>
        </w:rPr>
        <w:t>following</w:t>
      </w:r>
      <w:r>
        <w:rPr>
          <w:rFonts w:ascii="Times New Roman" w:hAnsi="Times New Roman" w:cs="Times New Roman"/>
          <w:bCs/>
          <w:sz w:val="24"/>
          <w:szCs w:val="24"/>
        </w:rPr>
        <w:t>:</w:t>
      </w:r>
    </w:p>
    <w:p w:rsidR="00854BED" w:rsidRPr="00854BED" w:rsidRDefault="00854BED"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Rule Improvements</w:t>
      </w:r>
    </w:p>
    <w:p w:rsidR="00854BED" w:rsidRDefault="00076B31"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Make the rules easier to use</w:t>
      </w:r>
      <w:r w:rsidR="00594C15">
        <w:rPr>
          <w:rFonts w:ascii="Times New Roman" w:hAnsi="Times New Roman" w:cs="Times New Roman"/>
          <w:bCs/>
          <w:sz w:val="24"/>
          <w:szCs w:val="24"/>
        </w:rPr>
        <w:t xml:space="preserve"> by reorganizing</w:t>
      </w:r>
    </w:p>
    <w:p w:rsidR="00451352" w:rsidRDefault="00854BED"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P</w:t>
      </w:r>
      <w:r w:rsidR="00594C15">
        <w:rPr>
          <w:rFonts w:ascii="Times New Roman" w:hAnsi="Times New Roman" w:cs="Times New Roman"/>
          <w:bCs/>
          <w:sz w:val="24"/>
          <w:szCs w:val="24"/>
        </w:rPr>
        <w:t>rovid</w:t>
      </w:r>
      <w:r>
        <w:rPr>
          <w:rFonts w:ascii="Times New Roman" w:hAnsi="Times New Roman" w:cs="Times New Roman"/>
          <w:bCs/>
          <w:sz w:val="24"/>
          <w:szCs w:val="24"/>
        </w:rPr>
        <w:t>e</w:t>
      </w:r>
      <w:r w:rsidR="00594C15">
        <w:rPr>
          <w:rFonts w:ascii="Times New Roman" w:hAnsi="Times New Roman" w:cs="Times New Roman"/>
          <w:bCs/>
          <w:sz w:val="24"/>
          <w:szCs w:val="24"/>
        </w:rPr>
        <w:t xml:space="preserve"> clarification when needed</w:t>
      </w:r>
    </w:p>
    <w:p w:rsidR="00854BED" w:rsidRDefault="00854BED" w:rsidP="0021689A">
      <w:pPr>
        <w:pStyle w:val="ListParagraph"/>
        <w:numPr>
          <w:ilvl w:val="1"/>
          <w:numId w:val="18"/>
        </w:numPr>
        <w:rPr>
          <w:rFonts w:ascii="Times New Roman" w:hAnsi="Times New Roman" w:cs="Times New Roman"/>
          <w:bCs/>
          <w:sz w:val="24"/>
          <w:szCs w:val="24"/>
        </w:rPr>
      </w:pPr>
      <w:r w:rsidRPr="00854BED">
        <w:rPr>
          <w:rFonts w:ascii="Times New Roman" w:hAnsi="Times New Roman" w:cs="Times New Roman"/>
          <w:bCs/>
          <w:sz w:val="24"/>
          <w:szCs w:val="24"/>
        </w:rPr>
        <w:t>Make housekeeping changes</w:t>
      </w:r>
    </w:p>
    <w:p w:rsidR="00594C15" w:rsidRDefault="00594C15"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Emission limits and standards</w:t>
      </w:r>
    </w:p>
    <w:p w:rsidR="00594C15"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Repeal outdated rules</w:t>
      </w:r>
    </w:p>
    <w:p w:rsidR="00594C15" w:rsidRPr="0021689A" w:rsidRDefault="00594C15" w:rsidP="0021689A">
      <w:pPr>
        <w:pStyle w:val="ListParagraph"/>
        <w:numPr>
          <w:ilvl w:val="1"/>
          <w:numId w:val="18"/>
        </w:numPr>
        <w:spacing w:after="0" w:line="240" w:lineRule="auto"/>
        <w:rPr>
          <w:rFonts w:ascii="Times New Roman" w:hAnsi="Times New Roman" w:cs="Times New Roman"/>
          <w:bCs/>
          <w:sz w:val="24"/>
          <w:szCs w:val="24"/>
        </w:rPr>
      </w:pPr>
      <w:r w:rsidRPr="0021689A">
        <w:rPr>
          <w:rFonts w:ascii="Times New Roman" w:hAnsi="Times New Roman" w:cs="Times New Roman"/>
          <w:bCs/>
          <w:sz w:val="24"/>
          <w:szCs w:val="24"/>
        </w:rPr>
        <w:t>Update existing limits</w:t>
      </w:r>
      <w:r w:rsidR="00327397" w:rsidRPr="0021689A">
        <w:rPr>
          <w:rFonts w:ascii="Times New Roman" w:hAnsi="Times New Roman" w:cs="Times New Roman"/>
          <w:bCs/>
          <w:sz w:val="24"/>
          <w:szCs w:val="24"/>
        </w:rPr>
        <w:t xml:space="preserve"> to address PM2.5 </w:t>
      </w:r>
    </w:p>
    <w:p w:rsidR="00421616" w:rsidRDefault="00421616" w:rsidP="0021689A">
      <w:pPr>
        <w:pStyle w:val="ListParagraph"/>
        <w:numPr>
          <w:ilvl w:val="2"/>
          <w:numId w:val="18"/>
        </w:numPr>
        <w:spacing w:after="0" w:line="240" w:lineRule="auto"/>
        <w:rPr>
          <w:rFonts w:ascii="Times New Roman" w:hAnsi="Times New Roman" w:cs="Times New Roman"/>
          <w:bCs/>
          <w:sz w:val="24"/>
          <w:szCs w:val="24"/>
        </w:rPr>
      </w:pPr>
      <w:r w:rsidRPr="0021689A">
        <w:rPr>
          <w:rFonts w:ascii="Times New Roman" w:hAnsi="Times New Roman" w:cs="Times New Roman"/>
          <w:bCs/>
          <w:sz w:val="24"/>
          <w:szCs w:val="24"/>
        </w:rPr>
        <w:t>Opacity</w:t>
      </w:r>
    </w:p>
    <w:p w:rsidR="00421616" w:rsidRPr="00594C15" w:rsidRDefault="00421616" w:rsidP="0021689A">
      <w:pPr>
        <w:pStyle w:val="ListParagraph"/>
        <w:numPr>
          <w:ilvl w:val="2"/>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Grain loading</w:t>
      </w:r>
    </w:p>
    <w:p w:rsidR="00923519" w:rsidRDefault="00923519"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New Source Review Program overhaul</w:t>
      </w:r>
    </w:p>
    <w:p w:rsidR="00614ACE" w:rsidRPr="00614ACE" w:rsidRDefault="00614ACE" w:rsidP="0021689A">
      <w:pPr>
        <w:pStyle w:val="ListParagraph"/>
        <w:numPr>
          <w:ilvl w:val="1"/>
          <w:numId w:val="18"/>
        </w:numPr>
        <w:rPr>
          <w:rFonts w:ascii="Times New Roman" w:hAnsi="Times New Roman" w:cs="Times New Roman"/>
          <w:bCs/>
          <w:sz w:val="24"/>
          <w:szCs w:val="24"/>
        </w:rPr>
      </w:pPr>
      <w:r w:rsidRPr="00614ACE">
        <w:rPr>
          <w:rFonts w:ascii="Times New Roman" w:hAnsi="Times New Roman" w:cs="Times New Roman"/>
          <w:bCs/>
          <w:sz w:val="24"/>
          <w:szCs w:val="24"/>
        </w:rPr>
        <w:t>Redefine major source - use EPA major source definition</w:t>
      </w:r>
      <w:r w:rsidR="0021689A">
        <w:rPr>
          <w:rFonts w:ascii="Times New Roman" w:hAnsi="Times New Roman" w:cs="Times New Roman"/>
          <w:bCs/>
          <w:sz w:val="24"/>
          <w:szCs w:val="24"/>
        </w:rPr>
        <w:t xml:space="preserve"> (EXAMPLES)</w:t>
      </w:r>
    </w:p>
    <w:p w:rsidR="0005314D" w:rsidRPr="0005314D" w:rsidRDefault="0005314D" w:rsidP="0021689A">
      <w:pPr>
        <w:pStyle w:val="ListParagraph"/>
        <w:numPr>
          <w:ilvl w:val="1"/>
          <w:numId w:val="18"/>
        </w:numPr>
        <w:rPr>
          <w:rFonts w:ascii="Times New Roman" w:hAnsi="Times New Roman" w:cs="Times New Roman"/>
          <w:bCs/>
          <w:sz w:val="24"/>
          <w:szCs w:val="24"/>
        </w:rPr>
      </w:pPr>
      <w:r w:rsidRPr="0005314D">
        <w:rPr>
          <w:rFonts w:ascii="Times New Roman" w:hAnsi="Times New Roman" w:cs="Times New Roman"/>
          <w:bCs/>
          <w:sz w:val="24"/>
          <w:szCs w:val="24"/>
        </w:rPr>
        <w:t>Define two new types of areas</w:t>
      </w:r>
      <w:r w:rsidR="00614ACE">
        <w:rPr>
          <w:rFonts w:ascii="Times New Roman" w:hAnsi="Times New Roman" w:cs="Times New Roman"/>
          <w:bCs/>
          <w:sz w:val="24"/>
          <w:szCs w:val="24"/>
        </w:rPr>
        <w:t xml:space="preserve"> to improve or maintain air quality</w:t>
      </w:r>
      <w:r w:rsidRPr="0005314D">
        <w:rPr>
          <w:rFonts w:ascii="Times New Roman" w:hAnsi="Times New Roman" w:cs="Times New Roman"/>
          <w:bCs/>
          <w:sz w:val="24"/>
          <w:szCs w:val="24"/>
        </w:rPr>
        <w:t>:</w:t>
      </w:r>
    </w:p>
    <w:p w:rsidR="0005314D" w:rsidRPr="0005314D" w:rsidRDefault="0005314D" w:rsidP="0021689A">
      <w:pPr>
        <w:pStyle w:val="ListParagraph"/>
        <w:numPr>
          <w:ilvl w:val="2"/>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SUSTAINMENT – to help prevent an attainment area from becoming nonattainment</w:t>
      </w:r>
      <w:r w:rsidR="0021689A">
        <w:rPr>
          <w:rFonts w:ascii="Times New Roman" w:hAnsi="Times New Roman" w:cs="Times New Roman"/>
          <w:bCs/>
          <w:sz w:val="24"/>
          <w:szCs w:val="24"/>
        </w:rPr>
        <w:t xml:space="preserve"> (LAKEVIEW)</w:t>
      </w:r>
    </w:p>
    <w:p w:rsidR="0005314D" w:rsidRDefault="0005314D" w:rsidP="0021689A">
      <w:pPr>
        <w:pStyle w:val="ListParagraph"/>
        <w:numPr>
          <w:ilvl w:val="2"/>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REATTAINMENT – to help transition an area from nonattainment back to maintenance (attainment) more quickly</w:t>
      </w:r>
    </w:p>
    <w:p w:rsidR="0005314D" w:rsidRPr="0005314D" w:rsidRDefault="0005314D" w:rsidP="0021689A">
      <w:pPr>
        <w:pStyle w:val="ListParagraph"/>
        <w:numPr>
          <w:ilvl w:val="1"/>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Mandatory ambient air quality monitoring in some cases</w:t>
      </w:r>
    </w:p>
    <w:p w:rsidR="0005314D" w:rsidRPr="0005314D" w:rsidRDefault="0005314D" w:rsidP="0021689A">
      <w:pPr>
        <w:pStyle w:val="ListParagraph"/>
        <w:numPr>
          <w:ilvl w:val="1"/>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Define State New Source Review Program</w:t>
      </w:r>
      <w:r>
        <w:rPr>
          <w:rFonts w:ascii="Times New Roman" w:hAnsi="Times New Roman" w:cs="Times New Roman"/>
          <w:bCs/>
          <w:sz w:val="24"/>
          <w:szCs w:val="24"/>
        </w:rPr>
        <w:t xml:space="preserve"> (component of overall Minor New Source Review Program)</w:t>
      </w:r>
    </w:p>
    <w:p w:rsidR="008A0206" w:rsidRDefault="008A0206" w:rsidP="0021689A">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Redefin</w:t>
      </w:r>
      <w:r w:rsidR="004D0697">
        <w:rPr>
          <w:rFonts w:ascii="Times New Roman" w:hAnsi="Times New Roman" w:cs="Times New Roman"/>
          <w:bCs/>
          <w:sz w:val="24"/>
          <w:szCs w:val="24"/>
        </w:rPr>
        <w:t>e</w:t>
      </w:r>
      <w:r>
        <w:rPr>
          <w:rFonts w:ascii="Times New Roman" w:hAnsi="Times New Roman" w:cs="Times New Roman"/>
          <w:bCs/>
          <w:sz w:val="24"/>
          <w:szCs w:val="24"/>
        </w:rPr>
        <w:t xml:space="preserve"> net air quality benefit</w:t>
      </w:r>
    </w:p>
    <w:p w:rsidR="0005314D" w:rsidRDefault="004B1A5E" w:rsidP="0021689A">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Revise o</w:t>
      </w:r>
      <w:r w:rsidR="0005314D" w:rsidRPr="0005314D">
        <w:rPr>
          <w:rFonts w:ascii="Times New Roman" w:hAnsi="Times New Roman" w:cs="Times New Roman"/>
          <w:bCs/>
          <w:sz w:val="24"/>
          <w:szCs w:val="24"/>
        </w:rPr>
        <w:t xml:space="preserve">ffset ratios </w:t>
      </w:r>
      <w:r>
        <w:rPr>
          <w:rFonts w:ascii="Times New Roman" w:hAnsi="Times New Roman" w:cs="Times New Roman"/>
          <w:bCs/>
          <w:sz w:val="24"/>
          <w:szCs w:val="24"/>
        </w:rPr>
        <w:t xml:space="preserve">and provide incentives </w:t>
      </w:r>
      <w:r w:rsidR="0005314D" w:rsidRPr="0005314D">
        <w:rPr>
          <w:rFonts w:ascii="Times New Roman" w:hAnsi="Times New Roman" w:cs="Times New Roman"/>
          <w:bCs/>
          <w:sz w:val="24"/>
          <w:szCs w:val="24"/>
        </w:rPr>
        <w:t xml:space="preserve">to </w:t>
      </w:r>
      <w:r>
        <w:rPr>
          <w:rFonts w:ascii="Times New Roman" w:hAnsi="Times New Roman" w:cs="Times New Roman"/>
          <w:bCs/>
          <w:sz w:val="24"/>
          <w:szCs w:val="24"/>
        </w:rPr>
        <w:t xml:space="preserve">obtain offsets from priority sources </w:t>
      </w:r>
      <w:r w:rsidR="006A02B4">
        <w:rPr>
          <w:rFonts w:ascii="Times New Roman" w:hAnsi="Times New Roman" w:cs="Times New Roman"/>
          <w:bCs/>
          <w:sz w:val="24"/>
          <w:szCs w:val="24"/>
        </w:rPr>
        <w:t xml:space="preserve"> (GRAPHS)</w:t>
      </w:r>
    </w:p>
    <w:p w:rsidR="004B1A5E" w:rsidRDefault="004B1A5E" w:rsidP="0021689A">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Improve modeling procedures for demonstrating net air quality benefit</w:t>
      </w:r>
      <w:r w:rsidR="006A02B4">
        <w:rPr>
          <w:rFonts w:ascii="Times New Roman" w:hAnsi="Times New Roman" w:cs="Times New Roman"/>
          <w:bCs/>
          <w:sz w:val="24"/>
          <w:szCs w:val="24"/>
        </w:rPr>
        <w:t xml:space="preserve"> (FIGURE)</w:t>
      </w:r>
    </w:p>
    <w:p w:rsidR="00554559" w:rsidRDefault="00554559" w:rsidP="00554559">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 xml:space="preserve">Enhancements to </w:t>
      </w:r>
      <w:r w:rsidRPr="00554559">
        <w:rPr>
          <w:rFonts w:ascii="Times New Roman" w:hAnsi="Times New Roman" w:cs="Times New Roman"/>
          <w:bCs/>
          <w:sz w:val="24"/>
          <w:szCs w:val="24"/>
        </w:rPr>
        <w:t>Major and State New Source Review Programs</w:t>
      </w:r>
    </w:p>
    <w:p w:rsidR="004151FF" w:rsidRDefault="004151FF" w:rsidP="004151FF">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Offsets from “priority” sources</w:t>
      </w:r>
    </w:p>
    <w:p w:rsidR="004151FF" w:rsidRPr="00554559" w:rsidRDefault="004151FF" w:rsidP="004151FF">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Increased offset ratio</w:t>
      </w:r>
    </w:p>
    <w:p w:rsidR="00594C15" w:rsidRPr="00BF074C" w:rsidRDefault="00594C15" w:rsidP="0021689A">
      <w:pPr>
        <w:pStyle w:val="ListParagraph"/>
        <w:numPr>
          <w:ilvl w:val="0"/>
          <w:numId w:val="18"/>
        </w:numPr>
        <w:rPr>
          <w:rFonts w:ascii="Times New Roman" w:hAnsi="Times New Roman" w:cs="Times New Roman"/>
          <w:bCs/>
          <w:sz w:val="24"/>
          <w:szCs w:val="24"/>
        </w:rPr>
      </w:pPr>
      <w:r>
        <w:rPr>
          <w:rFonts w:ascii="Times New Roman" w:hAnsi="Times New Roman" w:cs="Times New Roman"/>
          <w:bCs/>
          <w:sz w:val="24"/>
          <w:szCs w:val="24"/>
        </w:rPr>
        <w:t>Compliance</w:t>
      </w:r>
    </w:p>
    <w:p w:rsidR="000F4FAB" w:rsidRDefault="000F4FAB" w:rsidP="0021689A">
      <w:pPr>
        <w:pStyle w:val="ListParagraph"/>
        <w:numPr>
          <w:ilvl w:val="1"/>
          <w:numId w:val="18"/>
        </w:numPr>
        <w:spacing w:after="0" w:line="240" w:lineRule="auto"/>
        <w:rPr>
          <w:rFonts w:ascii="Times New Roman" w:hAnsi="Times New Roman" w:cs="Times New Roman"/>
          <w:bCs/>
          <w:sz w:val="24"/>
          <w:szCs w:val="24"/>
        </w:rPr>
      </w:pPr>
      <w:r w:rsidRPr="005A5986">
        <w:rPr>
          <w:rFonts w:ascii="Times New Roman" w:hAnsi="Times New Roman" w:cs="Times New Roman"/>
          <w:bCs/>
          <w:sz w:val="24"/>
          <w:szCs w:val="24"/>
        </w:rPr>
        <w:t xml:space="preserve">Update continuous monitoring and source test manuals </w:t>
      </w:r>
    </w:p>
    <w:p w:rsidR="00594C15"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Excess emissions</w:t>
      </w:r>
    </w:p>
    <w:p w:rsidR="00594C15" w:rsidRPr="005A5986"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Test methods with all standards</w:t>
      </w:r>
    </w:p>
    <w:p w:rsidR="00BC4A28" w:rsidRDefault="00BD72C2"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Permitting </w:t>
      </w:r>
      <w:r w:rsidR="00775898" w:rsidRPr="00775898">
        <w:rPr>
          <w:rFonts w:ascii="Times New Roman" w:hAnsi="Times New Roman" w:cs="Times New Roman"/>
          <w:bCs/>
          <w:sz w:val="24"/>
          <w:szCs w:val="24"/>
        </w:rPr>
        <w:t>Change</w:t>
      </w:r>
      <w:r w:rsidR="006B7D24">
        <w:rPr>
          <w:rFonts w:ascii="Times New Roman" w:hAnsi="Times New Roman" w:cs="Times New Roman"/>
          <w:bCs/>
          <w:sz w:val="24"/>
          <w:szCs w:val="24"/>
        </w:rPr>
        <w:t>s</w:t>
      </w:r>
      <w:r w:rsidR="00775898" w:rsidRPr="00775898">
        <w:rPr>
          <w:rFonts w:ascii="Times New Roman" w:hAnsi="Times New Roman" w:cs="Times New Roman"/>
          <w:bCs/>
          <w:sz w:val="24"/>
          <w:szCs w:val="24"/>
        </w:rPr>
        <w:t xml:space="preserve"> </w:t>
      </w:r>
    </w:p>
    <w:p w:rsidR="00356D36" w:rsidRPr="00356D36" w:rsidRDefault="00356D36" w:rsidP="00356D36">
      <w:pPr>
        <w:pStyle w:val="ListParagraph"/>
        <w:numPr>
          <w:ilvl w:val="1"/>
          <w:numId w:val="18"/>
        </w:numPr>
        <w:spacing w:after="0" w:line="240" w:lineRule="auto"/>
        <w:rPr>
          <w:rFonts w:ascii="Times New Roman" w:hAnsi="Times New Roman" w:cs="Times New Roman"/>
          <w:bCs/>
          <w:sz w:val="24"/>
          <w:szCs w:val="24"/>
        </w:rPr>
      </w:pPr>
      <w:r w:rsidRPr="00356D36">
        <w:rPr>
          <w:rFonts w:ascii="Times New Roman" w:hAnsi="Times New Roman" w:cs="Times New Roman"/>
          <w:bCs/>
          <w:sz w:val="24"/>
          <w:szCs w:val="24"/>
        </w:rPr>
        <w:t>Revise definition of categorically insignificant activities</w:t>
      </w:r>
    </w:p>
    <w:p w:rsidR="006A02B4" w:rsidRPr="00356D36" w:rsidRDefault="00393A16" w:rsidP="00393A16">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Update</w:t>
      </w:r>
      <w:r w:rsidR="00BC4A28" w:rsidRPr="00356D36">
        <w:rPr>
          <w:rFonts w:ascii="Times New Roman" w:hAnsi="Times New Roman" w:cs="Times New Roman"/>
          <w:bCs/>
          <w:sz w:val="24"/>
          <w:szCs w:val="24"/>
        </w:rPr>
        <w:t xml:space="preserve"> </w:t>
      </w:r>
      <w:r w:rsidR="00356D36" w:rsidRPr="00356D36">
        <w:rPr>
          <w:rFonts w:ascii="Times New Roman" w:hAnsi="Times New Roman" w:cs="Times New Roman"/>
          <w:bCs/>
          <w:sz w:val="24"/>
          <w:szCs w:val="24"/>
        </w:rPr>
        <w:t xml:space="preserve">ACDP </w:t>
      </w:r>
      <w:r w:rsidR="00BC4A28" w:rsidRPr="00356D36">
        <w:rPr>
          <w:rFonts w:ascii="Times New Roman" w:hAnsi="Times New Roman" w:cs="Times New Roman"/>
          <w:bCs/>
          <w:sz w:val="24"/>
          <w:szCs w:val="24"/>
        </w:rPr>
        <w:t>source categories</w:t>
      </w:r>
      <w:r w:rsidR="00356D36" w:rsidRPr="00356D36">
        <w:rPr>
          <w:rFonts w:ascii="Times New Roman" w:hAnsi="Times New Roman" w:cs="Times New Roman"/>
          <w:bCs/>
          <w:sz w:val="24"/>
          <w:szCs w:val="24"/>
        </w:rPr>
        <w:t xml:space="preserve"> - </w:t>
      </w:r>
      <w:r w:rsidR="006A02B4" w:rsidRPr="00356D36">
        <w:rPr>
          <w:rFonts w:ascii="Times New Roman" w:hAnsi="Times New Roman" w:cs="Times New Roman"/>
          <w:bCs/>
          <w:sz w:val="24"/>
          <w:szCs w:val="24"/>
        </w:rPr>
        <w:t>Table 1 changes</w:t>
      </w:r>
    </w:p>
    <w:p w:rsidR="00BD72C2" w:rsidRDefault="00BD72C2" w:rsidP="00BD72C2">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I</w:t>
      </w:r>
      <w:r w:rsidRPr="00775898">
        <w:rPr>
          <w:rFonts w:ascii="Times New Roman" w:hAnsi="Times New Roman" w:cs="Times New Roman"/>
          <w:bCs/>
          <w:sz w:val="24"/>
          <w:szCs w:val="24"/>
        </w:rPr>
        <w:t xml:space="preserve">mprove </w:t>
      </w:r>
      <w:r>
        <w:rPr>
          <w:rFonts w:ascii="Times New Roman" w:hAnsi="Times New Roman" w:cs="Times New Roman"/>
          <w:bCs/>
          <w:sz w:val="24"/>
          <w:szCs w:val="24"/>
        </w:rPr>
        <w:t>ACDP</w:t>
      </w:r>
      <w:r w:rsidRPr="00775898">
        <w:rPr>
          <w:rFonts w:ascii="Times New Roman" w:hAnsi="Times New Roman" w:cs="Times New Roman"/>
          <w:bCs/>
          <w:sz w:val="24"/>
          <w:szCs w:val="24"/>
        </w:rPr>
        <w:t xml:space="preserve"> timeliness</w:t>
      </w:r>
    </w:p>
    <w:p w:rsidR="001975CC" w:rsidRDefault="001975CC" w:rsidP="001975CC">
      <w:pPr>
        <w:spacing w:after="0" w:line="240" w:lineRule="auto"/>
        <w:rPr>
          <w:rFonts w:ascii="Times New Roman" w:hAnsi="Times New Roman" w:cs="Times New Roman"/>
          <w:bCs/>
          <w:sz w:val="24"/>
          <w:szCs w:val="24"/>
        </w:rPr>
      </w:pPr>
    </w:p>
    <w:p w:rsidR="001975CC" w:rsidRPr="001975CC" w:rsidRDefault="001975CC" w:rsidP="001975CC">
      <w:pPr>
        <w:pStyle w:val="Heading1"/>
      </w:pPr>
      <w:bookmarkStart w:id="0" w:name="_Toc357496192"/>
      <w:r w:rsidRPr="001975CC">
        <w:t>Rule Improvements</w:t>
      </w:r>
      <w:bookmarkEnd w:id="0"/>
    </w:p>
    <w:p w:rsidR="00076B31" w:rsidRDefault="00076B31" w:rsidP="00C90516">
      <w:pPr>
        <w:pStyle w:val="ListParagraph"/>
        <w:spacing w:after="0" w:line="240" w:lineRule="auto"/>
        <w:rPr>
          <w:rFonts w:ascii="Times New Roman" w:hAnsi="Times New Roman" w:cs="Times New Roman"/>
          <w:bCs/>
          <w:sz w:val="24"/>
          <w:szCs w:val="24"/>
        </w:rPr>
      </w:pPr>
    </w:p>
    <w:p w:rsidR="00184ACE" w:rsidRPr="00A23FF6" w:rsidRDefault="00184ACE" w:rsidP="00A23FF6">
      <w:pPr>
        <w:pStyle w:val="Heading2"/>
      </w:pPr>
      <w:bookmarkStart w:id="1" w:name="_Toc357496193"/>
      <w:r w:rsidRPr="00A23FF6">
        <w:lastRenderedPageBreak/>
        <w:t>Make the rules easier to use</w:t>
      </w:r>
      <w:r w:rsidR="00A23FF6" w:rsidRPr="00A23FF6">
        <w:t xml:space="preserve"> by reorganizing</w:t>
      </w:r>
      <w:bookmarkEnd w:id="1"/>
    </w:p>
    <w:p w:rsidR="00451352" w:rsidRPr="00451352" w:rsidRDefault="00184ACE"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are many procedural requirements </w:t>
      </w:r>
      <w:r w:rsidR="004D0697">
        <w:rPr>
          <w:rFonts w:ascii="Times New Roman" w:hAnsi="Times New Roman" w:cs="Times New Roman"/>
          <w:bCs/>
          <w:sz w:val="24"/>
          <w:szCs w:val="24"/>
        </w:rPr>
        <w:t>related to</w:t>
      </w:r>
      <w:r>
        <w:rPr>
          <w:rFonts w:ascii="Times New Roman" w:hAnsi="Times New Roman" w:cs="Times New Roman"/>
          <w:bCs/>
          <w:sz w:val="24"/>
          <w:szCs w:val="24"/>
        </w:rPr>
        <w:t xml:space="preserve"> Plant Site Emission Limits </w:t>
      </w:r>
      <w:r w:rsidR="004D0697">
        <w:rPr>
          <w:rFonts w:ascii="Times New Roman" w:hAnsi="Times New Roman" w:cs="Times New Roman"/>
          <w:bCs/>
          <w:sz w:val="24"/>
          <w:szCs w:val="24"/>
        </w:rPr>
        <w:t xml:space="preserve">and Netting Basis </w:t>
      </w:r>
      <w:r>
        <w:rPr>
          <w:rFonts w:ascii="Times New Roman" w:hAnsi="Times New Roman" w:cs="Times New Roman"/>
          <w:bCs/>
          <w:sz w:val="24"/>
          <w:szCs w:val="24"/>
        </w:rPr>
        <w:t>contained in division 200, which houses common definitions for air quality regulations</w:t>
      </w:r>
      <w:r w:rsidR="008C2CC3">
        <w:rPr>
          <w:rFonts w:ascii="Times New Roman" w:hAnsi="Times New Roman" w:cs="Times New Roman"/>
          <w:bCs/>
          <w:sz w:val="24"/>
          <w:szCs w:val="24"/>
        </w:rPr>
        <w:t xml:space="preserve">. </w:t>
      </w:r>
      <w:r>
        <w:rPr>
          <w:rFonts w:ascii="Times New Roman" w:hAnsi="Times New Roman" w:cs="Times New Roman"/>
          <w:bCs/>
          <w:sz w:val="24"/>
          <w:szCs w:val="24"/>
        </w:rPr>
        <w:t xml:space="preserve">People who are unfamiliar with the rules wouldn’t know to look in the definitions for these requirements. Therefore, DEQ is moving these procedural requirements </w:t>
      </w:r>
      <w:r w:rsidR="00F544D9">
        <w:rPr>
          <w:rFonts w:ascii="Times New Roman" w:hAnsi="Times New Roman" w:cs="Times New Roman"/>
          <w:bCs/>
          <w:sz w:val="24"/>
          <w:szCs w:val="24"/>
        </w:rPr>
        <w:t xml:space="preserve">to where they belong in </w:t>
      </w:r>
      <w:r>
        <w:rPr>
          <w:rFonts w:ascii="Times New Roman" w:hAnsi="Times New Roman" w:cs="Times New Roman"/>
          <w:bCs/>
          <w:sz w:val="24"/>
          <w:szCs w:val="24"/>
        </w:rPr>
        <w:t xml:space="preserve">division 222, </w:t>
      </w:r>
      <w:r w:rsidRPr="00184ACE">
        <w:rPr>
          <w:rFonts w:ascii="Times New Roman" w:hAnsi="Times New Roman" w:cs="Times New Roman"/>
          <w:bCs/>
          <w:sz w:val="24"/>
          <w:szCs w:val="24"/>
        </w:rPr>
        <w:t>Stationary Source Plant Site Emission Limits</w:t>
      </w:r>
      <w:r w:rsidR="008C2CC3">
        <w:rPr>
          <w:rFonts w:ascii="Times New Roman" w:hAnsi="Times New Roman" w:cs="Times New Roman"/>
          <w:bCs/>
          <w:sz w:val="24"/>
          <w:szCs w:val="24"/>
        </w:rPr>
        <w:t xml:space="preserve">. </w:t>
      </w:r>
    </w:p>
    <w:p w:rsidR="005A5986" w:rsidRDefault="005A5986" w:rsidP="00C90516">
      <w:pPr>
        <w:spacing w:after="0" w:line="240" w:lineRule="auto"/>
        <w:rPr>
          <w:rFonts w:ascii="Times New Roman" w:hAnsi="Times New Roman" w:cs="Times New Roman"/>
          <w:sz w:val="24"/>
          <w:szCs w:val="24"/>
        </w:rPr>
      </w:pPr>
    </w:p>
    <w:p w:rsidR="005A5986" w:rsidRDefault="005A5986" w:rsidP="00C905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also multiple and sometimes different definitions of the same term throughout the </w:t>
      </w:r>
      <w:r w:rsidR="00C82B33">
        <w:rPr>
          <w:rFonts w:ascii="Times New Roman" w:hAnsi="Times New Roman" w:cs="Times New Roman"/>
          <w:sz w:val="24"/>
          <w:szCs w:val="24"/>
        </w:rPr>
        <w:t xml:space="preserve">divisions that regulate </w:t>
      </w:r>
      <w:r w:rsidR="002F4CD8">
        <w:rPr>
          <w:rFonts w:ascii="Times New Roman" w:hAnsi="Times New Roman" w:cs="Times New Roman"/>
          <w:sz w:val="24"/>
          <w:szCs w:val="24"/>
        </w:rPr>
        <w:t>air quality</w:t>
      </w:r>
      <w:r w:rsidR="008C2CC3">
        <w:rPr>
          <w:rFonts w:ascii="Times New Roman" w:hAnsi="Times New Roman" w:cs="Times New Roman"/>
          <w:sz w:val="24"/>
          <w:szCs w:val="24"/>
        </w:rPr>
        <w:t xml:space="preserve">. </w:t>
      </w:r>
      <w:r>
        <w:rPr>
          <w:rFonts w:ascii="Times New Roman" w:hAnsi="Times New Roman" w:cs="Times New Roman"/>
          <w:sz w:val="24"/>
          <w:szCs w:val="24"/>
        </w:rPr>
        <w:t>DEQ is rectifying these definitions an</w:t>
      </w:r>
      <w:r w:rsidR="00391936">
        <w:rPr>
          <w:rFonts w:ascii="Times New Roman" w:hAnsi="Times New Roman" w:cs="Times New Roman"/>
          <w:sz w:val="24"/>
          <w:szCs w:val="24"/>
        </w:rPr>
        <w:t>d moving them to division 200</w:t>
      </w:r>
      <w:r w:rsidR="008C2CC3">
        <w:rPr>
          <w:rFonts w:ascii="Times New Roman" w:hAnsi="Times New Roman" w:cs="Times New Roman"/>
          <w:sz w:val="24"/>
          <w:szCs w:val="24"/>
        </w:rPr>
        <w:t xml:space="preserve">. </w:t>
      </w:r>
      <w:r w:rsidR="00391936">
        <w:rPr>
          <w:rFonts w:ascii="Times New Roman" w:hAnsi="Times New Roman" w:cs="Times New Roman"/>
          <w:sz w:val="24"/>
          <w:szCs w:val="24"/>
        </w:rPr>
        <w:t>Terms that are used only in on</w:t>
      </w:r>
      <w:r w:rsidR="00C82B33">
        <w:rPr>
          <w:rFonts w:ascii="Times New Roman" w:hAnsi="Times New Roman" w:cs="Times New Roman"/>
          <w:sz w:val="24"/>
          <w:szCs w:val="24"/>
        </w:rPr>
        <w:t>e</w:t>
      </w:r>
      <w:r w:rsidR="00391936">
        <w:rPr>
          <w:rFonts w:ascii="Times New Roman" w:hAnsi="Times New Roman" w:cs="Times New Roman"/>
          <w:sz w:val="24"/>
          <w:szCs w:val="24"/>
        </w:rPr>
        <w:t xml:space="preserve"> division remain defined in that division</w:t>
      </w:r>
      <w:r w:rsidR="008C2CC3">
        <w:rPr>
          <w:rFonts w:ascii="Times New Roman" w:hAnsi="Times New Roman" w:cs="Times New Roman"/>
          <w:sz w:val="24"/>
          <w:szCs w:val="24"/>
        </w:rPr>
        <w:t xml:space="preserve">. </w:t>
      </w:r>
    </w:p>
    <w:p w:rsidR="005A5986" w:rsidRDefault="005A5986" w:rsidP="00C90516">
      <w:pPr>
        <w:spacing w:after="0" w:line="240" w:lineRule="auto"/>
        <w:rPr>
          <w:rFonts w:ascii="Times New Roman" w:hAnsi="Times New Roman" w:cs="Times New Roman"/>
          <w:sz w:val="24"/>
          <w:szCs w:val="24"/>
        </w:rPr>
      </w:pPr>
    </w:p>
    <w:p w:rsidR="000F4FAB" w:rsidRPr="000F4FAB" w:rsidRDefault="00A23FF6" w:rsidP="00A23FF6">
      <w:pPr>
        <w:pStyle w:val="Heading2"/>
      </w:pPr>
      <w:bookmarkStart w:id="2" w:name="_Toc357496194"/>
      <w:r>
        <w:t>Provide c</w:t>
      </w:r>
      <w:r w:rsidR="000F4FAB" w:rsidRPr="000F4FAB">
        <w:t>larif</w:t>
      </w:r>
      <w:r>
        <w:t>ication when needed</w:t>
      </w:r>
      <w:bookmarkEnd w:id="2"/>
    </w:p>
    <w:p w:rsidR="000F4FAB" w:rsidRPr="008C4430" w:rsidRDefault="008C4430" w:rsidP="00C90516">
      <w:pPr>
        <w:spacing w:after="0" w:line="240" w:lineRule="auto"/>
        <w:rPr>
          <w:rFonts w:ascii="Times New Roman" w:hAnsi="Times New Roman" w:cs="Times New Roman"/>
          <w:bCs/>
          <w:sz w:val="24"/>
          <w:szCs w:val="24"/>
        </w:rPr>
      </w:pPr>
      <w:r w:rsidRPr="008C4430">
        <w:rPr>
          <w:rFonts w:ascii="Times New Roman" w:hAnsi="Times New Roman" w:cs="Times New Roman"/>
          <w:bCs/>
          <w:sz w:val="24"/>
          <w:szCs w:val="24"/>
        </w:rPr>
        <w:t>DEQ is clarifying the following</w:t>
      </w:r>
      <w:r>
        <w:rPr>
          <w:rFonts w:ascii="Times New Roman" w:hAnsi="Times New Roman" w:cs="Times New Roman"/>
          <w:bCs/>
          <w:sz w:val="24"/>
          <w:szCs w:val="24"/>
        </w:rPr>
        <w:t xml:space="preserve"> requirements</w:t>
      </w:r>
      <w:r w:rsidRPr="008C4430">
        <w:rPr>
          <w:rFonts w:ascii="Times New Roman" w:hAnsi="Times New Roman" w:cs="Times New Roman"/>
          <w:bCs/>
          <w:sz w:val="24"/>
          <w:szCs w:val="24"/>
        </w:rPr>
        <w:t>:</w:t>
      </w:r>
    </w:p>
    <w:p w:rsidR="00E7179E" w:rsidRDefault="00E7179E"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who has to get an Air Contaminant Discharge Permit</w:t>
      </w:r>
    </w:p>
    <w:p w:rsidR="00285E73" w:rsidRDefault="000E194F"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when a Notice of Construction versus a permit/permit modification is needed</w:t>
      </w:r>
    </w:p>
    <w:p w:rsidR="000E194F" w:rsidRDefault="00E7179E"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what changes fit in Type 1, 2, 3, or 4 </w:t>
      </w:r>
      <w:r w:rsidR="001436AF">
        <w:rPr>
          <w:rFonts w:ascii="Times New Roman" w:hAnsi="Times New Roman" w:cs="Times New Roman"/>
          <w:bCs/>
          <w:sz w:val="24"/>
          <w:szCs w:val="24"/>
        </w:rPr>
        <w:t xml:space="preserve">public </w:t>
      </w:r>
      <w:r w:rsidR="004D0697">
        <w:rPr>
          <w:rFonts w:ascii="Times New Roman" w:hAnsi="Times New Roman" w:cs="Times New Roman"/>
          <w:bCs/>
          <w:sz w:val="24"/>
          <w:szCs w:val="24"/>
        </w:rPr>
        <w:t>notice requirements</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 xml:space="preserve">how emergency generators </w:t>
      </w:r>
      <w:r w:rsidR="001436AF">
        <w:rPr>
          <w:rFonts w:ascii="Times New Roman" w:hAnsi="Times New Roman" w:cs="Times New Roman"/>
          <w:bCs/>
          <w:sz w:val="24"/>
          <w:szCs w:val="24"/>
        </w:rPr>
        <w:t xml:space="preserve">and small fuel burning equipment </w:t>
      </w:r>
      <w:r w:rsidRPr="00E7179E">
        <w:rPr>
          <w:rFonts w:ascii="Times New Roman" w:hAnsi="Times New Roman" w:cs="Times New Roman"/>
          <w:bCs/>
          <w:sz w:val="24"/>
          <w:szCs w:val="24"/>
        </w:rPr>
        <w:t>should be permitted</w:t>
      </w:r>
    </w:p>
    <w:p w:rsidR="00E7179E" w:rsidRPr="001436AF" w:rsidRDefault="00E7179E" w:rsidP="001436AF">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 xml:space="preserve">how to permit </w:t>
      </w:r>
      <w:r w:rsidR="001436AF" w:rsidRPr="001436AF">
        <w:rPr>
          <w:rFonts w:ascii="Times New Roman" w:hAnsi="Times New Roman" w:cs="Times New Roman"/>
          <w:bCs/>
          <w:sz w:val="24"/>
          <w:szCs w:val="24"/>
        </w:rPr>
        <w:t>businesses</w:t>
      </w:r>
      <w:r w:rsidRPr="001436AF">
        <w:rPr>
          <w:rFonts w:ascii="Times New Roman" w:hAnsi="Times New Roman" w:cs="Times New Roman"/>
          <w:bCs/>
          <w:sz w:val="24"/>
          <w:szCs w:val="24"/>
        </w:rPr>
        <w:t xml:space="preserve"> that want to be split</w:t>
      </w:r>
      <w:r w:rsidR="001436AF" w:rsidRPr="001436AF">
        <w:rPr>
          <w:rFonts w:ascii="Times New Roman" w:hAnsi="Times New Roman" w:cs="Times New Roman"/>
          <w:bCs/>
          <w:sz w:val="24"/>
          <w:szCs w:val="24"/>
        </w:rPr>
        <w:t xml:space="preserve"> into two or more businesses</w:t>
      </w:r>
    </w:p>
    <w:p w:rsidR="00E7179E" w:rsidRPr="001436AF" w:rsidRDefault="00E7179E" w:rsidP="001436AF">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 xml:space="preserve">how </w:t>
      </w:r>
      <w:r w:rsidR="001436AF">
        <w:rPr>
          <w:rFonts w:ascii="Times New Roman" w:hAnsi="Times New Roman" w:cs="Times New Roman"/>
          <w:bCs/>
          <w:sz w:val="24"/>
          <w:szCs w:val="24"/>
        </w:rPr>
        <w:t xml:space="preserve">businesses </w:t>
      </w:r>
      <w:r w:rsidRPr="001436AF">
        <w:rPr>
          <w:rFonts w:ascii="Times New Roman" w:hAnsi="Times New Roman" w:cs="Times New Roman"/>
          <w:bCs/>
          <w:sz w:val="24"/>
          <w:szCs w:val="24"/>
        </w:rPr>
        <w:t xml:space="preserve"> should determine compliance with all standards</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when extensions for NSR/PSD permits can be granted</w:t>
      </w:r>
    </w:p>
    <w:p w:rsid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when and how long emission reduction credits can be used</w:t>
      </w:r>
    </w:p>
    <w:p w:rsidR="00716574" w:rsidRPr="001436AF" w:rsidRDefault="00716574" w:rsidP="00C90516">
      <w:pPr>
        <w:pStyle w:val="ListParagraph"/>
        <w:numPr>
          <w:ilvl w:val="0"/>
          <w:numId w:val="8"/>
        </w:numPr>
        <w:spacing w:after="0" w:line="240" w:lineRule="auto"/>
        <w:rPr>
          <w:rFonts w:ascii="Times New Roman" w:hAnsi="Times New Roman" w:cs="Times New Roman"/>
          <w:bCs/>
          <w:sz w:val="24"/>
          <w:szCs w:val="24"/>
          <w:highlight w:val="magenta"/>
        </w:rPr>
      </w:pPr>
      <w:r w:rsidRPr="001436AF">
        <w:rPr>
          <w:rFonts w:ascii="Times New Roman" w:hAnsi="Times New Roman" w:cs="Times New Roman"/>
          <w:bCs/>
          <w:sz w:val="24"/>
          <w:szCs w:val="24"/>
          <w:highlight w:val="magenta"/>
        </w:rPr>
        <w:t>baseline for major modifications</w:t>
      </w:r>
    </w:p>
    <w:p w:rsidR="00A23FF6" w:rsidRDefault="00A23FF6" w:rsidP="00C90516">
      <w:pPr>
        <w:pStyle w:val="ListParagraph"/>
        <w:spacing w:after="0" w:line="240" w:lineRule="auto"/>
        <w:rPr>
          <w:rFonts w:ascii="Times New Roman" w:hAnsi="Times New Roman" w:cs="Times New Roman"/>
          <w:bCs/>
          <w:sz w:val="24"/>
          <w:szCs w:val="24"/>
        </w:rPr>
      </w:pPr>
    </w:p>
    <w:p w:rsidR="00A23FF6" w:rsidRPr="000F4FAB" w:rsidRDefault="0058779A" w:rsidP="0058779A">
      <w:pPr>
        <w:pStyle w:val="Heading2"/>
      </w:pPr>
      <w:bookmarkStart w:id="3" w:name="_Toc357496195"/>
      <w:r>
        <w:t>Make housekeeping changes</w:t>
      </w:r>
      <w:bookmarkEnd w:id="3"/>
    </w:p>
    <w:p w:rsidR="00181EB0" w:rsidRPr="00181EB0" w:rsidRDefault="00181EB0" w:rsidP="00181EB0">
      <w:pPr>
        <w:spacing w:after="0" w:line="240" w:lineRule="auto"/>
        <w:rPr>
          <w:rFonts w:ascii="Times New Roman" w:hAnsi="Times New Roman" w:cs="Times New Roman"/>
          <w:bCs/>
          <w:sz w:val="24"/>
          <w:szCs w:val="24"/>
        </w:rPr>
      </w:pPr>
      <w:r w:rsidRPr="00181EB0">
        <w:rPr>
          <w:rFonts w:ascii="Times New Roman" w:hAnsi="Times New Roman" w:cs="Times New Roman"/>
          <w:bCs/>
          <w:sz w:val="24"/>
          <w:szCs w:val="24"/>
        </w:rPr>
        <w:t>DEQ is correcting typographical errors, misspellings, inaccurate cross references, etc. in this proposed rulemaking</w:t>
      </w:r>
      <w:r w:rsidR="008C2CC3">
        <w:rPr>
          <w:rFonts w:ascii="Times New Roman" w:hAnsi="Times New Roman" w:cs="Times New Roman"/>
          <w:bCs/>
          <w:sz w:val="24"/>
          <w:szCs w:val="24"/>
        </w:rPr>
        <w:t xml:space="preserve">. </w:t>
      </w:r>
    </w:p>
    <w:p w:rsidR="0058779A" w:rsidRPr="00181EB0" w:rsidRDefault="0058779A" w:rsidP="00C90516">
      <w:pPr>
        <w:spacing w:after="0" w:line="240" w:lineRule="auto"/>
        <w:rPr>
          <w:rFonts w:ascii="Times New Roman" w:hAnsi="Times New Roman" w:cs="Times New Roman"/>
          <w:bCs/>
          <w:sz w:val="24"/>
          <w:szCs w:val="24"/>
        </w:rPr>
      </w:pPr>
    </w:p>
    <w:p w:rsidR="0058779A" w:rsidRPr="0058779A" w:rsidRDefault="0058779A" w:rsidP="0058779A">
      <w:pPr>
        <w:pStyle w:val="Heading1"/>
      </w:pPr>
      <w:bookmarkStart w:id="4" w:name="_Toc357496196"/>
      <w:r w:rsidRPr="0058779A">
        <w:t>Emission Limits and Standards</w:t>
      </w:r>
      <w:bookmarkEnd w:id="4"/>
    </w:p>
    <w:p w:rsidR="00E548F5" w:rsidRDefault="00E548F5" w:rsidP="00C90516">
      <w:pPr>
        <w:spacing w:after="0" w:line="240" w:lineRule="auto"/>
        <w:rPr>
          <w:rFonts w:ascii="Times New Roman" w:hAnsi="Times New Roman" w:cs="Times New Roman"/>
          <w:bCs/>
          <w:sz w:val="24"/>
          <w:szCs w:val="24"/>
        </w:rPr>
      </w:pPr>
    </w:p>
    <w:p w:rsidR="00E548F5" w:rsidRPr="00E548F5" w:rsidRDefault="00E548F5" w:rsidP="00E548F5">
      <w:pPr>
        <w:pStyle w:val="Heading2"/>
      </w:pPr>
      <w:bookmarkStart w:id="5" w:name="_Toc357496197"/>
      <w:r>
        <w:t>Repeal outdated rules</w:t>
      </w:r>
      <w:bookmarkEnd w:id="5"/>
    </w:p>
    <w:p w:rsidR="00E058A2" w:rsidRPr="00E058A2" w:rsidRDefault="00E058A2" w:rsidP="00E058A2">
      <w:pPr>
        <w:spacing w:after="0" w:line="240" w:lineRule="auto"/>
        <w:rPr>
          <w:rFonts w:ascii="Times New Roman" w:hAnsi="Times New Roman" w:cs="Times New Roman"/>
          <w:bCs/>
          <w:sz w:val="24"/>
          <w:szCs w:val="24"/>
        </w:rPr>
      </w:pPr>
      <w:r w:rsidRPr="00E058A2">
        <w:rPr>
          <w:rFonts w:ascii="Times New Roman" w:hAnsi="Times New Roman" w:cs="Times New Roman"/>
          <w:bCs/>
          <w:sz w:val="24"/>
          <w:szCs w:val="24"/>
        </w:rPr>
        <w:t>The following rules are no longer needed because there are more stringent federal rules or that type of business no longer exists in Oregon. If that type of business wanted to build in Oregon, they would be permitted under federal rules, which are more stringent than the state rules being repealed</w:t>
      </w:r>
      <w:r w:rsidR="008C2CC3">
        <w:rPr>
          <w:rFonts w:ascii="Times New Roman" w:hAnsi="Times New Roman" w:cs="Times New Roman"/>
          <w:bCs/>
          <w:sz w:val="24"/>
          <w:szCs w:val="24"/>
        </w:rPr>
        <w:t xml:space="preserve">. </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Neutral Sulfite Semi-Chemical (NSSC) Pulp Mills in division 234</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Sulfite Pulp Mills in division 234</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Primary Aluminum Standards in division 236</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Laterite Ore Production of Ferronickel in division 236</w:t>
      </w:r>
    </w:p>
    <w:p w:rsidR="00E058A2" w:rsidRPr="00E058A2" w:rsidRDefault="00E058A2" w:rsidP="00E058A2">
      <w:pPr>
        <w:numPr>
          <w:ilvl w:val="0"/>
          <w:numId w:val="8"/>
        </w:numPr>
        <w:spacing w:after="0" w:line="240" w:lineRule="auto"/>
        <w:contextualSpacing/>
        <w:rPr>
          <w:rFonts w:ascii="Times New Roman" w:hAnsi="Times New Roman" w:cs="Times New Roman"/>
          <w:sz w:val="24"/>
          <w:szCs w:val="24"/>
        </w:rPr>
      </w:pPr>
      <w:r w:rsidRPr="00E058A2">
        <w:rPr>
          <w:rFonts w:ascii="Times New Roman" w:hAnsi="Times New Roman" w:cs="Times New Roman"/>
          <w:sz w:val="24"/>
          <w:szCs w:val="24"/>
        </w:rPr>
        <w:t>Charcoal Producing Plants in division 240</w:t>
      </w:r>
    </w:p>
    <w:p w:rsidR="00E058A2" w:rsidRPr="00E058A2" w:rsidRDefault="00E058A2" w:rsidP="00E058A2">
      <w:pPr>
        <w:numPr>
          <w:ilvl w:val="0"/>
          <w:numId w:val="8"/>
        </w:numPr>
        <w:spacing w:after="0" w:line="240" w:lineRule="auto"/>
        <w:contextualSpacing/>
        <w:rPr>
          <w:rFonts w:ascii="Times New Roman" w:hAnsi="Times New Roman" w:cs="Times New Roman"/>
          <w:sz w:val="24"/>
          <w:szCs w:val="24"/>
        </w:rPr>
      </w:pPr>
      <w:r w:rsidRPr="00E058A2">
        <w:rPr>
          <w:rFonts w:ascii="Times New Roman" w:hAnsi="Times New Roman" w:cs="Times New Roman"/>
          <w:sz w:val="24"/>
          <w:szCs w:val="24"/>
        </w:rPr>
        <w:t>Spray Paint in division 242</w:t>
      </w:r>
    </w:p>
    <w:p w:rsidR="00E058A2" w:rsidRPr="00E058A2" w:rsidRDefault="00716574" w:rsidP="00E058A2">
      <w:pPr>
        <w:numPr>
          <w:ilvl w:val="0"/>
          <w:numId w:val="8"/>
        </w:numPr>
        <w:contextualSpacing/>
        <w:rPr>
          <w:rFonts w:ascii="Times New Roman" w:hAnsi="Times New Roman" w:cs="Times New Roman"/>
          <w:sz w:val="24"/>
          <w:szCs w:val="24"/>
        </w:rPr>
      </w:pPr>
      <w:r>
        <w:rPr>
          <w:rFonts w:ascii="Times New Roman" w:hAnsi="Times New Roman" w:cs="Times New Roman"/>
          <w:sz w:val="24"/>
          <w:szCs w:val="24"/>
        </w:rPr>
        <w:lastRenderedPageBreak/>
        <w:t>Regional Haze</w:t>
      </w:r>
      <w:r w:rsidR="00E058A2" w:rsidRPr="00E058A2">
        <w:rPr>
          <w:rFonts w:ascii="Times New Roman" w:hAnsi="Times New Roman" w:cs="Times New Roman"/>
          <w:sz w:val="24"/>
          <w:szCs w:val="24"/>
        </w:rPr>
        <w:t xml:space="preserve"> rules for Western Backstop SO</w:t>
      </w:r>
      <w:r w:rsidR="00E058A2" w:rsidRPr="00E058A2">
        <w:rPr>
          <w:rFonts w:ascii="Times New Roman" w:hAnsi="Times New Roman" w:cs="Times New Roman"/>
          <w:sz w:val="24"/>
          <w:szCs w:val="24"/>
          <w:vertAlign w:val="subscript"/>
        </w:rPr>
        <w:t>2</w:t>
      </w:r>
      <w:r w:rsidR="00E058A2" w:rsidRPr="00E058A2">
        <w:rPr>
          <w:rFonts w:ascii="Times New Roman" w:hAnsi="Times New Roman" w:cs="Times New Roman"/>
          <w:sz w:val="24"/>
          <w:szCs w:val="24"/>
        </w:rPr>
        <w:t xml:space="preserve"> Trading Program in division 228</w:t>
      </w:r>
    </w:p>
    <w:p w:rsidR="00E058A2" w:rsidRPr="00E058A2" w:rsidRDefault="00E058A2" w:rsidP="00E058A2">
      <w:pPr>
        <w:spacing w:after="0" w:line="240" w:lineRule="auto"/>
        <w:rPr>
          <w:rFonts w:ascii="Times New Roman" w:hAnsi="Times New Roman" w:cs="Times New Roman"/>
          <w:sz w:val="24"/>
          <w:szCs w:val="24"/>
        </w:rPr>
      </w:pPr>
    </w:p>
    <w:p w:rsidR="00E058A2" w:rsidRDefault="00E058A2" w:rsidP="001A67FF">
      <w:pPr>
        <w:spacing w:after="0" w:line="240" w:lineRule="auto"/>
        <w:rPr>
          <w:rFonts w:ascii="Times New Roman" w:hAnsi="Times New Roman" w:cs="Times New Roman"/>
          <w:sz w:val="24"/>
          <w:szCs w:val="24"/>
        </w:rPr>
      </w:pPr>
      <w:r w:rsidRPr="00E058A2">
        <w:rPr>
          <w:rFonts w:ascii="Times New Roman" w:hAnsi="Times New Roman" w:cs="Times New Roman"/>
          <w:sz w:val="24"/>
          <w:szCs w:val="24"/>
        </w:rPr>
        <w:t xml:space="preserve">DEQ is also proposing repeal of the </w:t>
      </w:r>
      <w:r w:rsidR="000F6624">
        <w:rPr>
          <w:rFonts w:ascii="Times New Roman" w:hAnsi="Times New Roman" w:cs="Times New Roman"/>
          <w:sz w:val="24"/>
          <w:szCs w:val="24"/>
        </w:rPr>
        <w:t xml:space="preserve">30-second opacity limit in </w:t>
      </w:r>
      <w:r w:rsidR="000F6624">
        <w:rPr>
          <w:rFonts w:ascii="Times New Roman" w:hAnsi="Times New Roman" w:cs="Times New Roman"/>
          <w:bCs/>
          <w:sz w:val="24"/>
          <w:szCs w:val="24"/>
        </w:rPr>
        <w:t>OAR 340-208-06</w:t>
      </w:r>
      <w:r w:rsidR="00361D4F" w:rsidRPr="00361D4F">
        <w:rPr>
          <w:rFonts w:ascii="Times New Roman" w:hAnsi="Times New Roman" w:cs="Times New Roman"/>
          <w:bCs/>
          <w:sz w:val="24"/>
          <w:szCs w:val="24"/>
        </w:rPr>
        <w:t>00</w:t>
      </w:r>
      <w:r w:rsidR="008C2CC3">
        <w:rPr>
          <w:rFonts w:ascii="Times New Roman" w:hAnsi="Times New Roman" w:cs="Times New Roman"/>
          <w:bCs/>
          <w:sz w:val="24"/>
          <w:szCs w:val="24"/>
        </w:rPr>
        <w:t xml:space="preserve">. </w:t>
      </w:r>
      <w:r w:rsidR="000F6624">
        <w:rPr>
          <w:rFonts w:ascii="Times New Roman" w:hAnsi="Times New Roman" w:cs="Times New Roman"/>
          <w:bCs/>
          <w:sz w:val="24"/>
          <w:szCs w:val="24"/>
        </w:rPr>
        <w:t>Thi</w:t>
      </w:r>
      <w:r w:rsidR="00361D4F">
        <w:rPr>
          <w:rFonts w:ascii="Times New Roman" w:hAnsi="Times New Roman" w:cs="Times New Roman"/>
          <w:bCs/>
          <w:sz w:val="24"/>
          <w:szCs w:val="24"/>
        </w:rPr>
        <w:t>s</w:t>
      </w:r>
      <w:r w:rsidR="000F6624">
        <w:rPr>
          <w:rFonts w:ascii="Times New Roman" w:hAnsi="Times New Roman" w:cs="Times New Roman"/>
          <w:bCs/>
          <w:sz w:val="24"/>
          <w:szCs w:val="24"/>
        </w:rPr>
        <w:t xml:space="preserve"> rule</w:t>
      </w:r>
      <w:r w:rsidR="00361D4F">
        <w:rPr>
          <w:rFonts w:ascii="Times New Roman" w:hAnsi="Times New Roman" w:cs="Times New Roman"/>
          <w:bCs/>
          <w:sz w:val="24"/>
          <w:szCs w:val="24"/>
        </w:rPr>
        <w:t xml:space="preserve"> </w:t>
      </w:r>
      <w:r w:rsidR="000F6624">
        <w:rPr>
          <w:rFonts w:ascii="Times New Roman" w:hAnsi="Times New Roman" w:cs="Times New Roman"/>
          <w:sz w:val="24"/>
          <w:szCs w:val="24"/>
        </w:rPr>
        <w:t>is</w:t>
      </w:r>
      <w:r w:rsidRPr="00E058A2">
        <w:rPr>
          <w:rFonts w:ascii="Times New Roman" w:hAnsi="Times New Roman" w:cs="Times New Roman"/>
          <w:sz w:val="24"/>
          <w:szCs w:val="24"/>
        </w:rPr>
        <w:t xml:space="preserve"> specific to Clackamas, Columbia, Multnomah, and Washington </w:t>
      </w:r>
      <w:r w:rsidR="00361D4F">
        <w:rPr>
          <w:rFonts w:ascii="Times New Roman" w:hAnsi="Times New Roman" w:cs="Times New Roman"/>
          <w:sz w:val="24"/>
          <w:szCs w:val="24"/>
        </w:rPr>
        <w:t>Counties</w:t>
      </w:r>
      <w:r w:rsidRPr="001A67FF">
        <w:rPr>
          <w:rFonts w:ascii="Times New Roman" w:hAnsi="Times New Roman" w:cs="Times New Roman"/>
          <w:sz w:val="24"/>
          <w:szCs w:val="24"/>
        </w:rPr>
        <w:t xml:space="preserve">. </w:t>
      </w:r>
      <w:r w:rsidR="001A67FF">
        <w:rPr>
          <w:rFonts w:ascii="Times New Roman" w:hAnsi="Times New Roman" w:cs="Times New Roman"/>
          <w:sz w:val="24"/>
          <w:szCs w:val="24"/>
        </w:rPr>
        <w:t>T</w:t>
      </w:r>
      <w:r w:rsidRPr="001A67FF">
        <w:rPr>
          <w:rFonts w:ascii="Times New Roman" w:hAnsi="Times New Roman" w:cs="Times New Roman"/>
          <w:sz w:val="24"/>
          <w:szCs w:val="24"/>
        </w:rPr>
        <w:t>his rule</w:t>
      </w:r>
      <w:r w:rsidR="001A67FF">
        <w:rPr>
          <w:rFonts w:ascii="Times New Roman" w:hAnsi="Times New Roman" w:cs="Times New Roman"/>
          <w:sz w:val="24"/>
          <w:szCs w:val="24"/>
        </w:rPr>
        <w:t xml:space="preserve"> applies to </w:t>
      </w:r>
      <w:r w:rsidRPr="001A67FF">
        <w:rPr>
          <w:rFonts w:ascii="Times New Roman" w:hAnsi="Times New Roman" w:cs="Times New Roman"/>
          <w:sz w:val="24"/>
          <w:szCs w:val="24"/>
        </w:rPr>
        <w:t>“non-fuel-burning-equipment</w:t>
      </w:r>
      <w:r w:rsidR="001A67FF">
        <w:rPr>
          <w:rFonts w:ascii="Times New Roman" w:hAnsi="Times New Roman" w:cs="Times New Roman"/>
          <w:sz w:val="24"/>
          <w:szCs w:val="24"/>
        </w:rPr>
        <w:t>,</w:t>
      </w:r>
      <w:r w:rsidRPr="001A67FF">
        <w:rPr>
          <w:rFonts w:ascii="Times New Roman" w:hAnsi="Times New Roman" w:cs="Times New Roman"/>
          <w:sz w:val="24"/>
          <w:szCs w:val="24"/>
        </w:rPr>
        <w:t>” essentially equipment that is not a boiler, such as material dryers, storage systems and conveying systems. This rule therefore has limited applicability to equipment other than boilers located in the four-county area.</w:t>
      </w:r>
      <w:r w:rsidR="001A67FF">
        <w:rPr>
          <w:rFonts w:ascii="Times New Roman" w:hAnsi="Times New Roman" w:cs="Times New Roman"/>
          <w:sz w:val="24"/>
          <w:szCs w:val="24"/>
        </w:rPr>
        <w:t xml:space="preserve"> </w:t>
      </w:r>
      <w:r w:rsidRPr="001A67FF">
        <w:rPr>
          <w:rFonts w:ascii="Times New Roman" w:hAnsi="Times New Roman" w:cs="Times New Roman"/>
          <w:sz w:val="24"/>
          <w:szCs w:val="24"/>
        </w:rPr>
        <w:t xml:space="preserve">In addition to this rule, DEQ has statewide visible air contaminant standards. </w:t>
      </w:r>
    </w:p>
    <w:p w:rsidR="001A67FF" w:rsidRPr="001A67FF" w:rsidRDefault="001A67FF" w:rsidP="001A67FF">
      <w:pPr>
        <w:spacing w:after="0" w:line="240" w:lineRule="auto"/>
        <w:rPr>
          <w:rFonts w:ascii="Times New Roman" w:hAnsi="Times New Roman" w:cs="Times New Roman"/>
          <w:sz w:val="24"/>
          <w:szCs w:val="24"/>
        </w:rPr>
      </w:pP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There is an exception for existing fuel burning equipment installed on or before June 1, 1970 utilizing wood wastes, which must comply with the following:</w:t>
      </w:r>
    </w:p>
    <w:p w:rsidR="00E058A2" w:rsidRPr="001A67FF" w:rsidRDefault="00E058A2" w:rsidP="00E058A2">
      <w:pPr>
        <w:ind w:left="720"/>
        <w:rPr>
          <w:rFonts w:ascii="Times New Roman" w:hAnsi="Times New Roman" w:cs="Times New Roman"/>
          <w:sz w:val="24"/>
          <w:szCs w:val="24"/>
        </w:rPr>
      </w:pPr>
      <w:r w:rsidRPr="001A67FF">
        <w:rPr>
          <w:rFonts w:ascii="Times New Roman" w:hAnsi="Times New Roman" w:cs="Times New Roman"/>
          <w:sz w:val="24"/>
          <w:szCs w:val="24"/>
        </w:rPr>
        <w:t>No person may emit any air contaminant for a period or periods aggregating more than three minutes in any one hour which is equal to or greater than 40% opacity.</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DEQ is proposing to revise the current statewide visible emission standards to apply on a six-minute average, which will put DEQ’s standards on the same basis as the U.S. EPA’s visible emissions standards.</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 In the case of the proposed statewide standards, EPA’s Method 9 is the defined method for determining compliance. Using EPA Method 9, visible emissions readings are taken every 15 seconds, and 24 consecutive readings are averaged to determine compliance with the 6-minute standard. However, DEQ does not have a defined method for determining compliance with the 30-second standard in OAR 340-208-0600, and EPA Method 9 does not lend itself to this task because readings are taken every 15 seconds.</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The lack of a defined compliance determination method makes the 30-second standard in OAR 340-208-0600 unenforceable as a practical matter. DEQ could devise and propose a compliance method to make this rule enforceable, but DEQ does not believe the level of effort required to do this is justified for a rule that has such limited applicability. DEQ also believes that the statewide standard will be sufficiently protective.</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DEQ proposes repeal of this rule because it is not practically enforceable and because the effort required to develop a method to make it enforceable is not justified. Repeal of this rule will have no effect.</w:t>
      </w:r>
    </w:p>
    <w:p w:rsidR="00E548F5" w:rsidRDefault="00E548F5" w:rsidP="00C90516">
      <w:pPr>
        <w:spacing w:after="0" w:line="240" w:lineRule="auto"/>
        <w:rPr>
          <w:rFonts w:ascii="Times New Roman" w:hAnsi="Times New Roman" w:cs="Times New Roman"/>
          <w:bCs/>
          <w:sz w:val="24"/>
          <w:szCs w:val="24"/>
          <w:u w:val="single"/>
        </w:rPr>
      </w:pPr>
    </w:p>
    <w:p w:rsidR="00E548F5" w:rsidRPr="00E548F5" w:rsidRDefault="00E548F5" w:rsidP="00E548F5">
      <w:pPr>
        <w:pStyle w:val="Heading2"/>
      </w:pPr>
      <w:bookmarkStart w:id="6" w:name="_Toc357496198"/>
      <w:r>
        <w:lastRenderedPageBreak/>
        <w:t>Update existing limits to address PM2.5</w:t>
      </w:r>
      <w:bookmarkEnd w:id="6"/>
    </w:p>
    <w:p w:rsidR="00E548F5" w:rsidRPr="00E548F5" w:rsidRDefault="00E548F5" w:rsidP="00C90516">
      <w:pPr>
        <w:spacing w:after="0" w:line="240" w:lineRule="auto"/>
        <w:rPr>
          <w:rFonts w:ascii="Times New Roman" w:hAnsi="Times New Roman" w:cs="Times New Roman"/>
          <w:bCs/>
          <w:sz w:val="24"/>
          <w:szCs w:val="24"/>
        </w:rPr>
      </w:pPr>
    </w:p>
    <w:p w:rsidR="00E548F5" w:rsidRPr="001A67FF" w:rsidRDefault="00E548F5" w:rsidP="00E548F5">
      <w:pPr>
        <w:pStyle w:val="Heading3"/>
        <w:rPr>
          <w:highlight w:val="yellow"/>
        </w:rPr>
      </w:pPr>
      <w:bookmarkStart w:id="7" w:name="_Toc357496199"/>
      <w:r w:rsidRPr="001A67FF">
        <w:rPr>
          <w:highlight w:val="yellow"/>
        </w:rPr>
        <w:t>Opacity</w:t>
      </w:r>
      <w:bookmarkEnd w:id="7"/>
    </w:p>
    <w:p w:rsidR="00E548F5" w:rsidRPr="001A67FF" w:rsidRDefault="00E548F5" w:rsidP="00C90516">
      <w:pPr>
        <w:spacing w:after="0" w:line="240" w:lineRule="auto"/>
        <w:rPr>
          <w:rFonts w:ascii="Times New Roman" w:hAnsi="Times New Roman" w:cs="Times New Roman"/>
          <w:bCs/>
          <w:sz w:val="24"/>
          <w:szCs w:val="24"/>
          <w:highlight w:val="yellow"/>
        </w:rPr>
      </w:pPr>
    </w:p>
    <w:p w:rsidR="00E548F5" w:rsidRPr="00E548F5" w:rsidRDefault="00E548F5" w:rsidP="009F2CF0">
      <w:pPr>
        <w:pStyle w:val="Heading3"/>
      </w:pPr>
      <w:bookmarkStart w:id="8" w:name="_Toc357496200"/>
      <w:r w:rsidRPr="001A67FF">
        <w:rPr>
          <w:highlight w:val="yellow"/>
        </w:rPr>
        <w:t>Grain loading</w:t>
      </w:r>
      <w:bookmarkEnd w:id="8"/>
    </w:p>
    <w:p w:rsidR="00E548F5" w:rsidRDefault="00E548F5" w:rsidP="00E548F5">
      <w:pPr>
        <w:pStyle w:val="Heading1"/>
      </w:pPr>
      <w:bookmarkStart w:id="9" w:name="_Toc357496201"/>
      <w:r>
        <w:t>New Source Review program overhaul</w:t>
      </w:r>
      <w:bookmarkEnd w:id="9"/>
    </w:p>
    <w:p w:rsidR="00E548F5" w:rsidRDefault="004A5A93"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DEQ is proposing changes to the New Sou</w:t>
      </w:r>
      <w:r w:rsidR="007500F6">
        <w:rPr>
          <w:rFonts w:ascii="Times New Roman" w:hAnsi="Times New Roman" w:cs="Times New Roman"/>
          <w:bCs/>
          <w:sz w:val="24"/>
          <w:szCs w:val="24"/>
        </w:rPr>
        <w:t>rce R</w:t>
      </w:r>
      <w:r>
        <w:rPr>
          <w:rFonts w:ascii="Times New Roman" w:hAnsi="Times New Roman" w:cs="Times New Roman"/>
          <w:bCs/>
          <w:sz w:val="24"/>
          <w:szCs w:val="24"/>
        </w:rPr>
        <w:t xml:space="preserve">eview program </w:t>
      </w:r>
      <w:r w:rsidR="00C179E4">
        <w:rPr>
          <w:rFonts w:ascii="Times New Roman" w:hAnsi="Times New Roman" w:cs="Times New Roman"/>
          <w:bCs/>
          <w:sz w:val="24"/>
          <w:szCs w:val="24"/>
        </w:rPr>
        <w:t>to improve air quality in all areas of the state, especially those that are close to or exceed ambient air quality standards</w:t>
      </w:r>
      <w:r w:rsidR="008C2CC3">
        <w:rPr>
          <w:rFonts w:ascii="Times New Roman" w:hAnsi="Times New Roman" w:cs="Times New Roman"/>
          <w:bCs/>
          <w:sz w:val="24"/>
          <w:szCs w:val="24"/>
        </w:rPr>
        <w:t xml:space="preserve">. </w:t>
      </w:r>
      <w:r w:rsidR="00C179E4">
        <w:rPr>
          <w:rFonts w:ascii="Times New Roman" w:hAnsi="Times New Roman" w:cs="Times New Roman"/>
          <w:bCs/>
          <w:sz w:val="24"/>
          <w:szCs w:val="24"/>
        </w:rPr>
        <w:t xml:space="preserve">The proposed changes will also clarify permitting requirements, provide more opportunities for businesses to obtain offsets and </w:t>
      </w:r>
      <w:r w:rsidR="009945FB">
        <w:rPr>
          <w:rFonts w:ascii="Times New Roman" w:hAnsi="Times New Roman" w:cs="Times New Roman"/>
          <w:bCs/>
          <w:sz w:val="24"/>
          <w:szCs w:val="24"/>
        </w:rPr>
        <w:t>make it possible to demonstrate a new air quality benefit</w:t>
      </w:r>
      <w:r w:rsidR="008C2CC3">
        <w:rPr>
          <w:rFonts w:ascii="Times New Roman" w:hAnsi="Times New Roman" w:cs="Times New Roman"/>
          <w:bCs/>
          <w:sz w:val="24"/>
          <w:szCs w:val="24"/>
        </w:rPr>
        <w:t xml:space="preserve">. </w:t>
      </w:r>
      <w:r w:rsidR="00C179E4">
        <w:rPr>
          <w:rFonts w:ascii="Times New Roman" w:hAnsi="Times New Roman" w:cs="Times New Roman"/>
          <w:bCs/>
          <w:sz w:val="24"/>
          <w:szCs w:val="24"/>
        </w:rPr>
        <w:t xml:space="preserve"> </w:t>
      </w:r>
    </w:p>
    <w:p w:rsidR="006002A8" w:rsidRDefault="006002A8"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0" w:name="_Toc357496202"/>
      <w:r>
        <w:t>Redefine major source</w:t>
      </w:r>
      <w:bookmarkEnd w:id="10"/>
    </w:p>
    <w:p w:rsidR="007500F6" w:rsidRPr="007500F6" w:rsidRDefault="007500F6" w:rsidP="007500F6">
      <w:p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DEQ has had a major New Source Review program since </w:t>
      </w:r>
      <w:r w:rsidR="00716574">
        <w:rPr>
          <w:rFonts w:ascii="Times New Roman" w:hAnsi="Times New Roman" w:cs="Times New Roman"/>
          <w:bCs/>
          <w:sz w:val="24"/>
          <w:szCs w:val="24"/>
        </w:rPr>
        <w:t>the early 1980’s (see supplemental NSR Program Discussion document)</w:t>
      </w:r>
      <w:r w:rsidRPr="007500F6">
        <w:rPr>
          <w:rFonts w:ascii="Times New Roman" w:hAnsi="Times New Roman" w:cs="Times New Roman"/>
          <w:bCs/>
          <w:sz w:val="24"/>
          <w:szCs w:val="24"/>
        </w:rPr>
        <w:t xml:space="preserve">. This program regulates construction and modification of larger or major sources in the state. Major sources are defined as sources that have the potential to emit at a significant emission rate in Oregon. The federal NSR program </w:t>
      </w:r>
      <w:r w:rsidR="00716574" w:rsidRPr="007500F6">
        <w:rPr>
          <w:rFonts w:ascii="Times New Roman" w:hAnsi="Times New Roman" w:cs="Times New Roman"/>
          <w:bCs/>
          <w:sz w:val="24"/>
          <w:szCs w:val="24"/>
        </w:rPr>
        <w:t>differs</w:t>
      </w:r>
      <w:r w:rsidR="00716574">
        <w:rPr>
          <w:rFonts w:ascii="Times New Roman" w:hAnsi="Times New Roman" w:cs="Times New Roman"/>
          <w:bCs/>
          <w:sz w:val="24"/>
          <w:szCs w:val="24"/>
        </w:rPr>
        <w:t>.   For attainment or unclassified areas, the federal rules</w:t>
      </w:r>
      <w:r w:rsidRPr="007500F6">
        <w:rPr>
          <w:rFonts w:ascii="Times New Roman" w:hAnsi="Times New Roman" w:cs="Times New Roman"/>
          <w:bCs/>
          <w:sz w:val="24"/>
          <w:szCs w:val="24"/>
        </w:rPr>
        <w:t xml:space="preserve"> define major sources at 100 tons per year if they are on a specific list of sources or at 250 tons per year if they are not on that list. </w:t>
      </w:r>
      <w:r w:rsidR="00716574">
        <w:rPr>
          <w:rFonts w:ascii="Times New Roman" w:hAnsi="Times New Roman" w:cs="Times New Roman"/>
          <w:bCs/>
          <w:sz w:val="24"/>
          <w:szCs w:val="24"/>
        </w:rPr>
        <w:t xml:space="preserve">In nonattainment areas, the federal rules define major sources at 100 tons per year with lower thresholds, depending on the severity of the nonattainment area.  </w:t>
      </w:r>
      <w:r w:rsidRPr="007500F6">
        <w:rPr>
          <w:rFonts w:ascii="Times New Roman" w:hAnsi="Times New Roman" w:cs="Times New Roman"/>
          <w:bCs/>
          <w:sz w:val="24"/>
          <w:szCs w:val="24"/>
        </w:rPr>
        <w:t>As stated (in part) in the EQC report dated June 5, 1981 for defining major sources as those that emit at or above the significant emission rate:</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“The advantages of using significant emission rate levels in nonattainment areas are the following:  </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The “significant emission rate” levels were developed by EPA based on modeling that demonstrated a significant impact caused by such emissions. It makes sense that any emission increase that has a significant impact, whether the increase results from a new source or a modification, should be subject to New Source Review in a nonattainment area. EPA was forced to use different cutoffs for new sources and modification by court interpretations even though these different cutoffs make no technical sense. </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 By providing the same cutoff criteria for new sources and modifications, equity would be provided for both new and existing sources.</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Sources locating adjacent to nonattainment areas that would potentially impact the nonattainment area are also proposed to be subject to the “significant emission rate” criteria, thereby providing equity for those sources locating inside and those adjacent sources having a significant air quality impact on nonattainment areas.</w:t>
      </w:r>
    </w:p>
    <w:p w:rsidR="007500F6" w:rsidRPr="007500F6" w:rsidRDefault="007500F6" w:rsidP="007500F6">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In this proposed rulemaking, DEQ is changing the definition of “major so</w:t>
      </w:r>
      <w:r w:rsidR="00E22D92">
        <w:rPr>
          <w:rFonts w:ascii="Times New Roman" w:hAnsi="Times New Roman" w:cs="Times New Roman"/>
          <w:bCs/>
          <w:sz w:val="24"/>
          <w:szCs w:val="24"/>
        </w:rPr>
        <w:t xml:space="preserve">urce” </w:t>
      </w:r>
      <w:r w:rsidR="00716574">
        <w:rPr>
          <w:rFonts w:ascii="Times New Roman" w:hAnsi="Times New Roman" w:cs="Times New Roman"/>
          <w:bCs/>
          <w:sz w:val="24"/>
          <w:szCs w:val="24"/>
        </w:rPr>
        <w:t xml:space="preserve">for nonattainment and maintenance areas </w:t>
      </w:r>
      <w:r w:rsidR="00E22D92">
        <w:rPr>
          <w:rFonts w:ascii="Times New Roman" w:hAnsi="Times New Roman" w:cs="Times New Roman"/>
          <w:bCs/>
          <w:sz w:val="24"/>
          <w:szCs w:val="24"/>
        </w:rPr>
        <w:t>by aligning the threshold</w:t>
      </w:r>
      <w:r w:rsidRPr="002A0869">
        <w:rPr>
          <w:rFonts w:ascii="Times New Roman" w:hAnsi="Times New Roman" w:cs="Times New Roman"/>
          <w:bCs/>
          <w:sz w:val="24"/>
          <w:szCs w:val="24"/>
        </w:rPr>
        <w:t xml:space="preserve"> with the federal major source threshold, which is 100 tons per year</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Sources with the potential to emit at levels between the S</w:t>
      </w:r>
      <w:r w:rsidR="00E22D92">
        <w:rPr>
          <w:rFonts w:ascii="Times New Roman" w:hAnsi="Times New Roman" w:cs="Times New Roman"/>
          <w:bCs/>
          <w:sz w:val="24"/>
          <w:szCs w:val="24"/>
        </w:rPr>
        <w:t>ignif</w:t>
      </w:r>
      <w:r w:rsidR="00D12310">
        <w:rPr>
          <w:rFonts w:ascii="Times New Roman" w:hAnsi="Times New Roman" w:cs="Times New Roman"/>
          <w:bCs/>
          <w:sz w:val="24"/>
          <w:szCs w:val="24"/>
        </w:rPr>
        <w:t>i</w:t>
      </w:r>
      <w:r w:rsidR="00E22D92">
        <w:rPr>
          <w:rFonts w:ascii="Times New Roman" w:hAnsi="Times New Roman" w:cs="Times New Roman"/>
          <w:bCs/>
          <w:sz w:val="24"/>
          <w:szCs w:val="24"/>
        </w:rPr>
        <w:t xml:space="preserve">cant </w:t>
      </w:r>
      <w:r w:rsidRPr="002A0869">
        <w:rPr>
          <w:rFonts w:ascii="Times New Roman" w:hAnsi="Times New Roman" w:cs="Times New Roman"/>
          <w:bCs/>
          <w:sz w:val="24"/>
          <w:szCs w:val="24"/>
        </w:rPr>
        <w:t>E</w:t>
      </w:r>
      <w:r w:rsidR="00E22D92">
        <w:rPr>
          <w:rFonts w:ascii="Times New Roman" w:hAnsi="Times New Roman" w:cs="Times New Roman"/>
          <w:bCs/>
          <w:sz w:val="24"/>
          <w:szCs w:val="24"/>
        </w:rPr>
        <w:t xml:space="preserve">mission </w:t>
      </w:r>
      <w:r w:rsidRPr="002A0869">
        <w:rPr>
          <w:rFonts w:ascii="Times New Roman" w:hAnsi="Times New Roman" w:cs="Times New Roman"/>
          <w:bCs/>
          <w:sz w:val="24"/>
          <w:szCs w:val="24"/>
        </w:rPr>
        <w:t>R</w:t>
      </w:r>
      <w:r w:rsidR="00E22D92">
        <w:rPr>
          <w:rFonts w:ascii="Times New Roman" w:hAnsi="Times New Roman" w:cs="Times New Roman"/>
          <w:bCs/>
          <w:sz w:val="24"/>
          <w:szCs w:val="24"/>
        </w:rPr>
        <w:t>ate</w:t>
      </w:r>
      <w:r w:rsidRPr="002A0869">
        <w:rPr>
          <w:rFonts w:ascii="Times New Roman" w:hAnsi="Times New Roman" w:cs="Times New Roman"/>
          <w:bCs/>
          <w:sz w:val="24"/>
          <w:szCs w:val="24"/>
        </w:rPr>
        <w:t xml:space="preserve"> and 100 tons per year </w:t>
      </w:r>
      <w:r w:rsidR="004A5A93">
        <w:rPr>
          <w:rFonts w:ascii="Times New Roman" w:hAnsi="Times New Roman" w:cs="Times New Roman"/>
          <w:bCs/>
          <w:sz w:val="24"/>
          <w:szCs w:val="24"/>
        </w:rPr>
        <w:t xml:space="preserve">that were previously considered major sources </w:t>
      </w:r>
      <w:r w:rsidRPr="002A0869">
        <w:rPr>
          <w:rFonts w:ascii="Times New Roman" w:hAnsi="Times New Roman" w:cs="Times New Roman"/>
          <w:bCs/>
          <w:sz w:val="24"/>
          <w:szCs w:val="24"/>
        </w:rPr>
        <w:t>are now considered minor sources</w:t>
      </w:r>
      <w:r w:rsidR="008C2CC3">
        <w:rPr>
          <w:rFonts w:ascii="Times New Roman" w:hAnsi="Times New Roman" w:cs="Times New Roman"/>
          <w:bCs/>
          <w:sz w:val="24"/>
          <w:szCs w:val="24"/>
        </w:rPr>
        <w:t xml:space="preserve">. </w:t>
      </w:r>
      <w:r w:rsidR="00353AFA">
        <w:rPr>
          <w:rFonts w:ascii="Times New Roman" w:hAnsi="Times New Roman" w:cs="Times New Roman"/>
          <w:bCs/>
          <w:sz w:val="24"/>
          <w:szCs w:val="24"/>
        </w:rPr>
        <w:t>DEQ is making this change because it is developing a State New Source Review program for these SER to 100 tpy sources that is separate from the Major New Source Review program</w:t>
      </w:r>
      <w:r w:rsidR="008C2CC3">
        <w:rPr>
          <w:rFonts w:ascii="Times New Roman" w:hAnsi="Times New Roman" w:cs="Times New Roman"/>
          <w:bCs/>
          <w:sz w:val="24"/>
          <w:szCs w:val="24"/>
        </w:rPr>
        <w:t xml:space="preserve">. </w:t>
      </w:r>
      <w:r w:rsidR="00973EE1">
        <w:rPr>
          <w:rFonts w:ascii="Times New Roman" w:hAnsi="Times New Roman" w:cs="Times New Roman"/>
          <w:bCs/>
          <w:sz w:val="24"/>
          <w:szCs w:val="24"/>
        </w:rPr>
        <w:t>The State NSR program is part of DEQ’s minor new source review program, along with the requirements for Notice of Construction</w:t>
      </w:r>
      <w:r w:rsidR="00673D93">
        <w:rPr>
          <w:rFonts w:ascii="Times New Roman" w:hAnsi="Times New Roman" w:cs="Times New Roman"/>
          <w:bCs/>
          <w:sz w:val="24"/>
          <w:szCs w:val="24"/>
        </w:rPr>
        <w:t xml:space="preserve"> and Approval of Plans</w:t>
      </w:r>
      <w:r w:rsidR="00716574">
        <w:rPr>
          <w:rFonts w:ascii="Times New Roman" w:hAnsi="Times New Roman" w:cs="Times New Roman"/>
          <w:bCs/>
          <w:sz w:val="24"/>
          <w:szCs w:val="24"/>
        </w:rPr>
        <w:t xml:space="preserve"> (OAR 340-210-0205 through 340-210-0250)</w:t>
      </w:r>
      <w:r w:rsidR="00973EE1">
        <w:rPr>
          <w:rFonts w:ascii="Times New Roman" w:hAnsi="Times New Roman" w:cs="Times New Roman"/>
          <w:bCs/>
          <w:sz w:val="24"/>
          <w:szCs w:val="24"/>
        </w:rPr>
        <w:t>, PSEL increases</w:t>
      </w:r>
      <w:r w:rsidR="00673D93">
        <w:rPr>
          <w:rFonts w:ascii="Times New Roman" w:hAnsi="Times New Roman" w:cs="Times New Roman"/>
          <w:bCs/>
          <w:sz w:val="24"/>
          <w:szCs w:val="24"/>
        </w:rPr>
        <w:t xml:space="preserve"> that are not subject to Major New Source Review</w:t>
      </w:r>
      <w:r w:rsidR="00D478A2">
        <w:rPr>
          <w:rFonts w:ascii="Times New Roman" w:hAnsi="Times New Roman" w:cs="Times New Roman"/>
          <w:bCs/>
          <w:sz w:val="24"/>
          <w:szCs w:val="24"/>
        </w:rPr>
        <w:t xml:space="preserve"> (340-222-0041)</w:t>
      </w:r>
      <w:r w:rsidR="00973EE1">
        <w:rPr>
          <w:rFonts w:ascii="Times New Roman" w:hAnsi="Times New Roman" w:cs="Times New Roman"/>
          <w:bCs/>
          <w:sz w:val="24"/>
          <w:szCs w:val="24"/>
        </w:rPr>
        <w:t xml:space="preserve">, </w:t>
      </w:r>
      <w:r w:rsidR="00673D93">
        <w:rPr>
          <w:rFonts w:ascii="Times New Roman" w:hAnsi="Times New Roman" w:cs="Times New Roman"/>
          <w:bCs/>
          <w:sz w:val="24"/>
          <w:szCs w:val="24"/>
        </w:rPr>
        <w:t>and the</w:t>
      </w:r>
      <w:r w:rsidR="009945FB">
        <w:rPr>
          <w:rFonts w:ascii="Times New Roman" w:hAnsi="Times New Roman" w:cs="Times New Roman"/>
          <w:bCs/>
          <w:sz w:val="24"/>
          <w:szCs w:val="24"/>
        </w:rPr>
        <w:t xml:space="preserve"> ACDP permitting program</w:t>
      </w:r>
      <w:r w:rsidR="00D478A2">
        <w:rPr>
          <w:rFonts w:ascii="Times New Roman" w:hAnsi="Times New Roman" w:cs="Times New Roman"/>
          <w:bCs/>
          <w:sz w:val="24"/>
          <w:szCs w:val="24"/>
        </w:rPr>
        <w:t xml:space="preserve"> (OAR 340, Division 216)</w:t>
      </w:r>
      <w:r w:rsidR="009945FB">
        <w:rPr>
          <w:rFonts w:ascii="Times New Roman" w:hAnsi="Times New Roman" w:cs="Times New Roman"/>
          <w:bCs/>
          <w:sz w:val="24"/>
          <w:szCs w:val="24"/>
        </w:rPr>
        <w:t>.</w:t>
      </w:r>
      <w:r w:rsidR="00673D93">
        <w:rPr>
          <w:rFonts w:ascii="Times New Roman" w:hAnsi="Times New Roman" w:cs="Times New Roman"/>
          <w:bCs/>
          <w:sz w:val="24"/>
          <w:szCs w:val="24"/>
        </w:rPr>
        <w:t xml:space="preserve"> </w:t>
      </w:r>
    </w:p>
    <w:p w:rsidR="008F3757" w:rsidRDefault="008F3757" w:rsidP="008F3757">
      <w:pPr>
        <w:spacing w:after="0" w:line="240" w:lineRule="auto"/>
        <w:rPr>
          <w:rFonts w:ascii="Times New Roman" w:hAnsi="Times New Roman" w:cs="Times New Roman"/>
          <w:bCs/>
          <w:sz w:val="24"/>
          <w:szCs w:val="24"/>
        </w:rPr>
      </w:pPr>
    </w:p>
    <w:p w:rsidR="00E548F5" w:rsidRDefault="00E548F5" w:rsidP="00E548F5">
      <w:pPr>
        <w:pStyle w:val="Heading2"/>
      </w:pPr>
      <w:bookmarkStart w:id="11" w:name="_Toc357496203"/>
      <w:r>
        <w:t>Define two new types of areas to improve or maintain air quality</w:t>
      </w:r>
      <w:bookmarkEnd w:id="11"/>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Based upon levels of air pollutants, geographic areas are classified by EPA as attainment or nonattainment areas.</w:t>
      </w:r>
    </w:p>
    <w:p w:rsidR="002A0869" w:rsidRPr="002A0869" w:rsidRDefault="002A0869" w:rsidP="002A0869">
      <w:pPr>
        <w:numPr>
          <w:ilvl w:val="0"/>
          <w:numId w:val="14"/>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 xml:space="preserve">A geographic area that meets or has pollutant levels below the national ambient air quality standards </w:t>
      </w:r>
      <w:r w:rsidR="00101E54">
        <w:rPr>
          <w:rFonts w:ascii="Times New Roman" w:hAnsi="Times New Roman" w:cs="Times New Roman"/>
          <w:bCs/>
          <w:sz w:val="24"/>
          <w:szCs w:val="24"/>
        </w:rPr>
        <w:t xml:space="preserve">(NAAQS) </w:t>
      </w:r>
      <w:r w:rsidRPr="002A0869">
        <w:rPr>
          <w:rFonts w:ascii="Times New Roman" w:hAnsi="Times New Roman" w:cs="Times New Roman"/>
          <w:bCs/>
          <w:sz w:val="24"/>
          <w:szCs w:val="24"/>
        </w:rPr>
        <w:t>is called an attainment area.</w:t>
      </w:r>
    </w:p>
    <w:p w:rsidR="002A0869" w:rsidRPr="002A0869" w:rsidRDefault="002A0869" w:rsidP="002A0869">
      <w:pPr>
        <w:numPr>
          <w:ilvl w:val="0"/>
          <w:numId w:val="14"/>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 xml:space="preserve">An area that exceeds the </w:t>
      </w:r>
      <w:r w:rsidR="00101E54">
        <w:rPr>
          <w:rFonts w:ascii="Times New Roman" w:hAnsi="Times New Roman" w:cs="Times New Roman"/>
          <w:bCs/>
          <w:sz w:val="24"/>
          <w:szCs w:val="24"/>
        </w:rPr>
        <w:t>NAAQS</w:t>
      </w:r>
      <w:r w:rsidRPr="002A0869">
        <w:rPr>
          <w:rFonts w:ascii="Times New Roman" w:hAnsi="Times New Roman" w:cs="Times New Roman"/>
          <w:bCs/>
          <w:sz w:val="24"/>
          <w:szCs w:val="24"/>
        </w:rPr>
        <w:t xml:space="preserve"> is designated a nonattainment area</w:t>
      </w:r>
      <w:r w:rsidR="00534A7F" w:rsidRPr="002A0869">
        <w:rPr>
          <w:rFonts w:ascii="Times New Roman" w:hAnsi="Times New Roman" w:cs="Times New Roman"/>
          <w:bCs/>
          <w:sz w:val="24"/>
          <w:szCs w:val="24"/>
        </w:rPr>
        <w:t>...</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Each nonattainment area is declared for a specific pollutant. Nonattainment areas for different pollutants may overlap each other or share common boundaries.</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In addition to areas classified as attainment and nonattainmen</w:t>
      </w:r>
      <w:r w:rsidR="00101E54">
        <w:rPr>
          <w:rFonts w:ascii="Times New Roman" w:hAnsi="Times New Roman" w:cs="Times New Roman"/>
          <w:bCs/>
          <w:sz w:val="24"/>
          <w:szCs w:val="24"/>
        </w:rPr>
        <w:t>t, some areas are described as “maintenance areas.”</w:t>
      </w:r>
      <w:r w:rsidRPr="002A0869">
        <w:rPr>
          <w:rFonts w:ascii="Times New Roman" w:hAnsi="Times New Roman" w:cs="Times New Roman"/>
          <w:bCs/>
          <w:sz w:val="24"/>
          <w:szCs w:val="24"/>
        </w:rPr>
        <w:t xml:space="preserve"> Maintenance areas are those geographic areas that were classified as nonattainment, but are now consistently meeting the </w:t>
      </w:r>
      <w:r w:rsidR="00101E54">
        <w:rPr>
          <w:rFonts w:ascii="Times New Roman" w:hAnsi="Times New Roman" w:cs="Times New Roman"/>
          <w:bCs/>
          <w:sz w:val="24"/>
          <w:szCs w:val="24"/>
        </w:rPr>
        <w:t>NAAQS</w:t>
      </w:r>
      <w:r w:rsidRPr="002A0869">
        <w:rPr>
          <w:rFonts w:ascii="Times New Roman" w:hAnsi="Times New Roman" w:cs="Times New Roman"/>
          <w:bCs/>
          <w:sz w:val="24"/>
          <w:szCs w:val="24"/>
        </w:rPr>
        <w:t xml:space="preserve">. Maintenance areas have been re-designated by the EPA from "nonattainment" to "attainment with a maintenance plan"; commonly called "maintenance areas." These areas have demonstrated through monitoring and modeling </w:t>
      </w:r>
      <w:r w:rsidR="00101E54">
        <w:rPr>
          <w:rFonts w:ascii="Times New Roman" w:hAnsi="Times New Roman" w:cs="Times New Roman"/>
          <w:bCs/>
          <w:sz w:val="24"/>
          <w:szCs w:val="24"/>
        </w:rPr>
        <w:t xml:space="preserve">that </w:t>
      </w:r>
      <w:r w:rsidRPr="002A0869">
        <w:rPr>
          <w:rFonts w:ascii="Times New Roman" w:hAnsi="Times New Roman" w:cs="Times New Roman"/>
          <w:bCs/>
          <w:sz w:val="24"/>
          <w:szCs w:val="24"/>
        </w:rPr>
        <w:t>they have sufficient controls in place to continue to meet the NAAQS. They also have contingency measures in place that would be implemented should the areas start showing exceedances again.</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DEQ is proposing to define two new types of areas based upon the amb</w:t>
      </w:r>
      <w:r w:rsidR="009B30B1">
        <w:rPr>
          <w:rFonts w:ascii="Times New Roman" w:hAnsi="Times New Roman" w:cs="Times New Roman"/>
          <w:bCs/>
          <w:sz w:val="24"/>
          <w:szCs w:val="24"/>
        </w:rPr>
        <w:t>ient air quality of that area:</w:t>
      </w:r>
    </w:p>
    <w:p w:rsidR="002A0869" w:rsidRDefault="002A0869" w:rsidP="002A0869">
      <w:pPr>
        <w:numPr>
          <w:ilvl w:val="0"/>
          <w:numId w:val="8"/>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u w:val="single"/>
        </w:rPr>
        <w:t>Sustainment Areas:</w:t>
      </w:r>
      <w:r w:rsidRPr="002A0869">
        <w:rPr>
          <w:rFonts w:ascii="Times New Roman" w:hAnsi="Times New Roman" w:cs="Times New Roman"/>
          <w:bCs/>
          <w:sz w:val="24"/>
          <w:szCs w:val="24"/>
        </w:rPr>
        <w:t xml:space="preserve">  If DEQ has data showing that an area is close to or exceeding an ambient air quality standard but is not yet designated nonattainment by EPA, that area can be designated as a sustainment area by EQC</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 xml:space="preserve">DEQ will work proactively with these </w:t>
      </w:r>
      <w:r w:rsidRPr="002A0869">
        <w:rPr>
          <w:rFonts w:ascii="Times New Roman" w:hAnsi="Times New Roman" w:cs="Times New Roman"/>
          <w:bCs/>
          <w:sz w:val="24"/>
          <w:szCs w:val="24"/>
        </w:rPr>
        <w:lastRenderedPageBreak/>
        <w:t>areas to prevent them from becoming nonattainment areas. The focus will be on the “priority” sources that are causing the ambient air quality problems in the area</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 xml:space="preserve">Without this new area designation, businesses </w:t>
      </w:r>
      <w:r w:rsidR="00101E54" w:rsidRPr="00101E54">
        <w:rPr>
          <w:rFonts w:ascii="Times New Roman" w:hAnsi="Times New Roman" w:cs="Times New Roman"/>
          <w:bCs/>
          <w:sz w:val="24"/>
          <w:szCs w:val="24"/>
        </w:rPr>
        <w:t xml:space="preserve">in areas that are over the standard </w:t>
      </w:r>
      <w:r w:rsidRPr="002A0869">
        <w:rPr>
          <w:rFonts w:ascii="Times New Roman" w:hAnsi="Times New Roman" w:cs="Times New Roman"/>
          <w:bCs/>
          <w:sz w:val="24"/>
          <w:szCs w:val="24"/>
        </w:rPr>
        <w:t xml:space="preserve">would not be allowed to build or expand due to restrictions based on poor air quality. </w:t>
      </w:r>
    </w:p>
    <w:p w:rsidR="00101E54" w:rsidRDefault="00101E54" w:rsidP="00101E54">
      <w:pPr>
        <w:spacing w:after="0" w:line="240" w:lineRule="auto"/>
        <w:ind w:left="720"/>
        <w:rPr>
          <w:rFonts w:ascii="Times New Roman" w:hAnsi="Times New Roman" w:cs="Times New Roman"/>
          <w:bCs/>
          <w:sz w:val="24"/>
          <w:szCs w:val="24"/>
        </w:rPr>
      </w:pPr>
    </w:p>
    <w:p w:rsidR="00E548F5" w:rsidRPr="00551007" w:rsidRDefault="002A0869" w:rsidP="002A0869">
      <w:pPr>
        <w:numPr>
          <w:ilvl w:val="0"/>
          <w:numId w:val="8"/>
        </w:numPr>
        <w:spacing w:after="0" w:line="240" w:lineRule="auto"/>
        <w:rPr>
          <w:rFonts w:ascii="Times New Roman" w:hAnsi="Times New Roman" w:cs="Times New Roman"/>
          <w:bCs/>
          <w:sz w:val="24"/>
          <w:szCs w:val="24"/>
        </w:rPr>
      </w:pPr>
      <w:r w:rsidRPr="00551007">
        <w:rPr>
          <w:rFonts w:ascii="Times New Roman" w:hAnsi="Times New Roman" w:cs="Times New Roman"/>
          <w:bCs/>
          <w:sz w:val="24"/>
          <w:szCs w:val="24"/>
          <w:u w:val="single"/>
        </w:rPr>
        <w:t>Reattainment Areas:</w:t>
      </w:r>
      <w:r w:rsidRPr="00551007">
        <w:rPr>
          <w:rFonts w:ascii="Times New Roman" w:hAnsi="Times New Roman" w:cs="Times New Roman"/>
          <w:bCs/>
          <w:sz w:val="24"/>
          <w:szCs w:val="24"/>
        </w:rPr>
        <w:t xml:space="preserve">  For areas that are currently nonattainment areas but have three years of monitoring data showing attainment, EQC can designate these areas as reattainment areas</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The process for EPA to redesignate areas from nonattainment to maintenance can take years because a maintenance plan has to be developed and approved</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In the meantime, economic growth in the area is limited until the maintenance plan is approved by EPA</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Reattainment status provisions will enable economic growth to take place while still protecting the air quality in the area</w:t>
      </w:r>
      <w:r w:rsidR="008C2CC3">
        <w:rPr>
          <w:rFonts w:ascii="Times New Roman" w:hAnsi="Times New Roman" w:cs="Times New Roman"/>
          <w:bCs/>
          <w:sz w:val="24"/>
          <w:szCs w:val="24"/>
        </w:rPr>
        <w:t xml:space="preserve">. </w:t>
      </w:r>
    </w:p>
    <w:p w:rsidR="002A0869" w:rsidRDefault="002A0869" w:rsidP="002A0869">
      <w:pPr>
        <w:spacing w:after="0" w:line="240" w:lineRule="auto"/>
        <w:rPr>
          <w:rFonts w:ascii="Times New Roman" w:hAnsi="Times New Roman" w:cs="Times New Roman"/>
          <w:bCs/>
          <w:sz w:val="24"/>
          <w:szCs w:val="24"/>
        </w:rPr>
      </w:pPr>
    </w:p>
    <w:p w:rsidR="00E548F5" w:rsidRDefault="00E548F5" w:rsidP="00E548F5">
      <w:pPr>
        <w:pStyle w:val="Heading2"/>
      </w:pPr>
      <w:bookmarkStart w:id="12" w:name="_Toc357496204"/>
      <w:r>
        <w:t>Mandatory ambient air quality monitoring in some cases</w:t>
      </w:r>
      <w:bookmarkEnd w:id="12"/>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Currently, a business expanding or building in an attainment or unclassified area may be exempt from one year of pre-construction ambient air quality monitoring for the following reasons:</w:t>
      </w:r>
    </w:p>
    <w:p w:rsidR="001E11C5" w:rsidRPr="001E11C5" w:rsidRDefault="001E11C5" w:rsidP="001E11C5">
      <w:pPr>
        <w:numPr>
          <w:ilvl w:val="0"/>
          <w:numId w:val="16"/>
        </w:num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source can demonstrate that the impacts from the emissions increase would be less than the significant monitoring concentrations</w:t>
      </w:r>
    </w:p>
    <w:p w:rsidR="001E11C5" w:rsidRPr="001E11C5" w:rsidRDefault="001E11C5" w:rsidP="001E11C5">
      <w:pPr>
        <w:numPr>
          <w:ilvl w:val="0"/>
          <w:numId w:val="16"/>
        </w:num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source can demonstrate that the impacts from the emissions increase will not cause or contribute to an exceedance of any air quality standard then post construction monitoring can be done instead</w:t>
      </w:r>
    </w:p>
    <w:p w:rsidR="001E11C5" w:rsidRPr="001E11C5" w:rsidRDefault="001E11C5" w:rsidP="001E11C5">
      <w:pPr>
        <w:numPr>
          <w:ilvl w:val="0"/>
          <w:numId w:val="16"/>
        </w:num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source can substitute four months of seasonal data having the highest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xml:space="preserve"> levels.</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proposing changes to the pre-construction monitoring requirements for sustainment areas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Pre-construction monitoring will be required for businesses building or expanding in sustainment areas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These areas are in danger of becoming nonattainment areas, </w:t>
      </w:r>
      <w:r w:rsidR="00444A34" w:rsidRPr="001E11C5">
        <w:rPr>
          <w:rFonts w:ascii="Times New Roman" w:hAnsi="Times New Roman" w:cs="Times New Roman"/>
          <w:bCs/>
          <w:sz w:val="24"/>
          <w:szCs w:val="24"/>
        </w:rPr>
        <w:t>and DEQ</w:t>
      </w:r>
      <w:r w:rsidRPr="001E11C5">
        <w:rPr>
          <w:rFonts w:ascii="Times New Roman" w:hAnsi="Times New Roman" w:cs="Times New Roman"/>
          <w:bCs/>
          <w:sz w:val="24"/>
          <w:szCs w:val="24"/>
        </w:rPr>
        <w:t xml:space="preserve"> needs additional ambient air data at the location of the new or expanding business to determine if it will cause a violation of the ambient air standards in the area</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adding the same requirement for pre-construction monitoring that currently applies to attainment or unclassified areas to maintenance areas. Three years of ambient monitoring data showing compliance with standards is required before an area can be reclassified from nonattainment to maintenance</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The location of the DEQ monitor was chosen based on modeling and meteorological data to represent the worst case location</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It is important to have additional data showing that the location of the new or expanding business in the maintenance area will not cause or contribute to a violation of the ambient air quality standards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For that reason, DEQ is adding preconstruction monitoring to the requirements for maintenance areas, with the same possible exemptions that businesses in attainment or unclassified areas have available</w:t>
      </w:r>
      <w:r w:rsidR="008C2CC3">
        <w:rPr>
          <w:rFonts w:ascii="Times New Roman" w:hAnsi="Times New Roman" w:cs="Times New Roman"/>
          <w:bCs/>
          <w:sz w:val="24"/>
          <w:szCs w:val="24"/>
        </w:rPr>
        <w:t xml:space="preserve">. </w:t>
      </w:r>
    </w:p>
    <w:p w:rsidR="00E548F5" w:rsidRDefault="00E548F5"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3" w:name="_Toc357496205"/>
      <w:r>
        <w:t>Define State New Source Review program (component of overall Minor New Source Review Program)</w:t>
      </w:r>
      <w:bookmarkEnd w:id="13"/>
    </w:p>
    <w:p w:rsidR="00784110"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DEQ is proposing a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sidR="00784110">
        <w:rPr>
          <w:rFonts w:ascii="Times New Roman" w:hAnsi="Times New Roman" w:cs="Times New Roman"/>
          <w:bCs/>
          <w:sz w:val="24"/>
          <w:szCs w:val="24"/>
        </w:rPr>
        <w:t>This program will cover the following:</w:t>
      </w:r>
    </w:p>
    <w:p w:rsidR="00784110" w:rsidRDefault="00784110" w:rsidP="0078411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PSEL increases greater than the SER that do not involve a physical change or change in the method of operation for all sources in the state, both large and small, and</w:t>
      </w:r>
    </w:p>
    <w:p w:rsidR="00784110" w:rsidRDefault="00784110" w:rsidP="0078411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Construction and modification at sources that emit between the SER and 100 tons per year.</w:t>
      </w:r>
    </w:p>
    <w:p w:rsidR="00784110" w:rsidRDefault="00784110" w:rsidP="001E11C5">
      <w:pPr>
        <w:spacing w:after="0" w:line="240" w:lineRule="auto"/>
        <w:rPr>
          <w:rFonts w:ascii="Times New Roman" w:hAnsi="Times New Roman" w:cs="Times New Roman"/>
          <w:bCs/>
          <w:sz w:val="24"/>
          <w:szCs w:val="24"/>
        </w:rPr>
      </w:pPr>
    </w:p>
    <w:p w:rsidR="008C2CC3"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For sources</w:t>
      </w:r>
      <w:r w:rsidR="007C2165">
        <w:rPr>
          <w:rFonts w:ascii="Times New Roman" w:hAnsi="Times New Roman" w:cs="Times New Roman"/>
          <w:bCs/>
          <w:sz w:val="24"/>
          <w:szCs w:val="24"/>
        </w:rPr>
        <w:t xml:space="preserve"> that emit between the SER and 100 tons per year</w:t>
      </w:r>
      <w:r w:rsidRPr="001E11C5">
        <w:rPr>
          <w:rFonts w:ascii="Times New Roman" w:hAnsi="Times New Roman" w:cs="Times New Roman"/>
          <w:bCs/>
          <w:sz w:val="24"/>
          <w:szCs w:val="24"/>
        </w:rPr>
        <w:t xml:space="preserve">,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sidR="008C2CC3">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sidR="008C2CC3">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sidR="008C2CC3">
        <w:rPr>
          <w:rFonts w:ascii="Times New Roman" w:hAnsi="Times New Roman" w:cs="Times New Roman"/>
          <w:bCs/>
          <w:sz w:val="24"/>
          <w:szCs w:val="24"/>
        </w:rPr>
        <w:t>. F</w:t>
      </w:r>
      <w:r w:rsidRPr="001E11C5">
        <w:rPr>
          <w:rFonts w:ascii="Times New Roman" w:hAnsi="Times New Roman" w:cs="Times New Roman"/>
          <w:bCs/>
          <w:sz w:val="24"/>
          <w:szCs w:val="24"/>
        </w:rPr>
        <w:t>or source</w:t>
      </w:r>
      <w:r w:rsidR="007C2165">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sidR="00551007">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sidR="008C2CC3">
        <w:rPr>
          <w:rFonts w:ascii="Times New Roman" w:hAnsi="Times New Roman" w:cs="Times New Roman"/>
          <w:bCs/>
          <w:sz w:val="24"/>
          <w:szCs w:val="24"/>
        </w:rPr>
        <w:t xml:space="preserve">. </w:t>
      </w:r>
    </w:p>
    <w:p w:rsidR="008C2CC3" w:rsidRDefault="008C2CC3"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main reason for developing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DEQ has created a provision for the EQC to identify these sources as “priority” sources. Current </w:t>
      </w:r>
      <w:r w:rsidR="007C2165">
        <w:rPr>
          <w:rFonts w:ascii="Times New Roman" w:hAnsi="Times New Roman" w:cs="Times New Roman"/>
          <w:bCs/>
          <w:sz w:val="24"/>
          <w:szCs w:val="24"/>
        </w:rPr>
        <w:t xml:space="preserve">PM </w:t>
      </w:r>
      <w:r w:rsidRPr="001E11C5">
        <w:rPr>
          <w:rFonts w:ascii="Times New Roman" w:hAnsi="Times New Roman" w:cs="Times New Roman"/>
          <w:bCs/>
          <w:sz w:val="24"/>
          <w:szCs w:val="24"/>
        </w:rPr>
        <w:t>nonattainment areas are the result of smoke from residential wood burning</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Under the federal NSR program for major sources, offsets from residential wood burning are </w:t>
      </w:r>
      <w:r w:rsidR="00F5327D">
        <w:rPr>
          <w:rFonts w:ascii="Times New Roman" w:hAnsi="Times New Roman" w:cs="Times New Roman"/>
          <w:bCs/>
          <w:sz w:val="24"/>
          <w:szCs w:val="24"/>
        </w:rPr>
        <w:t>only allowed in Klamath Falls</w:t>
      </w:r>
      <w:r w:rsidRPr="001E11C5">
        <w:rPr>
          <w:rFonts w:ascii="Times New Roman" w:hAnsi="Times New Roman" w:cs="Times New Roman"/>
          <w:bCs/>
          <w:sz w:val="24"/>
          <w:szCs w:val="24"/>
        </w:rPr>
        <w:t>, whereas more flexibility is allowed in permitting minor sources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Therefore, a proposal for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allows sources in the SER to 100 ton per year range to get offsets from priority sources defined by the EQC</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following table shows the differences in permitting requirements for </w:t>
      </w:r>
      <w:r w:rsidR="00A24F76">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sidR="00A24F76">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p>
    <w:p w:rsidR="00DB72F7" w:rsidRDefault="00DB72F7">
      <w:pPr>
        <w:rPr>
          <w:rFonts w:ascii="Times New Roman" w:hAnsi="Times New Roman" w:cs="Times New Roman"/>
          <w:bCs/>
          <w:sz w:val="24"/>
          <w:szCs w:val="24"/>
        </w:rPr>
      </w:pPr>
      <w:r>
        <w:rPr>
          <w:rFonts w:ascii="Times New Roman" w:hAnsi="Times New Roman" w:cs="Times New Roman"/>
          <w:bCs/>
          <w:sz w:val="24"/>
          <w:szCs w:val="24"/>
        </w:rPr>
        <w:br w:type="page"/>
      </w:r>
    </w:p>
    <w:p w:rsidR="001E11C5" w:rsidRPr="001E11C5" w:rsidRDefault="001E11C5" w:rsidP="001E11C5">
      <w:pPr>
        <w:spacing w:after="0" w:line="240" w:lineRule="auto"/>
        <w:rPr>
          <w:rFonts w:ascii="Times New Roman" w:hAnsi="Times New Roman" w:cs="Times New Roman"/>
          <w:bCs/>
          <w:sz w:val="24"/>
          <w:szCs w:val="24"/>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42"/>
        <w:gridCol w:w="3241"/>
        <w:gridCol w:w="3374"/>
      </w:tblGrid>
      <w:tr w:rsidR="00573311" w:rsidRPr="00822E7D" w:rsidTr="00573311">
        <w:trPr>
          <w:tblHeader/>
          <w:jc w:val="center"/>
        </w:trPr>
        <w:tc>
          <w:tcPr>
            <w:tcW w:w="2542" w:type="dxa"/>
            <w:vMerge w:val="restart"/>
            <w:tcBorders>
              <w:top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573311" w:rsidRPr="00822E7D" w:rsidRDefault="00573311" w:rsidP="007D2056">
            <w:pPr>
              <w:jc w:val="center"/>
              <w:rPr>
                <w:rFonts w:ascii="Times New Roman" w:hAnsi="Times New Roman" w:cs="Times New Roman"/>
                <w:b/>
                <w:bCs/>
                <w:sz w:val="24"/>
                <w:szCs w:val="24"/>
              </w:rPr>
            </w:pPr>
            <w:r w:rsidRPr="00822E7D">
              <w:rPr>
                <w:rFonts w:ascii="Times New Roman" w:hAnsi="Times New Roman" w:cs="Times New Roman"/>
                <w:b/>
                <w:bCs/>
                <w:sz w:val="24"/>
                <w:szCs w:val="24"/>
              </w:rPr>
              <w:t>NONATTAINMENT</w:t>
            </w:r>
          </w:p>
        </w:tc>
      </w:tr>
      <w:tr w:rsidR="00573311" w:rsidRPr="00822E7D" w:rsidTr="00573311">
        <w:trPr>
          <w:tblHeader/>
          <w:jc w:val="center"/>
        </w:trPr>
        <w:tc>
          <w:tcPr>
            <w:tcW w:w="2542" w:type="dxa"/>
            <w:vMerge/>
            <w:tcBorders>
              <w:bottom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74" w:type="dxa"/>
            <w:tcBorders>
              <w:top w:val="single" w:sz="4" w:space="0" w:color="auto"/>
              <w:bottom w:val="doub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3311" w:rsidRPr="00822E7D" w:rsidTr="00573311">
        <w:trPr>
          <w:jc w:val="center"/>
        </w:trPr>
        <w:tc>
          <w:tcPr>
            <w:tcW w:w="2542" w:type="dxa"/>
            <w:tcBorders>
              <w:top w:val="doub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241" w:type="dxa"/>
            <w:tcBorders>
              <w:top w:val="doub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74" w:type="dxa"/>
            <w:tcBorders>
              <w:top w:val="doub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
                <w:bCs/>
                <w:sz w:val="24"/>
                <w:szCs w:val="24"/>
              </w:rPr>
            </w:pPr>
            <w:r w:rsidRPr="00822E7D">
              <w:rPr>
                <w:rFonts w:ascii="Times New Roman" w:hAnsi="Times New Roman" w:cs="Times New Roman"/>
                <w:b/>
                <w:bCs/>
                <w:sz w:val="24"/>
                <w:szCs w:val="24"/>
              </w:rPr>
              <w:t>Minor</w:t>
            </w:r>
          </w:p>
        </w:tc>
      </w:tr>
      <w:tr w:rsidR="00573311" w:rsidRPr="00822E7D" w:rsidTr="00573311">
        <w:trPr>
          <w:jc w:val="center"/>
        </w:trPr>
        <w:tc>
          <w:tcPr>
            <w:tcW w:w="2542" w:type="dxa"/>
            <w:tcBorders>
              <w:top w:val="sing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241" w:type="dxa"/>
            <w:tcBorders>
              <w:top w:val="sing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n/a</w:t>
            </w:r>
          </w:p>
        </w:tc>
        <w:tc>
          <w:tcPr>
            <w:tcW w:w="3374" w:type="dxa"/>
            <w:tcBorders>
              <w:top w:val="sing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n/a</w:t>
            </w:r>
          </w:p>
        </w:tc>
      </w:tr>
      <w:tr w:rsidR="00573311" w:rsidRPr="00822E7D" w:rsidTr="00573311">
        <w:trPr>
          <w:jc w:val="center"/>
        </w:trPr>
        <w:tc>
          <w:tcPr>
            <w:tcW w:w="2542" w:type="dxa"/>
            <w:tcBorders>
              <w:top w:val="sing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241" w:type="dxa"/>
            <w:tcBorders>
              <w:top w:val="sing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LAER *</w:t>
            </w:r>
          </w:p>
        </w:tc>
        <w:tc>
          <w:tcPr>
            <w:tcW w:w="3374" w:type="dxa"/>
            <w:tcBorders>
              <w:top w:val="sing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p>
        </w:tc>
      </w:tr>
      <w:tr w:rsidR="00573311" w:rsidRPr="00822E7D" w:rsidTr="00B33362">
        <w:trPr>
          <w:trHeight w:val="2240"/>
          <w:jc w:val="center"/>
        </w:trPr>
        <w:tc>
          <w:tcPr>
            <w:tcW w:w="2542" w:type="dxa"/>
            <w:tcBorders>
              <w:top w:val="single" w:sz="4" w:space="0" w:color="auto"/>
              <w:bottom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241" w:type="dxa"/>
            <w:tcBorders>
              <w:top w:val="single" w:sz="4" w:space="0" w:color="auto"/>
              <w:left w:val="double" w:sz="4" w:space="0" w:color="auto"/>
              <w:bottom w:val="double" w:sz="4" w:space="0" w:color="auto"/>
            </w:tcBorders>
          </w:tcPr>
          <w:p w:rsidR="00573311" w:rsidRPr="00822E7D" w:rsidRDefault="00573311"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tc>
        <w:tc>
          <w:tcPr>
            <w:tcW w:w="3374" w:type="dxa"/>
            <w:tcBorders>
              <w:top w:val="single" w:sz="4" w:space="0" w:color="auto"/>
              <w:bottom w:val="double" w:sz="4" w:space="0" w:color="auto"/>
              <w:right w:val="double" w:sz="4" w:space="0" w:color="auto"/>
            </w:tcBorders>
          </w:tcPr>
          <w:p w:rsidR="00573311" w:rsidRPr="00822E7D" w:rsidRDefault="00573311"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3311" w:rsidRDefault="00573311" w:rsidP="00AA3B53">
            <w:pPr>
              <w:numPr>
                <w:ilvl w:val="0"/>
                <w:numId w:val="13"/>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DB72F7" w:rsidRPr="00DB72F7" w:rsidRDefault="00DB72F7" w:rsidP="00BB4650">
            <w:pPr>
              <w:pStyle w:val="ListParagraph"/>
              <w:numPr>
                <w:ilvl w:val="2"/>
                <w:numId w:val="13"/>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00763BEB"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p>
          <w:p w:rsidR="00DB72F7" w:rsidRPr="00DB72F7" w:rsidRDefault="00DB72F7" w:rsidP="00BB4650">
            <w:pPr>
              <w:pStyle w:val="ListParagraph"/>
              <w:numPr>
                <w:ilvl w:val="2"/>
                <w:numId w:val="13"/>
              </w:numPr>
              <w:ind w:left="918"/>
              <w:rPr>
                <w:rFonts w:ascii="Times New Roman" w:hAnsi="Times New Roman" w:cs="Times New Roman"/>
                <w:b/>
                <w:i/>
                <w:sz w:val="24"/>
                <w:szCs w:val="24"/>
              </w:rPr>
            </w:pPr>
            <w:r w:rsidRPr="00DB72F7">
              <w:rPr>
                <w:rFonts w:ascii="Times New Roman" w:hAnsi="Times New Roman" w:cs="Times New Roman"/>
                <w:b/>
                <w:i/>
                <w:sz w:val="24"/>
                <w:szCs w:val="24"/>
              </w:rPr>
              <w:t xml:space="preserve">Impacts less than SIL at an average of receptors around DEQ approved ambient monitoring site </w:t>
            </w:r>
            <w:r w:rsidR="00763BEB" w:rsidRPr="00763BEB">
              <w:rPr>
                <w:rFonts w:ascii="Times New Roman" w:hAnsi="Times New Roman" w:cs="Times New Roman"/>
                <w:b/>
                <w:i/>
                <w:sz w:val="24"/>
                <w:szCs w:val="24"/>
                <w:u w:val="single"/>
              </w:rPr>
              <w:t>and</w:t>
            </w:r>
          </w:p>
          <w:p w:rsidR="00573311" w:rsidRPr="00822E7D" w:rsidRDefault="00573311" w:rsidP="00BB4650">
            <w:pPr>
              <w:pStyle w:val="ListParagraph"/>
              <w:numPr>
                <w:ilvl w:val="2"/>
                <w:numId w:val="13"/>
              </w:numPr>
              <w:ind w:left="918"/>
              <w:rPr>
                <w:rFonts w:ascii="Times New Roman" w:hAnsi="Times New Roman" w:cs="Times New Roman"/>
                <w:b/>
                <w:sz w:val="24"/>
                <w:szCs w:val="24"/>
              </w:rPr>
            </w:pPr>
            <w:r w:rsidRPr="00822E7D">
              <w:rPr>
                <w:rFonts w:ascii="Times New Roman" w:hAnsi="Times New Roman" w:cs="Times New Roman"/>
                <w:b/>
                <w:i/>
                <w:sz w:val="24"/>
                <w:szCs w:val="24"/>
              </w:rPr>
              <w:t>Source plus competing sources since area was designated less than 10% of the NAAQS</w:t>
            </w:r>
          </w:p>
        </w:tc>
      </w:tr>
    </w:tbl>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If a major modification is involved</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p>
    <w:p w:rsidR="00E548F5" w:rsidRDefault="00E548F5" w:rsidP="00DB72F7">
      <w:pPr>
        <w:rPr>
          <w:rFonts w:ascii="Times New Roman" w:hAnsi="Times New Roman" w:cs="Times New Roman"/>
          <w:bCs/>
          <w:sz w:val="24"/>
          <w:szCs w:val="24"/>
        </w:rPr>
      </w:pP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497"/>
        <w:gridCol w:w="3330"/>
        <w:gridCol w:w="3307"/>
      </w:tblGrid>
      <w:tr w:rsidR="00573311" w:rsidRPr="00822E7D" w:rsidTr="00573311">
        <w:trPr>
          <w:tblHeader/>
          <w:jc w:val="center"/>
        </w:trPr>
        <w:tc>
          <w:tcPr>
            <w:tcW w:w="2497" w:type="dxa"/>
            <w:vMerge w:val="restart"/>
            <w:tcBorders>
              <w:top w:val="double" w:sz="4" w:space="0" w:color="auto"/>
              <w:right w:val="double" w:sz="4" w:space="0" w:color="auto"/>
            </w:tcBorders>
          </w:tcPr>
          <w:p w:rsidR="00573311" w:rsidRPr="00822E7D" w:rsidRDefault="00573311" w:rsidP="00573311">
            <w:pPr>
              <w:rPr>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573311" w:rsidRPr="00822E7D" w:rsidRDefault="00573311" w:rsidP="00573311">
            <w:pPr>
              <w:jc w:val="center"/>
              <w:rPr>
                <w:rFonts w:ascii="Times New Roman" w:hAnsi="Times New Roman" w:cs="Times New Roman"/>
                <w:b/>
                <w:bCs/>
                <w:sz w:val="24"/>
                <w:szCs w:val="24"/>
              </w:rPr>
            </w:pPr>
            <w:r w:rsidRPr="00822E7D">
              <w:rPr>
                <w:rFonts w:ascii="Times New Roman" w:hAnsi="Times New Roman" w:cs="Times New Roman"/>
                <w:b/>
                <w:bCs/>
                <w:sz w:val="24"/>
                <w:szCs w:val="24"/>
              </w:rPr>
              <w:t>MAINTENANCE</w:t>
            </w:r>
          </w:p>
        </w:tc>
      </w:tr>
      <w:tr w:rsidR="00573311" w:rsidRPr="00822E7D" w:rsidTr="00B33362">
        <w:trPr>
          <w:tblHeader/>
          <w:jc w:val="center"/>
        </w:trPr>
        <w:tc>
          <w:tcPr>
            <w:tcW w:w="2497" w:type="dxa"/>
            <w:vMerge/>
            <w:tcBorders>
              <w:bottom w:val="double" w:sz="4" w:space="0" w:color="auto"/>
              <w:right w:val="double" w:sz="4" w:space="0" w:color="auto"/>
            </w:tcBorders>
          </w:tcPr>
          <w:p w:rsidR="00573311" w:rsidRPr="00822E7D" w:rsidRDefault="00573311" w:rsidP="00573311">
            <w:pPr>
              <w:rPr>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07" w:type="dxa"/>
            <w:tcBorders>
              <w:top w:val="single" w:sz="4" w:space="0" w:color="auto"/>
              <w:bottom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3311" w:rsidRPr="00822E7D" w:rsidTr="00B33362">
        <w:trPr>
          <w:jc w:val="center"/>
        </w:trPr>
        <w:tc>
          <w:tcPr>
            <w:tcW w:w="2497" w:type="dxa"/>
            <w:tcBorders>
              <w:top w:val="doub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330" w:type="dxa"/>
            <w:tcBorders>
              <w:top w:val="double" w:sz="4" w:space="0" w:color="auto"/>
              <w:left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07" w:type="dxa"/>
            <w:tcBorders>
              <w:top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Minor</w:t>
            </w:r>
          </w:p>
        </w:tc>
      </w:tr>
      <w:tr w:rsidR="00573311" w:rsidRPr="00822E7D" w:rsidTr="00B33362">
        <w:trPr>
          <w:jc w:val="center"/>
        </w:trPr>
        <w:tc>
          <w:tcPr>
            <w:tcW w:w="2497" w:type="dxa"/>
            <w:tcBorders>
              <w:top w:val="sing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330" w:type="dxa"/>
            <w:tcBorders>
              <w:left w:val="double" w:sz="4" w:space="0" w:color="auto"/>
            </w:tcBorders>
            <w:vAlign w:val="center"/>
          </w:tcPr>
          <w:p w:rsidR="00573311" w:rsidRPr="00822E7D" w:rsidRDefault="007C6853" w:rsidP="00573311">
            <w:pPr>
              <w:jc w:val="center"/>
              <w:rPr>
                <w:rFonts w:ascii="Times New Roman" w:hAnsi="Times New Roman" w:cs="Times New Roman"/>
                <w:b/>
                <w:bCs/>
                <w:sz w:val="24"/>
                <w:szCs w:val="24"/>
              </w:rPr>
            </w:pPr>
            <w:r>
              <w:rPr>
                <w:rFonts w:ascii="Times New Roman" w:hAnsi="Times New Roman" w:cs="Times New Roman"/>
                <w:b/>
                <w:bCs/>
                <w:sz w:val="24"/>
                <w:szCs w:val="24"/>
              </w:rPr>
              <w:t>Y</w:t>
            </w:r>
            <w:r w:rsidR="00D478A2">
              <w:rPr>
                <w:rFonts w:ascii="Times New Roman" w:hAnsi="Times New Roman" w:cs="Times New Roman"/>
                <w:b/>
                <w:bCs/>
                <w:sz w:val="24"/>
                <w:szCs w:val="24"/>
              </w:rPr>
              <w:t>es</w:t>
            </w:r>
            <w:r w:rsidR="00D478A2" w:rsidRPr="00822E7D">
              <w:rPr>
                <w:rFonts w:ascii="Times New Roman" w:hAnsi="Times New Roman" w:cs="Times New Roman"/>
                <w:b/>
                <w:bCs/>
                <w:sz w:val="24"/>
                <w:szCs w:val="24"/>
              </w:rPr>
              <w:t>***</w:t>
            </w:r>
          </w:p>
        </w:tc>
        <w:tc>
          <w:tcPr>
            <w:tcW w:w="3307" w:type="dxa"/>
            <w:vAlign w:val="center"/>
          </w:tcPr>
          <w:p w:rsidR="00573311" w:rsidRPr="00285268" w:rsidRDefault="00D478A2" w:rsidP="00573311">
            <w:pPr>
              <w:jc w:val="center"/>
              <w:rPr>
                <w:rFonts w:ascii="Times New Roman" w:hAnsi="Times New Roman" w:cs="Times New Roman"/>
                <w:b/>
                <w:bCs/>
                <w:i/>
                <w:sz w:val="24"/>
                <w:szCs w:val="24"/>
              </w:rPr>
            </w:pPr>
            <w:r>
              <w:rPr>
                <w:rFonts w:ascii="Times New Roman" w:hAnsi="Times New Roman" w:cs="Times New Roman"/>
                <w:b/>
                <w:bCs/>
                <w:i/>
                <w:sz w:val="24"/>
                <w:szCs w:val="24"/>
              </w:rPr>
              <w:t>No</w:t>
            </w:r>
          </w:p>
        </w:tc>
      </w:tr>
      <w:tr w:rsidR="00573311" w:rsidRPr="00822E7D" w:rsidTr="00B33362">
        <w:trPr>
          <w:jc w:val="center"/>
        </w:trPr>
        <w:tc>
          <w:tcPr>
            <w:tcW w:w="2497" w:type="dxa"/>
            <w:tcBorders>
              <w:top w:val="sing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330" w:type="dxa"/>
            <w:tcBorders>
              <w:left w:val="double" w:sz="4" w:space="0" w:color="auto"/>
              <w:bottom w:val="sing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c>
          <w:tcPr>
            <w:tcW w:w="3307" w:type="dxa"/>
            <w:tcBorders>
              <w:bottom w:val="sing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r>
      <w:tr w:rsidR="00B33362" w:rsidRPr="00822E7D" w:rsidTr="00B33362">
        <w:trPr>
          <w:trHeight w:val="3140"/>
          <w:jc w:val="center"/>
        </w:trPr>
        <w:tc>
          <w:tcPr>
            <w:tcW w:w="2497" w:type="dxa"/>
            <w:tcBorders>
              <w:top w:val="single" w:sz="4" w:space="0" w:color="auto"/>
              <w:bottom w:val="double" w:sz="4" w:space="0" w:color="auto"/>
              <w:right w:val="double" w:sz="4" w:space="0" w:color="auto"/>
            </w:tcBorders>
          </w:tcPr>
          <w:p w:rsidR="00B33362" w:rsidRPr="00822E7D" w:rsidRDefault="00B33362" w:rsidP="00573311">
            <w:pPr>
              <w:rPr>
                <w:rFonts w:ascii="Times New Roman" w:hAnsi="Times New Roman" w:cs="Times New Roman"/>
                <w:bCs/>
                <w:sz w:val="24"/>
                <w:szCs w:val="24"/>
              </w:rPr>
            </w:pPr>
            <w:r w:rsidRPr="00822E7D">
              <w:rPr>
                <w:rFonts w:ascii="Times New Roman" w:hAnsi="Times New Roman" w:cs="Times New Roman"/>
                <w:bCs/>
                <w:sz w:val="24"/>
                <w:szCs w:val="24"/>
              </w:rPr>
              <w:lastRenderedPageBreak/>
              <w:t>NAQB</w:t>
            </w:r>
          </w:p>
        </w:tc>
        <w:tc>
          <w:tcPr>
            <w:tcW w:w="3330" w:type="dxa"/>
            <w:tcBorders>
              <w:top w:val="single" w:sz="4" w:space="0" w:color="auto"/>
              <w:left w:val="double" w:sz="4" w:space="0" w:color="auto"/>
              <w:bottom w:val="double" w:sz="4" w:space="0" w:color="auto"/>
            </w:tcBorders>
          </w:tcPr>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 and NAQB</w:t>
            </w:r>
          </w:p>
          <w:p w:rsidR="00B33362" w:rsidRPr="00822E7D" w:rsidRDefault="00B33362" w:rsidP="00B33362">
            <w:pPr>
              <w:pStyle w:val="ListParagraph"/>
              <w:numPr>
                <w:ilvl w:val="2"/>
                <w:numId w:val="13"/>
              </w:numPr>
              <w:ind w:left="918"/>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B33362" w:rsidRPr="00822E7D" w:rsidRDefault="00B33362" w:rsidP="00B33362">
            <w:pPr>
              <w:pStyle w:val="ListParagraph"/>
              <w:numPr>
                <w:ilvl w:val="2"/>
                <w:numId w:val="13"/>
              </w:numPr>
              <w:ind w:left="918"/>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c>
          <w:tcPr>
            <w:tcW w:w="3307" w:type="dxa"/>
            <w:tcBorders>
              <w:top w:val="single" w:sz="4" w:space="0" w:color="auto"/>
              <w:bottom w:val="double" w:sz="4" w:space="0" w:color="auto"/>
            </w:tcBorders>
          </w:tcPr>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B33362" w:rsidRDefault="00B33362" w:rsidP="00B33362">
            <w:pPr>
              <w:numPr>
                <w:ilvl w:val="0"/>
                <w:numId w:val="13"/>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01638E" w:rsidRPr="0001638E" w:rsidRDefault="0001638E" w:rsidP="0001638E">
            <w:pPr>
              <w:pStyle w:val="ListParagraph"/>
              <w:numPr>
                <w:ilvl w:val="2"/>
                <w:numId w:val="13"/>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00763BEB"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p>
          <w:p w:rsidR="0001638E" w:rsidRPr="0001638E" w:rsidRDefault="0001638E" w:rsidP="0001638E">
            <w:pPr>
              <w:pStyle w:val="ListParagraph"/>
              <w:numPr>
                <w:ilvl w:val="2"/>
                <w:numId w:val="13"/>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Impacts less than SIL at an average of receptors around DEQ approved ambient monitoring site </w:t>
            </w:r>
            <w:r w:rsidR="00763BEB" w:rsidRPr="00763BEB">
              <w:rPr>
                <w:rFonts w:ascii="Times New Roman" w:hAnsi="Times New Roman" w:cs="Times New Roman"/>
                <w:b/>
                <w:i/>
                <w:sz w:val="24"/>
                <w:szCs w:val="24"/>
                <w:u w:val="single"/>
              </w:rPr>
              <w:t>and</w:t>
            </w:r>
          </w:p>
          <w:p w:rsidR="00B33362" w:rsidRPr="0001638E" w:rsidRDefault="00B33362" w:rsidP="0001638E">
            <w:pPr>
              <w:pStyle w:val="ListParagraph"/>
              <w:numPr>
                <w:ilvl w:val="2"/>
                <w:numId w:val="13"/>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Source plus competing sources since area was designated less than 10% of the NAAQS </w:t>
            </w:r>
          </w:p>
          <w:p w:rsidR="00B33362" w:rsidRPr="00822E7D" w:rsidRDefault="00B33362" w:rsidP="00B33362">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r>
    </w:tbl>
    <w:p w:rsidR="00822E7D" w:rsidRPr="00822E7D" w:rsidRDefault="00822E7D" w:rsidP="00822E7D">
      <w:pPr>
        <w:spacing w:after="0" w:line="240" w:lineRule="auto"/>
        <w:rPr>
          <w:rFonts w:ascii="Times New Roman" w:hAnsi="Times New Roman" w:cs="Times New Roman"/>
          <w:bCs/>
          <w:sz w:val="24"/>
          <w:szCs w:val="24"/>
        </w:rPr>
      </w:pPr>
      <w:r w:rsidRPr="00822E7D">
        <w:rPr>
          <w:rFonts w:ascii="Times New Roman" w:hAnsi="Times New Roman" w:cs="Times New Roman"/>
          <w:bCs/>
          <w:sz w:val="24"/>
          <w:szCs w:val="24"/>
        </w:rPr>
        <w:t>*** If impacts are greater than the Significant Monitoring Concentration</w:t>
      </w:r>
      <w:r w:rsidR="00D478A2">
        <w:rPr>
          <w:rFonts w:ascii="Times New Roman" w:hAnsi="Times New Roman" w:cs="Times New Roman"/>
          <w:bCs/>
          <w:sz w:val="24"/>
          <w:szCs w:val="24"/>
        </w:rPr>
        <w:t xml:space="preserve"> (current exemptions will still apply, as well)</w:t>
      </w:r>
    </w:p>
    <w:p w:rsidR="00573311" w:rsidRDefault="00573311"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4" w:name="_Toc357496206"/>
      <w:r>
        <w:t>Redefine net air quality benefit</w:t>
      </w:r>
      <w:bookmarkEnd w:id="14"/>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current definition of net air quality benefit for sources located within nonattainment area</w:t>
      </w:r>
      <w:r w:rsidR="00D478A2">
        <w:rPr>
          <w:rFonts w:ascii="Times New Roman" w:hAnsi="Times New Roman" w:cs="Times New Roman"/>
          <w:bCs/>
          <w:sz w:val="24"/>
          <w:szCs w:val="24"/>
        </w:rPr>
        <w:t>s for pollutants other ozone</w:t>
      </w:r>
      <w:r w:rsidRPr="001E11C5">
        <w:rPr>
          <w:rFonts w:ascii="Times New Roman" w:hAnsi="Times New Roman" w:cs="Times New Roman"/>
          <w:bCs/>
          <w:sz w:val="24"/>
          <w:szCs w:val="24"/>
        </w:rPr>
        <w:t xml:space="preserve"> is:</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“Offsets obtained result in a reduction in concentration at a majority of the modeled receptors and the emission increases from the proposed source or modification will result in less than a significant impact level increase at all modeled receptors”  </w:t>
      </w:r>
    </w:p>
    <w:p w:rsidR="001E11C5" w:rsidRPr="001E11C5" w:rsidRDefault="001E11C5" w:rsidP="001E11C5">
      <w:pPr>
        <w:spacing w:after="0" w:line="240" w:lineRule="auto"/>
        <w:rPr>
          <w:rFonts w:ascii="Times New Roman" w:hAnsi="Times New Roman" w:cs="Times New Roman"/>
          <w:bCs/>
          <w:sz w:val="24"/>
          <w:szCs w:val="24"/>
        </w:rPr>
      </w:pPr>
    </w:p>
    <w:p w:rsidR="00E82BFA" w:rsidRDefault="001E11C5" w:rsidP="00E82BFA">
      <w:pPr>
        <w:spacing w:after="0"/>
        <w:rPr>
          <w:rFonts w:ascii="Times New Roman" w:hAnsi="Times New Roman" w:cs="Times New Roman"/>
          <w:bCs/>
          <w:sz w:val="24"/>
          <w:szCs w:val="24"/>
        </w:rPr>
      </w:pPr>
      <w:r w:rsidRPr="001E11C5">
        <w:rPr>
          <w:rFonts w:ascii="Times New Roman" w:hAnsi="Times New Roman" w:cs="Times New Roman"/>
          <w:bCs/>
          <w:sz w:val="24"/>
          <w:szCs w:val="24"/>
        </w:rPr>
        <w:t xml:space="preserve">This two part test was adopted in May, 2001 and is unworkable. Since adoption, this definition has not been an issue for sources that triggered NSR/PSD because </w:t>
      </w:r>
      <w:r w:rsidR="0059251F">
        <w:rPr>
          <w:rFonts w:ascii="Times New Roman" w:hAnsi="Times New Roman" w:cs="Times New Roman"/>
          <w:bCs/>
          <w:sz w:val="24"/>
          <w:szCs w:val="24"/>
        </w:rPr>
        <w:t xml:space="preserve">all of the </w:t>
      </w:r>
      <w:r w:rsidRPr="001E11C5">
        <w:rPr>
          <w:rFonts w:ascii="Times New Roman" w:hAnsi="Times New Roman" w:cs="Times New Roman"/>
          <w:bCs/>
          <w:sz w:val="24"/>
          <w:szCs w:val="24"/>
        </w:rPr>
        <w:t xml:space="preserve">proposed sources were located in attainment or unclassified </w:t>
      </w:r>
      <w:r w:rsidR="00E82BFA">
        <w:rPr>
          <w:rFonts w:ascii="Times New Roman" w:hAnsi="Times New Roman" w:cs="Times New Roman"/>
          <w:bCs/>
          <w:sz w:val="24"/>
          <w:szCs w:val="24"/>
        </w:rPr>
        <w:t>areas and did not significantly impact</w:t>
      </w:r>
      <w:r w:rsidR="00E82BFA" w:rsidRPr="00E82BFA">
        <w:rPr>
          <w:rFonts w:ascii="Times New Roman" w:hAnsi="Times New Roman" w:cs="Times New Roman"/>
          <w:bCs/>
          <w:sz w:val="24"/>
          <w:szCs w:val="24"/>
        </w:rPr>
        <w:t xml:space="preserve"> air quality in a designated nonattainment or maintenance area</w:t>
      </w:r>
      <w:r w:rsidR="008C2CC3">
        <w:rPr>
          <w:rFonts w:ascii="Times New Roman" w:hAnsi="Times New Roman" w:cs="Times New Roman"/>
          <w:bCs/>
          <w:sz w:val="24"/>
          <w:szCs w:val="24"/>
        </w:rPr>
        <w:t xml:space="preserve">. </w:t>
      </w:r>
      <w:r w:rsidR="00E82BFA">
        <w:rPr>
          <w:rFonts w:ascii="Times New Roman" w:hAnsi="Times New Roman" w:cs="Times New Roman"/>
          <w:bCs/>
          <w:sz w:val="24"/>
          <w:szCs w:val="24"/>
        </w:rPr>
        <w:t xml:space="preserve">Therefore, these sources did not have to </w:t>
      </w:r>
      <w:r w:rsidR="00E82BFA" w:rsidRPr="00E82BFA">
        <w:rPr>
          <w:rFonts w:ascii="Times New Roman" w:hAnsi="Times New Roman" w:cs="Times New Roman"/>
          <w:bCs/>
          <w:sz w:val="24"/>
          <w:szCs w:val="24"/>
        </w:rPr>
        <w:t xml:space="preserve">meet the requirements of net air quality benefit. </w:t>
      </w:r>
    </w:p>
    <w:p w:rsidR="00E82BFA" w:rsidRPr="00E82BFA" w:rsidRDefault="00E82BFA" w:rsidP="00E82BFA">
      <w:pPr>
        <w:spacing w:after="0"/>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E82BFA">
        <w:rPr>
          <w:rFonts w:ascii="Times New Roman" w:hAnsi="Times New Roman" w:cs="Times New Roman"/>
          <w:bCs/>
          <w:sz w:val="24"/>
          <w:szCs w:val="24"/>
        </w:rPr>
        <w:lastRenderedPageBreak/>
        <w:t>In 2009, a source located in a nonattainment</w:t>
      </w:r>
      <w:r w:rsidRPr="001E11C5">
        <w:rPr>
          <w:rFonts w:ascii="Times New Roman" w:hAnsi="Times New Roman" w:cs="Times New Roman"/>
          <w:bCs/>
          <w:sz w:val="24"/>
          <w:szCs w:val="24"/>
        </w:rPr>
        <w:t xml:space="preserve"> area wanted to expand but couldn’t meet the second part of the net air quality benefit test because the offsets were from a different part of the nonattainment area</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Legislation was passed to redefine net air quality benefit for small scale local energy projects as a result</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Recently this rule was applied to a new business </w:t>
      </w:r>
      <w:r w:rsidR="00D575FC">
        <w:rPr>
          <w:rFonts w:ascii="Times New Roman" w:hAnsi="Times New Roman" w:cs="Times New Roman"/>
          <w:bCs/>
          <w:sz w:val="24"/>
          <w:szCs w:val="24"/>
        </w:rPr>
        <w:t xml:space="preserve">in a nonattainment area </w:t>
      </w:r>
      <w:r w:rsidRPr="001E11C5">
        <w:rPr>
          <w:rFonts w:ascii="Times New Roman" w:hAnsi="Times New Roman" w:cs="Times New Roman"/>
          <w:bCs/>
          <w:sz w:val="24"/>
          <w:szCs w:val="24"/>
        </w:rPr>
        <w:t>that was essentially co-located with the existing business that provided the offsets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Because the businesses were co-located, they were able to show that modeled impacts resulted in less than a significant impact level increase at all modeled receptors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If the businesses had not been co-located, this requirement would have been impossible to meet because of meteorological conditions and different topography.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[put a diagram here showing impacts from different sources in the same direction]</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proposing changes to the definition of net air quality benefit for non-ozone pollutants because the current definition is unworkable except for co-located businesses that are increasing and offsetting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EPA does not specify how businesses provide a net air quality benefit in the federal rules but does require offsets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Other states define net air quality benefit as offsets</w:t>
      </w:r>
      <w:r w:rsidR="00032927">
        <w:rPr>
          <w:rFonts w:ascii="Times New Roman" w:hAnsi="Times New Roman" w:cs="Times New Roman"/>
          <w:bCs/>
          <w:sz w:val="24"/>
          <w:szCs w:val="24"/>
        </w:rPr>
        <w:t xml:space="preserve"> alone</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DEQ will continue to </w:t>
      </w:r>
      <w:r w:rsidR="009950D3">
        <w:rPr>
          <w:rFonts w:ascii="Times New Roman" w:hAnsi="Times New Roman" w:cs="Times New Roman"/>
          <w:bCs/>
          <w:sz w:val="24"/>
          <w:szCs w:val="24"/>
        </w:rPr>
        <w:t xml:space="preserve">be more stringent than EPA’s federal program and </w:t>
      </w:r>
      <w:r w:rsidRPr="001E11C5">
        <w:rPr>
          <w:rFonts w:ascii="Times New Roman" w:hAnsi="Times New Roman" w:cs="Times New Roman"/>
          <w:bCs/>
          <w:sz w:val="24"/>
          <w:szCs w:val="24"/>
        </w:rPr>
        <w:t>require offsets but the proposed modeling analysis will be different and equally protective</w:t>
      </w:r>
      <w:r w:rsidR="00D575FC">
        <w:rPr>
          <w:rFonts w:ascii="Times New Roman" w:hAnsi="Times New Roman" w:cs="Times New Roman"/>
          <w:bCs/>
          <w:sz w:val="24"/>
          <w:szCs w:val="24"/>
        </w:rPr>
        <w:t xml:space="preserve"> as the existing modeling requirements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8E4EAD" w:rsidRPr="001A67FF" w:rsidRDefault="001E11C5" w:rsidP="001E11C5">
      <w:pPr>
        <w:spacing w:after="0" w:line="240" w:lineRule="auto"/>
        <w:rPr>
          <w:rFonts w:ascii="Times New Roman" w:hAnsi="Times New Roman" w:cs="Times New Roman"/>
          <w:bCs/>
          <w:sz w:val="24"/>
          <w:szCs w:val="24"/>
          <w:highlight w:val="yellow"/>
        </w:rPr>
      </w:pPr>
      <w:r w:rsidRPr="001A67FF">
        <w:rPr>
          <w:rFonts w:ascii="Times New Roman" w:hAnsi="Times New Roman" w:cs="Times New Roman"/>
          <w:bCs/>
          <w:sz w:val="24"/>
          <w:szCs w:val="24"/>
          <w:highlight w:val="yellow"/>
        </w:rPr>
        <w:t>Computer modeling will be required to demonstrate that the impacts from emissions increases are either</w:t>
      </w:r>
      <w:r w:rsidR="008E4EAD" w:rsidRPr="001A67FF">
        <w:rPr>
          <w:rFonts w:ascii="Times New Roman" w:hAnsi="Times New Roman" w:cs="Times New Roman"/>
          <w:bCs/>
          <w:sz w:val="24"/>
          <w:szCs w:val="24"/>
          <w:highlight w:val="yellow"/>
        </w:rPr>
        <w:t>:</w:t>
      </w:r>
    </w:p>
    <w:p w:rsidR="008E4EAD" w:rsidRPr="001A67FF" w:rsidRDefault="001E11C5" w:rsidP="008E4EAD">
      <w:pPr>
        <w:pStyle w:val="ListParagraph"/>
        <w:numPr>
          <w:ilvl w:val="2"/>
          <w:numId w:val="13"/>
        </w:numPr>
        <w:spacing w:after="0" w:line="240" w:lineRule="auto"/>
        <w:rPr>
          <w:rFonts w:ascii="Times New Roman" w:hAnsi="Times New Roman" w:cs="Times New Roman"/>
          <w:bCs/>
          <w:sz w:val="24"/>
          <w:szCs w:val="24"/>
          <w:highlight w:val="yellow"/>
        </w:rPr>
      </w:pPr>
      <w:r w:rsidRPr="001A67FF">
        <w:rPr>
          <w:rFonts w:ascii="Times New Roman" w:hAnsi="Times New Roman" w:cs="Times New Roman"/>
          <w:bCs/>
          <w:sz w:val="24"/>
          <w:szCs w:val="24"/>
          <w:highlight w:val="yellow"/>
        </w:rPr>
        <w:t>less than the Class II significant impact level at all receptors within the designated area</w:t>
      </w:r>
      <w:r w:rsidR="004B19CA" w:rsidRPr="001A67FF">
        <w:rPr>
          <w:rFonts w:ascii="Times New Roman" w:hAnsi="Times New Roman" w:cs="Times New Roman"/>
          <w:bCs/>
          <w:sz w:val="24"/>
          <w:szCs w:val="24"/>
          <w:highlight w:val="yellow"/>
        </w:rPr>
        <w:t>;</w:t>
      </w:r>
      <w:r w:rsidRPr="001A67FF">
        <w:rPr>
          <w:rFonts w:ascii="Times New Roman" w:hAnsi="Times New Roman" w:cs="Times New Roman"/>
          <w:bCs/>
          <w:sz w:val="24"/>
          <w:szCs w:val="24"/>
          <w:highlight w:val="yellow"/>
        </w:rPr>
        <w:t xml:space="preserve"> or </w:t>
      </w:r>
    </w:p>
    <w:p w:rsidR="008E4EAD" w:rsidRPr="001A67FF" w:rsidRDefault="008E4EAD" w:rsidP="00181EB8">
      <w:pPr>
        <w:pStyle w:val="ListParagraph"/>
        <w:numPr>
          <w:ilvl w:val="2"/>
          <w:numId w:val="13"/>
        </w:numPr>
        <w:spacing w:after="0" w:line="240" w:lineRule="auto"/>
        <w:rPr>
          <w:rFonts w:ascii="Times New Roman" w:hAnsi="Times New Roman" w:cs="Times New Roman"/>
          <w:bCs/>
          <w:sz w:val="24"/>
          <w:szCs w:val="24"/>
          <w:highlight w:val="yellow"/>
        </w:rPr>
      </w:pPr>
      <w:r w:rsidRPr="001A67FF">
        <w:rPr>
          <w:rFonts w:ascii="Times New Roman" w:hAnsi="Times New Roman" w:cs="Times New Roman"/>
          <w:bCs/>
          <w:sz w:val="24"/>
          <w:szCs w:val="24"/>
          <w:highlight w:val="yellow"/>
        </w:rPr>
        <w:t xml:space="preserve">less than the Class II SIL at an average of receptors within an area representing a neighborhood scale, a reasonably homogeneous urban area with dimensions of a few kilometers that represent air quality where people commonly live and work in a representative neighborhood, centered on the DEQ approved ambient monitoring site; and </w:t>
      </w:r>
    </w:p>
    <w:p w:rsidR="008E4EAD" w:rsidRPr="001A67FF" w:rsidRDefault="008E4EAD" w:rsidP="008E4EAD">
      <w:pPr>
        <w:pStyle w:val="ListParagraph"/>
        <w:numPr>
          <w:ilvl w:val="2"/>
          <w:numId w:val="13"/>
        </w:numPr>
        <w:spacing w:after="0" w:line="240" w:lineRule="auto"/>
        <w:rPr>
          <w:rFonts w:ascii="Times New Roman" w:hAnsi="Times New Roman" w:cs="Times New Roman"/>
          <w:bCs/>
          <w:sz w:val="24"/>
          <w:szCs w:val="24"/>
          <w:highlight w:val="yellow"/>
        </w:rPr>
      </w:pPr>
      <w:r w:rsidRPr="001A67FF">
        <w:rPr>
          <w:rFonts w:ascii="Times New Roman" w:hAnsi="Times New Roman" w:cs="Times New Roman"/>
          <w:bCs/>
          <w:sz w:val="24"/>
          <w:szCs w:val="24"/>
          <w:highlight w:val="yellow"/>
        </w:rPr>
        <w:t>the impacts of the emission increases above the source’s netting basis, plus the impacts of emission increases or decreases since the date of the current area designation of all other sources within the designated area</w:t>
      </w:r>
      <w:bookmarkStart w:id="15" w:name="_GoBack"/>
      <w:bookmarkEnd w:id="15"/>
      <w:r w:rsidRPr="001A67FF">
        <w:rPr>
          <w:rFonts w:ascii="Times New Roman" w:hAnsi="Times New Roman" w:cs="Times New Roman"/>
          <w:bCs/>
          <w:sz w:val="24"/>
          <w:szCs w:val="24"/>
          <w:highlight w:val="yellow"/>
        </w:rPr>
        <w:t xml:space="preserve"> or significantly impacting the designated area are less than 10% of the NAAQS at all receptors within the designated area</w:t>
      </w:r>
    </w:p>
    <w:p w:rsidR="008E4EAD" w:rsidRPr="008E4EAD" w:rsidRDefault="008E4EAD" w:rsidP="004B19CA">
      <w:pPr>
        <w:pStyle w:val="ListParagraph"/>
        <w:spacing w:after="0" w:line="240" w:lineRule="auto"/>
        <w:ind w:left="900"/>
        <w:rPr>
          <w:rFonts w:ascii="Times New Roman" w:hAnsi="Times New Roman" w:cs="Times New Roman"/>
          <w:bCs/>
          <w:sz w:val="24"/>
          <w:szCs w:val="24"/>
        </w:rPr>
      </w:pPr>
    </w:p>
    <w:p w:rsidR="001E11C5" w:rsidRPr="004B19CA" w:rsidRDefault="001E11C5" w:rsidP="004B19CA">
      <w:pPr>
        <w:spacing w:after="0" w:line="240" w:lineRule="auto"/>
        <w:rPr>
          <w:rFonts w:ascii="Times New Roman" w:hAnsi="Times New Roman" w:cs="Times New Roman"/>
          <w:bCs/>
          <w:sz w:val="24"/>
          <w:szCs w:val="24"/>
        </w:rPr>
      </w:pPr>
      <w:r w:rsidRPr="004B19CA">
        <w:rPr>
          <w:rFonts w:ascii="Times New Roman" w:hAnsi="Times New Roman" w:cs="Times New Roman"/>
          <w:bCs/>
          <w:sz w:val="24"/>
          <w:szCs w:val="24"/>
        </w:rPr>
        <w:t>This demonstration of net air quality benefit shows that emissions increase from the new or modified source will not significantly impact the area</w:t>
      </w:r>
      <w:r w:rsidR="008C2CC3">
        <w:rPr>
          <w:rFonts w:ascii="Times New Roman" w:hAnsi="Times New Roman" w:cs="Times New Roman"/>
          <w:bCs/>
          <w:sz w:val="24"/>
          <w:szCs w:val="24"/>
        </w:rPr>
        <w:t xml:space="preserve">. </w:t>
      </w:r>
      <w:r w:rsidRPr="004B19CA">
        <w:rPr>
          <w:rFonts w:ascii="Times New Roman" w:hAnsi="Times New Roman" w:cs="Times New Roman"/>
          <w:bCs/>
          <w:sz w:val="24"/>
          <w:szCs w:val="24"/>
        </w:rPr>
        <w:t>It is not reliant upon co-located businesses that are increasing and offsetting emissions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w:t>
      </w:r>
      <w:r w:rsidRPr="001E11C5">
        <w:rPr>
          <w:rFonts w:ascii="Times New Roman" w:hAnsi="Times New Roman" w:cs="Times New Roman"/>
          <w:bCs/>
          <w:sz w:val="24"/>
          <w:szCs w:val="24"/>
        </w:rPr>
        <w:lastRenderedPageBreak/>
        <w:t>a new violation of an ambient air quality standard even if the single source impact is less than the SIL</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safeguard ensures that a new or modified source will not significantly impact the area</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554559" w:rsidRDefault="001E11C5" w:rsidP="00554559">
      <w:pPr>
        <w:pStyle w:val="Heading2"/>
      </w:pPr>
      <w:bookmarkStart w:id="16" w:name="_Toc357496207"/>
      <w:commentRangeStart w:id="17"/>
      <w:r w:rsidRPr="00554559">
        <w:t xml:space="preserve">Enhancements to Major and State New Source Review </w:t>
      </w:r>
      <w:commentRangeStart w:id="18"/>
      <w:r w:rsidRPr="00554559">
        <w:t>Programs</w:t>
      </w:r>
      <w:bookmarkEnd w:id="16"/>
      <w:commentRangeEnd w:id="17"/>
      <w:r w:rsidR="005F6323">
        <w:rPr>
          <w:rStyle w:val="CommentReference"/>
          <w:rFonts w:asciiTheme="minorHAnsi" w:eastAsiaTheme="minorHAnsi" w:hAnsiTheme="minorHAnsi" w:cstheme="minorBidi"/>
          <w:b w:val="0"/>
          <w:bCs w:val="0"/>
          <w:color w:val="auto"/>
        </w:rPr>
        <w:commentReference w:id="17"/>
      </w:r>
      <w:commentRangeEnd w:id="18"/>
      <w:r w:rsidR="00A91C5A">
        <w:rPr>
          <w:rStyle w:val="CommentReference"/>
          <w:rFonts w:asciiTheme="minorHAnsi" w:eastAsiaTheme="minorHAnsi" w:hAnsiTheme="minorHAnsi" w:cstheme="minorBidi"/>
          <w:b w:val="0"/>
          <w:bCs w:val="0"/>
          <w:color w:val="auto"/>
        </w:rPr>
        <w:commentReference w:id="18"/>
      </w:r>
    </w:p>
    <w:p w:rsidR="00554559" w:rsidRDefault="001E11C5" w:rsidP="001E11C5">
      <w:pPr>
        <w:spacing w:after="0" w:line="240" w:lineRule="auto"/>
        <w:rPr>
          <w:rFonts w:ascii="Times New Roman" w:hAnsi="Times New Roman" w:cs="Times New Roman"/>
          <w:bCs/>
          <w:sz w:val="24"/>
          <w:szCs w:val="24"/>
        </w:rPr>
      </w:pPr>
      <w:bookmarkStart w:id="19" w:name="_Toc357496208"/>
      <w:r w:rsidRPr="00554559">
        <w:rPr>
          <w:rStyle w:val="Heading3Char"/>
        </w:rPr>
        <w:t>Offsets from “priority” so</w:t>
      </w:r>
      <w:r w:rsidR="00554559">
        <w:rPr>
          <w:rStyle w:val="Heading3Char"/>
        </w:rPr>
        <w:t>urces</w:t>
      </w:r>
      <w:bookmarkEnd w:id="19"/>
      <w:r w:rsidR="00554559">
        <w:rPr>
          <w:rStyle w:val="Heading3Char"/>
        </w:rPr>
        <w:t xml:space="preserve"> </w:t>
      </w: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As stated above, DEQ is proposing special offset requirements for minor sources in sustainment, nonattainment, reattainment and maintenance areas to address “priority” source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Currently there are three areas in the state that exceed the ambient air quality standard for PM</w:t>
      </w:r>
      <w:r w:rsidRPr="001E11C5">
        <w:rPr>
          <w:rFonts w:ascii="Times New Roman" w:hAnsi="Times New Roman" w:cs="Times New Roman"/>
          <w:bCs/>
          <w:sz w:val="24"/>
          <w:szCs w:val="24"/>
          <w:vertAlign w:val="subscript"/>
        </w:rPr>
        <w:t>2.5</w:t>
      </w:r>
      <w:r w:rsidRPr="001E11C5">
        <w:rPr>
          <w:rFonts w:ascii="Times New Roman" w:hAnsi="Times New Roman" w:cs="Times New Roman"/>
          <w:bCs/>
          <w:sz w:val="24"/>
          <w:szCs w:val="24"/>
        </w:rPr>
        <w:t xml:space="preserve"> at night in the winter because of residential wood burning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When permitting new or expanding businesses in these areas, the requirement to offset emissions increases does not allow use of residential wood burning emissions except in Klamath Falls. DEQ wants to encourage new or expanding businesses to obtain part of their offsets from priority sources by allowing a lower offset ratio</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Normally the offset ratio is 1.0:1, meaning businesses have to offset their emission increases ton for ton from another business in the area that has reduced emissions. If a business uses offsets from priority sources, the offset ratio for minor sources may be reduced to as low as 0.5:1, meaning the business would only have to offset half of their increase in emissions. This would directly address the cause of poor air quality in the area while allowing for economic growth at the same time</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Emission reductions from priority sources will be determined in accordance with division 268 Emission Reduction Credits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The reductions would be determined on a case-by-case basis as they are done now</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If there is good information for a priority source(s), as in the Klamath Falls residential wood burning instance, then procedures would be included in the rules for other areas, division 240.</w:t>
      </w:r>
    </w:p>
    <w:p w:rsidR="001E11C5" w:rsidRPr="001E11C5" w:rsidRDefault="001E11C5" w:rsidP="001E11C5">
      <w:pPr>
        <w:spacing w:after="0" w:line="240" w:lineRule="auto"/>
        <w:rPr>
          <w:rFonts w:ascii="Times New Roman" w:hAnsi="Times New Roman" w:cs="Times New Roman"/>
          <w:bCs/>
          <w:sz w:val="24"/>
          <w:szCs w:val="24"/>
        </w:rPr>
      </w:pPr>
    </w:p>
    <w:p w:rsidR="00554559" w:rsidRDefault="001E11C5" w:rsidP="001E11C5">
      <w:pPr>
        <w:spacing w:after="0" w:line="240" w:lineRule="auto"/>
        <w:rPr>
          <w:rFonts w:ascii="Times New Roman" w:hAnsi="Times New Roman" w:cs="Times New Roman"/>
          <w:bCs/>
          <w:sz w:val="24"/>
          <w:szCs w:val="24"/>
        </w:rPr>
      </w:pPr>
      <w:bookmarkStart w:id="20" w:name="_Toc357496209"/>
      <w:r w:rsidRPr="00554559">
        <w:rPr>
          <w:rStyle w:val="Heading3Char"/>
        </w:rPr>
        <w:t>Increased Offset Ratio</w:t>
      </w:r>
      <w:bookmarkEnd w:id="20"/>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also providing the opportunity to use priority source offsets for major sources in nonattainment and reattainment areas only. In these areas, DEQ has increased the required offset ratio for major sources to 1.2:1 instead of the current 1.0:1</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w:t>
      </w:r>
      <w:r w:rsidR="008C2CC3">
        <w:rPr>
          <w:rFonts w:ascii="Times New Roman" w:hAnsi="Times New Roman" w:cs="Times New Roman"/>
          <w:bCs/>
          <w:sz w:val="24"/>
          <w:szCs w:val="24"/>
        </w:rPr>
        <w:t xml:space="preserve">. </w:t>
      </w:r>
    </w:p>
    <w:p w:rsidR="00E548F5" w:rsidRDefault="00E548F5" w:rsidP="00C90516">
      <w:pPr>
        <w:spacing w:after="0" w:line="240" w:lineRule="auto"/>
        <w:rPr>
          <w:rFonts w:ascii="Times New Roman" w:hAnsi="Times New Roman" w:cs="Times New Roman"/>
          <w:bCs/>
          <w:sz w:val="24"/>
          <w:szCs w:val="24"/>
        </w:rPr>
      </w:pPr>
    </w:p>
    <w:p w:rsidR="00E548F5" w:rsidRDefault="00E548F5" w:rsidP="00E548F5">
      <w:pPr>
        <w:pStyle w:val="Heading1"/>
      </w:pPr>
      <w:bookmarkStart w:id="21" w:name="_Toc357496210"/>
      <w:r>
        <w:t>Compliance</w:t>
      </w:r>
      <w:bookmarkEnd w:id="21"/>
    </w:p>
    <w:p w:rsidR="00E548F5" w:rsidRPr="00896858" w:rsidRDefault="00E548F5" w:rsidP="00E548F5">
      <w:pPr>
        <w:rPr>
          <w:rFonts w:ascii="Times New Roman" w:hAnsi="Times New Roman" w:cs="Times New Roman"/>
          <w:sz w:val="24"/>
          <w:szCs w:val="24"/>
        </w:rPr>
      </w:pPr>
    </w:p>
    <w:p w:rsidR="00E548F5" w:rsidRPr="00896858" w:rsidRDefault="00896858" w:rsidP="00896858">
      <w:pPr>
        <w:pStyle w:val="Heading2"/>
      </w:pPr>
      <w:bookmarkStart w:id="22" w:name="_Toc357496211"/>
      <w:r w:rsidRPr="00896858">
        <w:t xml:space="preserve">Update </w:t>
      </w:r>
      <w:r>
        <w:t>continuous monitoring and source sampling manuals</w:t>
      </w:r>
      <w:bookmarkEnd w:id="22"/>
    </w:p>
    <w:p w:rsidR="001E11C5" w:rsidRPr="001E11C5" w:rsidRDefault="001E11C5" w:rsidP="001E11C5">
      <w:pPr>
        <w:rPr>
          <w:rFonts w:ascii="Times New Roman" w:hAnsi="Times New Roman" w:cs="Times New Roman"/>
          <w:bCs/>
          <w:sz w:val="24"/>
          <w:szCs w:val="24"/>
        </w:rPr>
      </w:pPr>
      <w:r w:rsidRPr="001E11C5">
        <w:rPr>
          <w:rFonts w:ascii="Times New Roman" w:hAnsi="Times New Roman" w:cs="Times New Roman"/>
          <w:bCs/>
          <w:sz w:val="24"/>
          <w:szCs w:val="24"/>
        </w:rPr>
        <w:t>DEQ’s Continuous Monitoring Manual and Source Sampling Manual were adopted by the EQC in 1992. Proposed revisions to the manuals include:</w:t>
      </w:r>
    </w:p>
    <w:p w:rsidR="001E11C5" w:rsidRDefault="001E11C5" w:rsidP="001E11C5">
      <w:pPr>
        <w:numPr>
          <w:ilvl w:val="0"/>
          <w:numId w:val="15"/>
        </w:numPr>
        <w:rPr>
          <w:rFonts w:ascii="Times New Roman" w:hAnsi="Times New Roman" w:cs="Times New Roman"/>
          <w:bCs/>
          <w:sz w:val="24"/>
          <w:szCs w:val="24"/>
        </w:rPr>
      </w:pPr>
      <w:r w:rsidRPr="001E11C5">
        <w:rPr>
          <w:rFonts w:ascii="Times New Roman" w:hAnsi="Times New Roman" w:cs="Times New Roman"/>
          <w:bCs/>
          <w:sz w:val="24"/>
          <w:szCs w:val="24"/>
        </w:rPr>
        <w:t>Updated references to EPA methods</w:t>
      </w:r>
      <w:r w:rsidR="002C29D8">
        <w:rPr>
          <w:rFonts w:ascii="Times New Roman" w:hAnsi="Times New Roman" w:cs="Times New Roman"/>
          <w:bCs/>
          <w:sz w:val="24"/>
          <w:szCs w:val="24"/>
        </w:rPr>
        <w:t>;</w:t>
      </w:r>
    </w:p>
    <w:p w:rsidR="002C29D8" w:rsidRDefault="002C29D8" w:rsidP="001E11C5">
      <w:pPr>
        <w:numPr>
          <w:ilvl w:val="0"/>
          <w:numId w:val="15"/>
        </w:numPr>
        <w:rPr>
          <w:rFonts w:ascii="Times New Roman" w:hAnsi="Times New Roman" w:cs="Times New Roman"/>
          <w:bCs/>
          <w:sz w:val="24"/>
          <w:szCs w:val="24"/>
        </w:rPr>
      </w:pPr>
      <w:r>
        <w:rPr>
          <w:rFonts w:ascii="Times New Roman" w:hAnsi="Times New Roman" w:cs="Times New Roman"/>
          <w:bCs/>
          <w:sz w:val="24"/>
          <w:szCs w:val="24"/>
        </w:rPr>
        <w:t>Reorganized to make it easier to use;</w:t>
      </w:r>
    </w:p>
    <w:p w:rsidR="002C29D8" w:rsidRDefault="00433AF4" w:rsidP="001E11C5">
      <w:pPr>
        <w:numPr>
          <w:ilvl w:val="0"/>
          <w:numId w:val="15"/>
        </w:numPr>
        <w:rPr>
          <w:rFonts w:ascii="Times New Roman" w:hAnsi="Times New Roman" w:cs="Times New Roman"/>
          <w:bCs/>
          <w:sz w:val="24"/>
          <w:szCs w:val="24"/>
        </w:rPr>
      </w:pPr>
      <w:r>
        <w:rPr>
          <w:rFonts w:ascii="Times New Roman" w:hAnsi="Times New Roman" w:cs="Times New Roman"/>
          <w:bCs/>
          <w:sz w:val="24"/>
          <w:szCs w:val="24"/>
        </w:rPr>
        <w:lastRenderedPageBreak/>
        <w:t>More detail to make requirements clearer; and</w:t>
      </w:r>
    </w:p>
    <w:p w:rsidR="002C29D8" w:rsidRPr="007C6853" w:rsidRDefault="00A91C5A" w:rsidP="00433AF4">
      <w:pPr>
        <w:numPr>
          <w:ilvl w:val="0"/>
          <w:numId w:val="15"/>
        </w:numPr>
        <w:rPr>
          <w:rFonts w:ascii="Times New Roman" w:hAnsi="Times New Roman" w:cs="Times New Roman"/>
          <w:bCs/>
          <w:sz w:val="24"/>
          <w:szCs w:val="24"/>
        </w:rPr>
      </w:pPr>
      <w:r w:rsidRPr="007C6853">
        <w:rPr>
          <w:rFonts w:ascii="Times New Roman" w:hAnsi="Times New Roman" w:cs="Times New Roman"/>
          <w:bCs/>
          <w:sz w:val="24"/>
          <w:szCs w:val="24"/>
        </w:rPr>
        <w:t>Clarify requirements for source test plans and reports.</w:t>
      </w:r>
    </w:p>
    <w:p w:rsidR="00E548F5" w:rsidRPr="00896858" w:rsidRDefault="00E548F5" w:rsidP="00E548F5">
      <w:pPr>
        <w:rPr>
          <w:rFonts w:ascii="Times New Roman" w:hAnsi="Times New Roman" w:cs="Times New Roman"/>
          <w:sz w:val="24"/>
          <w:szCs w:val="24"/>
        </w:rPr>
      </w:pPr>
    </w:p>
    <w:p w:rsidR="00E548F5" w:rsidRPr="00896858" w:rsidRDefault="00896858" w:rsidP="00896858">
      <w:pPr>
        <w:pStyle w:val="Heading2"/>
      </w:pPr>
      <w:bookmarkStart w:id="23" w:name="_Toc357496212"/>
      <w:r>
        <w:t>Excess emissions</w:t>
      </w:r>
      <w:bookmarkEnd w:id="23"/>
    </w:p>
    <w:p w:rsidR="00CF5E3C" w:rsidRPr="00CF5E3C" w:rsidRDefault="00AE2899" w:rsidP="00CF5E3C">
      <w:pPr>
        <w:rPr>
          <w:rFonts w:ascii="Times New Roman" w:hAnsi="Times New Roman" w:cs="Times New Roman"/>
          <w:sz w:val="24"/>
          <w:szCs w:val="24"/>
        </w:rPr>
      </w:pPr>
      <w:r>
        <w:rPr>
          <w:rFonts w:ascii="Times New Roman" w:hAnsi="Times New Roman" w:cs="Times New Roman"/>
          <w:sz w:val="24"/>
          <w:szCs w:val="24"/>
        </w:rPr>
        <w:t>Under the excess emission rules, sources are required to report excess emissions to DEQ</w:t>
      </w:r>
      <w:r w:rsidR="008C2CC3">
        <w:rPr>
          <w:rFonts w:ascii="Times New Roman" w:hAnsi="Times New Roman" w:cs="Times New Roman"/>
          <w:sz w:val="24"/>
          <w:szCs w:val="24"/>
        </w:rPr>
        <w:t xml:space="preserve">. </w:t>
      </w:r>
      <w:r>
        <w:rPr>
          <w:rFonts w:ascii="Times New Roman" w:hAnsi="Times New Roman" w:cs="Times New Roman"/>
          <w:sz w:val="24"/>
          <w:szCs w:val="24"/>
        </w:rPr>
        <w:t>“</w:t>
      </w:r>
      <w:r w:rsidRPr="00AE2899">
        <w:rPr>
          <w:rFonts w:ascii="Times New Roman" w:hAnsi="Times New Roman" w:cs="Times New Roman"/>
          <w:sz w:val="24"/>
          <w:szCs w:val="24"/>
        </w:rPr>
        <w:t>Large</w:t>
      </w:r>
      <w:r>
        <w:rPr>
          <w:rFonts w:ascii="Times New Roman" w:hAnsi="Times New Roman" w:cs="Times New Roman"/>
          <w:sz w:val="24"/>
          <w:szCs w:val="24"/>
        </w:rPr>
        <w:t>” s</w:t>
      </w:r>
      <w:r w:rsidRPr="00AE2899">
        <w:rPr>
          <w:rFonts w:ascii="Times New Roman" w:hAnsi="Times New Roman" w:cs="Times New Roman"/>
          <w:sz w:val="24"/>
          <w:szCs w:val="24"/>
        </w:rPr>
        <w:t>ource</w:t>
      </w:r>
      <w:r>
        <w:rPr>
          <w:rFonts w:ascii="Times New Roman" w:hAnsi="Times New Roman" w:cs="Times New Roman"/>
          <w:sz w:val="24"/>
          <w:szCs w:val="24"/>
        </w:rPr>
        <w:t xml:space="preserve">s are required to report </w:t>
      </w:r>
      <w:r w:rsidR="00CF5E3C">
        <w:rPr>
          <w:rFonts w:ascii="Times New Roman" w:hAnsi="Times New Roman" w:cs="Times New Roman"/>
          <w:sz w:val="24"/>
          <w:szCs w:val="24"/>
        </w:rPr>
        <w:t xml:space="preserve">all excess emissions </w:t>
      </w:r>
      <w:r>
        <w:rPr>
          <w:rFonts w:ascii="Times New Roman" w:hAnsi="Times New Roman" w:cs="Times New Roman"/>
          <w:sz w:val="24"/>
          <w:szCs w:val="24"/>
        </w:rPr>
        <w:t>immediately (within one hour</w:t>
      </w:r>
      <w:r w:rsidR="00CF5E3C">
        <w:rPr>
          <w:rFonts w:ascii="Times New Roman" w:hAnsi="Times New Roman" w:cs="Times New Roman"/>
          <w:sz w:val="24"/>
          <w:szCs w:val="24"/>
        </w:rPr>
        <w:t xml:space="preserve"> of the event</w:t>
      </w:r>
      <w:r>
        <w:rPr>
          <w:rFonts w:ascii="Times New Roman" w:hAnsi="Times New Roman" w:cs="Times New Roman"/>
          <w:sz w:val="24"/>
          <w:szCs w:val="24"/>
        </w:rPr>
        <w:t xml:space="preserve">) while </w:t>
      </w:r>
      <w:r w:rsidR="00D672CC">
        <w:rPr>
          <w:rFonts w:ascii="Times New Roman" w:hAnsi="Times New Roman" w:cs="Times New Roman"/>
          <w:sz w:val="24"/>
          <w:szCs w:val="24"/>
        </w:rPr>
        <w:t>“</w:t>
      </w:r>
      <w:r>
        <w:rPr>
          <w:rFonts w:ascii="Times New Roman" w:hAnsi="Times New Roman" w:cs="Times New Roman"/>
          <w:sz w:val="24"/>
          <w:szCs w:val="24"/>
        </w:rPr>
        <w:t>small</w:t>
      </w:r>
      <w:r w:rsidR="00D672CC">
        <w:rPr>
          <w:rFonts w:ascii="Times New Roman" w:hAnsi="Times New Roman" w:cs="Times New Roman"/>
          <w:sz w:val="24"/>
          <w:szCs w:val="24"/>
        </w:rPr>
        <w:t>”</w:t>
      </w:r>
      <w:r>
        <w:rPr>
          <w:rFonts w:ascii="Times New Roman" w:hAnsi="Times New Roman" w:cs="Times New Roman"/>
          <w:sz w:val="24"/>
          <w:szCs w:val="24"/>
        </w:rPr>
        <w:t xml:space="preserve"> sources </w:t>
      </w:r>
      <w:r w:rsidR="00CF5E3C" w:rsidRPr="00CF5E3C">
        <w:rPr>
          <w:rFonts w:ascii="Times New Roman" w:hAnsi="Times New Roman" w:cs="Times New Roman"/>
          <w:sz w:val="24"/>
          <w:szCs w:val="24"/>
        </w:rPr>
        <w:t xml:space="preserve">must notify DEQ </w:t>
      </w:r>
      <w:r w:rsidR="003134ED">
        <w:rPr>
          <w:rFonts w:ascii="Times New Roman" w:hAnsi="Times New Roman" w:cs="Times New Roman"/>
          <w:sz w:val="24"/>
          <w:szCs w:val="24"/>
        </w:rPr>
        <w:t xml:space="preserve">immediately only of </w:t>
      </w:r>
      <w:r w:rsidR="00CF5E3C" w:rsidRPr="00CF5E3C">
        <w:rPr>
          <w:rFonts w:ascii="Times New Roman" w:hAnsi="Times New Roman" w:cs="Times New Roman"/>
          <w:sz w:val="24"/>
          <w:szCs w:val="24"/>
        </w:rPr>
        <w:t>excess emissions events that could endanger public health</w:t>
      </w:r>
      <w:r w:rsidR="008C2CC3">
        <w:rPr>
          <w:rFonts w:ascii="Times New Roman" w:hAnsi="Times New Roman" w:cs="Times New Roman"/>
          <w:sz w:val="24"/>
          <w:szCs w:val="24"/>
        </w:rPr>
        <w:t xml:space="preserve">. </w:t>
      </w:r>
      <w:r w:rsidR="00CF5E3C">
        <w:rPr>
          <w:rFonts w:ascii="Times New Roman" w:hAnsi="Times New Roman" w:cs="Times New Roman"/>
          <w:sz w:val="24"/>
          <w:szCs w:val="24"/>
        </w:rPr>
        <w:t xml:space="preserve">A “large” source is defined as </w:t>
      </w:r>
      <w:r w:rsidRPr="00AE2899">
        <w:rPr>
          <w:rFonts w:ascii="Times New Roman" w:hAnsi="Times New Roman" w:cs="Times New Roman"/>
          <w:sz w:val="24"/>
          <w:szCs w:val="24"/>
        </w:rPr>
        <w:t xml:space="preserve">any Title V </w:t>
      </w:r>
      <w:r>
        <w:rPr>
          <w:rFonts w:ascii="Times New Roman" w:hAnsi="Times New Roman" w:cs="Times New Roman"/>
          <w:sz w:val="24"/>
          <w:szCs w:val="24"/>
        </w:rPr>
        <w:t>source</w:t>
      </w:r>
      <w:r w:rsidR="00D672CC">
        <w:rPr>
          <w:rFonts w:ascii="Times New Roman" w:hAnsi="Times New Roman" w:cs="Times New Roman"/>
          <w:sz w:val="24"/>
          <w:szCs w:val="24"/>
        </w:rPr>
        <w:t>,</w:t>
      </w:r>
      <w:r w:rsidRPr="00AE2899">
        <w:rPr>
          <w:rFonts w:ascii="Times New Roman" w:hAnsi="Times New Roman" w:cs="Times New Roman"/>
          <w:sz w:val="24"/>
          <w:szCs w:val="24"/>
        </w:rPr>
        <w:t xml:space="preserve"> </w:t>
      </w:r>
      <w:r>
        <w:rPr>
          <w:rFonts w:ascii="Times New Roman" w:hAnsi="Times New Roman" w:cs="Times New Roman"/>
          <w:sz w:val="24"/>
          <w:szCs w:val="24"/>
        </w:rPr>
        <w:t xml:space="preserve">any source </w:t>
      </w:r>
      <w:r w:rsidRPr="00AE2899">
        <w:rPr>
          <w:rFonts w:ascii="Times New Roman" w:hAnsi="Times New Roman" w:cs="Times New Roman"/>
          <w:sz w:val="24"/>
          <w:szCs w:val="24"/>
        </w:rPr>
        <w:t>whose emissions are equal to or exceed 100 tons per year of any regulated air pollutant</w:t>
      </w:r>
      <w:r w:rsidR="00D672CC">
        <w:rPr>
          <w:rFonts w:ascii="Times New Roman" w:hAnsi="Times New Roman" w:cs="Times New Roman"/>
          <w:sz w:val="24"/>
          <w:szCs w:val="24"/>
        </w:rPr>
        <w:t>,</w:t>
      </w:r>
      <w:r>
        <w:rPr>
          <w:rFonts w:ascii="Times New Roman" w:hAnsi="Times New Roman" w:cs="Times New Roman"/>
          <w:sz w:val="24"/>
          <w:szCs w:val="24"/>
        </w:rPr>
        <w:t xml:space="preserve"> </w:t>
      </w:r>
      <w:r w:rsidRPr="00AE2899">
        <w:rPr>
          <w:rFonts w:ascii="Times New Roman" w:hAnsi="Times New Roman" w:cs="Times New Roman"/>
          <w:sz w:val="24"/>
          <w:szCs w:val="24"/>
        </w:rPr>
        <w:t xml:space="preserve">or which is subject to a National Emissions Standard for Hazardous Air Pollutants (NESHAP). </w:t>
      </w:r>
      <w:r w:rsidR="00CF5E3C">
        <w:rPr>
          <w:rFonts w:ascii="Times New Roman" w:hAnsi="Times New Roman" w:cs="Times New Roman"/>
          <w:sz w:val="24"/>
          <w:szCs w:val="24"/>
        </w:rPr>
        <w:t xml:space="preserve">A </w:t>
      </w:r>
      <w:r w:rsidR="00CF5E3C" w:rsidRPr="00CF5E3C">
        <w:rPr>
          <w:rFonts w:ascii="Times New Roman" w:hAnsi="Times New Roman" w:cs="Times New Roman"/>
          <w:sz w:val="24"/>
          <w:szCs w:val="24"/>
        </w:rPr>
        <w:t>"</w:t>
      </w:r>
      <w:r w:rsidR="00CF5E3C">
        <w:rPr>
          <w:rFonts w:ascii="Times New Roman" w:hAnsi="Times New Roman" w:cs="Times New Roman"/>
          <w:sz w:val="24"/>
          <w:szCs w:val="24"/>
        </w:rPr>
        <w:t>s</w:t>
      </w:r>
      <w:r w:rsidR="00CF5E3C" w:rsidRPr="00CF5E3C">
        <w:rPr>
          <w:rFonts w:ascii="Times New Roman" w:hAnsi="Times New Roman" w:cs="Times New Roman"/>
          <w:sz w:val="24"/>
          <w:szCs w:val="24"/>
        </w:rPr>
        <w:t>mall</w:t>
      </w:r>
      <w:r w:rsidR="00CF5E3C">
        <w:rPr>
          <w:rFonts w:ascii="Times New Roman" w:hAnsi="Times New Roman" w:cs="Times New Roman"/>
          <w:sz w:val="24"/>
          <w:szCs w:val="24"/>
        </w:rPr>
        <w:t>”</w:t>
      </w:r>
      <w:r w:rsidR="00CF5E3C" w:rsidRPr="00CF5E3C">
        <w:rPr>
          <w:rFonts w:ascii="Times New Roman" w:hAnsi="Times New Roman" w:cs="Times New Roman"/>
          <w:sz w:val="24"/>
          <w:szCs w:val="24"/>
        </w:rPr>
        <w:t xml:space="preserve"> </w:t>
      </w:r>
      <w:r w:rsidR="00CF5E3C">
        <w:rPr>
          <w:rFonts w:ascii="Times New Roman" w:hAnsi="Times New Roman" w:cs="Times New Roman"/>
          <w:sz w:val="24"/>
          <w:szCs w:val="24"/>
        </w:rPr>
        <w:t>s</w:t>
      </w:r>
      <w:r w:rsidR="00CF5E3C" w:rsidRPr="00CF5E3C">
        <w:rPr>
          <w:rFonts w:ascii="Times New Roman" w:hAnsi="Times New Roman" w:cs="Times New Roman"/>
          <w:sz w:val="24"/>
          <w:szCs w:val="24"/>
        </w:rPr>
        <w:t>ource means any other stationary source with a general, simple or standard ACDP.</w:t>
      </w:r>
    </w:p>
    <w:p w:rsidR="00CF5E3C" w:rsidRPr="00CF5E3C" w:rsidRDefault="00CF5E3C" w:rsidP="00CF5E3C">
      <w:pPr>
        <w:rPr>
          <w:rFonts w:ascii="Times New Roman" w:hAnsi="Times New Roman" w:cs="Times New Roman"/>
          <w:sz w:val="24"/>
          <w:szCs w:val="24"/>
        </w:rPr>
      </w:pPr>
      <w:r w:rsidRPr="00CF5E3C">
        <w:rPr>
          <w:rFonts w:ascii="Times New Roman" w:hAnsi="Times New Roman" w:cs="Times New Roman"/>
          <w:sz w:val="24"/>
          <w:szCs w:val="24"/>
        </w:rPr>
        <w:t>DEQ is proposing changes to the sources that are required to report excess emissions</w:t>
      </w:r>
      <w:r w:rsidR="008C2CC3">
        <w:rPr>
          <w:rFonts w:ascii="Times New Roman" w:hAnsi="Times New Roman" w:cs="Times New Roman"/>
          <w:sz w:val="24"/>
          <w:szCs w:val="24"/>
        </w:rPr>
        <w:t xml:space="preserve">. </w:t>
      </w:r>
      <w:r w:rsidR="00650596">
        <w:rPr>
          <w:rFonts w:ascii="Times New Roman" w:hAnsi="Times New Roman" w:cs="Times New Roman"/>
          <w:sz w:val="24"/>
          <w:szCs w:val="24"/>
        </w:rPr>
        <w:t>Since the initial adoption of the excess emission rules, EPA has promulgated NESHAPs for many smaller sources, such as gas stations, hospital ethylene oxide sterilizers, and dry cleaners</w:t>
      </w:r>
      <w:r w:rsidR="008C2CC3">
        <w:rPr>
          <w:rFonts w:ascii="Times New Roman" w:hAnsi="Times New Roman" w:cs="Times New Roman"/>
          <w:sz w:val="24"/>
          <w:szCs w:val="24"/>
        </w:rPr>
        <w:t xml:space="preserve">. </w:t>
      </w:r>
      <w:r w:rsidRPr="00CF5E3C">
        <w:rPr>
          <w:rFonts w:ascii="Times New Roman" w:hAnsi="Times New Roman" w:cs="Times New Roman"/>
          <w:sz w:val="24"/>
          <w:szCs w:val="24"/>
        </w:rPr>
        <w:t xml:space="preserve">The general provisions for NESHAP sources have excess emission reporting and some individual NESHAPs have their own excess emission reporting </w:t>
      </w:r>
      <w:r w:rsidR="004025F1">
        <w:rPr>
          <w:rFonts w:ascii="Times New Roman" w:hAnsi="Times New Roman" w:cs="Times New Roman"/>
          <w:sz w:val="24"/>
          <w:szCs w:val="24"/>
        </w:rPr>
        <w:t>so these sources do not need to be included with large sources that are required to report immediately.</w:t>
      </w:r>
      <w:r w:rsidR="005570A5">
        <w:rPr>
          <w:rFonts w:ascii="Times New Roman" w:hAnsi="Times New Roman" w:cs="Times New Roman"/>
          <w:sz w:val="24"/>
          <w:szCs w:val="24"/>
        </w:rPr>
        <w:t xml:space="preserve"> </w:t>
      </w:r>
      <w:r w:rsidR="004025F1">
        <w:rPr>
          <w:rFonts w:ascii="Times New Roman" w:hAnsi="Times New Roman" w:cs="Times New Roman"/>
          <w:sz w:val="24"/>
          <w:szCs w:val="24"/>
        </w:rPr>
        <w:t>DEQ inadvertently omitted sources that are on basic permits in the definition of “small”</w:t>
      </w:r>
      <w:r w:rsidR="005570A5">
        <w:rPr>
          <w:rFonts w:ascii="Times New Roman" w:hAnsi="Times New Roman" w:cs="Times New Roman"/>
          <w:sz w:val="24"/>
          <w:szCs w:val="24"/>
        </w:rPr>
        <w:t xml:space="preserve"> sour</w:t>
      </w:r>
      <w:r w:rsidR="004025F1">
        <w:rPr>
          <w:rFonts w:ascii="Times New Roman" w:hAnsi="Times New Roman" w:cs="Times New Roman"/>
          <w:sz w:val="24"/>
          <w:szCs w:val="24"/>
        </w:rPr>
        <w:t xml:space="preserve">ces so they will be added </w:t>
      </w:r>
      <w:r w:rsidR="00D2791C">
        <w:rPr>
          <w:rFonts w:ascii="Times New Roman" w:hAnsi="Times New Roman" w:cs="Times New Roman"/>
          <w:sz w:val="24"/>
          <w:szCs w:val="24"/>
        </w:rPr>
        <w:t>and required to report excess emissions.</w:t>
      </w:r>
    </w:p>
    <w:p w:rsidR="00AE2899" w:rsidRDefault="003B2C11" w:rsidP="00E548F5">
      <w:pPr>
        <w:rPr>
          <w:rFonts w:ascii="Times New Roman" w:hAnsi="Times New Roman" w:cs="Times New Roman"/>
          <w:sz w:val="24"/>
          <w:szCs w:val="24"/>
        </w:rPr>
      </w:pPr>
      <w:r>
        <w:rPr>
          <w:rFonts w:ascii="Times New Roman" w:hAnsi="Times New Roman" w:cs="Times New Roman"/>
          <w:sz w:val="24"/>
          <w:szCs w:val="24"/>
        </w:rPr>
        <w:t xml:space="preserve">DEQ is proposing limit the sources that can use emergency as an affirmative defense to Title V permitted sources only because </w:t>
      </w:r>
      <w:r w:rsidR="00A91C5A">
        <w:rPr>
          <w:rFonts w:ascii="Times New Roman" w:hAnsi="Times New Roman" w:cs="Times New Roman"/>
          <w:sz w:val="24"/>
          <w:szCs w:val="24"/>
        </w:rPr>
        <w:t xml:space="preserve">of recent law suits. </w:t>
      </w:r>
    </w:p>
    <w:p w:rsidR="003B2C11" w:rsidRDefault="003B2C11" w:rsidP="003B2C11">
      <w:pPr>
        <w:rPr>
          <w:rFonts w:ascii="Times New Roman" w:hAnsi="Times New Roman" w:cs="Times New Roman"/>
          <w:sz w:val="24"/>
          <w:szCs w:val="24"/>
        </w:rPr>
      </w:pPr>
      <w:r>
        <w:rPr>
          <w:rFonts w:ascii="Times New Roman" w:hAnsi="Times New Roman" w:cs="Times New Roman"/>
          <w:sz w:val="24"/>
          <w:szCs w:val="24"/>
        </w:rPr>
        <w:t>DEQ proposes to add more criteria in determining whether to take enforcement action for excess emissions:</w:t>
      </w:r>
    </w:p>
    <w:p w:rsidR="003B2C11" w:rsidRPr="003B2C11" w:rsidRDefault="003B2C11" w:rsidP="003B2C11">
      <w:pPr>
        <w:pStyle w:val="ListParagraph"/>
        <w:numPr>
          <w:ilvl w:val="0"/>
          <w:numId w:val="15"/>
        </w:numPr>
        <w:rPr>
          <w:rFonts w:ascii="Times New Roman" w:hAnsi="Times New Roman" w:cs="Times New Roman"/>
          <w:sz w:val="24"/>
          <w:szCs w:val="24"/>
        </w:rPr>
      </w:pPr>
      <w:r w:rsidRPr="003B2C11">
        <w:rPr>
          <w:rFonts w:ascii="Times New Roman" w:hAnsi="Times New Roman" w:cs="Times New Roman"/>
          <w:sz w:val="24"/>
          <w:szCs w:val="24"/>
        </w:rPr>
        <w:t>whether any federal New Source Performance Standard or National Emission Standard for Hazardous Air Pollutants apply and whether the excess emission event caused a violation of the federal standard; and</w:t>
      </w:r>
    </w:p>
    <w:p w:rsidR="004A5A93" w:rsidRDefault="00752DF9" w:rsidP="003B2C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w:t>
      </w:r>
      <w:r w:rsidR="003B2C11" w:rsidRPr="003B2C11">
        <w:rPr>
          <w:rFonts w:ascii="Times New Roman" w:hAnsi="Times New Roman" w:cs="Times New Roman"/>
          <w:sz w:val="24"/>
          <w:szCs w:val="24"/>
        </w:rPr>
        <w:t>hether the excess emissions event was due to an emergency</w:t>
      </w:r>
    </w:p>
    <w:p w:rsidR="00752DF9" w:rsidRPr="00752DF9" w:rsidRDefault="00752DF9" w:rsidP="00752DF9">
      <w:pPr>
        <w:rPr>
          <w:rFonts w:ascii="Times New Roman" w:hAnsi="Times New Roman" w:cs="Times New Roman"/>
          <w:sz w:val="24"/>
          <w:szCs w:val="24"/>
        </w:rPr>
      </w:pPr>
      <w:r>
        <w:rPr>
          <w:rFonts w:ascii="Times New Roman" w:hAnsi="Times New Roman" w:cs="Times New Roman"/>
          <w:sz w:val="24"/>
          <w:szCs w:val="24"/>
        </w:rPr>
        <w:t>S</w:t>
      </w:r>
      <w:r w:rsidRPr="00752DF9">
        <w:rPr>
          <w:rFonts w:ascii="Times New Roman" w:hAnsi="Times New Roman" w:cs="Times New Roman"/>
          <w:sz w:val="24"/>
          <w:szCs w:val="24"/>
        </w:rPr>
        <w:t xml:space="preserve">ource specific standard </w:t>
      </w:r>
      <w:r>
        <w:rPr>
          <w:rFonts w:ascii="Times New Roman" w:hAnsi="Times New Roman" w:cs="Times New Roman"/>
          <w:sz w:val="24"/>
          <w:szCs w:val="24"/>
        </w:rPr>
        <w:t xml:space="preserve">such as NSPS or NESHAP </w:t>
      </w:r>
      <w:r w:rsidRPr="00752DF9">
        <w:rPr>
          <w:rFonts w:ascii="Times New Roman" w:hAnsi="Times New Roman" w:cs="Times New Roman"/>
          <w:sz w:val="24"/>
          <w:szCs w:val="24"/>
        </w:rPr>
        <w:t>ha</w:t>
      </w:r>
      <w:r>
        <w:rPr>
          <w:rFonts w:ascii="Times New Roman" w:hAnsi="Times New Roman" w:cs="Times New Roman"/>
          <w:sz w:val="24"/>
          <w:szCs w:val="24"/>
        </w:rPr>
        <w:t>ve</w:t>
      </w:r>
      <w:r w:rsidRPr="00752DF9">
        <w:rPr>
          <w:rFonts w:ascii="Times New Roman" w:hAnsi="Times New Roman" w:cs="Times New Roman"/>
          <w:sz w:val="24"/>
          <w:szCs w:val="24"/>
        </w:rPr>
        <w:t xml:space="preserve"> taken into consideration the achievable emission of the </w:t>
      </w:r>
      <w:r w:rsidR="00A91C5A">
        <w:rPr>
          <w:rFonts w:ascii="Times New Roman" w:hAnsi="Times New Roman" w:cs="Times New Roman"/>
          <w:sz w:val="24"/>
          <w:szCs w:val="24"/>
        </w:rPr>
        <w:t>affected facility</w:t>
      </w:r>
      <w:r w:rsidR="00A91C5A" w:rsidRPr="00752DF9">
        <w:rPr>
          <w:rFonts w:ascii="Times New Roman" w:hAnsi="Times New Roman" w:cs="Times New Roman"/>
          <w:sz w:val="24"/>
          <w:szCs w:val="24"/>
        </w:rPr>
        <w:t xml:space="preserve"> </w:t>
      </w:r>
      <w:r w:rsidRPr="00752DF9">
        <w:rPr>
          <w:rFonts w:ascii="Times New Roman" w:hAnsi="Times New Roman" w:cs="Times New Roman"/>
          <w:sz w:val="24"/>
          <w:szCs w:val="24"/>
        </w:rPr>
        <w:t>while using best demonstrated technology (BDT)</w:t>
      </w:r>
      <w:r w:rsidR="008C2CC3">
        <w:rPr>
          <w:rFonts w:ascii="Times New Roman" w:hAnsi="Times New Roman" w:cs="Times New Roman"/>
          <w:sz w:val="24"/>
          <w:szCs w:val="24"/>
        </w:rPr>
        <w:t xml:space="preserve">. </w:t>
      </w:r>
      <w:r w:rsidR="00D2791C">
        <w:rPr>
          <w:rFonts w:ascii="Times New Roman" w:hAnsi="Times New Roman" w:cs="Times New Roman"/>
          <w:sz w:val="24"/>
          <w:szCs w:val="24"/>
        </w:rPr>
        <w:t>Adding this criterion in determining whether to take enforcement action for excess emissions r</w:t>
      </w:r>
      <w:r w:rsidRPr="00752DF9">
        <w:rPr>
          <w:rFonts w:ascii="Times New Roman" w:hAnsi="Times New Roman" w:cs="Times New Roman"/>
          <w:sz w:val="24"/>
          <w:szCs w:val="24"/>
        </w:rPr>
        <w:t xml:space="preserve">ecognizes that there may be a violation of the general </w:t>
      </w:r>
      <w:r w:rsidR="00D2791C">
        <w:rPr>
          <w:rFonts w:ascii="Times New Roman" w:hAnsi="Times New Roman" w:cs="Times New Roman"/>
          <w:sz w:val="24"/>
          <w:szCs w:val="24"/>
        </w:rPr>
        <w:t xml:space="preserve">statewide </w:t>
      </w:r>
      <w:r w:rsidRPr="00752DF9">
        <w:rPr>
          <w:rFonts w:ascii="Times New Roman" w:hAnsi="Times New Roman" w:cs="Times New Roman"/>
          <w:sz w:val="24"/>
          <w:szCs w:val="24"/>
        </w:rPr>
        <w:t xml:space="preserve">standard but the source is still complying with the source specific technology based standard. </w:t>
      </w:r>
      <w:r w:rsidR="00F900D8">
        <w:rPr>
          <w:rFonts w:ascii="Times New Roman" w:hAnsi="Times New Roman" w:cs="Times New Roman"/>
          <w:sz w:val="24"/>
          <w:szCs w:val="24"/>
        </w:rPr>
        <w:t>Since DEQ is proposing to limit sources that can use emergency as an affirmative defense to Title V permitted sources, emergencies need to be evaluated for all other sources.</w:t>
      </w:r>
    </w:p>
    <w:p w:rsidR="00752DF9" w:rsidRPr="00752DF9" w:rsidRDefault="00752DF9" w:rsidP="00752DF9">
      <w:pPr>
        <w:rPr>
          <w:rFonts w:ascii="Times New Roman" w:hAnsi="Times New Roman" w:cs="Times New Roman"/>
          <w:sz w:val="24"/>
          <w:szCs w:val="24"/>
        </w:rPr>
      </w:pPr>
    </w:p>
    <w:p w:rsidR="00896858" w:rsidRPr="00896858" w:rsidRDefault="00896858" w:rsidP="00896858">
      <w:pPr>
        <w:pStyle w:val="Heading2"/>
      </w:pPr>
      <w:bookmarkStart w:id="24" w:name="_Toc357496213"/>
      <w:r>
        <w:t>Test methods with all standards</w:t>
      </w:r>
      <w:bookmarkEnd w:id="24"/>
    </w:p>
    <w:p w:rsidR="00896858" w:rsidRDefault="004A5A93" w:rsidP="00E548F5">
      <w:pPr>
        <w:rPr>
          <w:rFonts w:ascii="Times New Roman" w:hAnsi="Times New Roman" w:cs="Times New Roman"/>
          <w:sz w:val="24"/>
          <w:szCs w:val="24"/>
        </w:rPr>
      </w:pPr>
      <w:r>
        <w:rPr>
          <w:rFonts w:ascii="Times New Roman" w:hAnsi="Times New Roman" w:cs="Times New Roman"/>
          <w:sz w:val="24"/>
          <w:szCs w:val="24"/>
        </w:rPr>
        <w:t>Some standards do not include test methods so compliance demonstrations are not clear</w:t>
      </w:r>
      <w:r w:rsidR="008C2CC3">
        <w:rPr>
          <w:rFonts w:ascii="Times New Roman" w:hAnsi="Times New Roman" w:cs="Times New Roman"/>
          <w:sz w:val="24"/>
          <w:szCs w:val="24"/>
        </w:rPr>
        <w:t xml:space="preserve">. </w:t>
      </w:r>
      <w:r>
        <w:rPr>
          <w:rFonts w:ascii="Times New Roman" w:hAnsi="Times New Roman" w:cs="Times New Roman"/>
          <w:sz w:val="24"/>
          <w:szCs w:val="24"/>
        </w:rPr>
        <w:t xml:space="preserve">DEQ is adding test methods to all standards along with a testing and monitoring section to rules that do not already have them. </w:t>
      </w:r>
    </w:p>
    <w:p w:rsidR="00896858" w:rsidRDefault="00896858" w:rsidP="00896858">
      <w:pPr>
        <w:pStyle w:val="Heading1"/>
      </w:pPr>
      <w:bookmarkStart w:id="25" w:name="_Toc357496214"/>
      <w:r>
        <w:t>Permitting Changes</w:t>
      </w:r>
      <w:bookmarkEnd w:id="25"/>
    </w:p>
    <w:p w:rsidR="00896858" w:rsidRPr="00896858" w:rsidRDefault="00896858" w:rsidP="00896858">
      <w:pPr>
        <w:rPr>
          <w:rFonts w:ascii="Times New Roman" w:hAnsi="Times New Roman" w:cs="Times New Roman"/>
          <w:sz w:val="24"/>
          <w:szCs w:val="24"/>
        </w:rPr>
      </w:pPr>
    </w:p>
    <w:p w:rsidR="00896858" w:rsidRDefault="00896858" w:rsidP="00896858">
      <w:pPr>
        <w:pStyle w:val="Heading2"/>
      </w:pPr>
      <w:bookmarkStart w:id="26" w:name="_Toc357496215"/>
      <w:r w:rsidRPr="00896858">
        <w:t>Revise</w:t>
      </w:r>
      <w:r>
        <w:t xml:space="preserve"> definition of categorically insignificant activities</w:t>
      </w:r>
      <w:bookmarkEnd w:id="26"/>
    </w:p>
    <w:p w:rsidR="00CA4E39" w:rsidRDefault="00084F28" w:rsidP="00551007">
      <w:pPr>
        <w:rPr>
          <w:rFonts w:ascii="Times New Roman" w:hAnsi="Times New Roman" w:cs="Times New Roman"/>
          <w:sz w:val="24"/>
          <w:szCs w:val="24"/>
        </w:rPr>
      </w:pPr>
      <w:r>
        <w:rPr>
          <w:rFonts w:ascii="Times New Roman" w:hAnsi="Times New Roman" w:cs="Times New Roman"/>
          <w:sz w:val="24"/>
          <w:szCs w:val="24"/>
        </w:rPr>
        <w:t>DEQ is proposing revisions to portions of the definition of categorically insignificant activities in division 200</w:t>
      </w:r>
      <w:r w:rsidR="00CA4E39">
        <w:rPr>
          <w:rFonts w:ascii="Times New Roman" w:hAnsi="Times New Roman" w:cs="Times New Roman"/>
          <w:sz w:val="24"/>
          <w:szCs w:val="24"/>
        </w:rPr>
        <w:t xml:space="preserve">: </w:t>
      </w:r>
    </w:p>
    <w:p w:rsid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Distillate oil, kerosene, and gasoline fuel burning equipment rated at less than or equal to 0.4 million Btu/hour</w:t>
      </w:r>
      <w:r w:rsidR="00CA4E39">
        <w:rPr>
          <w:rFonts w:ascii="Times New Roman" w:hAnsi="Times New Roman" w:cs="Times New Roman"/>
          <w:sz w:val="24"/>
          <w:szCs w:val="24"/>
        </w:rPr>
        <w:t xml:space="preserve"> each;</w:t>
      </w:r>
    </w:p>
    <w:p w:rsidR="00CA4E39" w:rsidRP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Natural gas and propane burning equipment rated at less than or equal to 2.0 million Btu/hour each</w:t>
      </w:r>
      <w:r w:rsidR="00CA4E39">
        <w:rPr>
          <w:rFonts w:ascii="Times New Roman" w:hAnsi="Times New Roman" w:cs="Times New Roman"/>
          <w:sz w:val="24"/>
          <w:szCs w:val="24"/>
        </w:rPr>
        <w:t xml:space="preserve">; and </w:t>
      </w:r>
    </w:p>
    <w:p w:rsid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 xml:space="preserve">Emergency generators and pumps rated individually at less than 500 horsepower, used only during loss of primary equipment or utility service due to circumstances beyond the reasonable control of the owner or operator, or to address a power emergency as determined by DEQ </w:t>
      </w:r>
    </w:p>
    <w:p w:rsidR="00CA4E39" w:rsidRDefault="00CA4E39" w:rsidP="00EF2977">
      <w:pPr>
        <w:pStyle w:val="ListParagraph"/>
        <w:ind w:left="0"/>
        <w:rPr>
          <w:rFonts w:ascii="Times New Roman" w:hAnsi="Times New Roman" w:cs="Times New Roman"/>
          <w:sz w:val="24"/>
          <w:szCs w:val="24"/>
        </w:rPr>
      </w:pPr>
    </w:p>
    <w:p w:rsidR="007E7766" w:rsidRDefault="00EF2977" w:rsidP="00345908">
      <w:pPr>
        <w:pStyle w:val="ListParagraph"/>
        <w:ind w:left="0"/>
        <w:rPr>
          <w:rFonts w:ascii="Times New Roman" w:hAnsi="Times New Roman" w:cs="Times New Roman"/>
          <w:bCs/>
          <w:sz w:val="24"/>
          <w:szCs w:val="24"/>
        </w:rPr>
      </w:pPr>
      <w:r>
        <w:rPr>
          <w:rFonts w:ascii="Times New Roman" w:hAnsi="Times New Roman" w:cs="Times New Roman"/>
          <w:sz w:val="24"/>
          <w:szCs w:val="24"/>
        </w:rPr>
        <w:t xml:space="preserve">DEQ has encountered businesses that have numerous fuel burning equipment </w:t>
      </w:r>
      <w:r w:rsidR="00537F77">
        <w:rPr>
          <w:rFonts w:ascii="Times New Roman" w:hAnsi="Times New Roman" w:cs="Times New Roman"/>
          <w:sz w:val="24"/>
          <w:szCs w:val="24"/>
        </w:rPr>
        <w:t xml:space="preserve">and/or </w:t>
      </w:r>
      <w:r>
        <w:rPr>
          <w:rFonts w:ascii="Times New Roman" w:hAnsi="Times New Roman" w:cs="Times New Roman"/>
          <w:sz w:val="24"/>
          <w:szCs w:val="24"/>
        </w:rPr>
        <w:t xml:space="preserve">emergency generators at a single facility, whose aggregate emissions total </w:t>
      </w:r>
      <w:r w:rsidR="00206A3A">
        <w:rPr>
          <w:rFonts w:ascii="Times New Roman" w:hAnsi="Times New Roman" w:cs="Times New Roman"/>
          <w:sz w:val="24"/>
          <w:szCs w:val="24"/>
        </w:rPr>
        <w:t xml:space="preserve">much </w:t>
      </w:r>
      <w:r>
        <w:rPr>
          <w:rFonts w:ascii="Times New Roman" w:hAnsi="Times New Roman" w:cs="Times New Roman"/>
          <w:sz w:val="24"/>
          <w:szCs w:val="24"/>
        </w:rPr>
        <w:t>more than</w:t>
      </w:r>
      <w:r w:rsidR="00257C7E">
        <w:rPr>
          <w:rFonts w:ascii="Times New Roman" w:hAnsi="Times New Roman" w:cs="Times New Roman"/>
          <w:sz w:val="24"/>
          <w:szCs w:val="24"/>
        </w:rPr>
        <w:t xml:space="preserve"> </w:t>
      </w:r>
      <w:r>
        <w:rPr>
          <w:rFonts w:ascii="Times New Roman" w:hAnsi="Times New Roman" w:cs="Times New Roman"/>
          <w:sz w:val="24"/>
          <w:szCs w:val="24"/>
        </w:rPr>
        <w:t>the level</w:t>
      </w:r>
      <w:r w:rsidR="00257C7E">
        <w:rPr>
          <w:rFonts w:ascii="Times New Roman" w:hAnsi="Times New Roman" w:cs="Times New Roman"/>
          <w:sz w:val="24"/>
          <w:szCs w:val="24"/>
        </w:rPr>
        <w:t>s</w:t>
      </w:r>
      <w:r>
        <w:rPr>
          <w:rFonts w:ascii="Times New Roman" w:hAnsi="Times New Roman" w:cs="Times New Roman"/>
          <w:sz w:val="24"/>
          <w:szCs w:val="24"/>
        </w:rPr>
        <w:t xml:space="preserve"> in the definition of aggregate insignificant emissions</w:t>
      </w:r>
      <w:r w:rsidR="008C2CC3">
        <w:rPr>
          <w:rFonts w:ascii="Times New Roman" w:hAnsi="Times New Roman" w:cs="Times New Roman"/>
          <w:sz w:val="24"/>
          <w:szCs w:val="24"/>
        </w:rPr>
        <w:t xml:space="preserve">. </w:t>
      </w:r>
      <w:r w:rsidR="00257C7E">
        <w:rPr>
          <w:rFonts w:ascii="Times New Roman" w:hAnsi="Times New Roman" w:cs="Times New Roman"/>
          <w:sz w:val="24"/>
          <w:szCs w:val="24"/>
        </w:rPr>
        <w:t xml:space="preserve">In addition, there are requirements under </w:t>
      </w:r>
      <w:r w:rsidR="00B96EF6">
        <w:rPr>
          <w:rFonts w:ascii="Times New Roman" w:hAnsi="Times New Roman" w:cs="Times New Roman"/>
          <w:sz w:val="24"/>
          <w:szCs w:val="24"/>
        </w:rPr>
        <w:t xml:space="preserve">40 CFR Part 63, </w:t>
      </w:r>
      <w:r w:rsidR="00B96EF6" w:rsidRPr="00B96EF6">
        <w:rPr>
          <w:rFonts w:ascii="Times New Roman" w:hAnsi="Times New Roman" w:cs="Times New Roman"/>
          <w:bCs/>
          <w:sz w:val="24"/>
          <w:szCs w:val="24"/>
        </w:rPr>
        <w:t>Subpart ZZZZ—National Emissions Standards for Hazardous Air Pollutants for Stationary Reciprocating Internal Combustion Engines</w:t>
      </w:r>
      <w:r w:rsidR="00B96EF6">
        <w:rPr>
          <w:rFonts w:ascii="Times New Roman" w:hAnsi="Times New Roman" w:cs="Times New Roman"/>
          <w:bCs/>
          <w:sz w:val="24"/>
          <w:szCs w:val="24"/>
        </w:rPr>
        <w:t xml:space="preserve"> for emergency generators</w:t>
      </w:r>
      <w:r w:rsidR="008C2CC3">
        <w:rPr>
          <w:rFonts w:ascii="Times New Roman" w:hAnsi="Times New Roman" w:cs="Times New Roman"/>
          <w:bCs/>
          <w:sz w:val="24"/>
          <w:szCs w:val="24"/>
        </w:rPr>
        <w:t xml:space="preserve">. </w:t>
      </w:r>
      <w:r w:rsidR="00B96EF6">
        <w:rPr>
          <w:rFonts w:ascii="Times New Roman" w:hAnsi="Times New Roman" w:cs="Times New Roman"/>
          <w:bCs/>
          <w:sz w:val="24"/>
          <w:szCs w:val="24"/>
        </w:rPr>
        <w:t>Therefore, DEQ is proposing to add restrictions to these three activities of categorically insignificant activities</w:t>
      </w:r>
      <w:r w:rsidR="008C2CC3">
        <w:rPr>
          <w:rFonts w:ascii="Times New Roman" w:hAnsi="Times New Roman" w:cs="Times New Roman"/>
          <w:bCs/>
          <w:sz w:val="24"/>
          <w:szCs w:val="24"/>
        </w:rPr>
        <w:t xml:space="preserve">. </w:t>
      </w:r>
    </w:p>
    <w:p w:rsidR="007E7766" w:rsidRDefault="007E7766" w:rsidP="00345908">
      <w:pPr>
        <w:pStyle w:val="ListParagraph"/>
        <w:ind w:left="0"/>
        <w:rPr>
          <w:rFonts w:ascii="Times New Roman" w:hAnsi="Times New Roman" w:cs="Times New Roman"/>
          <w:bCs/>
          <w:sz w:val="24"/>
          <w:szCs w:val="24"/>
        </w:rPr>
      </w:pPr>
    </w:p>
    <w:p w:rsidR="00084F28" w:rsidRDefault="00B96EF6" w:rsidP="00345908">
      <w:pPr>
        <w:pStyle w:val="ListParagraph"/>
        <w:ind w:left="0"/>
        <w:rPr>
          <w:rFonts w:ascii="Times New Roman" w:hAnsi="Times New Roman" w:cs="Times New Roman"/>
          <w:sz w:val="24"/>
          <w:szCs w:val="24"/>
        </w:rPr>
      </w:pPr>
      <w:r>
        <w:rPr>
          <w:rFonts w:ascii="Times New Roman" w:hAnsi="Times New Roman" w:cs="Times New Roman"/>
          <w:bCs/>
          <w:sz w:val="24"/>
          <w:szCs w:val="24"/>
        </w:rPr>
        <w:t>If the emissions from the activity, in aggregate, are greater than the de minimis levels for any pollutant, they will not be considered categorically insignificant activities</w:t>
      </w:r>
      <w:r w:rsidR="008C2CC3">
        <w:rPr>
          <w:rFonts w:ascii="Times New Roman" w:hAnsi="Times New Roman" w:cs="Times New Roman"/>
          <w:bCs/>
          <w:sz w:val="24"/>
          <w:szCs w:val="24"/>
        </w:rPr>
        <w:t xml:space="preserve">. </w:t>
      </w:r>
      <w:r>
        <w:rPr>
          <w:rFonts w:ascii="Times New Roman" w:hAnsi="Times New Roman" w:cs="Times New Roman"/>
          <w:bCs/>
          <w:sz w:val="24"/>
          <w:szCs w:val="24"/>
        </w:rPr>
        <w:t xml:space="preserve">Emissions from emergency generators are based </w:t>
      </w:r>
      <w:r w:rsidR="00084F28" w:rsidRPr="00CA4E39">
        <w:rPr>
          <w:rFonts w:ascii="Times New Roman" w:hAnsi="Times New Roman" w:cs="Times New Roman"/>
          <w:sz w:val="24"/>
          <w:szCs w:val="24"/>
        </w:rPr>
        <w:t>on the readiness and testing hours of operation allowed by NSPS or NESHAP requirements or some other hours of operation specified in a permit</w:t>
      </w:r>
      <w:r w:rsidR="008C2CC3">
        <w:rPr>
          <w:rFonts w:ascii="Times New Roman" w:hAnsi="Times New Roman" w:cs="Times New Roman"/>
          <w:sz w:val="24"/>
          <w:szCs w:val="24"/>
        </w:rPr>
        <w:t xml:space="preserve">. </w:t>
      </w:r>
      <w:r w:rsidR="00206A3A" w:rsidRPr="00206A3A">
        <w:rPr>
          <w:rFonts w:ascii="Times New Roman" w:hAnsi="Times New Roman" w:cs="Times New Roman"/>
          <w:bCs/>
          <w:sz w:val="24"/>
          <w:szCs w:val="24"/>
        </w:rPr>
        <w:t xml:space="preserve">The emissions from the categorically insignificant activities will be added to the </w:t>
      </w:r>
      <w:r w:rsidR="00345908">
        <w:rPr>
          <w:rFonts w:ascii="Times New Roman" w:hAnsi="Times New Roman" w:cs="Times New Roman"/>
          <w:bCs/>
          <w:sz w:val="24"/>
          <w:szCs w:val="24"/>
        </w:rPr>
        <w:t xml:space="preserve">PSEL and the </w:t>
      </w:r>
      <w:r w:rsidR="00206A3A" w:rsidRPr="00206A3A">
        <w:rPr>
          <w:rFonts w:ascii="Times New Roman" w:hAnsi="Times New Roman" w:cs="Times New Roman"/>
          <w:bCs/>
          <w:sz w:val="24"/>
          <w:szCs w:val="24"/>
        </w:rPr>
        <w:t xml:space="preserve">netting </w:t>
      </w:r>
      <w:r w:rsidR="00345908">
        <w:rPr>
          <w:rFonts w:ascii="Times New Roman" w:hAnsi="Times New Roman" w:cs="Times New Roman"/>
          <w:bCs/>
          <w:sz w:val="24"/>
          <w:szCs w:val="24"/>
        </w:rPr>
        <w:t xml:space="preserve">basis </w:t>
      </w:r>
      <w:r w:rsidR="00206A3A" w:rsidRPr="00206A3A">
        <w:rPr>
          <w:rFonts w:ascii="Times New Roman" w:hAnsi="Times New Roman" w:cs="Times New Roman"/>
          <w:bCs/>
          <w:sz w:val="24"/>
          <w:szCs w:val="24"/>
        </w:rPr>
        <w:t xml:space="preserve">if </w:t>
      </w:r>
      <w:r w:rsidR="00345908">
        <w:rPr>
          <w:rFonts w:ascii="Times New Roman" w:hAnsi="Times New Roman" w:cs="Times New Roman"/>
          <w:bCs/>
          <w:sz w:val="24"/>
          <w:szCs w:val="24"/>
        </w:rPr>
        <w:t>the aggregate emissions are greater than one ton. I</w:t>
      </w:r>
      <w:r w:rsidR="00345908" w:rsidRPr="00345908">
        <w:rPr>
          <w:rFonts w:ascii="Times New Roman" w:hAnsi="Times New Roman" w:cs="Times New Roman"/>
          <w:sz w:val="24"/>
          <w:szCs w:val="24"/>
        </w:rPr>
        <w:t xml:space="preserve">f </w:t>
      </w:r>
      <w:r w:rsidR="00345908">
        <w:rPr>
          <w:rFonts w:ascii="Times New Roman" w:hAnsi="Times New Roman" w:cs="Times New Roman"/>
          <w:sz w:val="24"/>
          <w:szCs w:val="24"/>
        </w:rPr>
        <w:t xml:space="preserve">the revised </w:t>
      </w:r>
      <w:r w:rsidR="00345908" w:rsidRPr="00345908">
        <w:rPr>
          <w:rFonts w:ascii="Times New Roman" w:hAnsi="Times New Roman" w:cs="Times New Roman"/>
          <w:sz w:val="24"/>
          <w:szCs w:val="24"/>
        </w:rPr>
        <w:t xml:space="preserve">PSEL </w:t>
      </w:r>
      <w:r w:rsidR="00345908">
        <w:rPr>
          <w:rFonts w:ascii="Times New Roman" w:hAnsi="Times New Roman" w:cs="Times New Roman"/>
          <w:sz w:val="24"/>
          <w:szCs w:val="24"/>
        </w:rPr>
        <w:t xml:space="preserve">that includes emissions from previously considered categorically insignificant activities </w:t>
      </w:r>
      <w:r w:rsidR="00345908" w:rsidRPr="00345908">
        <w:rPr>
          <w:rFonts w:ascii="Times New Roman" w:hAnsi="Times New Roman" w:cs="Times New Roman"/>
          <w:sz w:val="24"/>
          <w:szCs w:val="24"/>
        </w:rPr>
        <w:t>is greater than the netting basis by greater than or equal to an SER as a result of this revision, the requirements of OAR 340-222-0041(4) do not apply. If the revised PSEL is greater than or equal to the SER above the netting basis, any future increase in the PSEL for any reason would be subject to OAR 340-222-0041(4).</w:t>
      </w:r>
      <w:r w:rsidR="007E7766">
        <w:rPr>
          <w:rFonts w:ascii="Times New Roman" w:hAnsi="Times New Roman" w:cs="Times New Roman"/>
          <w:sz w:val="24"/>
          <w:szCs w:val="24"/>
        </w:rPr>
        <w:t xml:space="preserve"> </w:t>
      </w:r>
      <w:r w:rsidR="007E7766">
        <w:rPr>
          <w:rFonts w:ascii="Times New Roman" w:hAnsi="Times New Roman" w:cs="Times New Roman"/>
          <w:sz w:val="24"/>
          <w:szCs w:val="24"/>
        </w:rPr>
        <w:lastRenderedPageBreak/>
        <w:t>This applies only to categorically insignificant activities that existed at a facility before April 1, 2014</w:t>
      </w:r>
      <w:r w:rsidR="008C2CC3">
        <w:rPr>
          <w:rFonts w:ascii="Times New Roman" w:hAnsi="Times New Roman" w:cs="Times New Roman"/>
          <w:sz w:val="24"/>
          <w:szCs w:val="24"/>
        </w:rPr>
        <w:t xml:space="preserve">. </w:t>
      </w:r>
      <w:r w:rsidR="007E7766">
        <w:rPr>
          <w:rFonts w:ascii="Times New Roman" w:hAnsi="Times New Roman" w:cs="Times New Roman"/>
          <w:sz w:val="24"/>
          <w:szCs w:val="24"/>
        </w:rPr>
        <w:t xml:space="preserve">Emissions from </w:t>
      </w:r>
      <w:r w:rsidR="007E7766" w:rsidRPr="007E7766">
        <w:rPr>
          <w:rFonts w:ascii="Times New Roman" w:hAnsi="Times New Roman" w:cs="Times New Roman"/>
          <w:sz w:val="24"/>
          <w:szCs w:val="24"/>
        </w:rPr>
        <w:t>categorically insignificant activities</w:t>
      </w:r>
      <w:r w:rsidR="007E7766">
        <w:rPr>
          <w:rFonts w:ascii="Times New Roman" w:hAnsi="Times New Roman" w:cs="Times New Roman"/>
          <w:sz w:val="24"/>
          <w:szCs w:val="24"/>
        </w:rPr>
        <w:t xml:space="preserve"> installed after April 1, 2014 are not grandfathered from triggering the requirements of 340-222-0041(4)</w:t>
      </w:r>
      <w:r w:rsidR="008C2CC3">
        <w:rPr>
          <w:rFonts w:ascii="Times New Roman" w:hAnsi="Times New Roman" w:cs="Times New Roman"/>
          <w:sz w:val="24"/>
          <w:szCs w:val="24"/>
        </w:rPr>
        <w:t xml:space="preserve">. </w:t>
      </w:r>
    </w:p>
    <w:p w:rsidR="00345908" w:rsidRDefault="00345908" w:rsidP="00345908">
      <w:pPr>
        <w:pStyle w:val="ListParagraph"/>
        <w:ind w:left="0"/>
        <w:rPr>
          <w:rFonts w:ascii="Times New Roman" w:hAnsi="Times New Roman" w:cs="Times New Roman"/>
          <w:sz w:val="24"/>
          <w:szCs w:val="24"/>
        </w:rPr>
      </w:pPr>
    </w:p>
    <w:p w:rsidR="00896858" w:rsidRDefault="00896858" w:rsidP="00896858">
      <w:pPr>
        <w:pStyle w:val="Heading2"/>
      </w:pPr>
      <w:bookmarkStart w:id="27" w:name="_Toc357496216"/>
      <w:r>
        <w:t>Update ACDP source categories – Table 1 changes</w:t>
      </w:r>
      <w:bookmarkEnd w:id="27"/>
    </w:p>
    <w:p w:rsidR="00400E8D" w:rsidRDefault="00400E8D" w:rsidP="00400E8D">
      <w:pPr>
        <w:rPr>
          <w:rFonts w:ascii="Times New Roman" w:hAnsi="Times New Roman" w:cs="Times New Roman"/>
          <w:bCs/>
          <w:sz w:val="24"/>
          <w:szCs w:val="24"/>
        </w:rPr>
      </w:pPr>
      <w:r>
        <w:rPr>
          <w:rFonts w:ascii="Times New Roman" w:hAnsi="Times New Roman" w:cs="Times New Roman"/>
          <w:bCs/>
          <w:sz w:val="24"/>
          <w:szCs w:val="24"/>
        </w:rPr>
        <w:t xml:space="preserve">DEQ has added a lead-in to Table 1 </w:t>
      </w:r>
      <w:r w:rsidR="00BB1CC4">
        <w:rPr>
          <w:rFonts w:ascii="Times New Roman" w:hAnsi="Times New Roman" w:cs="Times New Roman"/>
          <w:bCs/>
          <w:sz w:val="24"/>
          <w:szCs w:val="24"/>
        </w:rPr>
        <w:t xml:space="preserve">in division 216 </w:t>
      </w:r>
      <w:r>
        <w:rPr>
          <w:rFonts w:ascii="Times New Roman" w:hAnsi="Times New Roman" w:cs="Times New Roman"/>
          <w:bCs/>
          <w:sz w:val="24"/>
          <w:szCs w:val="24"/>
        </w:rPr>
        <w:t>which lists the sources that are required to obtain air permits</w:t>
      </w:r>
      <w:r w:rsidR="008C2CC3">
        <w:rPr>
          <w:rFonts w:ascii="Times New Roman" w:hAnsi="Times New Roman" w:cs="Times New Roman"/>
          <w:bCs/>
          <w:sz w:val="24"/>
          <w:szCs w:val="24"/>
        </w:rPr>
        <w:t xml:space="preserve">. </w:t>
      </w:r>
      <w:r>
        <w:rPr>
          <w:rFonts w:ascii="Times New Roman" w:hAnsi="Times New Roman" w:cs="Times New Roman"/>
          <w:bCs/>
          <w:sz w:val="24"/>
          <w:szCs w:val="24"/>
        </w:rPr>
        <w:t>This should make it clear to business that m</w:t>
      </w:r>
      <w:r w:rsidRPr="00400E8D">
        <w:rPr>
          <w:rFonts w:ascii="Times New Roman" w:hAnsi="Times New Roman" w:cs="Times New Roman"/>
          <w:bCs/>
          <w:sz w:val="24"/>
          <w:szCs w:val="24"/>
        </w:rPr>
        <w:t xml:space="preserve">ore than one source category in Table 1 may apply to a </w:t>
      </w:r>
      <w:r w:rsidR="00206A3A">
        <w:rPr>
          <w:rFonts w:ascii="Times New Roman" w:hAnsi="Times New Roman" w:cs="Times New Roman"/>
          <w:bCs/>
          <w:sz w:val="24"/>
          <w:szCs w:val="24"/>
        </w:rPr>
        <w:t xml:space="preserve">facility </w:t>
      </w:r>
      <w:r w:rsidRPr="00400E8D">
        <w:rPr>
          <w:rFonts w:ascii="Times New Roman" w:hAnsi="Times New Roman" w:cs="Times New Roman"/>
          <w:bCs/>
          <w:sz w:val="24"/>
          <w:szCs w:val="24"/>
        </w:rPr>
        <w:t>and they are not necessarily listed in alphabetic order</w:t>
      </w:r>
      <w:r w:rsidR="008C2CC3">
        <w:rPr>
          <w:rFonts w:ascii="Times New Roman" w:hAnsi="Times New Roman" w:cs="Times New Roman"/>
          <w:bCs/>
          <w:sz w:val="24"/>
          <w:szCs w:val="24"/>
        </w:rPr>
        <w:t xml:space="preserve">. </w:t>
      </w:r>
      <w:r w:rsidRPr="00400E8D">
        <w:rPr>
          <w:rFonts w:ascii="Times New Roman" w:hAnsi="Times New Roman" w:cs="Times New Roman"/>
          <w:bCs/>
          <w:sz w:val="24"/>
          <w:szCs w:val="24"/>
        </w:rPr>
        <w:t>If more than one source category in Table 1 applies to a source, the highest level of permit specified in Part A, B, or C is required.</w:t>
      </w:r>
      <w:r w:rsidR="00BB1CC4" w:rsidRPr="00BB1CC4">
        <w:rPr>
          <w:rFonts w:ascii="Times New Roman" w:hAnsi="Times New Roman" w:cs="Times New Roman"/>
          <w:bCs/>
          <w:sz w:val="24"/>
          <w:szCs w:val="24"/>
        </w:rPr>
        <w:t xml:space="preserve"> There have been problems with businesses thinking that only one category applies</w:t>
      </w:r>
      <w:r w:rsidR="008C2CC3">
        <w:rPr>
          <w:rFonts w:ascii="Times New Roman" w:hAnsi="Times New Roman" w:cs="Times New Roman"/>
          <w:bCs/>
          <w:sz w:val="24"/>
          <w:szCs w:val="24"/>
        </w:rPr>
        <w:t xml:space="preserve">. </w:t>
      </w:r>
      <w:r w:rsidR="00F77F8F">
        <w:rPr>
          <w:rFonts w:ascii="Times New Roman" w:hAnsi="Times New Roman" w:cs="Times New Roman"/>
          <w:bCs/>
          <w:sz w:val="24"/>
          <w:szCs w:val="24"/>
        </w:rPr>
        <w:t xml:space="preserve">Numerous changes have been made to clarify which sources are required to get air permits. </w:t>
      </w:r>
    </w:p>
    <w:p w:rsidR="002B3B3E" w:rsidRDefault="00DD747A" w:rsidP="00DD747A">
      <w:pPr>
        <w:rPr>
          <w:rFonts w:ascii="Times New Roman" w:hAnsi="Times New Roman" w:cs="Times New Roman"/>
          <w:bCs/>
          <w:sz w:val="24"/>
          <w:szCs w:val="24"/>
        </w:rPr>
      </w:pPr>
      <w:r>
        <w:rPr>
          <w:rFonts w:ascii="Times New Roman" w:hAnsi="Times New Roman" w:cs="Times New Roman"/>
          <w:bCs/>
          <w:sz w:val="24"/>
          <w:szCs w:val="24"/>
        </w:rPr>
        <w:t>DEQ is proposing to handle emergency gene</w:t>
      </w:r>
      <w:bookmarkStart w:id="28" w:name="40:13.0.1.1.1"/>
      <w:r w:rsidR="00206A3A">
        <w:rPr>
          <w:rFonts w:ascii="Times New Roman" w:hAnsi="Times New Roman" w:cs="Times New Roman"/>
          <w:bCs/>
          <w:sz w:val="24"/>
          <w:szCs w:val="24"/>
        </w:rPr>
        <w:t xml:space="preserve">rators differently than before. </w:t>
      </w:r>
      <w:r>
        <w:rPr>
          <w:rFonts w:ascii="Times New Roman" w:hAnsi="Times New Roman" w:cs="Times New Roman"/>
          <w:bCs/>
          <w:sz w:val="24"/>
          <w:szCs w:val="24"/>
        </w:rPr>
        <w:t xml:space="preserve">40 CFR </w:t>
      </w:r>
      <w:r w:rsidRPr="00DD747A">
        <w:rPr>
          <w:rFonts w:ascii="Times New Roman" w:hAnsi="Times New Roman" w:cs="Times New Roman"/>
          <w:bCs/>
          <w:sz w:val="24"/>
          <w:szCs w:val="24"/>
        </w:rPr>
        <w:t>P</w:t>
      </w:r>
      <w:r>
        <w:rPr>
          <w:rFonts w:ascii="Times New Roman" w:hAnsi="Times New Roman" w:cs="Times New Roman"/>
          <w:bCs/>
          <w:sz w:val="24"/>
          <w:szCs w:val="24"/>
        </w:rPr>
        <w:t>ar</w:t>
      </w:r>
      <w:bookmarkEnd w:id="28"/>
      <w:r w:rsidR="00206A3A">
        <w:rPr>
          <w:rFonts w:ascii="Times New Roman" w:hAnsi="Times New Roman" w:cs="Times New Roman"/>
          <w:bCs/>
          <w:sz w:val="24"/>
          <w:szCs w:val="24"/>
        </w:rPr>
        <w:t xml:space="preserve">t 63 </w:t>
      </w:r>
      <w:r w:rsidRPr="00DD747A">
        <w:rPr>
          <w:rFonts w:ascii="Times New Roman" w:hAnsi="Times New Roman" w:cs="Times New Roman"/>
          <w:bCs/>
          <w:sz w:val="24"/>
          <w:szCs w:val="24"/>
        </w:rPr>
        <w:t>Subpart ZZZZ—National Emissions Standards for Hazardous Air Pollutants for Stationary Reciprocating Internal Combustion Engines</w:t>
      </w:r>
      <w:r>
        <w:rPr>
          <w:rFonts w:ascii="Times New Roman" w:hAnsi="Times New Roman" w:cs="Times New Roman"/>
          <w:bCs/>
          <w:sz w:val="24"/>
          <w:szCs w:val="24"/>
        </w:rPr>
        <w:t xml:space="preserve"> has </w:t>
      </w:r>
      <w:r w:rsidR="00AF3245">
        <w:rPr>
          <w:rFonts w:ascii="Times New Roman" w:hAnsi="Times New Roman" w:cs="Times New Roman"/>
          <w:bCs/>
          <w:sz w:val="24"/>
          <w:szCs w:val="24"/>
        </w:rPr>
        <w:t xml:space="preserve">testing </w:t>
      </w:r>
      <w:r w:rsidRPr="00DD747A">
        <w:rPr>
          <w:rFonts w:ascii="Times New Roman" w:hAnsi="Times New Roman" w:cs="Times New Roman"/>
          <w:bCs/>
          <w:sz w:val="24"/>
          <w:szCs w:val="24"/>
        </w:rPr>
        <w:t>requirements for emergency generators that were previously considered categorica</w:t>
      </w:r>
      <w:r w:rsidR="002B3B3E">
        <w:rPr>
          <w:rFonts w:ascii="Times New Roman" w:hAnsi="Times New Roman" w:cs="Times New Roman"/>
          <w:bCs/>
          <w:sz w:val="24"/>
          <w:szCs w:val="24"/>
        </w:rPr>
        <w:t>lly insignificant activities</w:t>
      </w:r>
      <w:r w:rsidR="008C2CC3">
        <w:rPr>
          <w:rFonts w:ascii="Times New Roman" w:hAnsi="Times New Roman" w:cs="Times New Roman"/>
          <w:bCs/>
          <w:sz w:val="24"/>
          <w:szCs w:val="24"/>
        </w:rPr>
        <w:t xml:space="preserve">. </w:t>
      </w:r>
      <w:r w:rsidR="002B3B3E">
        <w:rPr>
          <w:rFonts w:ascii="Times New Roman" w:hAnsi="Times New Roman" w:cs="Times New Roman"/>
          <w:bCs/>
          <w:sz w:val="24"/>
          <w:szCs w:val="24"/>
        </w:rPr>
        <w:t xml:space="preserve">Therefore, DEQ is adding </w:t>
      </w:r>
      <w:r w:rsidR="00AF3245">
        <w:rPr>
          <w:rFonts w:ascii="Times New Roman" w:hAnsi="Times New Roman" w:cs="Times New Roman"/>
          <w:bCs/>
          <w:sz w:val="24"/>
          <w:szCs w:val="24"/>
        </w:rPr>
        <w:t xml:space="preserve">these sources as </w:t>
      </w:r>
      <w:r w:rsidR="00B337DA">
        <w:rPr>
          <w:rFonts w:ascii="Times New Roman" w:hAnsi="Times New Roman" w:cs="Times New Roman"/>
          <w:bCs/>
          <w:sz w:val="24"/>
          <w:szCs w:val="24"/>
        </w:rPr>
        <w:t>a new category</w:t>
      </w:r>
      <w:r w:rsidR="002B3B3E">
        <w:rPr>
          <w:rFonts w:ascii="Times New Roman" w:hAnsi="Times New Roman" w:cs="Times New Roman"/>
          <w:bCs/>
          <w:sz w:val="24"/>
          <w:szCs w:val="24"/>
        </w:rPr>
        <w:t xml:space="preserve"> that </w:t>
      </w:r>
      <w:r w:rsidR="00B337DA">
        <w:rPr>
          <w:rFonts w:ascii="Times New Roman" w:hAnsi="Times New Roman" w:cs="Times New Roman"/>
          <w:bCs/>
          <w:sz w:val="24"/>
          <w:szCs w:val="24"/>
        </w:rPr>
        <w:t xml:space="preserve">is </w:t>
      </w:r>
      <w:r w:rsidR="002B3B3E">
        <w:rPr>
          <w:rFonts w:ascii="Times New Roman" w:hAnsi="Times New Roman" w:cs="Times New Roman"/>
          <w:bCs/>
          <w:sz w:val="24"/>
          <w:szCs w:val="24"/>
        </w:rPr>
        <w:t>required to get air permit</w:t>
      </w:r>
      <w:r w:rsidR="00B337DA">
        <w:rPr>
          <w:rFonts w:ascii="Times New Roman" w:hAnsi="Times New Roman" w:cs="Times New Roman"/>
          <w:bCs/>
          <w:sz w:val="24"/>
          <w:szCs w:val="24"/>
        </w:rPr>
        <w:t>s</w:t>
      </w:r>
      <w:r w:rsidR="00206A3A">
        <w:rPr>
          <w:rFonts w:ascii="Times New Roman" w:hAnsi="Times New Roman" w:cs="Times New Roman"/>
          <w:bCs/>
          <w:sz w:val="24"/>
          <w:szCs w:val="24"/>
        </w:rPr>
        <w:t xml:space="preserve"> and modifying existing category 27</w:t>
      </w:r>
      <w:r w:rsidR="002B3B3E">
        <w:rPr>
          <w:rFonts w:ascii="Times New Roman" w:hAnsi="Times New Roman" w:cs="Times New Roman"/>
          <w:bCs/>
          <w:sz w:val="24"/>
          <w:szCs w:val="24"/>
        </w:rPr>
        <w:t>:</w:t>
      </w:r>
    </w:p>
    <w:p w:rsidR="00B337DA" w:rsidRPr="00B337DA" w:rsidRDefault="00B337DA" w:rsidP="00B337DA">
      <w:pPr>
        <w:ind w:left="720"/>
        <w:rPr>
          <w:rFonts w:ascii="Times New Roman" w:hAnsi="Times New Roman" w:cs="Times New Roman"/>
          <w:bCs/>
          <w:sz w:val="24"/>
          <w:szCs w:val="24"/>
        </w:rPr>
      </w:pPr>
      <w:r w:rsidRPr="00B337DA">
        <w:rPr>
          <w:rFonts w:ascii="Times New Roman" w:hAnsi="Times New Roman" w:cs="Times New Roman"/>
          <w:bCs/>
          <w:sz w:val="24"/>
          <w:szCs w:val="24"/>
        </w:rPr>
        <w:t>27</w:t>
      </w:r>
      <w:r w:rsidR="008C2CC3">
        <w:rPr>
          <w:rFonts w:ascii="Times New Roman" w:hAnsi="Times New Roman" w:cs="Times New Roman"/>
          <w:bCs/>
          <w:sz w:val="24"/>
          <w:szCs w:val="24"/>
        </w:rPr>
        <w:t xml:space="preserve">. </w:t>
      </w:r>
      <w:r w:rsidRPr="00B337DA">
        <w:rPr>
          <w:rFonts w:ascii="Times New Roman" w:hAnsi="Times New Roman" w:cs="Times New Roman"/>
          <w:bCs/>
          <w:sz w:val="24"/>
          <w:szCs w:val="24"/>
        </w:rPr>
        <w:t>     Stationary reciprocating internal combustion engines used for</w:t>
      </w:r>
      <w:r w:rsidRPr="00B337DA">
        <w:rPr>
          <w:rFonts w:ascii="Times New Roman" w:hAnsi="Times New Roman" w:cs="Times New Roman"/>
          <w:bCs/>
          <w:i/>
          <w:iCs/>
          <w:sz w:val="24"/>
          <w:szCs w:val="24"/>
        </w:rPr>
        <w:t xml:space="preserve"> </w:t>
      </w:r>
      <w:r w:rsidRPr="00B337DA">
        <w:rPr>
          <w:rFonts w:ascii="Times New Roman" w:hAnsi="Times New Roman" w:cs="Times New Roman"/>
          <w:bCs/>
          <w:sz w:val="24"/>
          <w:szCs w:val="24"/>
        </w:rPr>
        <w:t xml:space="preserve">electrical power generation or to power pumps or compressors, with a site rating of 500 horsepower or more, excluding 2-stroke lean burn engines </w:t>
      </w:r>
    </w:p>
    <w:p w:rsidR="00B337DA" w:rsidRPr="00B337DA" w:rsidRDefault="00B337DA" w:rsidP="00B337DA">
      <w:pPr>
        <w:ind w:left="720"/>
        <w:rPr>
          <w:rFonts w:ascii="Times New Roman" w:hAnsi="Times New Roman" w:cs="Times New Roman"/>
          <w:bCs/>
          <w:sz w:val="24"/>
          <w:szCs w:val="24"/>
        </w:rPr>
      </w:pPr>
      <w:r w:rsidRPr="00B337DA">
        <w:rPr>
          <w:rFonts w:ascii="Times New Roman" w:hAnsi="Times New Roman" w:cs="Times New Roman"/>
          <w:bCs/>
          <w:sz w:val="24"/>
          <w:szCs w:val="24"/>
        </w:rPr>
        <w:t>28</w:t>
      </w:r>
      <w:r w:rsidR="008C2CC3">
        <w:rPr>
          <w:rFonts w:ascii="Times New Roman" w:hAnsi="Times New Roman" w:cs="Times New Roman"/>
          <w:bCs/>
          <w:sz w:val="24"/>
          <w:szCs w:val="24"/>
        </w:rPr>
        <w:t xml:space="preserve">. </w:t>
      </w:r>
      <w:r w:rsidRPr="00B337DA">
        <w:rPr>
          <w:rFonts w:ascii="Times New Roman" w:hAnsi="Times New Roman" w:cs="Times New Roman"/>
          <w:bCs/>
          <w:sz w:val="24"/>
          <w:szCs w:val="24"/>
        </w:rPr>
        <w:t xml:space="preserve">     Stationary emergency generators and firewater pumps that are </w:t>
      </w:r>
      <w:r w:rsidR="00AF3245">
        <w:rPr>
          <w:rFonts w:ascii="Times New Roman" w:hAnsi="Times New Roman" w:cs="Times New Roman"/>
          <w:bCs/>
          <w:sz w:val="24"/>
          <w:szCs w:val="24"/>
        </w:rPr>
        <w:t xml:space="preserve">each </w:t>
      </w:r>
      <w:r w:rsidRPr="00B337DA">
        <w:rPr>
          <w:rFonts w:ascii="Times New Roman" w:hAnsi="Times New Roman" w:cs="Times New Roman"/>
          <w:bCs/>
          <w:sz w:val="24"/>
          <w:szCs w:val="24"/>
        </w:rPr>
        <w:t>rated at 500 horsepower or more</w:t>
      </w:r>
    </w:p>
    <w:p w:rsidR="00194290" w:rsidRDefault="00206A3A" w:rsidP="000D7AE6">
      <w:pPr>
        <w:rPr>
          <w:rFonts w:ascii="Times New Roman" w:hAnsi="Times New Roman" w:cs="Times New Roman"/>
          <w:sz w:val="24"/>
          <w:szCs w:val="24"/>
        </w:rPr>
      </w:pPr>
      <w:r>
        <w:rPr>
          <w:rFonts w:ascii="Times New Roman" w:hAnsi="Times New Roman" w:cs="Times New Roman"/>
          <w:sz w:val="24"/>
          <w:szCs w:val="24"/>
        </w:rPr>
        <w:t xml:space="preserve">Changes to Category 27 are proposed that will </w:t>
      </w:r>
      <w:r w:rsidR="00194290">
        <w:rPr>
          <w:rFonts w:ascii="Times New Roman" w:hAnsi="Times New Roman" w:cs="Times New Roman"/>
          <w:sz w:val="24"/>
          <w:szCs w:val="24"/>
        </w:rPr>
        <w:t xml:space="preserve">require permits for stationary </w:t>
      </w:r>
      <w:r w:rsidR="00AF3245">
        <w:rPr>
          <w:rFonts w:ascii="Times New Roman" w:hAnsi="Times New Roman" w:cs="Times New Roman"/>
          <w:sz w:val="24"/>
          <w:szCs w:val="24"/>
        </w:rPr>
        <w:t xml:space="preserve">reciprocating internal combustion engines used for </w:t>
      </w:r>
      <w:r w:rsidR="00194290">
        <w:rPr>
          <w:rFonts w:ascii="Times New Roman" w:hAnsi="Times New Roman" w:cs="Times New Roman"/>
          <w:sz w:val="24"/>
          <w:szCs w:val="24"/>
        </w:rPr>
        <w:t xml:space="preserve">electrical power generation </w:t>
      </w:r>
      <w:r w:rsidR="00AF3245">
        <w:rPr>
          <w:rFonts w:ascii="Times New Roman" w:hAnsi="Times New Roman" w:cs="Times New Roman"/>
          <w:sz w:val="24"/>
          <w:szCs w:val="24"/>
        </w:rPr>
        <w:t xml:space="preserve">or to power pumps or compressors </w:t>
      </w:r>
      <w:r w:rsidR="00194290">
        <w:rPr>
          <w:rFonts w:ascii="Times New Roman" w:hAnsi="Times New Roman" w:cs="Times New Roman"/>
          <w:sz w:val="24"/>
          <w:szCs w:val="24"/>
        </w:rPr>
        <w:t xml:space="preserve">with a </w:t>
      </w:r>
      <w:r w:rsidR="00AF3245">
        <w:rPr>
          <w:rFonts w:ascii="Times New Roman" w:hAnsi="Times New Roman" w:cs="Times New Roman"/>
          <w:sz w:val="24"/>
          <w:szCs w:val="24"/>
        </w:rPr>
        <w:t xml:space="preserve">site rating of </w:t>
      </w:r>
      <w:r w:rsidR="00194290">
        <w:rPr>
          <w:rFonts w:ascii="Times New Roman" w:hAnsi="Times New Roman" w:cs="Times New Roman"/>
          <w:sz w:val="24"/>
          <w:szCs w:val="24"/>
        </w:rPr>
        <w:t>500 horsepower or more</w:t>
      </w:r>
      <w:r w:rsidR="006E06FF">
        <w:rPr>
          <w:rFonts w:ascii="Times New Roman" w:hAnsi="Times New Roman" w:cs="Times New Roman"/>
          <w:sz w:val="24"/>
          <w:szCs w:val="24"/>
        </w:rPr>
        <w:t xml:space="preserve">. There are no requirements for </w:t>
      </w:r>
      <w:r w:rsidR="00194290">
        <w:rPr>
          <w:rFonts w:ascii="Times New Roman" w:hAnsi="Times New Roman" w:cs="Times New Roman"/>
          <w:sz w:val="24"/>
          <w:szCs w:val="24"/>
        </w:rPr>
        <w:t>2-stroke lean burn engines</w:t>
      </w:r>
      <w:r w:rsidR="006E06FF">
        <w:rPr>
          <w:rFonts w:ascii="Times New Roman" w:hAnsi="Times New Roman" w:cs="Times New Roman"/>
          <w:sz w:val="24"/>
          <w:szCs w:val="24"/>
        </w:rPr>
        <w:t xml:space="preserve"> so they are exempt from permitting</w:t>
      </w:r>
      <w:r w:rsidR="00194290">
        <w:rPr>
          <w:rFonts w:ascii="Times New Roman" w:hAnsi="Times New Roman" w:cs="Times New Roman"/>
          <w:sz w:val="24"/>
          <w:szCs w:val="24"/>
        </w:rPr>
        <w:t xml:space="preserve">. </w:t>
      </w:r>
      <w:r w:rsidR="00C07856">
        <w:rPr>
          <w:rFonts w:ascii="Times New Roman" w:hAnsi="Times New Roman" w:cs="Times New Roman"/>
          <w:sz w:val="24"/>
          <w:szCs w:val="24"/>
        </w:rPr>
        <w:t xml:space="preserve">A general permit will be developed for Category 28, </w:t>
      </w:r>
      <w:r w:rsidR="00C07856" w:rsidRPr="00C07856">
        <w:rPr>
          <w:rFonts w:ascii="Times New Roman" w:hAnsi="Times New Roman" w:cs="Times New Roman"/>
          <w:bCs/>
          <w:sz w:val="24"/>
          <w:szCs w:val="24"/>
        </w:rPr>
        <w:t>Stationary emergency generators and firewater pumps that are each rated at 500 horsepower or more</w:t>
      </w:r>
      <w:r w:rsidR="00C07856">
        <w:rPr>
          <w:rFonts w:ascii="Times New Roman" w:hAnsi="Times New Roman" w:cs="Times New Roman"/>
          <w:bCs/>
          <w:sz w:val="24"/>
          <w:szCs w:val="24"/>
        </w:rPr>
        <w:t>.</w:t>
      </w:r>
    </w:p>
    <w:p w:rsidR="00D84E11" w:rsidRPr="00400E8D" w:rsidRDefault="00D84E11" w:rsidP="00D84E11">
      <w:pPr>
        <w:rPr>
          <w:rFonts w:ascii="Times New Roman" w:hAnsi="Times New Roman" w:cs="Times New Roman"/>
          <w:sz w:val="24"/>
          <w:szCs w:val="24"/>
        </w:rPr>
      </w:pPr>
    </w:p>
    <w:p w:rsidR="00896858" w:rsidRPr="00896858" w:rsidRDefault="00896858" w:rsidP="00896858">
      <w:pPr>
        <w:pStyle w:val="Heading2"/>
      </w:pPr>
      <w:bookmarkStart w:id="29" w:name="_Toc357496217"/>
      <w:r>
        <w:t>Improve ACDP timeliness</w:t>
      </w:r>
      <w:bookmarkEnd w:id="29"/>
    </w:p>
    <w:p w:rsidR="00896858" w:rsidRPr="001E11C5" w:rsidRDefault="001E11C5" w:rsidP="00896858">
      <w:pPr>
        <w:rPr>
          <w:rFonts w:ascii="Times New Roman" w:hAnsi="Times New Roman" w:cs="Times New Roman"/>
          <w:bCs/>
          <w:sz w:val="24"/>
          <w:szCs w:val="24"/>
        </w:rPr>
      </w:pPr>
      <w:r w:rsidRPr="001E11C5">
        <w:rPr>
          <w:rFonts w:ascii="Times New Roman" w:hAnsi="Times New Roman" w:cs="Times New Roman"/>
          <w:bCs/>
          <w:sz w:val="24"/>
          <w:szCs w:val="24"/>
        </w:rPr>
        <w:t>DEQ is proposing a change to when Air Contaminant Discharge Permit holders are required to submit renewal or modification applications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Currently these businesses are required to submit applications 60 days before a permit is needed. Some ACDPs are quite complicated and changes to the permit cannot be completed in 60 days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Therefore, DEQ is requiring these applications to </w:t>
      </w:r>
      <w:r w:rsidRPr="001E11C5">
        <w:rPr>
          <w:rFonts w:ascii="Times New Roman" w:hAnsi="Times New Roman" w:cs="Times New Roman"/>
          <w:bCs/>
          <w:sz w:val="24"/>
          <w:szCs w:val="24"/>
        </w:rPr>
        <w:lastRenderedPageBreak/>
        <w:t>be submitted 180 days before a permit is needed, rather than 60 days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change will help DEQ issue more timely permits</w:t>
      </w:r>
      <w:r w:rsidR="008C2CC3">
        <w:rPr>
          <w:rFonts w:ascii="Times New Roman" w:hAnsi="Times New Roman" w:cs="Times New Roman"/>
          <w:bCs/>
          <w:sz w:val="24"/>
          <w:szCs w:val="24"/>
        </w:rPr>
        <w:t xml:space="preserve">. </w:t>
      </w:r>
    </w:p>
    <w:sectPr w:rsidR="00896858" w:rsidRPr="001E11C5" w:rsidSect="00035755">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Preferred Customer" w:date="2013-05-28T09:23:00Z" w:initials="JSI">
    <w:p w:rsidR="005F6323" w:rsidRDefault="005F6323">
      <w:pPr>
        <w:pStyle w:val="CommentText"/>
      </w:pPr>
      <w:r>
        <w:rPr>
          <w:rStyle w:val="CommentReference"/>
        </w:rPr>
        <w:annotationRef/>
      </w:r>
      <w:r>
        <w:t>I know this is a repeat of above but thought we should stress it for enviros.  What do you think?  Maybe it stresses it too much for industry?</w:t>
      </w:r>
    </w:p>
  </w:comment>
  <w:comment w:id="18" w:author="mfisher" w:date="2013-06-05T08:47:00Z" w:initials="mf">
    <w:p w:rsidR="00A91C5A" w:rsidRDefault="00A91C5A">
      <w:pPr>
        <w:pStyle w:val="CommentText"/>
      </w:pPr>
      <w:r>
        <w:rPr>
          <w:rStyle w:val="CommentReference"/>
        </w:rPr>
        <w:annotationRef/>
      </w:r>
      <w:r>
        <w:t>See my NSR discussion, as well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2A" w:rsidRDefault="0029192A" w:rsidP="00035755">
      <w:pPr>
        <w:spacing w:after="0" w:line="240" w:lineRule="auto"/>
      </w:pPr>
      <w:r>
        <w:separator/>
      </w:r>
    </w:p>
  </w:endnote>
  <w:endnote w:type="continuationSeparator" w:id="0">
    <w:p w:rsidR="0029192A" w:rsidRDefault="0029192A" w:rsidP="0003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F7" w:rsidRDefault="00333FF9">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DB72F7">
      <w:rPr>
        <w:rFonts w:asciiTheme="majorHAnsi" w:hAnsiTheme="majorHAnsi"/>
      </w:rPr>
      <w:instrText xml:space="preserve"> DATE \@ "M/d/yyyy h:mm am/pm" </w:instrText>
    </w:r>
    <w:r>
      <w:rPr>
        <w:rFonts w:asciiTheme="majorHAnsi" w:hAnsiTheme="majorHAnsi"/>
      </w:rPr>
      <w:fldChar w:fldCharType="separate"/>
    </w:r>
    <w:r w:rsidR="001436AF">
      <w:rPr>
        <w:rFonts w:asciiTheme="majorHAnsi" w:hAnsiTheme="majorHAnsi"/>
        <w:noProof/>
      </w:rPr>
      <w:t>9/13/2013 6:44 AM</w:t>
    </w:r>
    <w:r>
      <w:rPr>
        <w:rFonts w:asciiTheme="majorHAnsi" w:hAnsiTheme="majorHAnsi"/>
      </w:rPr>
      <w:fldChar w:fldCharType="end"/>
    </w:r>
    <w:r w:rsidR="00DB72F7">
      <w:rPr>
        <w:rFonts w:asciiTheme="majorHAnsi" w:hAnsiTheme="majorHAnsi"/>
      </w:rPr>
      <w:ptab w:relativeTo="margin" w:alignment="right" w:leader="none"/>
    </w:r>
    <w:r w:rsidR="00DB72F7">
      <w:rPr>
        <w:rFonts w:asciiTheme="majorHAnsi" w:hAnsiTheme="majorHAnsi"/>
      </w:rPr>
      <w:t xml:space="preserve">Page </w:t>
    </w:r>
    <w:r>
      <w:fldChar w:fldCharType="begin"/>
    </w:r>
    <w:r w:rsidR="00DB72F7">
      <w:instrText xml:space="preserve"> PAGE   \* MERGEFORMAT </w:instrText>
    </w:r>
    <w:r>
      <w:fldChar w:fldCharType="separate"/>
    </w:r>
    <w:r w:rsidR="001A67FF" w:rsidRPr="001A67FF">
      <w:rPr>
        <w:rFonts w:asciiTheme="majorHAnsi" w:hAnsiTheme="majorHAnsi"/>
        <w:noProof/>
      </w:rPr>
      <w:t>16</w:t>
    </w:r>
    <w:r>
      <w:rPr>
        <w:rFonts w:asciiTheme="majorHAnsi" w:hAnsiTheme="majorHAnsi"/>
        <w:noProof/>
      </w:rPr>
      <w:fldChar w:fldCharType="end"/>
    </w:r>
  </w:p>
  <w:p w:rsidR="00DB72F7" w:rsidRDefault="00DB7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2A" w:rsidRDefault="0029192A" w:rsidP="00035755">
      <w:pPr>
        <w:spacing w:after="0" w:line="240" w:lineRule="auto"/>
      </w:pPr>
      <w:r>
        <w:separator/>
      </w:r>
    </w:p>
  </w:footnote>
  <w:footnote w:type="continuationSeparator" w:id="0">
    <w:p w:rsidR="0029192A" w:rsidRDefault="0029192A" w:rsidP="00035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409"/>
    <w:multiLevelType w:val="hybridMultilevel"/>
    <w:tmpl w:val="5F8E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6099"/>
    <w:multiLevelType w:val="hybridMultilevel"/>
    <w:tmpl w:val="9C620448"/>
    <w:lvl w:ilvl="0" w:tplc="6264F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E1E51"/>
    <w:multiLevelType w:val="hybridMultilevel"/>
    <w:tmpl w:val="64DCC7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615E8"/>
    <w:multiLevelType w:val="hybridMultilevel"/>
    <w:tmpl w:val="52EE0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8">
    <w:nsid w:val="3587496D"/>
    <w:multiLevelType w:val="hybridMultilevel"/>
    <w:tmpl w:val="5EDC88D8"/>
    <w:lvl w:ilvl="0" w:tplc="3640A3CE">
      <w:start w:val="1"/>
      <w:numFmt w:val="bullet"/>
      <w:lvlText w:val=""/>
      <w:lvlJc w:val="left"/>
      <w:pPr>
        <w:tabs>
          <w:tab w:val="num" w:pos="720"/>
        </w:tabs>
        <w:ind w:left="720" w:hanging="360"/>
      </w:pPr>
      <w:rPr>
        <w:rFonts w:ascii="Wingdings 2" w:hAnsi="Wingdings 2" w:hint="default"/>
      </w:rPr>
    </w:lvl>
    <w:lvl w:ilvl="1" w:tplc="B128C81C" w:tentative="1">
      <w:start w:val="1"/>
      <w:numFmt w:val="bullet"/>
      <w:lvlText w:val=""/>
      <w:lvlJc w:val="left"/>
      <w:pPr>
        <w:tabs>
          <w:tab w:val="num" w:pos="1440"/>
        </w:tabs>
        <w:ind w:left="1440" w:hanging="360"/>
      </w:pPr>
      <w:rPr>
        <w:rFonts w:ascii="Wingdings 2" w:hAnsi="Wingdings 2" w:hint="default"/>
      </w:rPr>
    </w:lvl>
    <w:lvl w:ilvl="2" w:tplc="4C4670DA" w:tentative="1">
      <w:start w:val="1"/>
      <w:numFmt w:val="bullet"/>
      <w:lvlText w:val=""/>
      <w:lvlJc w:val="left"/>
      <w:pPr>
        <w:tabs>
          <w:tab w:val="num" w:pos="2160"/>
        </w:tabs>
        <w:ind w:left="2160" w:hanging="360"/>
      </w:pPr>
      <w:rPr>
        <w:rFonts w:ascii="Wingdings 2" w:hAnsi="Wingdings 2" w:hint="default"/>
      </w:rPr>
    </w:lvl>
    <w:lvl w:ilvl="3" w:tplc="C8783020" w:tentative="1">
      <w:start w:val="1"/>
      <w:numFmt w:val="bullet"/>
      <w:lvlText w:val=""/>
      <w:lvlJc w:val="left"/>
      <w:pPr>
        <w:tabs>
          <w:tab w:val="num" w:pos="2880"/>
        </w:tabs>
        <w:ind w:left="2880" w:hanging="360"/>
      </w:pPr>
      <w:rPr>
        <w:rFonts w:ascii="Wingdings 2" w:hAnsi="Wingdings 2" w:hint="default"/>
      </w:rPr>
    </w:lvl>
    <w:lvl w:ilvl="4" w:tplc="B9CEA478" w:tentative="1">
      <w:start w:val="1"/>
      <w:numFmt w:val="bullet"/>
      <w:lvlText w:val=""/>
      <w:lvlJc w:val="left"/>
      <w:pPr>
        <w:tabs>
          <w:tab w:val="num" w:pos="3600"/>
        </w:tabs>
        <w:ind w:left="3600" w:hanging="360"/>
      </w:pPr>
      <w:rPr>
        <w:rFonts w:ascii="Wingdings 2" w:hAnsi="Wingdings 2" w:hint="default"/>
      </w:rPr>
    </w:lvl>
    <w:lvl w:ilvl="5" w:tplc="3C1A205A" w:tentative="1">
      <w:start w:val="1"/>
      <w:numFmt w:val="bullet"/>
      <w:lvlText w:val=""/>
      <w:lvlJc w:val="left"/>
      <w:pPr>
        <w:tabs>
          <w:tab w:val="num" w:pos="4320"/>
        </w:tabs>
        <w:ind w:left="4320" w:hanging="360"/>
      </w:pPr>
      <w:rPr>
        <w:rFonts w:ascii="Wingdings 2" w:hAnsi="Wingdings 2" w:hint="default"/>
      </w:rPr>
    </w:lvl>
    <w:lvl w:ilvl="6" w:tplc="97D65A4A" w:tentative="1">
      <w:start w:val="1"/>
      <w:numFmt w:val="bullet"/>
      <w:lvlText w:val=""/>
      <w:lvlJc w:val="left"/>
      <w:pPr>
        <w:tabs>
          <w:tab w:val="num" w:pos="5040"/>
        </w:tabs>
        <w:ind w:left="5040" w:hanging="360"/>
      </w:pPr>
      <w:rPr>
        <w:rFonts w:ascii="Wingdings 2" w:hAnsi="Wingdings 2" w:hint="default"/>
      </w:rPr>
    </w:lvl>
    <w:lvl w:ilvl="7" w:tplc="5E7C4D42" w:tentative="1">
      <w:start w:val="1"/>
      <w:numFmt w:val="bullet"/>
      <w:lvlText w:val=""/>
      <w:lvlJc w:val="left"/>
      <w:pPr>
        <w:tabs>
          <w:tab w:val="num" w:pos="5760"/>
        </w:tabs>
        <w:ind w:left="5760" w:hanging="360"/>
      </w:pPr>
      <w:rPr>
        <w:rFonts w:ascii="Wingdings 2" w:hAnsi="Wingdings 2" w:hint="default"/>
      </w:rPr>
    </w:lvl>
    <w:lvl w:ilvl="8" w:tplc="70FAA140" w:tentative="1">
      <w:start w:val="1"/>
      <w:numFmt w:val="bullet"/>
      <w:lvlText w:val=""/>
      <w:lvlJc w:val="left"/>
      <w:pPr>
        <w:tabs>
          <w:tab w:val="num" w:pos="6480"/>
        </w:tabs>
        <w:ind w:left="6480" w:hanging="360"/>
      </w:pPr>
      <w:rPr>
        <w:rFonts w:ascii="Wingdings 2" w:hAnsi="Wingdings 2" w:hint="default"/>
      </w:rPr>
    </w:lvl>
  </w:abstractNum>
  <w:abstractNum w:abstractNumId="9">
    <w:nsid w:val="3CE67A76"/>
    <w:multiLevelType w:val="hybridMultilevel"/>
    <w:tmpl w:val="CC92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659F9"/>
    <w:multiLevelType w:val="hybridMultilevel"/>
    <w:tmpl w:val="85CA310E"/>
    <w:lvl w:ilvl="0" w:tplc="D5722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71BD0"/>
    <w:multiLevelType w:val="hybridMultilevel"/>
    <w:tmpl w:val="2AC2D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3244687"/>
    <w:multiLevelType w:val="hybridMultilevel"/>
    <w:tmpl w:val="198ED9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13">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6814BE"/>
    <w:multiLevelType w:val="hybridMultilevel"/>
    <w:tmpl w:val="7A6E48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9DE32AF"/>
    <w:multiLevelType w:val="hybridMultilevel"/>
    <w:tmpl w:val="254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B31DE5"/>
    <w:multiLevelType w:val="hybridMultilevel"/>
    <w:tmpl w:val="11706B5C"/>
    <w:lvl w:ilvl="0" w:tplc="939A07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A71035"/>
    <w:multiLevelType w:val="hybridMultilevel"/>
    <w:tmpl w:val="CD3C1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6"/>
  </w:num>
  <w:num w:numId="7">
    <w:abstractNumId w:val="17"/>
  </w:num>
  <w:num w:numId="8">
    <w:abstractNumId w:val="11"/>
  </w:num>
  <w:num w:numId="9">
    <w:abstractNumId w:val="9"/>
  </w:num>
  <w:num w:numId="10">
    <w:abstractNumId w:val="1"/>
  </w:num>
  <w:num w:numId="11">
    <w:abstractNumId w:val="10"/>
  </w:num>
  <w:num w:numId="12">
    <w:abstractNumId w:val="16"/>
  </w:num>
  <w:num w:numId="13">
    <w:abstractNumId w:val="7"/>
  </w:num>
  <w:num w:numId="14">
    <w:abstractNumId w:val="4"/>
  </w:num>
  <w:num w:numId="15">
    <w:abstractNumId w:val="5"/>
  </w:num>
  <w:num w:numId="16">
    <w:abstractNumId w:val="15"/>
  </w:num>
  <w:num w:numId="17">
    <w:abstractNumId w:val="8"/>
  </w:num>
  <w:num w:numId="18">
    <w:abstractNumId w:val="0"/>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6C25"/>
    <w:rsid w:val="00003A85"/>
    <w:rsid w:val="00015467"/>
    <w:rsid w:val="0001638E"/>
    <w:rsid w:val="00032927"/>
    <w:rsid w:val="00033C91"/>
    <w:rsid w:val="00035755"/>
    <w:rsid w:val="00045B12"/>
    <w:rsid w:val="000500A1"/>
    <w:rsid w:val="0005314D"/>
    <w:rsid w:val="000711DA"/>
    <w:rsid w:val="00074D36"/>
    <w:rsid w:val="00076B31"/>
    <w:rsid w:val="00084F28"/>
    <w:rsid w:val="000A2C57"/>
    <w:rsid w:val="000A31B8"/>
    <w:rsid w:val="000B0FEE"/>
    <w:rsid w:val="000B380C"/>
    <w:rsid w:val="000B4697"/>
    <w:rsid w:val="000C5EC4"/>
    <w:rsid w:val="000D3580"/>
    <w:rsid w:val="000D5C02"/>
    <w:rsid w:val="000D7AE6"/>
    <w:rsid w:val="000E194F"/>
    <w:rsid w:val="000E6C93"/>
    <w:rsid w:val="000F4FAB"/>
    <w:rsid w:val="000F6624"/>
    <w:rsid w:val="00101E54"/>
    <w:rsid w:val="00103A5A"/>
    <w:rsid w:val="00106B2B"/>
    <w:rsid w:val="0011140F"/>
    <w:rsid w:val="001170F4"/>
    <w:rsid w:val="00121290"/>
    <w:rsid w:val="0012700E"/>
    <w:rsid w:val="001275D8"/>
    <w:rsid w:val="00127BEC"/>
    <w:rsid w:val="001313F9"/>
    <w:rsid w:val="00135BF7"/>
    <w:rsid w:val="001436AF"/>
    <w:rsid w:val="00160BB4"/>
    <w:rsid w:val="00162B68"/>
    <w:rsid w:val="00174151"/>
    <w:rsid w:val="00174DBD"/>
    <w:rsid w:val="00181EB0"/>
    <w:rsid w:val="00181EB8"/>
    <w:rsid w:val="00183E36"/>
    <w:rsid w:val="00184ACE"/>
    <w:rsid w:val="00194290"/>
    <w:rsid w:val="00195444"/>
    <w:rsid w:val="001975CC"/>
    <w:rsid w:val="001A67FF"/>
    <w:rsid w:val="001B56A6"/>
    <w:rsid w:val="001B7928"/>
    <w:rsid w:val="001C4F0B"/>
    <w:rsid w:val="001D2217"/>
    <w:rsid w:val="001E11C5"/>
    <w:rsid w:val="0020056E"/>
    <w:rsid w:val="00200FA0"/>
    <w:rsid w:val="00206A3A"/>
    <w:rsid w:val="0021689A"/>
    <w:rsid w:val="00226221"/>
    <w:rsid w:val="002405A4"/>
    <w:rsid w:val="00240C1A"/>
    <w:rsid w:val="00254AC8"/>
    <w:rsid w:val="00257C7E"/>
    <w:rsid w:val="002723C6"/>
    <w:rsid w:val="00285268"/>
    <w:rsid w:val="00285E73"/>
    <w:rsid w:val="0029192A"/>
    <w:rsid w:val="00292DC6"/>
    <w:rsid w:val="00292EFB"/>
    <w:rsid w:val="002A0869"/>
    <w:rsid w:val="002B3B3E"/>
    <w:rsid w:val="002B49DB"/>
    <w:rsid w:val="002B6641"/>
    <w:rsid w:val="002B69BC"/>
    <w:rsid w:val="002C10F7"/>
    <w:rsid w:val="002C29D8"/>
    <w:rsid w:val="002E54E2"/>
    <w:rsid w:val="002F1576"/>
    <w:rsid w:val="002F1851"/>
    <w:rsid w:val="002F1CA5"/>
    <w:rsid w:val="002F4CD8"/>
    <w:rsid w:val="002F6D15"/>
    <w:rsid w:val="003134ED"/>
    <w:rsid w:val="00327397"/>
    <w:rsid w:val="00333FF9"/>
    <w:rsid w:val="00337E58"/>
    <w:rsid w:val="00340C9E"/>
    <w:rsid w:val="00345908"/>
    <w:rsid w:val="00353AFA"/>
    <w:rsid w:val="00356D36"/>
    <w:rsid w:val="00361D4F"/>
    <w:rsid w:val="00381309"/>
    <w:rsid w:val="00385E7D"/>
    <w:rsid w:val="00391936"/>
    <w:rsid w:val="00393A16"/>
    <w:rsid w:val="003A60DE"/>
    <w:rsid w:val="003B2C11"/>
    <w:rsid w:val="003B75C9"/>
    <w:rsid w:val="003D38C7"/>
    <w:rsid w:val="00400E8D"/>
    <w:rsid w:val="004025F1"/>
    <w:rsid w:val="00414F67"/>
    <w:rsid w:val="004151FF"/>
    <w:rsid w:val="00421616"/>
    <w:rsid w:val="00433AF4"/>
    <w:rsid w:val="004430E5"/>
    <w:rsid w:val="00444A34"/>
    <w:rsid w:val="00447792"/>
    <w:rsid w:val="00451352"/>
    <w:rsid w:val="00454CF2"/>
    <w:rsid w:val="00467AE8"/>
    <w:rsid w:val="0047042A"/>
    <w:rsid w:val="00480240"/>
    <w:rsid w:val="00483040"/>
    <w:rsid w:val="004908A5"/>
    <w:rsid w:val="00490A4A"/>
    <w:rsid w:val="004915EA"/>
    <w:rsid w:val="004A405F"/>
    <w:rsid w:val="004A5A93"/>
    <w:rsid w:val="004B19CA"/>
    <w:rsid w:val="004B1A5E"/>
    <w:rsid w:val="004B2179"/>
    <w:rsid w:val="004D0697"/>
    <w:rsid w:val="004D578D"/>
    <w:rsid w:val="004E0378"/>
    <w:rsid w:val="004E1258"/>
    <w:rsid w:val="004F1CDD"/>
    <w:rsid w:val="00531E09"/>
    <w:rsid w:val="005329D6"/>
    <w:rsid w:val="00534A7F"/>
    <w:rsid w:val="00537F77"/>
    <w:rsid w:val="0055072C"/>
    <w:rsid w:val="00551007"/>
    <w:rsid w:val="00554559"/>
    <w:rsid w:val="0055486F"/>
    <w:rsid w:val="00554992"/>
    <w:rsid w:val="005570A5"/>
    <w:rsid w:val="00564AB3"/>
    <w:rsid w:val="00573311"/>
    <w:rsid w:val="0058779A"/>
    <w:rsid w:val="0059251F"/>
    <w:rsid w:val="00594C15"/>
    <w:rsid w:val="005A5986"/>
    <w:rsid w:val="005C0504"/>
    <w:rsid w:val="005F6323"/>
    <w:rsid w:val="006002A8"/>
    <w:rsid w:val="00605DE5"/>
    <w:rsid w:val="00612AAA"/>
    <w:rsid w:val="00614ACE"/>
    <w:rsid w:val="00626A8F"/>
    <w:rsid w:val="00633022"/>
    <w:rsid w:val="006347EE"/>
    <w:rsid w:val="00650596"/>
    <w:rsid w:val="00673D93"/>
    <w:rsid w:val="0068348F"/>
    <w:rsid w:val="006839E1"/>
    <w:rsid w:val="0068622E"/>
    <w:rsid w:val="006863CE"/>
    <w:rsid w:val="006A02B4"/>
    <w:rsid w:val="006A3320"/>
    <w:rsid w:val="006A34D7"/>
    <w:rsid w:val="006B2DF0"/>
    <w:rsid w:val="006B7D24"/>
    <w:rsid w:val="006C6CD2"/>
    <w:rsid w:val="006D64E3"/>
    <w:rsid w:val="006E06FF"/>
    <w:rsid w:val="006E3DD1"/>
    <w:rsid w:val="00704CD3"/>
    <w:rsid w:val="00715B95"/>
    <w:rsid w:val="00716574"/>
    <w:rsid w:val="007318DC"/>
    <w:rsid w:val="00732F05"/>
    <w:rsid w:val="00736990"/>
    <w:rsid w:val="00740FE6"/>
    <w:rsid w:val="00744B18"/>
    <w:rsid w:val="007500F6"/>
    <w:rsid w:val="00752DF9"/>
    <w:rsid w:val="00763BEB"/>
    <w:rsid w:val="00775898"/>
    <w:rsid w:val="00775BAE"/>
    <w:rsid w:val="00784110"/>
    <w:rsid w:val="00791AB5"/>
    <w:rsid w:val="007B53BA"/>
    <w:rsid w:val="007C1756"/>
    <w:rsid w:val="007C2165"/>
    <w:rsid w:val="007C4F24"/>
    <w:rsid w:val="007C6853"/>
    <w:rsid w:val="007D2056"/>
    <w:rsid w:val="007E7766"/>
    <w:rsid w:val="007F7A9F"/>
    <w:rsid w:val="008000F6"/>
    <w:rsid w:val="00805871"/>
    <w:rsid w:val="00822E7D"/>
    <w:rsid w:val="00822FC3"/>
    <w:rsid w:val="00854BED"/>
    <w:rsid w:val="00857EE3"/>
    <w:rsid w:val="00875A4A"/>
    <w:rsid w:val="00892F86"/>
    <w:rsid w:val="00896858"/>
    <w:rsid w:val="008A0206"/>
    <w:rsid w:val="008A0E28"/>
    <w:rsid w:val="008A12AC"/>
    <w:rsid w:val="008A5039"/>
    <w:rsid w:val="008A7A14"/>
    <w:rsid w:val="008C2CC3"/>
    <w:rsid w:val="008C4430"/>
    <w:rsid w:val="008E1B02"/>
    <w:rsid w:val="008E1F72"/>
    <w:rsid w:val="008E4EAD"/>
    <w:rsid w:val="008E797C"/>
    <w:rsid w:val="008F343B"/>
    <w:rsid w:val="008F3757"/>
    <w:rsid w:val="00923519"/>
    <w:rsid w:val="00932505"/>
    <w:rsid w:val="00932818"/>
    <w:rsid w:val="00951325"/>
    <w:rsid w:val="00952ABA"/>
    <w:rsid w:val="0096670C"/>
    <w:rsid w:val="00966C8A"/>
    <w:rsid w:val="00971570"/>
    <w:rsid w:val="00973BD1"/>
    <w:rsid w:val="00973EE1"/>
    <w:rsid w:val="009810FD"/>
    <w:rsid w:val="00981161"/>
    <w:rsid w:val="009945FB"/>
    <w:rsid w:val="009950D3"/>
    <w:rsid w:val="009A3193"/>
    <w:rsid w:val="009B30B1"/>
    <w:rsid w:val="009B3C07"/>
    <w:rsid w:val="009C5C5E"/>
    <w:rsid w:val="009D7EA7"/>
    <w:rsid w:val="009E6AE7"/>
    <w:rsid w:val="009F2CF0"/>
    <w:rsid w:val="00A07ACD"/>
    <w:rsid w:val="00A22FCF"/>
    <w:rsid w:val="00A23FF6"/>
    <w:rsid w:val="00A24F76"/>
    <w:rsid w:val="00A509BB"/>
    <w:rsid w:val="00A52A96"/>
    <w:rsid w:val="00A55D71"/>
    <w:rsid w:val="00A74798"/>
    <w:rsid w:val="00A80FBD"/>
    <w:rsid w:val="00A91C5A"/>
    <w:rsid w:val="00A939CF"/>
    <w:rsid w:val="00A947EB"/>
    <w:rsid w:val="00A970BF"/>
    <w:rsid w:val="00AA3B53"/>
    <w:rsid w:val="00AB6329"/>
    <w:rsid w:val="00AE1F83"/>
    <w:rsid w:val="00AE2899"/>
    <w:rsid w:val="00AF3245"/>
    <w:rsid w:val="00B11017"/>
    <w:rsid w:val="00B33362"/>
    <w:rsid w:val="00B337DA"/>
    <w:rsid w:val="00B34067"/>
    <w:rsid w:val="00B5434F"/>
    <w:rsid w:val="00B60BE8"/>
    <w:rsid w:val="00B66C25"/>
    <w:rsid w:val="00B73B91"/>
    <w:rsid w:val="00B76A3A"/>
    <w:rsid w:val="00B76A67"/>
    <w:rsid w:val="00B80CC8"/>
    <w:rsid w:val="00B91F8B"/>
    <w:rsid w:val="00B926A2"/>
    <w:rsid w:val="00B96EF6"/>
    <w:rsid w:val="00BA4310"/>
    <w:rsid w:val="00BA619B"/>
    <w:rsid w:val="00BA7BC3"/>
    <w:rsid w:val="00BB1CC4"/>
    <w:rsid w:val="00BB4650"/>
    <w:rsid w:val="00BC407B"/>
    <w:rsid w:val="00BC4A28"/>
    <w:rsid w:val="00BD3BE4"/>
    <w:rsid w:val="00BD72C2"/>
    <w:rsid w:val="00BF074C"/>
    <w:rsid w:val="00C002E8"/>
    <w:rsid w:val="00C07856"/>
    <w:rsid w:val="00C104EC"/>
    <w:rsid w:val="00C151C5"/>
    <w:rsid w:val="00C16C75"/>
    <w:rsid w:val="00C179E4"/>
    <w:rsid w:val="00C5206F"/>
    <w:rsid w:val="00C60DB6"/>
    <w:rsid w:val="00C708AA"/>
    <w:rsid w:val="00C82B33"/>
    <w:rsid w:val="00C83CB9"/>
    <w:rsid w:val="00C90516"/>
    <w:rsid w:val="00C93CC4"/>
    <w:rsid w:val="00CA1F4E"/>
    <w:rsid w:val="00CA4E39"/>
    <w:rsid w:val="00CA6AA8"/>
    <w:rsid w:val="00CA6E14"/>
    <w:rsid w:val="00CB1B08"/>
    <w:rsid w:val="00CF2E54"/>
    <w:rsid w:val="00CF5E3C"/>
    <w:rsid w:val="00CF64AA"/>
    <w:rsid w:val="00D02E19"/>
    <w:rsid w:val="00D12310"/>
    <w:rsid w:val="00D2791C"/>
    <w:rsid w:val="00D478A2"/>
    <w:rsid w:val="00D57277"/>
    <w:rsid w:val="00D575FC"/>
    <w:rsid w:val="00D672CC"/>
    <w:rsid w:val="00D7454E"/>
    <w:rsid w:val="00D84E11"/>
    <w:rsid w:val="00DA0DF6"/>
    <w:rsid w:val="00DB72F7"/>
    <w:rsid w:val="00DC44B7"/>
    <w:rsid w:val="00DD747A"/>
    <w:rsid w:val="00E058A2"/>
    <w:rsid w:val="00E22D92"/>
    <w:rsid w:val="00E30C78"/>
    <w:rsid w:val="00E33E9C"/>
    <w:rsid w:val="00E51A12"/>
    <w:rsid w:val="00E53B74"/>
    <w:rsid w:val="00E548F5"/>
    <w:rsid w:val="00E67189"/>
    <w:rsid w:val="00E7179E"/>
    <w:rsid w:val="00E72AE5"/>
    <w:rsid w:val="00E77F11"/>
    <w:rsid w:val="00E8205E"/>
    <w:rsid w:val="00E82BFA"/>
    <w:rsid w:val="00E85B8C"/>
    <w:rsid w:val="00E864CF"/>
    <w:rsid w:val="00E939D0"/>
    <w:rsid w:val="00E9427B"/>
    <w:rsid w:val="00EA5C85"/>
    <w:rsid w:val="00ED5A72"/>
    <w:rsid w:val="00EF2977"/>
    <w:rsid w:val="00EF3968"/>
    <w:rsid w:val="00EF5053"/>
    <w:rsid w:val="00EF697E"/>
    <w:rsid w:val="00F004E1"/>
    <w:rsid w:val="00F21FE9"/>
    <w:rsid w:val="00F30295"/>
    <w:rsid w:val="00F40936"/>
    <w:rsid w:val="00F4518F"/>
    <w:rsid w:val="00F469F5"/>
    <w:rsid w:val="00F47CEE"/>
    <w:rsid w:val="00F5327D"/>
    <w:rsid w:val="00F544D9"/>
    <w:rsid w:val="00F565F4"/>
    <w:rsid w:val="00F77F8F"/>
    <w:rsid w:val="00F85FAA"/>
    <w:rsid w:val="00F86EA3"/>
    <w:rsid w:val="00F900D8"/>
    <w:rsid w:val="00FA0CAB"/>
    <w:rsid w:val="00FA12E5"/>
    <w:rsid w:val="00FA69E6"/>
    <w:rsid w:val="00FB1814"/>
    <w:rsid w:val="00FB409E"/>
    <w:rsid w:val="00FE47DF"/>
    <w:rsid w:val="00FF14A7"/>
    <w:rsid w:val="00FF14A9"/>
    <w:rsid w:val="00FF1775"/>
    <w:rsid w:val="00FF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next w:val="Normal"/>
    <w:link w:val="Heading1Char"/>
    <w:uiPriority w:val="9"/>
    <w:qFormat/>
    <w:rsid w:val="00197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3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48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4E2"/>
    <w:pPr>
      <w:ind w:left="720"/>
      <w:contextualSpacing/>
    </w:pPr>
  </w:style>
  <w:style w:type="paragraph" w:styleId="BalloonText">
    <w:name w:val="Balloon Text"/>
    <w:basedOn w:val="Normal"/>
    <w:link w:val="BalloonTextChar"/>
    <w:uiPriority w:val="99"/>
    <w:semiHidden/>
    <w:unhideWhenUsed/>
    <w:rsid w:val="008E7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7C"/>
    <w:rPr>
      <w:rFonts w:ascii="Tahoma" w:hAnsi="Tahoma" w:cs="Tahoma"/>
      <w:sz w:val="16"/>
      <w:szCs w:val="16"/>
    </w:rPr>
  </w:style>
  <w:style w:type="character" w:styleId="Strong">
    <w:name w:val="Strong"/>
    <w:basedOn w:val="DefaultParagraphFont"/>
    <w:uiPriority w:val="22"/>
    <w:qFormat/>
    <w:rsid w:val="00B91F8B"/>
    <w:rPr>
      <w:b/>
      <w:bCs/>
    </w:rPr>
  </w:style>
  <w:style w:type="paragraph" w:styleId="NormalWeb">
    <w:name w:val="Normal (Web)"/>
    <w:basedOn w:val="Normal"/>
    <w:uiPriority w:val="99"/>
    <w:semiHidden/>
    <w:unhideWhenUsed/>
    <w:rsid w:val="004F1C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0378"/>
    <w:rPr>
      <w:sz w:val="16"/>
      <w:szCs w:val="16"/>
    </w:rPr>
  </w:style>
  <w:style w:type="paragraph" w:styleId="CommentText">
    <w:name w:val="annotation text"/>
    <w:basedOn w:val="Normal"/>
    <w:link w:val="CommentTextChar"/>
    <w:uiPriority w:val="99"/>
    <w:unhideWhenUsed/>
    <w:rsid w:val="004E0378"/>
    <w:pPr>
      <w:spacing w:line="240" w:lineRule="auto"/>
    </w:pPr>
    <w:rPr>
      <w:sz w:val="20"/>
      <w:szCs w:val="20"/>
    </w:rPr>
  </w:style>
  <w:style w:type="character" w:customStyle="1" w:styleId="CommentTextChar">
    <w:name w:val="Comment Text Char"/>
    <w:basedOn w:val="DefaultParagraphFont"/>
    <w:link w:val="CommentText"/>
    <w:uiPriority w:val="99"/>
    <w:rsid w:val="004E0378"/>
    <w:rPr>
      <w:sz w:val="20"/>
      <w:szCs w:val="20"/>
    </w:rPr>
  </w:style>
  <w:style w:type="paragraph" w:styleId="CommentSubject">
    <w:name w:val="annotation subject"/>
    <w:basedOn w:val="CommentText"/>
    <w:next w:val="CommentText"/>
    <w:link w:val="CommentSubjectChar"/>
    <w:uiPriority w:val="99"/>
    <w:semiHidden/>
    <w:unhideWhenUsed/>
    <w:rsid w:val="004E0378"/>
    <w:rPr>
      <w:b/>
      <w:bCs/>
    </w:rPr>
  </w:style>
  <w:style w:type="character" w:customStyle="1" w:styleId="CommentSubjectChar">
    <w:name w:val="Comment Subject Char"/>
    <w:basedOn w:val="CommentTextChar"/>
    <w:link w:val="CommentSubject"/>
    <w:uiPriority w:val="99"/>
    <w:semiHidden/>
    <w:rsid w:val="004E0378"/>
    <w:rPr>
      <w:b/>
      <w:bCs/>
      <w:sz w:val="20"/>
      <w:szCs w:val="20"/>
    </w:rPr>
  </w:style>
  <w:style w:type="paragraph" w:styleId="Header">
    <w:name w:val="header"/>
    <w:basedOn w:val="Normal"/>
    <w:link w:val="HeaderChar"/>
    <w:uiPriority w:val="99"/>
    <w:semiHidden/>
    <w:unhideWhenUsed/>
    <w:rsid w:val="000357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755"/>
  </w:style>
  <w:style w:type="paragraph" w:styleId="Footer">
    <w:name w:val="footer"/>
    <w:basedOn w:val="Normal"/>
    <w:link w:val="FooterChar"/>
    <w:uiPriority w:val="99"/>
    <w:unhideWhenUsed/>
    <w:rsid w:val="00035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755"/>
  </w:style>
  <w:style w:type="paragraph" w:styleId="FootnoteText">
    <w:name w:val="footnote text"/>
    <w:basedOn w:val="Normal"/>
    <w:link w:val="FootnoteTextChar"/>
    <w:uiPriority w:val="99"/>
    <w:semiHidden/>
    <w:unhideWhenUsed/>
    <w:rsid w:val="00162B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62B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B68"/>
    <w:rPr>
      <w:vertAlign w:val="superscript"/>
    </w:rPr>
  </w:style>
  <w:style w:type="character" w:customStyle="1" w:styleId="Heading1Char">
    <w:name w:val="Heading 1 Char"/>
    <w:basedOn w:val="DefaultParagraphFont"/>
    <w:link w:val="Heading1"/>
    <w:uiPriority w:val="9"/>
    <w:rsid w:val="001975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3F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48F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002E8"/>
    <w:pPr>
      <w:outlineLvl w:val="9"/>
    </w:pPr>
    <w:rPr>
      <w:lang w:eastAsia="ja-JP"/>
    </w:rPr>
  </w:style>
  <w:style w:type="paragraph" w:styleId="TOC1">
    <w:name w:val="toc 1"/>
    <w:basedOn w:val="Normal"/>
    <w:next w:val="Normal"/>
    <w:autoRedefine/>
    <w:uiPriority w:val="39"/>
    <w:unhideWhenUsed/>
    <w:rsid w:val="00C002E8"/>
    <w:pPr>
      <w:spacing w:after="100"/>
    </w:pPr>
  </w:style>
  <w:style w:type="paragraph" w:styleId="TOC2">
    <w:name w:val="toc 2"/>
    <w:basedOn w:val="Normal"/>
    <w:next w:val="Normal"/>
    <w:autoRedefine/>
    <w:uiPriority w:val="39"/>
    <w:unhideWhenUsed/>
    <w:rsid w:val="00C002E8"/>
    <w:pPr>
      <w:spacing w:after="100"/>
      <w:ind w:left="220"/>
    </w:pPr>
  </w:style>
  <w:style w:type="paragraph" w:styleId="TOC3">
    <w:name w:val="toc 3"/>
    <w:basedOn w:val="Normal"/>
    <w:next w:val="Normal"/>
    <w:autoRedefine/>
    <w:uiPriority w:val="39"/>
    <w:unhideWhenUsed/>
    <w:rsid w:val="00C002E8"/>
    <w:pPr>
      <w:spacing w:after="100"/>
      <w:ind w:left="440"/>
    </w:pPr>
  </w:style>
  <w:style w:type="character" w:styleId="Hyperlink">
    <w:name w:val="Hyperlink"/>
    <w:basedOn w:val="DefaultParagraphFont"/>
    <w:uiPriority w:val="99"/>
    <w:unhideWhenUsed/>
    <w:rsid w:val="00C002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772">
      <w:bodyDiv w:val="1"/>
      <w:marLeft w:val="0"/>
      <w:marRight w:val="0"/>
      <w:marTop w:val="0"/>
      <w:marBottom w:val="0"/>
      <w:divBdr>
        <w:top w:val="none" w:sz="0" w:space="0" w:color="auto"/>
        <w:left w:val="none" w:sz="0" w:space="0" w:color="auto"/>
        <w:bottom w:val="none" w:sz="0" w:space="0" w:color="auto"/>
        <w:right w:val="none" w:sz="0" w:space="0" w:color="auto"/>
      </w:divBdr>
      <w:divsChild>
        <w:div w:id="1318723413">
          <w:marLeft w:val="0"/>
          <w:marRight w:val="0"/>
          <w:marTop w:val="0"/>
          <w:marBottom w:val="0"/>
          <w:divBdr>
            <w:top w:val="none" w:sz="0" w:space="0" w:color="auto"/>
            <w:left w:val="none" w:sz="0" w:space="0" w:color="auto"/>
            <w:bottom w:val="none" w:sz="0" w:space="0" w:color="auto"/>
            <w:right w:val="none" w:sz="0" w:space="0" w:color="auto"/>
          </w:divBdr>
          <w:divsChild>
            <w:div w:id="2017343007">
              <w:marLeft w:val="0"/>
              <w:marRight w:val="0"/>
              <w:marTop w:val="0"/>
              <w:marBottom w:val="0"/>
              <w:divBdr>
                <w:top w:val="none" w:sz="0" w:space="0" w:color="auto"/>
                <w:left w:val="none" w:sz="0" w:space="0" w:color="auto"/>
                <w:bottom w:val="none" w:sz="0" w:space="0" w:color="auto"/>
                <w:right w:val="none" w:sz="0" w:space="0" w:color="auto"/>
              </w:divBdr>
              <w:divsChild>
                <w:div w:id="623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7603">
      <w:bodyDiv w:val="1"/>
      <w:marLeft w:val="0"/>
      <w:marRight w:val="0"/>
      <w:marTop w:val="0"/>
      <w:marBottom w:val="0"/>
      <w:divBdr>
        <w:top w:val="none" w:sz="0" w:space="0" w:color="auto"/>
        <w:left w:val="none" w:sz="0" w:space="0" w:color="auto"/>
        <w:bottom w:val="none" w:sz="0" w:space="0" w:color="auto"/>
        <w:right w:val="none" w:sz="0" w:space="0" w:color="auto"/>
      </w:divBdr>
      <w:divsChild>
        <w:div w:id="1767656981">
          <w:marLeft w:val="0"/>
          <w:marRight w:val="0"/>
          <w:marTop w:val="0"/>
          <w:marBottom w:val="0"/>
          <w:divBdr>
            <w:top w:val="none" w:sz="0" w:space="0" w:color="auto"/>
            <w:left w:val="none" w:sz="0" w:space="0" w:color="auto"/>
            <w:bottom w:val="none" w:sz="0" w:space="0" w:color="auto"/>
            <w:right w:val="none" w:sz="0" w:space="0" w:color="auto"/>
          </w:divBdr>
          <w:divsChild>
            <w:div w:id="1977683745">
              <w:marLeft w:val="0"/>
              <w:marRight w:val="0"/>
              <w:marTop w:val="0"/>
              <w:marBottom w:val="0"/>
              <w:divBdr>
                <w:top w:val="none" w:sz="0" w:space="0" w:color="auto"/>
                <w:left w:val="none" w:sz="0" w:space="0" w:color="auto"/>
                <w:bottom w:val="none" w:sz="0" w:space="0" w:color="auto"/>
                <w:right w:val="none" w:sz="0" w:space="0" w:color="auto"/>
              </w:divBdr>
              <w:divsChild>
                <w:div w:id="1741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6341">
      <w:bodyDiv w:val="1"/>
      <w:marLeft w:val="0"/>
      <w:marRight w:val="0"/>
      <w:marTop w:val="0"/>
      <w:marBottom w:val="0"/>
      <w:divBdr>
        <w:top w:val="none" w:sz="0" w:space="0" w:color="auto"/>
        <w:left w:val="none" w:sz="0" w:space="0" w:color="auto"/>
        <w:bottom w:val="none" w:sz="0" w:space="0" w:color="auto"/>
        <w:right w:val="none" w:sz="0" w:space="0" w:color="auto"/>
      </w:divBdr>
      <w:divsChild>
        <w:div w:id="854078805">
          <w:marLeft w:val="0"/>
          <w:marRight w:val="0"/>
          <w:marTop w:val="0"/>
          <w:marBottom w:val="0"/>
          <w:divBdr>
            <w:top w:val="none" w:sz="0" w:space="0" w:color="auto"/>
            <w:left w:val="none" w:sz="0" w:space="0" w:color="auto"/>
            <w:bottom w:val="none" w:sz="0" w:space="0" w:color="auto"/>
            <w:right w:val="none" w:sz="0" w:space="0" w:color="auto"/>
          </w:divBdr>
          <w:divsChild>
            <w:div w:id="794253990">
              <w:marLeft w:val="0"/>
              <w:marRight w:val="0"/>
              <w:marTop w:val="0"/>
              <w:marBottom w:val="0"/>
              <w:divBdr>
                <w:top w:val="none" w:sz="0" w:space="0" w:color="auto"/>
                <w:left w:val="none" w:sz="0" w:space="0" w:color="auto"/>
                <w:bottom w:val="none" w:sz="0" w:space="0" w:color="auto"/>
                <w:right w:val="none" w:sz="0" w:space="0" w:color="auto"/>
              </w:divBdr>
              <w:divsChild>
                <w:div w:id="8460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99392">
      <w:bodyDiv w:val="1"/>
      <w:marLeft w:val="0"/>
      <w:marRight w:val="0"/>
      <w:marTop w:val="0"/>
      <w:marBottom w:val="0"/>
      <w:divBdr>
        <w:top w:val="none" w:sz="0" w:space="0" w:color="auto"/>
        <w:left w:val="none" w:sz="0" w:space="0" w:color="auto"/>
        <w:bottom w:val="none" w:sz="0" w:space="0" w:color="auto"/>
        <w:right w:val="none" w:sz="0" w:space="0" w:color="auto"/>
      </w:divBdr>
      <w:divsChild>
        <w:div w:id="1009866862">
          <w:marLeft w:val="0"/>
          <w:marRight w:val="0"/>
          <w:marTop w:val="0"/>
          <w:marBottom w:val="0"/>
          <w:divBdr>
            <w:top w:val="none" w:sz="0" w:space="0" w:color="auto"/>
            <w:left w:val="none" w:sz="0" w:space="0" w:color="auto"/>
            <w:bottom w:val="none" w:sz="0" w:space="0" w:color="auto"/>
            <w:right w:val="none" w:sz="0" w:space="0" w:color="auto"/>
          </w:divBdr>
          <w:divsChild>
            <w:div w:id="158427872">
              <w:marLeft w:val="0"/>
              <w:marRight w:val="0"/>
              <w:marTop w:val="0"/>
              <w:marBottom w:val="0"/>
              <w:divBdr>
                <w:top w:val="none" w:sz="0" w:space="0" w:color="auto"/>
                <w:left w:val="none" w:sz="0" w:space="0" w:color="auto"/>
                <w:bottom w:val="none" w:sz="0" w:space="0" w:color="auto"/>
                <w:right w:val="none" w:sz="0" w:space="0" w:color="auto"/>
              </w:divBdr>
              <w:divsChild>
                <w:div w:id="13695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1817">
      <w:bodyDiv w:val="1"/>
      <w:marLeft w:val="0"/>
      <w:marRight w:val="0"/>
      <w:marTop w:val="0"/>
      <w:marBottom w:val="0"/>
      <w:divBdr>
        <w:top w:val="none" w:sz="0" w:space="0" w:color="auto"/>
        <w:left w:val="none" w:sz="0" w:space="0" w:color="auto"/>
        <w:bottom w:val="none" w:sz="0" w:space="0" w:color="auto"/>
        <w:right w:val="none" w:sz="0" w:space="0" w:color="auto"/>
      </w:divBdr>
      <w:divsChild>
        <w:div w:id="425852998">
          <w:marLeft w:val="0"/>
          <w:marRight w:val="0"/>
          <w:marTop w:val="0"/>
          <w:marBottom w:val="0"/>
          <w:divBdr>
            <w:top w:val="none" w:sz="0" w:space="0" w:color="auto"/>
            <w:left w:val="none" w:sz="0" w:space="0" w:color="auto"/>
            <w:bottom w:val="none" w:sz="0" w:space="0" w:color="auto"/>
            <w:right w:val="none" w:sz="0" w:space="0" w:color="auto"/>
          </w:divBdr>
          <w:divsChild>
            <w:div w:id="1630697247">
              <w:marLeft w:val="0"/>
              <w:marRight w:val="0"/>
              <w:marTop w:val="0"/>
              <w:marBottom w:val="0"/>
              <w:divBdr>
                <w:top w:val="none" w:sz="0" w:space="0" w:color="auto"/>
                <w:left w:val="none" w:sz="0" w:space="0" w:color="auto"/>
                <w:bottom w:val="none" w:sz="0" w:space="0" w:color="auto"/>
                <w:right w:val="none" w:sz="0" w:space="0" w:color="auto"/>
              </w:divBdr>
              <w:divsChild>
                <w:div w:id="16517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3774">
      <w:bodyDiv w:val="1"/>
      <w:marLeft w:val="0"/>
      <w:marRight w:val="0"/>
      <w:marTop w:val="0"/>
      <w:marBottom w:val="0"/>
      <w:divBdr>
        <w:top w:val="none" w:sz="0" w:space="0" w:color="auto"/>
        <w:left w:val="none" w:sz="0" w:space="0" w:color="auto"/>
        <w:bottom w:val="none" w:sz="0" w:space="0" w:color="auto"/>
        <w:right w:val="none" w:sz="0" w:space="0" w:color="auto"/>
      </w:divBdr>
    </w:div>
    <w:div w:id="556476929">
      <w:bodyDiv w:val="1"/>
      <w:marLeft w:val="0"/>
      <w:marRight w:val="0"/>
      <w:marTop w:val="0"/>
      <w:marBottom w:val="0"/>
      <w:divBdr>
        <w:top w:val="none" w:sz="0" w:space="0" w:color="auto"/>
        <w:left w:val="none" w:sz="0" w:space="0" w:color="auto"/>
        <w:bottom w:val="none" w:sz="0" w:space="0" w:color="auto"/>
        <w:right w:val="none" w:sz="0" w:space="0" w:color="auto"/>
      </w:divBdr>
    </w:div>
    <w:div w:id="578295671">
      <w:bodyDiv w:val="1"/>
      <w:marLeft w:val="0"/>
      <w:marRight w:val="0"/>
      <w:marTop w:val="0"/>
      <w:marBottom w:val="0"/>
      <w:divBdr>
        <w:top w:val="none" w:sz="0" w:space="0" w:color="auto"/>
        <w:left w:val="none" w:sz="0" w:space="0" w:color="auto"/>
        <w:bottom w:val="none" w:sz="0" w:space="0" w:color="auto"/>
        <w:right w:val="none" w:sz="0" w:space="0" w:color="auto"/>
      </w:divBdr>
      <w:divsChild>
        <w:div w:id="596062796">
          <w:marLeft w:val="0"/>
          <w:marRight w:val="0"/>
          <w:marTop w:val="0"/>
          <w:marBottom w:val="0"/>
          <w:divBdr>
            <w:top w:val="none" w:sz="0" w:space="0" w:color="auto"/>
            <w:left w:val="none" w:sz="0" w:space="0" w:color="auto"/>
            <w:bottom w:val="none" w:sz="0" w:space="0" w:color="auto"/>
            <w:right w:val="none" w:sz="0" w:space="0" w:color="auto"/>
          </w:divBdr>
          <w:divsChild>
            <w:div w:id="531722996">
              <w:marLeft w:val="0"/>
              <w:marRight w:val="0"/>
              <w:marTop w:val="0"/>
              <w:marBottom w:val="0"/>
              <w:divBdr>
                <w:top w:val="none" w:sz="0" w:space="0" w:color="auto"/>
                <w:left w:val="none" w:sz="0" w:space="0" w:color="auto"/>
                <w:bottom w:val="none" w:sz="0" w:space="0" w:color="auto"/>
                <w:right w:val="none" w:sz="0" w:space="0" w:color="auto"/>
              </w:divBdr>
              <w:divsChild>
                <w:div w:id="17400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72954">
      <w:bodyDiv w:val="1"/>
      <w:marLeft w:val="0"/>
      <w:marRight w:val="0"/>
      <w:marTop w:val="0"/>
      <w:marBottom w:val="0"/>
      <w:divBdr>
        <w:top w:val="none" w:sz="0" w:space="0" w:color="auto"/>
        <w:left w:val="none" w:sz="0" w:space="0" w:color="auto"/>
        <w:bottom w:val="none" w:sz="0" w:space="0" w:color="auto"/>
        <w:right w:val="none" w:sz="0" w:space="0" w:color="auto"/>
      </w:divBdr>
      <w:divsChild>
        <w:div w:id="1325738552">
          <w:marLeft w:val="0"/>
          <w:marRight w:val="0"/>
          <w:marTop w:val="0"/>
          <w:marBottom w:val="0"/>
          <w:divBdr>
            <w:top w:val="none" w:sz="0" w:space="0" w:color="auto"/>
            <w:left w:val="none" w:sz="0" w:space="0" w:color="auto"/>
            <w:bottom w:val="none" w:sz="0" w:space="0" w:color="auto"/>
            <w:right w:val="none" w:sz="0" w:space="0" w:color="auto"/>
          </w:divBdr>
          <w:divsChild>
            <w:div w:id="885020450">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890457979">
      <w:bodyDiv w:val="1"/>
      <w:marLeft w:val="0"/>
      <w:marRight w:val="0"/>
      <w:marTop w:val="0"/>
      <w:marBottom w:val="0"/>
      <w:divBdr>
        <w:top w:val="none" w:sz="0" w:space="0" w:color="auto"/>
        <w:left w:val="none" w:sz="0" w:space="0" w:color="auto"/>
        <w:bottom w:val="none" w:sz="0" w:space="0" w:color="auto"/>
        <w:right w:val="none" w:sz="0" w:space="0" w:color="auto"/>
      </w:divBdr>
    </w:div>
    <w:div w:id="932936596">
      <w:bodyDiv w:val="1"/>
      <w:marLeft w:val="0"/>
      <w:marRight w:val="0"/>
      <w:marTop w:val="0"/>
      <w:marBottom w:val="0"/>
      <w:divBdr>
        <w:top w:val="none" w:sz="0" w:space="0" w:color="auto"/>
        <w:left w:val="none" w:sz="0" w:space="0" w:color="auto"/>
        <w:bottom w:val="none" w:sz="0" w:space="0" w:color="auto"/>
        <w:right w:val="none" w:sz="0" w:space="0" w:color="auto"/>
      </w:divBdr>
      <w:divsChild>
        <w:div w:id="883758767">
          <w:marLeft w:val="0"/>
          <w:marRight w:val="0"/>
          <w:marTop w:val="0"/>
          <w:marBottom w:val="0"/>
          <w:divBdr>
            <w:top w:val="none" w:sz="0" w:space="0" w:color="auto"/>
            <w:left w:val="none" w:sz="0" w:space="0" w:color="auto"/>
            <w:bottom w:val="none" w:sz="0" w:space="0" w:color="auto"/>
            <w:right w:val="none" w:sz="0" w:space="0" w:color="auto"/>
          </w:divBdr>
          <w:divsChild>
            <w:div w:id="1930845936">
              <w:marLeft w:val="0"/>
              <w:marRight w:val="0"/>
              <w:marTop w:val="109"/>
              <w:marBottom w:val="218"/>
              <w:divBdr>
                <w:top w:val="none" w:sz="0" w:space="0" w:color="auto"/>
                <w:left w:val="none" w:sz="0" w:space="0" w:color="auto"/>
                <w:bottom w:val="none" w:sz="0" w:space="0" w:color="auto"/>
                <w:right w:val="none" w:sz="0" w:space="0" w:color="auto"/>
              </w:divBdr>
            </w:div>
          </w:divsChild>
        </w:div>
      </w:divsChild>
    </w:div>
    <w:div w:id="1200626759">
      <w:bodyDiv w:val="1"/>
      <w:marLeft w:val="0"/>
      <w:marRight w:val="0"/>
      <w:marTop w:val="0"/>
      <w:marBottom w:val="0"/>
      <w:divBdr>
        <w:top w:val="none" w:sz="0" w:space="0" w:color="auto"/>
        <w:left w:val="none" w:sz="0" w:space="0" w:color="auto"/>
        <w:bottom w:val="none" w:sz="0" w:space="0" w:color="auto"/>
        <w:right w:val="none" w:sz="0" w:space="0" w:color="auto"/>
      </w:divBdr>
      <w:divsChild>
        <w:div w:id="488517901">
          <w:marLeft w:val="0"/>
          <w:marRight w:val="0"/>
          <w:marTop w:val="0"/>
          <w:marBottom w:val="0"/>
          <w:divBdr>
            <w:top w:val="none" w:sz="0" w:space="0" w:color="auto"/>
            <w:left w:val="none" w:sz="0" w:space="0" w:color="auto"/>
            <w:bottom w:val="none" w:sz="0" w:space="0" w:color="auto"/>
            <w:right w:val="none" w:sz="0" w:space="0" w:color="auto"/>
          </w:divBdr>
          <w:divsChild>
            <w:div w:id="1516572380">
              <w:marLeft w:val="0"/>
              <w:marRight w:val="0"/>
              <w:marTop w:val="0"/>
              <w:marBottom w:val="0"/>
              <w:divBdr>
                <w:top w:val="none" w:sz="0" w:space="0" w:color="auto"/>
                <w:left w:val="none" w:sz="0" w:space="0" w:color="auto"/>
                <w:bottom w:val="none" w:sz="0" w:space="0" w:color="auto"/>
                <w:right w:val="none" w:sz="0" w:space="0" w:color="auto"/>
              </w:divBdr>
              <w:divsChild>
                <w:div w:id="14688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7884">
      <w:bodyDiv w:val="1"/>
      <w:marLeft w:val="0"/>
      <w:marRight w:val="0"/>
      <w:marTop w:val="0"/>
      <w:marBottom w:val="0"/>
      <w:divBdr>
        <w:top w:val="none" w:sz="0" w:space="0" w:color="auto"/>
        <w:left w:val="none" w:sz="0" w:space="0" w:color="auto"/>
        <w:bottom w:val="none" w:sz="0" w:space="0" w:color="auto"/>
        <w:right w:val="none" w:sz="0" w:space="0" w:color="auto"/>
      </w:divBdr>
      <w:divsChild>
        <w:div w:id="998654505">
          <w:marLeft w:val="0"/>
          <w:marRight w:val="0"/>
          <w:marTop w:val="0"/>
          <w:marBottom w:val="0"/>
          <w:divBdr>
            <w:top w:val="none" w:sz="0" w:space="0" w:color="auto"/>
            <w:left w:val="none" w:sz="0" w:space="0" w:color="auto"/>
            <w:bottom w:val="none" w:sz="0" w:space="0" w:color="auto"/>
            <w:right w:val="none" w:sz="0" w:space="0" w:color="auto"/>
          </w:divBdr>
          <w:divsChild>
            <w:div w:id="2119057050">
              <w:marLeft w:val="0"/>
              <w:marRight w:val="0"/>
              <w:marTop w:val="0"/>
              <w:marBottom w:val="0"/>
              <w:divBdr>
                <w:top w:val="none" w:sz="0" w:space="0" w:color="auto"/>
                <w:left w:val="none" w:sz="0" w:space="0" w:color="auto"/>
                <w:bottom w:val="none" w:sz="0" w:space="0" w:color="auto"/>
                <w:right w:val="none" w:sz="0" w:space="0" w:color="auto"/>
              </w:divBdr>
              <w:divsChild>
                <w:div w:id="1095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4985">
      <w:bodyDiv w:val="1"/>
      <w:marLeft w:val="0"/>
      <w:marRight w:val="0"/>
      <w:marTop w:val="0"/>
      <w:marBottom w:val="0"/>
      <w:divBdr>
        <w:top w:val="none" w:sz="0" w:space="0" w:color="auto"/>
        <w:left w:val="none" w:sz="0" w:space="0" w:color="auto"/>
        <w:bottom w:val="none" w:sz="0" w:space="0" w:color="auto"/>
        <w:right w:val="none" w:sz="0" w:space="0" w:color="auto"/>
      </w:divBdr>
    </w:div>
    <w:div w:id="1299720519">
      <w:bodyDiv w:val="1"/>
      <w:marLeft w:val="0"/>
      <w:marRight w:val="0"/>
      <w:marTop w:val="0"/>
      <w:marBottom w:val="0"/>
      <w:divBdr>
        <w:top w:val="none" w:sz="0" w:space="0" w:color="auto"/>
        <w:left w:val="none" w:sz="0" w:space="0" w:color="auto"/>
        <w:bottom w:val="none" w:sz="0" w:space="0" w:color="auto"/>
        <w:right w:val="none" w:sz="0" w:space="0" w:color="auto"/>
      </w:divBdr>
      <w:divsChild>
        <w:div w:id="930622732">
          <w:marLeft w:val="0"/>
          <w:marRight w:val="0"/>
          <w:marTop w:val="0"/>
          <w:marBottom w:val="0"/>
          <w:divBdr>
            <w:top w:val="none" w:sz="0" w:space="0" w:color="auto"/>
            <w:left w:val="none" w:sz="0" w:space="0" w:color="auto"/>
            <w:bottom w:val="none" w:sz="0" w:space="0" w:color="auto"/>
            <w:right w:val="none" w:sz="0" w:space="0" w:color="auto"/>
          </w:divBdr>
          <w:divsChild>
            <w:div w:id="1641035871">
              <w:marLeft w:val="0"/>
              <w:marRight w:val="0"/>
              <w:marTop w:val="109"/>
              <w:marBottom w:val="218"/>
              <w:divBdr>
                <w:top w:val="none" w:sz="0" w:space="0" w:color="auto"/>
                <w:left w:val="none" w:sz="0" w:space="0" w:color="auto"/>
                <w:bottom w:val="none" w:sz="0" w:space="0" w:color="auto"/>
                <w:right w:val="none" w:sz="0" w:space="0" w:color="auto"/>
              </w:divBdr>
            </w:div>
          </w:divsChild>
        </w:div>
      </w:divsChild>
    </w:div>
    <w:div w:id="1325282590">
      <w:bodyDiv w:val="1"/>
      <w:marLeft w:val="0"/>
      <w:marRight w:val="0"/>
      <w:marTop w:val="0"/>
      <w:marBottom w:val="0"/>
      <w:divBdr>
        <w:top w:val="none" w:sz="0" w:space="0" w:color="auto"/>
        <w:left w:val="none" w:sz="0" w:space="0" w:color="auto"/>
        <w:bottom w:val="none" w:sz="0" w:space="0" w:color="auto"/>
        <w:right w:val="none" w:sz="0" w:space="0" w:color="auto"/>
      </w:divBdr>
    </w:div>
    <w:div w:id="1435058000">
      <w:bodyDiv w:val="1"/>
      <w:marLeft w:val="0"/>
      <w:marRight w:val="0"/>
      <w:marTop w:val="0"/>
      <w:marBottom w:val="0"/>
      <w:divBdr>
        <w:top w:val="none" w:sz="0" w:space="0" w:color="auto"/>
        <w:left w:val="none" w:sz="0" w:space="0" w:color="auto"/>
        <w:bottom w:val="none" w:sz="0" w:space="0" w:color="auto"/>
        <w:right w:val="none" w:sz="0" w:space="0" w:color="auto"/>
      </w:divBdr>
      <w:divsChild>
        <w:div w:id="554853559">
          <w:marLeft w:val="0"/>
          <w:marRight w:val="0"/>
          <w:marTop w:val="0"/>
          <w:marBottom w:val="0"/>
          <w:divBdr>
            <w:top w:val="none" w:sz="0" w:space="0" w:color="auto"/>
            <w:left w:val="none" w:sz="0" w:space="0" w:color="auto"/>
            <w:bottom w:val="none" w:sz="0" w:space="0" w:color="auto"/>
            <w:right w:val="none" w:sz="0" w:space="0" w:color="auto"/>
          </w:divBdr>
          <w:divsChild>
            <w:div w:id="1461067612">
              <w:marLeft w:val="0"/>
              <w:marRight w:val="0"/>
              <w:marTop w:val="0"/>
              <w:marBottom w:val="0"/>
              <w:divBdr>
                <w:top w:val="none" w:sz="0" w:space="0" w:color="auto"/>
                <w:left w:val="none" w:sz="0" w:space="0" w:color="auto"/>
                <w:bottom w:val="none" w:sz="0" w:space="0" w:color="auto"/>
                <w:right w:val="none" w:sz="0" w:space="0" w:color="auto"/>
              </w:divBdr>
              <w:divsChild>
                <w:div w:id="1721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4057">
      <w:bodyDiv w:val="1"/>
      <w:marLeft w:val="0"/>
      <w:marRight w:val="0"/>
      <w:marTop w:val="0"/>
      <w:marBottom w:val="0"/>
      <w:divBdr>
        <w:top w:val="none" w:sz="0" w:space="0" w:color="auto"/>
        <w:left w:val="none" w:sz="0" w:space="0" w:color="auto"/>
        <w:bottom w:val="none" w:sz="0" w:space="0" w:color="auto"/>
        <w:right w:val="none" w:sz="0" w:space="0" w:color="auto"/>
      </w:divBdr>
    </w:div>
    <w:div w:id="1567914368">
      <w:bodyDiv w:val="1"/>
      <w:marLeft w:val="0"/>
      <w:marRight w:val="0"/>
      <w:marTop w:val="0"/>
      <w:marBottom w:val="0"/>
      <w:divBdr>
        <w:top w:val="none" w:sz="0" w:space="0" w:color="auto"/>
        <w:left w:val="none" w:sz="0" w:space="0" w:color="auto"/>
        <w:bottom w:val="none" w:sz="0" w:space="0" w:color="auto"/>
        <w:right w:val="none" w:sz="0" w:space="0" w:color="auto"/>
      </w:divBdr>
      <w:divsChild>
        <w:div w:id="373503913">
          <w:marLeft w:val="0"/>
          <w:marRight w:val="0"/>
          <w:marTop w:val="0"/>
          <w:marBottom w:val="0"/>
          <w:divBdr>
            <w:top w:val="none" w:sz="0" w:space="0" w:color="auto"/>
            <w:left w:val="none" w:sz="0" w:space="0" w:color="auto"/>
            <w:bottom w:val="none" w:sz="0" w:space="0" w:color="auto"/>
            <w:right w:val="none" w:sz="0" w:space="0" w:color="auto"/>
          </w:divBdr>
          <w:divsChild>
            <w:div w:id="44939589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867912760">
      <w:bodyDiv w:val="1"/>
      <w:marLeft w:val="0"/>
      <w:marRight w:val="0"/>
      <w:marTop w:val="0"/>
      <w:marBottom w:val="0"/>
      <w:divBdr>
        <w:top w:val="none" w:sz="0" w:space="0" w:color="auto"/>
        <w:left w:val="none" w:sz="0" w:space="0" w:color="auto"/>
        <w:bottom w:val="none" w:sz="0" w:space="0" w:color="auto"/>
        <w:right w:val="none" w:sz="0" w:space="0" w:color="auto"/>
      </w:divBdr>
    </w:div>
    <w:div w:id="1971590220">
      <w:bodyDiv w:val="1"/>
      <w:marLeft w:val="0"/>
      <w:marRight w:val="0"/>
      <w:marTop w:val="0"/>
      <w:marBottom w:val="0"/>
      <w:divBdr>
        <w:top w:val="none" w:sz="0" w:space="0" w:color="auto"/>
        <w:left w:val="none" w:sz="0" w:space="0" w:color="auto"/>
        <w:bottom w:val="none" w:sz="0" w:space="0" w:color="auto"/>
        <w:right w:val="none" w:sz="0" w:space="0" w:color="auto"/>
      </w:divBdr>
      <w:divsChild>
        <w:div w:id="367528677">
          <w:marLeft w:val="0"/>
          <w:marRight w:val="0"/>
          <w:marTop w:val="0"/>
          <w:marBottom w:val="0"/>
          <w:divBdr>
            <w:top w:val="none" w:sz="0" w:space="0" w:color="auto"/>
            <w:left w:val="none" w:sz="0" w:space="0" w:color="auto"/>
            <w:bottom w:val="none" w:sz="0" w:space="0" w:color="auto"/>
            <w:right w:val="none" w:sz="0" w:space="0" w:color="auto"/>
          </w:divBdr>
          <w:divsChild>
            <w:div w:id="1084254910">
              <w:marLeft w:val="0"/>
              <w:marRight w:val="0"/>
              <w:marTop w:val="0"/>
              <w:marBottom w:val="0"/>
              <w:divBdr>
                <w:top w:val="none" w:sz="0" w:space="0" w:color="auto"/>
                <w:left w:val="none" w:sz="0" w:space="0" w:color="auto"/>
                <w:bottom w:val="none" w:sz="0" w:space="0" w:color="auto"/>
                <w:right w:val="none" w:sz="0" w:space="0" w:color="auto"/>
              </w:divBdr>
              <w:divsChild>
                <w:div w:id="1778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6295">
      <w:bodyDiv w:val="1"/>
      <w:marLeft w:val="0"/>
      <w:marRight w:val="0"/>
      <w:marTop w:val="0"/>
      <w:marBottom w:val="0"/>
      <w:divBdr>
        <w:top w:val="none" w:sz="0" w:space="0" w:color="auto"/>
        <w:left w:val="none" w:sz="0" w:space="0" w:color="auto"/>
        <w:bottom w:val="none" w:sz="0" w:space="0" w:color="auto"/>
        <w:right w:val="none" w:sz="0" w:space="0" w:color="auto"/>
      </w:divBdr>
      <w:divsChild>
        <w:div w:id="1072236531">
          <w:marLeft w:val="0"/>
          <w:marRight w:val="0"/>
          <w:marTop w:val="0"/>
          <w:marBottom w:val="0"/>
          <w:divBdr>
            <w:top w:val="none" w:sz="0" w:space="0" w:color="auto"/>
            <w:left w:val="none" w:sz="0" w:space="0" w:color="auto"/>
            <w:bottom w:val="none" w:sz="0" w:space="0" w:color="auto"/>
            <w:right w:val="none" w:sz="0" w:space="0" w:color="auto"/>
          </w:divBdr>
          <w:divsChild>
            <w:div w:id="547376472">
              <w:marLeft w:val="0"/>
              <w:marRight w:val="0"/>
              <w:marTop w:val="0"/>
              <w:marBottom w:val="0"/>
              <w:divBdr>
                <w:top w:val="none" w:sz="0" w:space="0" w:color="auto"/>
                <w:left w:val="none" w:sz="0" w:space="0" w:color="auto"/>
                <w:bottom w:val="none" w:sz="0" w:space="0" w:color="auto"/>
                <w:right w:val="none" w:sz="0" w:space="0" w:color="auto"/>
              </w:divBdr>
              <w:divsChild>
                <w:div w:id="12462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6759">
      <w:bodyDiv w:val="1"/>
      <w:marLeft w:val="0"/>
      <w:marRight w:val="0"/>
      <w:marTop w:val="0"/>
      <w:marBottom w:val="0"/>
      <w:divBdr>
        <w:top w:val="none" w:sz="0" w:space="0" w:color="auto"/>
        <w:left w:val="none" w:sz="0" w:space="0" w:color="auto"/>
        <w:bottom w:val="none" w:sz="0" w:space="0" w:color="auto"/>
        <w:right w:val="none" w:sz="0" w:space="0" w:color="auto"/>
      </w:divBdr>
    </w:div>
    <w:div w:id="2095737369">
      <w:bodyDiv w:val="1"/>
      <w:marLeft w:val="0"/>
      <w:marRight w:val="0"/>
      <w:marTop w:val="0"/>
      <w:marBottom w:val="0"/>
      <w:divBdr>
        <w:top w:val="none" w:sz="0" w:space="0" w:color="auto"/>
        <w:left w:val="none" w:sz="0" w:space="0" w:color="auto"/>
        <w:bottom w:val="none" w:sz="0" w:space="0" w:color="auto"/>
        <w:right w:val="none" w:sz="0" w:space="0" w:color="auto"/>
      </w:divBdr>
      <w:divsChild>
        <w:div w:id="806968343">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AC96-53B6-43B9-BCCC-7D809677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5308</Words>
  <Characters>30260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4</cp:revision>
  <cp:lastPrinted>2013-05-15T18:58:00Z</cp:lastPrinted>
  <dcterms:created xsi:type="dcterms:W3CDTF">2013-06-05T20:01:00Z</dcterms:created>
  <dcterms:modified xsi:type="dcterms:W3CDTF">2013-09-13T14:09:00Z</dcterms:modified>
</cp:coreProperties>
</file>