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6AF" w:rsidRPr="001436AF" w:rsidRDefault="001436AF" w:rsidP="001436AF">
      <w:pPr>
        <w:pStyle w:val="TOCHeading"/>
        <w:spacing w:before="0"/>
        <w:jc w:val="center"/>
        <w:rPr>
          <w:rFonts w:ascii="Times New Roman" w:eastAsiaTheme="minorHAnsi" w:hAnsi="Times New Roman" w:cs="Times New Roman"/>
          <w:color w:val="auto"/>
          <w:lang w:eastAsia="en-US"/>
        </w:rPr>
      </w:pPr>
      <w:r w:rsidRPr="001436AF">
        <w:rPr>
          <w:rFonts w:ascii="Times New Roman" w:eastAsiaTheme="minorHAnsi" w:hAnsi="Times New Roman" w:cs="Times New Roman"/>
          <w:color w:val="auto"/>
          <w:lang w:eastAsia="en-US"/>
        </w:rPr>
        <w:t>Air Quality Rule Changes and Updates</w:t>
      </w:r>
    </w:p>
    <w:sdt>
      <w:sdtPr>
        <w:rPr>
          <w:rFonts w:asciiTheme="minorHAnsi" w:eastAsiaTheme="minorHAnsi" w:hAnsiTheme="minorHAnsi" w:cstheme="minorBidi"/>
          <w:b w:val="0"/>
          <w:bCs w:val="0"/>
          <w:color w:val="auto"/>
          <w:sz w:val="22"/>
          <w:szCs w:val="22"/>
          <w:lang w:eastAsia="en-US"/>
        </w:rPr>
        <w:id w:val="-899906529"/>
        <w:docPartObj>
          <w:docPartGallery w:val="Table of Contents"/>
          <w:docPartUnique/>
        </w:docPartObj>
      </w:sdtPr>
      <w:sdtEndPr>
        <w:rPr>
          <w:noProof/>
        </w:rPr>
      </w:sdtEndPr>
      <w:sdtContent>
        <w:p w:rsidR="00C002E8" w:rsidRDefault="00C002E8">
          <w:pPr>
            <w:pStyle w:val="TOCHeading"/>
          </w:pPr>
          <w:r>
            <w:t>Table of Contents</w:t>
          </w:r>
        </w:p>
        <w:p w:rsidR="000701B3" w:rsidRDefault="009C36A8">
          <w:pPr>
            <w:pStyle w:val="TOC1"/>
            <w:tabs>
              <w:tab w:val="right" w:leader="dot" w:pos="9350"/>
            </w:tabs>
            <w:rPr>
              <w:rFonts w:eastAsiaTheme="minorEastAsia"/>
              <w:noProof/>
            </w:rPr>
          </w:pPr>
          <w:r w:rsidRPr="009C36A8">
            <w:fldChar w:fldCharType="begin"/>
          </w:r>
          <w:r w:rsidR="00C002E8">
            <w:instrText xml:space="preserve"> TOC \o "1-3" \h \z \u </w:instrText>
          </w:r>
          <w:r w:rsidRPr="009C36A8">
            <w:fldChar w:fldCharType="separate"/>
          </w:r>
          <w:hyperlink w:anchor="_Toc366837594" w:history="1">
            <w:r w:rsidR="000701B3" w:rsidRPr="00304064">
              <w:rPr>
                <w:rStyle w:val="Hyperlink"/>
                <w:noProof/>
              </w:rPr>
              <w:t>Rule Improvements</w:t>
            </w:r>
            <w:r w:rsidR="000701B3">
              <w:rPr>
                <w:noProof/>
                <w:webHidden/>
              </w:rPr>
              <w:tab/>
            </w:r>
            <w:r w:rsidR="000701B3">
              <w:rPr>
                <w:noProof/>
                <w:webHidden/>
              </w:rPr>
              <w:fldChar w:fldCharType="begin"/>
            </w:r>
            <w:r w:rsidR="000701B3">
              <w:rPr>
                <w:noProof/>
                <w:webHidden/>
              </w:rPr>
              <w:instrText xml:space="preserve"> PAGEREF _Toc366837594 \h </w:instrText>
            </w:r>
            <w:r w:rsidR="000701B3">
              <w:rPr>
                <w:noProof/>
                <w:webHidden/>
              </w:rPr>
            </w:r>
            <w:r w:rsidR="000701B3">
              <w:rPr>
                <w:noProof/>
                <w:webHidden/>
              </w:rPr>
              <w:fldChar w:fldCharType="separate"/>
            </w:r>
            <w:r w:rsidR="000701B3">
              <w:rPr>
                <w:noProof/>
                <w:webHidden/>
              </w:rPr>
              <w:t>2</w:t>
            </w:r>
            <w:r w:rsidR="000701B3">
              <w:rPr>
                <w:noProof/>
                <w:webHidden/>
              </w:rPr>
              <w:fldChar w:fldCharType="end"/>
            </w:r>
          </w:hyperlink>
        </w:p>
        <w:p w:rsidR="000701B3" w:rsidRDefault="000701B3">
          <w:pPr>
            <w:pStyle w:val="TOC2"/>
            <w:tabs>
              <w:tab w:val="right" w:leader="dot" w:pos="9350"/>
            </w:tabs>
            <w:rPr>
              <w:rFonts w:eastAsiaTheme="minorEastAsia"/>
              <w:noProof/>
            </w:rPr>
          </w:pPr>
          <w:hyperlink w:anchor="_Toc366837595" w:history="1">
            <w:r w:rsidRPr="00304064">
              <w:rPr>
                <w:rStyle w:val="Hyperlink"/>
                <w:noProof/>
              </w:rPr>
              <w:t>Make the rules easier to use by reorganizing</w:t>
            </w:r>
            <w:r>
              <w:rPr>
                <w:noProof/>
                <w:webHidden/>
              </w:rPr>
              <w:tab/>
            </w:r>
            <w:r>
              <w:rPr>
                <w:noProof/>
                <w:webHidden/>
              </w:rPr>
              <w:fldChar w:fldCharType="begin"/>
            </w:r>
            <w:r>
              <w:rPr>
                <w:noProof/>
                <w:webHidden/>
              </w:rPr>
              <w:instrText xml:space="preserve"> PAGEREF _Toc366837595 \h </w:instrText>
            </w:r>
            <w:r>
              <w:rPr>
                <w:noProof/>
                <w:webHidden/>
              </w:rPr>
            </w:r>
            <w:r>
              <w:rPr>
                <w:noProof/>
                <w:webHidden/>
              </w:rPr>
              <w:fldChar w:fldCharType="separate"/>
            </w:r>
            <w:r>
              <w:rPr>
                <w:noProof/>
                <w:webHidden/>
              </w:rPr>
              <w:t>2</w:t>
            </w:r>
            <w:r>
              <w:rPr>
                <w:noProof/>
                <w:webHidden/>
              </w:rPr>
              <w:fldChar w:fldCharType="end"/>
            </w:r>
          </w:hyperlink>
        </w:p>
        <w:p w:rsidR="000701B3" w:rsidRDefault="000701B3">
          <w:pPr>
            <w:pStyle w:val="TOC2"/>
            <w:tabs>
              <w:tab w:val="right" w:leader="dot" w:pos="9350"/>
            </w:tabs>
            <w:rPr>
              <w:rFonts w:eastAsiaTheme="minorEastAsia"/>
              <w:noProof/>
            </w:rPr>
          </w:pPr>
          <w:hyperlink w:anchor="_Toc366837596" w:history="1">
            <w:r w:rsidRPr="00304064">
              <w:rPr>
                <w:rStyle w:val="Hyperlink"/>
                <w:noProof/>
              </w:rPr>
              <w:t>Provide clarification when needed</w:t>
            </w:r>
            <w:r>
              <w:rPr>
                <w:noProof/>
                <w:webHidden/>
              </w:rPr>
              <w:tab/>
            </w:r>
            <w:r>
              <w:rPr>
                <w:noProof/>
                <w:webHidden/>
              </w:rPr>
              <w:fldChar w:fldCharType="begin"/>
            </w:r>
            <w:r>
              <w:rPr>
                <w:noProof/>
                <w:webHidden/>
              </w:rPr>
              <w:instrText xml:space="preserve"> PAGEREF _Toc366837596 \h </w:instrText>
            </w:r>
            <w:r>
              <w:rPr>
                <w:noProof/>
                <w:webHidden/>
              </w:rPr>
            </w:r>
            <w:r>
              <w:rPr>
                <w:noProof/>
                <w:webHidden/>
              </w:rPr>
              <w:fldChar w:fldCharType="separate"/>
            </w:r>
            <w:r>
              <w:rPr>
                <w:noProof/>
                <w:webHidden/>
              </w:rPr>
              <w:t>3</w:t>
            </w:r>
            <w:r>
              <w:rPr>
                <w:noProof/>
                <w:webHidden/>
              </w:rPr>
              <w:fldChar w:fldCharType="end"/>
            </w:r>
          </w:hyperlink>
        </w:p>
        <w:p w:rsidR="000701B3" w:rsidRDefault="000701B3">
          <w:pPr>
            <w:pStyle w:val="TOC2"/>
            <w:tabs>
              <w:tab w:val="right" w:leader="dot" w:pos="9350"/>
            </w:tabs>
            <w:rPr>
              <w:rFonts w:eastAsiaTheme="minorEastAsia"/>
              <w:noProof/>
            </w:rPr>
          </w:pPr>
          <w:hyperlink w:anchor="_Toc366837597" w:history="1">
            <w:r w:rsidRPr="00304064">
              <w:rPr>
                <w:rStyle w:val="Hyperlink"/>
                <w:noProof/>
              </w:rPr>
              <w:t>Make housekeeping changes</w:t>
            </w:r>
            <w:r>
              <w:rPr>
                <w:noProof/>
                <w:webHidden/>
              </w:rPr>
              <w:tab/>
            </w:r>
            <w:r>
              <w:rPr>
                <w:noProof/>
                <w:webHidden/>
              </w:rPr>
              <w:fldChar w:fldCharType="begin"/>
            </w:r>
            <w:r>
              <w:rPr>
                <w:noProof/>
                <w:webHidden/>
              </w:rPr>
              <w:instrText xml:space="preserve"> PAGEREF _Toc366837597 \h </w:instrText>
            </w:r>
            <w:r>
              <w:rPr>
                <w:noProof/>
                <w:webHidden/>
              </w:rPr>
            </w:r>
            <w:r>
              <w:rPr>
                <w:noProof/>
                <w:webHidden/>
              </w:rPr>
              <w:fldChar w:fldCharType="separate"/>
            </w:r>
            <w:r>
              <w:rPr>
                <w:noProof/>
                <w:webHidden/>
              </w:rPr>
              <w:t>3</w:t>
            </w:r>
            <w:r>
              <w:rPr>
                <w:noProof/>
                <w:webHidden/>
              </w:rPr>
              <w:fldChar w:fldCharType="end"/>
            </w:r>
          </w:hyperlink>
        </w:p>
        <w:p w:rsidR="000701B3" w:rsidRDefault="000701B3">
          <w:pPr>
            <w:pStyle w:val="TOC1"/>
            <w:tabs>
              <w:tab w:val="right" w:leader="dot" w:pos="9350"/>
            </w:tabs>
            <w:rPr>
              <w:rFonts w:eastAsiaTheme="minorEastAsia"/>
              <w:noProof/>
            </w:rPr>
          </w:pPr>
          <w:hyperlink w:anchor="_Toc366837598" w:history="1">
            <w:r w:rsidRPr="00304064">
              <w:rPr>
                <w:rStyle w:val="Hyperlink"/>
                <w:noProof/>
              </w:rPr>
              <w:t>Emission Limits and Standards</w:t>
            </w:r>
            <w:r>
              <w:rPr>
                <w:noProof/>
                <w:webHidden/>
              </w:rPr>
              <w:tab/>
            </w:r>
            <w:r>
              <w:rPr>
                <w:noProof/>
                <w:webHidden/>
              </w:rPr>
              <w:fldChar w:fldCharType="begin"/>
            </w:r>
            <w:r>
              <w:rPr>
                <w:noProof/>
                <w:webHidden/>
              </w:rPr>
              <w:instrText xml:space="preserve"> PAGEREF _Toc366837598 \h </w:instrText>
            </w:r>
            <w:r>
              <w:rPr>
                <w:noProof/>
                <w:webHidden/>
              </w:rPr>
            </w:r>
            <w:r>
              <w:rPr>
                <w:noProof/>
                <w:webHidden/>
              </w:rPr>
              <w:fldChar w:fldCharType="separate"/>
            </w:r>
            <w:r>
              <w:rPr>
                <w:noProof/>
                <w:webHidden/>
              </w:rPr>
              <w:t>3</w:t>
            </w:r>
            <w:r>
              <w:rPr>
                <w:noProof/>
                <w:webHidden/>
              </w:rPr>
              <w:fldChar w:fldCharType="end"/>
            </w:r>
          </w:hyperlink>
        </w:p>
        <w:p w:rsidR="000701B3" w:rsidRDefault="000701B3">
          <w:pPr>
            <w:pStyle w:val="TOC2"/>
            <w:tabs>
              <w:tab w:val="right" w:leader="dot" w:pos="9350"/>
            </w:tabs>
            <w:rPr>
              <w:rFonts w:eastAsiaTheme="minorEastAsia"/>
              <w:noProof/>
            </w:rPr>
          </w:pPr>
          <w:hyperlink w:anchor="_Toc366837599" w:history="1">
            <w:r w:rsidRPr="00304064">
              <w:rPr>
                <w:rStyle w:val="Hyperlink"/>
                <w:noProof/>
              </w:rPr>
              <w:t>Repeal outdated rules</w:t>
            </w:r>
            <w:r>
              <w:rPr>
                <w:noProof/>
                <w:webHidden/>
              </w:rPr>
              <w:tab/>
            </w:r>
            <w:r>
              <w:rPr>
                <w:noProof/>
                <w:webHidden/>
              </w:rPr>
              <w:fldChar w:fldCharType="begin"/>
            </w:r>
            <w:r>
              <w:rPr>
                <w:noProof/>
                <w:webHidden/>
              </w:rPr>
              <w:instrText xml:space="preserve"> PAGEREF _Toc366837599 \h </w:instrText>
            </w:r>
            <w:r>
              <w:rPr>
                <w:noProof/>
                <w:webHidden/>
              </w:rPr>
            </w:r>
            <w:r>
              <w:rPr>
                <w:noProof/>
                <w:webHidden/>
              </w:rPr>
              <w:fldChar w:fldCharType="separate"/>
            </w:r>
            <w:r>
              <w:rPr>
                <w:noProof/>
                <w:webHidden/>
              </w:rPr>
              <w:t>3</w:t>
            </w:r>
            <w:r>
              <w:rPr>
                <w:noProof/>
                <w:webHidden/>
              </w:rPr>
              <w:fldChar w:fldCharType="end"/>
            </w:r>
          </w:hyperlink>
        </w:p>
        <w:p w:rsidR="000701B3" w:rsidRDefault="000701B3">
          <w:pPr>
            <w:pStyle w:val="TOC2"/>
            <w:tabs>
              <w:tab w:val="right" w:leader="dot" w:pos="9350"/>
            </w:tabs>
            <w:rPr>
              <w:rFonts w:eastAsiaTheme="minorEastAsia"/>
              <w:noProof/>
            </w:rPr>
          </w:pPr>
          <w:hyperlink w:anchor="_Toc366837600" w:history="1">
            <w:r w:rsidRPr="00304064">
              <w:rPr>
                <w:rStyle w:val="Hyperlink"/>
                <w:noProof/>
              </w:rPr>
              <w:t>Update existing limits to address PM2.5</w:t>
            </w:r>
            <w:r>
              <w:rPr>
                <w:noProof/>
                <w:webHidden/>
              </w:rPr>
              <w:tab/>
            </w:r>
            <w:r>
              <w:rPr>
                <w:noProof/>
                <w:webHidden/>
              </w:rPr>
              <w:fldChar w:fldCharType="begin"/>
            </w:r>
            <w:r>
              <w:rPr>
                <w:noProof/>
                <w:webHidden/>
              </w:rPr>
              <w:instrText xml:space="preserve"> PAGEREF _Toc366837600 \h </w:instrText>
            </w:r>
            <w:r>
              <w:rPr>
                <w:noProof/>
                <w:webHidden/>
              </w:rPr>
            </w:r>
            <w:r>
              <w:rPr>
                <w:noProof/>
                <w:webHidden/>
              </w:rPr>
              <w:fldChar w:fldCharType="separate"/>
            </w:r>
            <w:r>
              <w:rPr>
                <w:noProof/>
                <w:webHidden/>
              </w:rPr>
              <w:t>4</w:t>
            </w:r>
            <w:r>
              <w:rPr>
                <w:noProof/>
                <w:webHidden/>
              </w:rPr>
              <w:fldChar w:fldCharType="end"/>
            </w:r>
          </w:hyperlink>
        </w:p>
        <w:p w:rsidR="000701B3" w:rsidRDefault="000701B3">
          <w:pPr>
            <w:pStyle w:val="TOC1"/>
            <w:tabs>
              <w:tab w:val="right" w:leader="dot" w:pos="9350"/>
            </w:tabs>
            <w:rPr>
              <w:rFonts w:eastAsiaTheme="minorEastAsia"/>
              <w:noProof/>
            </w:rPr>
          </w:pPr>
          <w:hyperlink w:anchor="_Toc366837601" w:history="1">
            <w:r w:rsidRPr="00304064">
              <w:rPr>
                <w:rStyle w:val="Hyperlink"/>
                <w:noProof/>
              </w:rPr>
              <w:t>New Source Review program overhaul</w:t>
            </w:r>
            <w:r>
              <w:rPr>
                <w:noProof/>
                <w:webHidden/>
              </w:rPr>
              <w:tab/>
            </w:r>
            <w:r>
              <w:rPr>
                <w:noProof/>
                <w:webHidden/>
              </w:rPr>
              <w:fldChar w:fldCharType="begin"/>
            </w:r>
            <w:r>
              <w:rPr>
                <w:noProof/>
                <w:webHidden/>
              </w:rPr>
              <w:instrText xml:space="preserve"> PAGEREF _Toc366837601 \h </w:instrText>
            </w:r>
            <w:r>
              <w:rPr>
                <w:noProof/>
                <w:webHidden/>
              </w:rPr>
            </w:r>
            <w:r>
              <w:rPr>
                <w:noProof/>
                <w:webHidden/>
              </w:rPr>
              <w:fldChar w:fldCharType="separate"/>
            </w:r>
            <w:r>
              <w:rPr>
                <w:noProof/>
                <w:webHidden/>
              </w:rPr>
              <w:t>6</w:t>
            </w:r>
            <w:r>
              <w:rPr>
                <w:noProof/>
                <w:webHidden/>
              </w:rPr>
              <w:fldChar w:fldCharType="end"/>
            </w:r>
          </w:hyperlink>
        </w:p>
        <w:p w:rsidR="000701B3" w:rsidRDefault="000701B3">
          <w:pPr>
            <w:pStyle w:val="TOC2"/>
            <w:tabs>
              <w:tab w:val="right" w:leader="dot" w:pos="9350"/>
            </w:tabs>
            <w:rPr>
              <w:rFonts w:eastAsiaTheme="minorEastAsia"/>
              <w:noProof/>
            </w:rPr>
          </w:pPr>
          <w:hyperlink w:anchor="_Toc366837602" w:history="1">
            <w:r w:rsidRPr="00304064">
              <w:rPr>
                <w:rStyle w:val="Hyperlink"/>
                <w:noProof/>
              </w:rPr>
              <w:t>Redefine major source</w:t>
            </w:r>
            <w:r>
              <w:rPr>
                <w:noProof/>
                <w:webHidden/>
              </w:rPr>
              <w:tab/>
            </w:r>
            <w:r>
              <w:rPr>
                <w:noProof/>
                <w:webHidden/>
              </w:rPr>
              <w:fldChar w:fldCharType="begin"/>
            </w:r>
            <w:r>
              <w:rPr>
                <w:noProof/>
                <w:webHidden/>
              </w:rPr>
              <w:instrText xml:space="preserve"> PAGEREF _Toc366837602 \h </w:instrText>
            </w:r>
            <w:r>
              <w:rPr>
                <w:noProof/>
                <w:webHidden/>
              </w:rPr>
            </w:r>
            <w:r>
              <w:rPr>
                <w:noProof/>
                <w:webHidden/>
              </w:rPr>
              <w:fldChar w:fldCharType="separate"/>
            </w:r>
            <w:r>
              <w:rPr>
                <w:noProof/>
                <w:webHidden/>
              </w:rPr>
              <w:t>7</w:t>
            </w:r>
            <w:r>
              <w:rPr>
                <w:noProof/>
                <w:webHidden/>
              </w:rPr>
              <w:fldChar w:fldCharType="end"/>
            </w:r>
          </w:hyperlink>
        </w:p>
        <w:p w:rsidR="000701B3" w:rsidRDefault="000701B3">
          <w:pPr>
            <w:pStyle w:val="TOC2"/>
            <w:tabs>
              <w:tab w:val="right" w:leader="dot" w:pos="9350"/>
            </w:tabs>
            <w:rPr>
              <w:rFonts w:eastAsiaTheme="minorEastAsia"/>
              <w:noProof/>
            </w:rPr>
          </w:pPr>
          <w:hyperlink w:anchor="_Toc366837603" w:history="1">
            <w:r w:rsidRPr="00304064">
              <w:rPr>
                <w:rStyle w:val="Hyperlink"/>
                <w:noProof/>
              </w:rPr>
              <w:t>Define two new types of areas to improve or maintain air quality</w:t>
            </w:r>
            <w:r>
              <w:rPr>
                <w:noProof/>
                <w:webHidden/>
              </w:rPr>
              <w:tab/>
            </w:r>
            <w:r>
              <w:rPr>
                <w:noProof/>
                <w:webHidden/>
              </w:rPr>
              <w:fldChar w:fldCharType="begin"/>
            </w:r>
            <w:r>
              <w:rPr>
                <w:noProof/>
                <w:webHidden/>
              </w:rPr>
              <w:instrText xml:space="preserve"> PAGEREF _Toc366837603 \h </w:instrText>
            </w:r>
            <w:r>
              <w:rPr>
                <w:noProof/>
                <w:webHidden/>
              </w:rPr>
            </w:r>
            <w:r>
              <w:rPr>
                <w:noProof/>
                <w:webHidden/>
              </w:rPr>
              <w:fldChar w:fldCharType="separate"/>
            </w:r>
            <w:r>
              <w:rPr>
                <w:noProof/>
                <w:webHidden/>
              </w:rPr>
              <w:t>7</w:t>
            </w:r>
            <w:r>
              <w:rPr>
                <w:noProof/>
                <w:webHidden/>
              </w:rPr>
              <w:fldChar w:fldCharType="end"/>
            </w:r>
          </w:hyperlink>
        </w:p>
        <w:p w:rsidR="000701B3" w:rsidRDefault="000701B3">
          <w:pPr>
            <w:pStyle w:val="TOC2"/>
            <w:tabs>
              <w:tab w:val="right" w:leader="dot" w:pos="9350"/>
            </w:tabs>
            <w:rPr>
              <w:rFonts w:eastAsiaTheme="minorEastAsia"/>
              <w:noProof/>
            </w:rPr>
          </w:pPr>
          <w:hyperlink w:anchor="_Toc366837604" w:history="1">
            <w:r w:rsidRPr="00304064">
              <w:rPr>
                <w:rStyle w:val="Hyperlink"/>
                <w:noProof/>
              </w:rPr>
              <w:t>Define State New Source Review program (component of overall Minor New Source Review Program)</w:t>
            </w:r>
            <w:r>
              <w:rPr>
                <w:noProof/>
                <w:webHidden/>
              </w:rPr>
              <w:tab/>
            </w:r>
            <w:r>
              <w:rPr>
                <w:noProof/>
                <w:webHidden/>
              </w:rPr>
              <w:fldChar w:fldCharType="begin"/>
            </w:r>
            <w:r>
              <w:rPr>
                <w:noProof/>
                <w:webHidden/>
              </w:rPr>
              <w:instrText xml:space="preserve"> PAGEREF _Toc366837604 \h </w:instrText>
            </w:r>
            <w:r>
              <w:rPr>
                <w:noProof/>
                <w:webHidden/>
              </w:rPr>
            </w:r>
            <w:r>
              <w:rPr>
                <w:noProof/>
                <w:webHidden/>
              </w:rPr>
              <w:fldChar w:fldCharType="separate"/>
            </w:r>
            <w:r>
              <w:rPr>
                <w:noProof/>
                <w:webHidden/>
              </w:rPr>
              <w:t>9</w:t>
            </w:r>
            <w:r>
              <w:rPr>
                <w:noProof/>
                <w:webHidden/>
              </w:rPr>
              <w:fldChar w:fldCharType="end"/>
            </w:r>
          </w:hyperlink>
        </w:p>
        <w:p w:rsidR="000701B3" w:rsidRDefault="000701B3">
          <w:pPr>
            <w:pStyle w:val="TOC2"/>
            <w:tabs>
              <w:tab w:val="right" w:leader="dot" w:pos="9350"/>
            </w:tabs>
            <w:rPr>
              <w:rFonts w:eastAsiaTheme="minorEastAsia"/>
              <w:noProof/>
            </w:rPr>
          </w:pPr>
          <w:hyperlink w:anchor="_Toc366837605" w:history="1">
            <w:r w:rsidRPr="00304064">
              <w:rPr>
                <w:rStyle w:val="Hyperlink"/>
                <w:noProof/>
              </w:rPr>
              <w:t>Redefine net air quality benefit</w:t>
            </w:r>
            <w:r>
              <w:rPr>
                <w:noProof/>
                <w:webHidden/>
              </w:rPr>
              <w:tab/>
            </w:r>
            <w:r>
              <w:rPr>
                <w:noProof/>
                <w:webHidden/>
              </w:rPr>
              <w:fldChar w:fldCharType="begin"/>
            </w:r>
            <w:r>
              <w:rPr>
                <w:noProof/>
                <w:webHidden/>
              </w:rPr>
              <w:instrText xml:space="preserve"> PAGEREF _Toc366837605 \h </w:instrText>
            </w:r>
            <w:r>
              <w:rPr>
                <w:noProof/>
                <w:webHidden/>
              </w:rPr>
            </w:r>
            <w:r>
              <w:rPr>
                <w:noProof/>
                <w:webHidden/>
              </w:rPr>
              <w:fldChar w:fldCharType="separate"/>
            </w:r>
            <w:r>
              <w:rPr>
                <w:noProof/>
                <w:webHidden/>
              </w:rPr>
              <w:t>11</w:t>
            </w:r>
            <w:r>
              <w:rPr>
                <w:noProof/>
                <w:webHidden/>
              </w:rPr>
              <w:fldChar w:fldCharType="end"/>
            </w:r>
          </w:hyperlink>
        </w:p>
        <w:p w:rsidR="000701B3" w:rsidRDefault="000701B3">
          <w:pPr>
            <w:pStyle w:val="TOC2"/>
            <w:tabs>
              <w:tab w:val="right" w:leader="dot" w:pos="9350"/>
            </w:tabs>
            <w:rPr>
              <w:rFonts w:eastAsiaTheme="minorEastAsia"/>
              <w:noProof/>
            </w:rPr>
          </w:pPr>
          <w:hyperlink w:anchor="_Toc366837606" w:history="1">
            <w:r w:rsidRPr="00304064">
              <w:rPr>
                <w:rStyle w:val="Hyperlink"/>
                <w:noProof/>
              </w:rPr>
              <w:t>Enhancements to Major and State New Source Review Programs</w:t>
            </w:r>
            <w:r>
              <w:rPr>
                <w:noProof/>
                <w:webHidden/>
              </w:rPr>
              <w:tab/>
            </w:r>
            <w:r>
              <w:rPr>
                <w:noProof/>
                <w:webHidden/>
              </w:rPr>
              <w:fldChar w:fldCharType="begin"/>
            </w:r>
            <w:r>
              <w:rPr>
                <w:noProof/>
                <w:webHidden/>
              </w:rPr>
              <w:instrText xml:space="preserve"> PAGEREF _Toc366837606 \h </w:instrText>
            </w:r>
            <w:r>
              <w:rPr>
                <w:noProof/>
                <w:webHidden/>
              </w:rPr>
            </w:r>
            <w:r>
              <w:rPr>
                <w:noProof/>
                <w:webHidden/>
              </w:rPr>
              <w:fldChar w:fldCharType="separate"/>
            </w:r>
            <w:r>
              <w:rPr>
                <w:noProof/>
                <w:webHidden/>
              </w:rPr>
              <w:t>13</w:t>
            </w:r>
            <w:r>
              <w:rPr>
                <w:noProof/>
                <w:webHidden/>
              </w:rPr>
              <w:fldChar w:fldCharType="end"/>
            </w:r>
          </w:hyperlink>
        </w:p>
        <w:p w:rsidR="000701B3" w:rsidRDefault="000701B3">
          <w:pPr>
            <w:pStyle w:val="TOC3"/>
            <w:tabs>
              <w:tab w:val="right" w:leader="dot" w:pos="9350"/>
            </w:tabs>
            <w:rPr>
              <w:rFonts w:eastAsiaTheme="minorEastAsia"/>
              <w:noProof/>
            </w:rPr>
          </w:pPr>
          <w:hyperlink w:anchor="_Toc366837607" w:history="1">
            <w:r w:rsidRPr="00304064">
              <w:rPr>
                <w:rStyle w:val="Hyperlink"/>
                <w:noProof/>
              </w:rPr>
              <w:t>Offsets from “priority” sources</w:t>
            </w:r>
            <w:r>
              <w:rPr>
                <w:noProof/>
                <w:webHidden/>
              </w:rPr>
              <w:tab/>
            </w:r>
            <w:r>
              <w:rPr>
                <w:noProof/>
                <w:webHidden/>
              </w:rPr>
              <w:fldChar w:fldCharType="begin"/>
            </w:r>
            <w:r>
              <w:rPr>
                <w:noProof/>
                <w:webHidden/>
              </w:rPr>
              <w:instrText xml:space="preserve"> PAGEREF _Toc366837607 \h </w:instrText>
            </w:r>
            <w:r>
              <w:rPr>
                <w:noProof/>
                <w:webHidden/>
              </w:rPr>
            </w:r>
            <w:r>
              <w:rPr>
                <w:noProof/>
                <w:webHidden/>
              </w:rPr>
              <w:fldChar w:fldCharType="separate"/>
            </w:r>
            <w:r>
              <w:rPr>
                <w:noProof/>
                <w:webHidden/>
              </w:rPr>
              <w:t>13</w:t>
            </w:r>
            <w:r>
              <w:rPr>
                <w:noProof/>
                <w:webHidden/>
              </w:rPr>
              <w:fldChar w:fldCharType="end"/>
            </w:r>
          </w:hyperlink>
        </w:p>
        <w:p w:rsidR="000701B3" w:rsidRDefault="000701B3">
          <w:pPr>
            <w:pStyle w:val="TOC3"/>
            <w:tabs>
              <w:tab w:val="right" w:leader="dot" w:pos="9350"/>
            </w:tabs>
            <w:rPr>
              <w:rFonts w:eastAsiaTheme="minorEastAsia"/>
              <w:noProof/>
            </w:rPr>
          </w:pPr>
          <w:hyperlink w:anchor="_Toc366837608" w:history="1">
            <w:r w:rsidRPr="00304064">
              <w:rPr>
                <w:rStyle w:val="Hyperlink"/>
                <w:noProof/>
              </w:rPr>
              <w:t>Increased Offset Ratio</w:t>
            </w:r>
            <w:r>
              <w:rPr>
                <w:noProof/>
                <w:webHidden/>
              </w:rPr>
              <w:tab/>
            </w:r>
            <w:r>
              <w:rPr>
                <w:noProof/>
                <w:webHidden/>
              </w:rPr>
              <w:fldChar w:fldCharType="begin"/>
            </w:r>
            <w:r>
              <w:rPr>
                <w:noProof/>
                <w:webHidden/>
              </w:rPr>
              <w:instrText xml:space="preserve"> PAGEREF _Toc366837608 \h </w:instrText>
            </w:r>
            <w:r>
              <w:rPr>
                <w:noProof/>
                <w:webHidden/>
              </w:rPr>
            </w:r>
            <w:r>
              <w:rPr>
                <w:noProof/>
                <w:webHidden/>
              </w:rPr>
              <w:fldChar w:fldCharType="separate"/>
            </w:r>
            <w:r>
              <w:rPr>
                <w:noProof/>
                <w:webHidden/>
              </w:rPr>
              <w:t>13</w:t>
            </w:r>
            <w:r>
              <w:rPr>
                <w:noProof/>
                <w:webHidden/>
              </w:rPr>
              <w:fldChar w:fldCharType="end"/>
            </w:r>
          </w:hyperlink>
        </w:p>
        <w:p w:rsidR="000701B3" w:rsidRDefault="000701B3">
          <w:pPr>
            <w:pStyle w:val="TOC1"/>
            <w:tabs>
              <w:tab w:val="right" w:leader="dot" w:pos="9350"/>
            </w:tabs>
            <w:rPr>
              <w:rFonts w:eastAsiaTheme="minorEastAsia"/>
              <w:noProof/>
            </w:rPr>
          </w:pPr>
          <w:hyperlink w:anchor="_Toc366837609" w:history="1">
            <w:r w:rsidRPr="00304064">
              <w:rPr>
                <w:rStyle w:val="Hyperlink"/>
                <w:noProof/>
              </w:rPr>
              <w:t>Compliance</w:t>
            </w:r>
            <w:r>
              <w:rPr>
                <w:noProof/>
                <w:webHidden/>
              </w:rPr>
              <w:tab/>
            </w:r>
            <w:r>
              <w:rPr>
                <w:noProof/>
                <w:webHidden/>
              </w:rPr>
              <w:fldChar w:fldCharType="begin"/>
            </w:r>
            <w:r>
              <w:rPr>
                <w:noProof/>
                <w:webHidden/>
              </w:rPr>
              <w:instrText xml:space="preserve"> PAGEREF _Toc366837609 \h </w:instrText>
            </w:r>
            <w:r>
              <w:rPr>
                <w:noProof/>
                <w:webHidden/>
              </w:rPr>
            </w:r>
            <w:r>
              <w:rPr>
                <w:noProof/>
                <w:webHidden/>
              </w:rPr>
              <w:fldChar w:fldCharType="separate"/>
            </w:r>
            <w:r>
              <w:rPr>
                <w:noProof/>
                <w:webHidden/>
              </w:rPr>
              <w:t>13</w:t>
            </w:r>
            <w:r>
              <w:rPr>
                <w:noProof/>
                <w:webHidden/>
              </w:rPr>
              <w:fldChar w:fldCharType="end"/>
            </w:r>
          </w:hyperlink>
        </w:p>
        <w:p w:rsidR="000701B3" w:rsidRDefault="000701B3">
          <w:pPr>
            <w:pStyle w:val="TOC2"/>
            <w:tabs>
              <w:tab w:val="right" w:leader="dot" w:pos="9350"/>
            </w:tabs>
            <w:rPr>
              <w:rFonts w:eastAsiaTheme="minorEastAsia"/>
              <w:noProof/>
            </w:rPr>
          </w:pPr>
          <w:hyperlink w:anchor="_Toc366837610" w:history="1">
            <w:r w:rsidRPr="00304064">
              <w:rPr>
                <w:rStyle w:val="Hyperlink"/>
                <w:noProof/>
              </w:rPr>
              <w:t>Update continuous monitoring and source sampling manuals</w:t>
            </w:r>
            <w:r>
              <w:rPr>
                <w:noProof/>
                <w:webHidden/>
              </w:rPr>
              <w:tab/>
            </w:r>
            <w:r>
              <w:rPr>
                <w:noProof/>
                <w:webHidden/>
              </w:rPr>
              <w:fldChar w:fldCharType="begin"/>
            </w:r>
            <w:r>
              <w:rPr>
                <w:noProof/>
                <w:webHidden/>
              </w:rPr>
              <w:instrText xml:space="preserve"> PAGEREF _Toc366837610 \h </w:instrText>
            </w:r>
            <w:r>
              <w:rPr>
                <w:noProof/>
                <w:webHidden/>
              </w:rPr>
            </w:r>
            <w:r>
              <w:rPr>
                <w:noProof/>
                <w:webHidden/>
              </w:rPr>
              <w:fldChar w:fldCharType="separate"/>
            </w:r>
            <w:r>
              <w:rPr>
                <w:noProof/>
                <w:webHidden/>
              </w:rPr>
              <w:t>13</w:t>
            </w:r>
            <w:r>
              <w:rPr>
                <w:noProof/>
                <w:webHidden/>
              </w:rPr>
              <w:fldChar w:fldCharType="end"/>
            </w:r>
          </w:hyperlink>
        </w:p>
        <w:p w:rsidR="000701B3" w:rsidRDefault="000701B3">
          <w:pPr>
            <w:pStyle w:val="TOC2"/>
            <w:tabs>
              <w:tab w:val="right" w:leader="dot" w:pos="9350"/>
            </w:tabs>
            <w:rPr>
              <w:rFonts w:eastAsiaTheme="minorEastAsia"/>
              <w:noProof/>
            </w:rPr>
          </w:pPr>
          <w:hyperlink w:anchor="_Toc366837611" w:history="1">
            <w:r w:rsidRPr="00304064">
              <w:rPr>
                <w:rStyle w:val="Hyperlink"/>
                <w:noProof/>
              </w:rPr>
              <w:t>Excess emissions</w:t>
            </w:r>
            <w:r>
              <w:rPr>
                <w:noProof/>
                <w:webHidden/>
              </w:rPr>
              <w:tab/>
            </w:r>
            <w:r>
              <w:rPr>
                <w:noProof/>
                <w:webHidden/>
              </w:rPr>
              <w:fldChar w:fldCharType="begin"/>
            </w:r>
            <w:r>
              <w:rPr>
                <w:noProof/>
                <w:webHidden/>
              </w:rPr>
              <w:instrText xml:space="preserve"> PAGEREF _Toc366837611 \h </w:instrText>
            </w:r>
            <w:r>
              <w:rPr>
                <w:noProof/>
                <w:webHidden/>
              </w:rPr>
            </w:r>
            <w:r>
              <w:rPr>
                <w:noProof/>
                <w:webHidden/>
              </w:rPr>
              <w:fldChar w:fldCharType="separate"/>
            </w:r>
            <w:r>
              <w:rPr>
                <w:noProof/>
                <w:webHidden/>
              </w:rPr>
              <w:t>14</w:t>
            </w:r>
            <w:r>
              <w:rPr>
                <w:noProof/>
                <w:webHidden/>
              </w:rPr>
              <w:fldChar w:fldCharType="end"/>
            </w:r>
          </w:hyperlink>
        </w:p>
        <w:p w:rsidR="000701B3" w:rsidRDefault="000701B3">
          <w:pPr>
            <w:pStyle w:val="TOC2"/>
            <w:tabs>
              <w:tab w:val="right" w:leader="dot" w:pos="9350"/>
            </w:tabs>
            <w:rPr>
              <w:rFonts w:eastAsiaTheme="minorEastAsia"/>
              <w:noProof/>
            </w:rPr>
          </w:pPr>
          <w:hyperlink w:anchor="_Toc366837612" w:history="1">
            <w:r w:rsidRPr="00304064">
              <w:rPr>
                <w:rStyle w:val="Hyperlink"/>
                <w:noProof/>
              </w:rPr>
              <w:t>Test methods with all standards</w:t>
            </w:r>
            <w:r>
              <w:rPr>
                <w:noProof/>
                <w:webHidden/>
              </w:rPr>
              <w:tab/>
            </w:r>
            <w:r>
              <w:rPr>
                <w:noProof/>
                <w:webHidden/>
              </w:rPr>
              <w:fldChar w:fldCharType="begin"/>
            </w:r>
            <w:r>
              <w:rPr>
                <w:noProof/>
                <w:webHidden/>
              </w:rPr>
              <w:instrText xml:space="preserve"> PAGEREF _Toc366837612 \h </w:instrText>
            </w:r>
            <w:r>
              <w:rPr>
                <w:noProof/>
                <w:webHidden/>
              </w:rPr>
            </w:r>
            <w:r>
              <w:rPr>
                <w:noProof/>
                <w:webHidden/>
              </w:rPr>
              <w:fldChar w:fldCharType="separate"/>
            </w:r>
            <w:r>
              <w:rPr>
                <w:noProof/>
                <w:webHidden/>
              </w:rPr>
              <w:t>15</w:t>
            </w:r>
            <w:r>
              <w:rPr>
                <w:noProof/>
                <w:webHidden/>
              </w:rPr>
              <w:fldChar w:fldCharType="end"/>
            </w:r>
          </w:hyperlink>
        </w:p>
        <w:p w:rsidR="000701B3" w:rsidRDefault="000701B3">
          <w:pPr>
            <w:pStyle w:val="TOC1"/>
            <w:tabs>
              <w:tab w:val="right" w:leader="dot" w:pos="9350"/>
            </w:tabs>
            <w:rPr>
              <w:rFonts w:eastAsiaTheme="minorEastAsia"/>
              <w:noProof/>
            </w:rPr>
          </w:pPr>
          <w:hyperlink w:anchor="_Toc366837613" w:history="1">
            <w:r w:rsidRPr="00304064">
              <w:rPr>
                <w:rStyle w:val="Hyperlink"/>
                <w:noProof/>
              </w:rPr>
              <w:t>Permitting Changes</w:t>
            </w:r>
            <w:r>
              <w:rPr>
                <w:noProof/>
                <w:webHidden/>
              </w:rPr>
              <w:tab/>
            </w:r>
            <w:r>
              <w:rPr>
                <w:noProof/>
                <w:webHidden/>
              </w:rPr>
              <w:fldChar w:fldCharType="begin"/>
            </w:r>
            <w:r>
              <w:rPr>
                <w:noProof/>
                <w:webHidden/>
              </w:rPr>
              <w:instrText xml:space="preserve"> PAGEREF _Toc366837613 \h </w:instrText>
            </w:r>
            <w:r>
              <w:rPr>
                <w:noProof/>
                <w:webHidden/>
              </w:rPr>
            </w:r>
            <w:r>
              <w:rPr>
                <w:noProof/>
                <w:webHidden/>
              </w:rPr>
              <w:fldChar w:fldCharType="separate"/>
            </w:r>
            <w:r>
              <w:rPr>
                <w:noProof/>
                <w:webHidden/>
              </w:rPr>
              <w:t>15</w:t>
            </w:r>
            <w:r>
              <w:rPr>
                <w:noProof/>
                <w:webHidden/>
              </w:rPr>
              <w:fldChar w:fldCharType="end"/>
            </w:r>
          </w:hyperlink>
        </w:p>
        <w:p w:rsidR="000701B3" w:rsidRDefault="000701B3">
          <w:pPr>
            <w:pStyle w:val="TOC2"/>
            <w:tabs>
              <w:tab w:val="right" w:leader="dot" w:pos="9350"/>
            </w:tabs>
            <w:rPr>
              <w:rFonts w:eastAsiaTheme="minorEastAsia"/>
              <w:noProof/>
            </w:rPr>
          </w:pPr>
          <w:hyperlink w:anchor="_Toc366837614" w:history="1">
            <w:r w:rsidRPr="00304064">
              <w:rPr>
                <w:rStyle w:val="Hyperlink"/>
                <w:noProof/>
              </w:rPr>
              <w:t>Revise definition of categorically insignificant activities</w:t>
            </w:r>
            <w:r>
              <w:rPr>
                <w:noProof/>
                <w:webHidden/>
              </w:rPr>
              <w:tab/>
            </w:r>
            <w:r>
              <w:rPr>
                <w:noProof/>
                <w:webHidden/>
              </w:rPr>
              <w:fldChar w:fldCharType="begin"/>
            </w:r>
            <w:r>
              <w:rPr>
                <w:noProof/>
                <w:webHidden/>
              </w:rPr>
              <w:instrText xml:space="preserve"> PAGEREF _Toc366837614 \h </w:instrText>
            </w:r>
            <w:r>
              <w:rPr>
                <w:noProof/>
                <w:webHidden/>
              </w:rPr>
            </w:r>
            <w:r>
              <w:rPr>
                <w:noProof/>
                <w:webHidden/>
              </w:rPr>
              <w:fldChar w:fldCharType="separate"/>
            </w:r>
            <w:r>
              <w:rPr>
                <w:noProof/>
                <w:webHidden/>
              </w:rPr>
              <w:t>15</w:t>
            </w:r>
            <w:r>
              <w:rPr>
                <w:noProof/>
                <w:webHidden/>
              </w:rPr>
              <w:fldChar w:fldCharType="end"/>
            </w:r>
          </w:hyperlink>
        </w:p>
        <w:p w:rsidR="000701B3" w:rsidRDefault="000701B3">
          <w:pPr>
            <w:pStyle w:val="TOC2"/>
            <w:tabs>
              <w:tab w:val="right" w:leader="dot" w:pos="9350"/>
            </w:tabs>
            <w:rPr>
              <w:rFonts w:eastAsiaTheme="minorEastAsia"/>
              <w:noProof/>
            </w:rPr>
          </w:pPr>
          <w:hyperlink w:anchor="_Toc366837615" w:history="1">
            <w:r w:rsidRPr="00304064">
              <w:rPr>
                <w:rStyle w:val="Hyperlink"/>
                <w:noProof/>
              </w:rPr>
              <w:t>Update ACDP source categories – Table 1 changes</w:t>
            </w:r>
            <w:r>
              <w:rPr>
                <w:noProof/>
                <w:webHidden/>
              </w:rPr>
              <w:tab/>
            </w:r>
            <w:r>
              <w:rPr>
                <w:noProof/>
                <w:webHidden/>
              </w:rPr>
              <w:fldChar w:fldCharType="begin"/>
            </w:r>
            <w:r>
              <w:rPr>
                <w:noProof/>
                <w:webHidden/>
              </w:rPr>
              <w:instrText xml:space="preserve"> PAGEREF _Toc366837615 \h </w:instrText>
            </w:r>
            <w:r>
              <w:rPr>
                <w:noProof/>
                <w:webHidden/>
              </w:rPr>
            </w:r>
            <w:r>
              <w:rPr>
                <w:noProof/>
                <w:webHidden/>
              </w:rPr>
              <w:fldChar w:fldCharType="separate"/>
            </w:r>
            <w:r>
              <w:rPr>
                <w:noProof/>
                <w:webHidden/>
              </w:rPr>
              <w:t>16</w:t>
            </w:r>
            <w:r>
              <w:rPr>
                <w:noProof/>
                <w:webHidden/>
              </w:rPr>
              <w:fldChar w:fldCharType="end"/>
            </w:r>
          </w:hyperlink>
        </w:p>
        <w:p w:rsidR="000701B3" w:rsidRDefault="000701B3">
          <w:pPr>
            <w:pStyle w:val="TOC2"/>
            <w:tabs>
              <w:tab w:val="right" w:leader="dot" w:pos="9350"/>
            </w:tabs>
            <w:rPr>
              <w:rFonts w:eastAsiaTheme="minorEastAsia"/>
              <w:noProof/>
            </w:rPr>
          </w:pPr>
          <w:hyperlink w:anchor="_Toc366837616" w:history="1">
            <w:r w:rsidRPr="00304064">
              <w:rPr>
                <w:rStyle w:val="Hyperlink"/>
                <w:noProof/>
              </w:rPr>
              <w:t>Improve ACDP timeliness</w:t>
            </w:r>
            <w:r>
              <w:rPr>
                <w:noProof/>
                <w:webHidden/>
              </w:rPr>
              <w:tab/>
            </w:r>
            <w:r>
              <w:rPr>
                <w:noProof/>
                <w:webHidden/>
              </w:rPr>
              <w:fldChar w:fldCharType="begin"/>
            </w:r>
            <w:r>
              <w:rPr>
                <w:noProof/>
                <w:webHidden/>
              </w:rPr>
              <w:instrText xml:space="preserve"> PAGEREF _Toc366837616 \h </w:instrText>
            </w:r>
            <w:r>
              <w:rPr>
                <w:noProof/>
                <w:webHidden/>
              </w:rPr>
            </w:r>
            <w:r>
              <w:rPr>
                <w:noProof/>
                <w:webHidden/>
              </w:rPr>
              <w:fldChar w:fldCharType="separate"/>
            </w:r>
            <w:r>
              <w:rPr>
                <w:noProof/>
                <w:webHidden/>
              </w:rPr>
              <w:t>16</w:t>
            </w:r>
            <w:r>
              <w:rPr>
                <w:noProof/>
                <w:webHidden/>
              </w:rPr>
              <w:fldChar w:fldCharType="end"/>
            </w:r>
          </w:hyperlink>
        </w:p>
        <w:p w:rsidR="00C002E8" w:rsidRDefault="009C36A8">
          <w:r>
            <w:rPr>
              <w:b/>
              <w:bCs/>
              <w:noProof/>
            </w:rPr>
            <w:fldChar w:fldCharType="end"/>
          </w:r>
        </w:p>
      </w:sdtContent>
    </w:sdt>
    <w:p w:rsidR="002E54E2" w:rsidRPr="00451352" w:rsidRDefault="002E54E2" w:rsidP="00C90516">
      <w:pPr>
        <w:spacing w:after="0" w:line="240" w:lineRule="auto"/>
        <w:rPr>
          <w:rFonts w:ascii="Times New Roman" w:hAnsi="Times New Roman" w:cs="Times New Roman"/>
          <w:bCs/>
          <w:sz w:val="24"/>
          <w:szCs w:val="24"/>
        </w:rPr>
      </w:pPr>
    </w:p>
    <w:p w:rsidR="00076B31" w:rsidRDefault="00076B31" w:rsidP="00C9051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DEQ is undertaking a large rulemaking in order to accomplish the </w:t>
      </w:r>
      <w:r w:rsidR="00451352">
        <w:rPr>
          <w:rFonts w:ascii="Times New Roman" w:hAnsi="Times New Roman" w:cs="Times New Roman"/>
          <w:bCs/>
          <w:sz w:val="24"/>
          <w:szCs w:val="24"/>
        </w:rPr>
        <w:t>following</w:t>
      </w:r>
      <w:r>
        <w:rPr>
          <w:rFonts w:ascii="Times New Roman" w:hAnsi="Times New Roman" w:cs="Times New Roman"/>
          <w:bCs/>
          <w:sz w:val="24"/>
          <w:szCs w:val="24"/>
        </w:rPr>
        <w:t>:</w:t>
      </w:r>
    </w:p>
    <w:p w:rsidR="00854BED" w:rsidRPr="00854BED" w:rsidRDefault="00854BED" w:rsidP="0021689A">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Rule Improvements</w:t>
      </w:r>
    </w:p>
    <w:p w:rsidR="00854BED" w:rsidRDefault="00076B31"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Make the rules easier to use</w:t>
      </w:r>
      <w:r w:rsidR="00594C15">
        <w:rPr>
          <w:rFonts w:ascii="Times New Roman" w:hAnsi="Times New Roman" w:cs="Times New Roman"/>
          <w:bCs/>
          <w:sz w:val="24"/>
          <w:szCs w:val="24"/>
        </w:rPr>
        <w:t xml:space="preserve"> by reorganizing</w:t>
      </w:r>
    </w:p>
    <w:p w:rsidR="00451352" w:rsidRDefault="00854BED"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P</w:t>
      </w:r>
      <w:r w:rsidR="00594C15">
        <w:rPr>
          <w:rFonts w:ascii="Times New Roman" w:hAnsi="Times New Roman" w:cs="Times New Roman"/>
          <w:bCs/>
          <w:sz w:val="24"/>
          <w:szCs w:val="24"/>
        </w:rPr>
        <w:t>rovid</w:t>
      </w:r>
      <w:r>
        <w:rPr>
          <w:rFonts w:ascii="Times New Roman" w:hAnsi="Times New Roman" w:cs="Times New Roman"/>
          <w:bCs/>
          <w:sz w:val="24"/>
          <w:szCs w:val="24"/>
        </w:rPr>
        <w:t>e</w:t>
      </w:r>
      <w:r w:rsidR="00594C15">
        <w:rPr>
          <w:rFonts w:ascii="Times New Roman" w:hAnsi="Times New Roman" w:cs="Times New Roman"/>
          <w:bCs/>
          <w:sz w:val="24"/>
          <w:szCs w:val="24"/>
        </w:rPr>
        <w:t xml:space="preserve"> clarification when needed</w:t>
      </w:r>
    </w:p>
    <w:p w:rsidR="00854BED" w:rsidRDefault="000701B3" w:rsidP="0021689A">
      <w:pPr>
        <w:pStyle w:val="ListParagraph"/>
        <w:numPr>
          <w:ilvl w:val="1"/>
          <w:numId w:val="18"/>
        </w:numPr>
        <w:rPr>
          <w:rFonts w:ascii="Times New Roman" w:hAnsi="Times New Roman" w:cs="Times New Roman"/>
          <w:bCs/>
          <w:sz w:val="24"/>
          <w:szCs w:val="24"/>
        </w:rPr>
      </w:pPr>
      <w:r>
        <w:rPr>
          <w:rFonts w:ascii="Times New Roman" w:hAnsi="Times New Roman" w:cs="Times New Roman"/>
          <w:bCs/>
          <w:sz w:val="24"/>
          <w:szCs w:val="24"/>
        </w:rPr>
        <w:lastRenderedPageBreak/>
        <w:t>Correct errors</w:t>
      </w:r>
    </w:p>
    <w:p w:rsidR="00594C15" w:rsidRDefault="00594C15" w:rsidP="0021689A">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Emission limits and standards</w:t>
      </w:r>
    </w:p>
    <w:p w:rsidR="00594C15" w:rsidRDefault="00594C15"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Repeal outdated rules</w:t>
      </w:r>
    </w:p>
    <w:p w:rsidR="00594C15" w:rsidRPr="0021689A" w:rsidRDefault="00594C15" w:rsidP="0021689A">
      <w:pPr>
        <w:pStyle w:val="ListParagraph"/>
        <w:numPr>
          <w:ilvl w:val="1"/>
          <w:numId w:val="18"/>
        </w:numPr>
        <w:spacing w:after="0" w:line="240" w:lineRule="auto"/>
        <w:rPr>
          <w:rFonts w:ascii="Times New Roman" w:hAnsi="Times New Roman" w:cs="Times New Roman"/>
          <w:bCs/>
          <w:sz w:val="24"/>
          <w:szCs w:val="24"/>
        </w:rPr>
      </w:pPr>
      <w:r w:rsidRPr="0021689A">
        <w:rPr>
          <w:rFonts w:ascii="Times New Roman" w:hAnsi="Times New Roman" w:cs="Times New Roman"/>
          <w:bCs/>
          <w:sz w:val="24"/>
          <w:szCs w:val="24"/>
        </w:rPr>
        <w:t>Update existing limits</w:t>
      </w:r>
      <w:r w:rsidR="00327397" w:rsidRPr="0021689A">
        <w:rPr>
          <w:rFonts w:ascii="Times New Roman" w:hAnsi="Times New Roman" w:cs="Times New Roman"/>
          <w:bCs/>
          <w:sz w:val="24"/>
          <w:szCs w:val="24"/>
        </w:rPr>
        <w:t xml:space="preserve"> to address PM2.5 </w:t>
      </w:r>
    </w:p>
    <w:p w:rsidR="00421616" w:rsidRDefault="00421616" w:rsidP="0021689A">
      <w:pPr>
        <w:pStyle w:val="ListParagraph"/>
        <w:numPr>
          <w:ilvl w:val="2"/>
          <w:numId w:val="18"/>
        </w:numPr>
        <w:spacing w:after="0" w:line="240" w:lineRule="auto"/>
        <w:rPr>
          <w:rFonts w:ascii="Times New Roman" w:hAnsi="Times New Roman" w:cs="Times New Roman"/>
          <w:bCs/>
          <w:sz w:val="24"/>
          <w:szCs w:val="24"/>
        </w:rPr>
      </w:pPr>
      <w:r w:rsidRPr="0021689A">
        <w:rPr>
          <w:rFonts w:ascii="Times New Roman" w:hAnsi="Times New Roman" w:cs="Times New Roman"/>
          <w:bCs/>
          <w:sz w:val="24"/>
          <w:szCs w:val="24"/>
        </w:rPr>
        <w:t>Opacity</w:t>
      </w:r>
    </w:p>
    <w:p w:rsidR="00421616" w:rsidRPr="00594C15" w:rsidRDefault="00421616" w:rsidP="0021689A">
      <w:pPr>
        <w:pStyle w:val="ListParagraph"/>
        <w:numPr>
          <w:ilvl w:val="2"/>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Grain loading</w:t>
      </w:r>
    </w:p>
    <w:p w:rsidR="00923519" w:rsidRDefault="00923519" w:rsidP="0021689A">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New Source Review Program overhaul</w:t>
      </w:r>
    </w:p>
    <w:p w:rsidR="00614ACE" w:rsidRPr="00614ACE" w:rsidRDefault="00614ACE" w:rsidP="0021689A">
      <w:pPr>
        <w:pStyle w:val="ListParagraph"/>
        <w:numPr>
          <w:ilvl w:val="1"/>
          <w:numId w:val="18"/>
        </w:numPr>
        <w:rPr>
          <w:rFonts w:ascii="Times New Roman" w:hAnsi="Times New Roman" w:cs="Times New Roman"/>
          <w:bCs/>
          <w:sz w:val="24"/>
          <w:szCs w:val="24"/>
        </w:rPr>
      </w:pPr>
      <w:r w:rsidRPr="00614ACE">
        <w:rPr>
          <w:rFonts w:ascii="Times New Roman" w:hAnsi="Times New Roman" w:cs="Times New Roman"/>
          <w:bCs/>
          <w:sz w:val="24"/>
          <w:szCs w:val="24"/>
        </w:rPr>
        <w:t>Redefine major source - use EPA major source definition</w:t>
      </w:r>
      <w:r w:rsidR="0021689A">
        <w:rPr>
          <w:rFonts w:ascii="Times New Roman" w:hAnsi="Times New Roman" w:cs="Times New Roman"/>
          <w:bCs/>
          <w:sz w:val="24"/>
          <w:szCs w:val="24"/>
        </w:rPr>
        <w:t xml:space="preserve"> (EXAMPLES)</w:t>
      </w:r>
    </w:p>
    <w:p w:rsidR="0005314D" w:rsidRPr="0005314D" w:rsidRDefault="0005314D" w:rsidP="0021689A">
      <w:pPr>
        <w:pStyle w:val="ListParagraph"/>
        <w:numPr>
          <w:ilvl w:val="1"/>
          <w:numId w:val="18"/>
        </w:numPr>
        <w:rPr>
          <w:rFonts w:ascii="Times New Roman" w:hAnsi="Times New Roman" w:cs="Times New Roman"/>
          <w:bCs/>
          <w:sz w:val="24"/>
          <w:szCs w:val="24"/>
        </w:rPr>
      </w:pPr>
      <w:r w:rsidRPr="0005314D">
        <w:rPr>
          <w:rFonts w:ascii="Times New Roman" w:hAnsi="Times New Roman" w:cs="Times New Roman"/>
          <w:bCs/>
          <w:sz w:val="24"/>
          <w:szCs w:val="24"/>
        </w:rPr>
        <w:t>Define two new types of areas</w:t>
      </w:r>
      <w:r w:rsidR="00614ACE">
        <w:rPr>
          <w:rFonts w:ascii="Times New Roman" w:hAnsi="Times New Roman" w:cs="Times New Roman"/>
          <w:bCs/>
          <w:sz w:val="24"/>
          <w:szCs w:val="24"/>
        </w:rPr>
        <w:t xml:space="preserve"> to improve or maintain air quality</w:t>
      </w:r>
      <w:r w:rsidRPr="0005314D">
        <w:rPr>
          <w:rFonts w:ascii="Times New Roman" w:hAnsi="Times New Roman" w:cs="Times New Roman"/>
          <w:bCs/>
          <w:sz w:val="24"/>
          <w:szCs w:val="24"/>
        </w:rPr>
        <w:t>:</w:t>
      </w:r>
    </w:p>
    <w:p w:rsidR="0005314D" w:rsidRPr="0005314D" w:rsidRDefault="0005314D" w:rsidP="0021689A">
      <w:pPr>
        <w:pStyle w:val="ListParagraph"/>
        <w:numPr>
          <w:ilvl w:val="2"/>
          <w:numId w:val="18"/>
        </w:numPr>
        <w:spacing w:after="0" w:line="240" w:lineRule="auto"/>
        <w:rPr>
          <w:rFonts w:ascii="Times New Roman" w:hAnsi="Times New Roman" w:cs="Times New Roman"/>
          <w:bCs/>
          <w:sz w:val="24"/>
          <w:szCs w:val="24"/>
        </w:rPr>
      </w:pPr>
      <w:r w:rsidRPr="0005314D">
        <w:rPr>
          <w:rFonts w:ascii="Times New Roman" w:hAnsi="Times New Roman" w:cs="Times New Roman"/>
          <w:bCs/>
          <w:sz w:val="24"/>
          <w:szCs w:val="24"/>
        </w:rPr>
        <w:t>S</w:t>
      </w:r>
      <w:r w:rsidR="000701B3" w:rsidRPr="0005314D">
        <w:rPr>
          <w:rFonts w:ascii="Times New Roman" w:hAnsi="Times New Roman" w:cs="Times New Roman"/>
          <w:bCs/>
          <w:sz w:val="24"/>
          <w:szCs w:val="24"/>
        </w:rPr>
        <w:t>ustainment</w:t>
      </w:r>
      <w:r w:rsidRPr="0005314D">
        <w:rPr>
          <w:rFonts w:ascii="Times New Roman" w:hAnsi="Times New Roman" w:cs="Times New Roman"/>
          <w:bCs/>
          <w:sz w:val="24"/>
          <w:szCs w:val="24"/>
        </w:rPr>
        <w:t xml:space="preserve"> – to help prevent an attainment area from becoming nonattainment</w:t>
      </w:r>
      <w:r w:rsidR="0021689A">
        <w:rPr>
          <w:rFonts w:ascii="Times New Roman" w:hAnsi="Times New Roman" w:cs="Times New Roman"/>
          <w:bCs/>
          <w:sz w:val="24"/>
          <w:szCs w:val="24"/>
        </w:rPr>
        <w:t xml:space="preserve"> (L</w:t>
      </w:r>
      <w:r w:rsidR="000701B3">
        <w:rPr>
          <w:rFonts w:ascii="Times New Roman" w:hAnsi="Times New Roman" w:cs="Times New Roman"/>
          <w:bCs/>
          <w:sz w:val="24"/>
          <w:szCs w:val="24"/>
        </w:rPr>
        <w:t>akeview</w:t>
      </w:r>
      <w:r w:rsidR="0021689A">
        <w:rPr>
          <w:rFonts w:ascii="Times New Roman" w:hAnsi="Times New Roman" w:cs="Times New Roman"/>
          <w:bCs/>
          <w:sz w:val="24"/>
          <w:szCs w:val="24"/>
        </w:rPr>
        <w:t>)</w:t>
      </w:r>
    </w:p>
    <w:p w:rsidR="0005314D" w:rsidRDefault="0005314D" w:rsidP="0021689A">
      <w:pPr>
        <w:pStyle w:val="ListParagraph"/>
        <w:numPr>
          <w:ilvl w:val="2"/>
          <w:numId w:val="18"/>
        </w:numPr>
        <w:spacing w:after="0" w:line="240" w:lineRule="auto"/>
        <w:rPr>
          <w:rFonts w:ascii="Times New Roman" w:hAnsi="Times New Roman" w:cs="Times New Roman"/>
          <w:bCs/>
          <w:sz w:val="24"/>
          <w:szCs w:val="24"/>
        </w:rPr>
      </w:pPr>
      <w:r w:rsidRPr="0005314D">
        <w:rPr>
          <w:rFonts w:ascii="Times New Roman" w:hAnsi="Times New Roman" w:cs="Times New Roman"/>
          <w:bCs/>
          <w:sz w:val="24"/>
          <w:szCs w:val="24"/>
        </w:rPr>
        <w:t>R</w:t>
      </w:r>
      <w:r w:rsidR="000701B3" w:rsidRPr="0005314D">
        <w:rPr>
          <w:rFonts w:ascii="Times New Roman" w:hAnsi="Times New Roman" w:cs="Times New Roman"/>
          <w:bCs/>
          <w:sz w:val="24"/>
          <w:szCs w:val="24"/>
        </w:rPr>
        <w:t>eattainment</w:t>
      </w:r>
      <w:r w:rsidRPr="0005314D">
        <w:rPr>
          <w:rFonts w:ascii="Times New Roman" w:hAnsi="Times New Roman" w:cs="Times New Roman"/>
          <w:bCs/>
          <w:sz w:val="24"/>
          <w:szCs w:val="24"/>
        </w:rPr>
        <w:t xml:space="preserve"> – to help transition an area from nonattainment back to maintenance (attainment) more quickly</w:t>
      </w:r>
    </w:p>
    <w:p w:rsidR="0005314D" w:rsidRPr="0005314D" w:rsidRDefault="0005314D" w:rsidP="0021689A">
      <w:pPr>
        <w:pStyle w:val="ListParagraph"/>
        <w:numPr>
          <w:ilvl w:val="1"/>
          <w:numId w:val="18"/>
        </w:numPr>
        <w:spacing w:after="0" w:line="240" w:lineRule="auto"/>
        <w:rPr>
          <w:rFonts w:ascii="Times New Roman" w:hAnsi="Times New Roman" w:cs="Times New Roman"/>
          <w:bCs/>
          <w:sz w:val="24"/>
          <w:szCs w:val="24"/>
        </w:rPr>
      </w:pPr>
      <w:r w:rsidRPr="0005314D">
        <w:rPr>
          <w:rFonts w:ascii="Times New Roman" w:hAnsi="Times New Roman" w:cs="Times New Roman"/>
          <w:bCs/>
          <w:sz w:val="24"/>
          <w:szCs w:val="24"/>
        </w:rPr>
        <w:t>Define State New Source Review Program</w:t>
      </w:r>
      <w:r>
        <w:rPr>
          <w:rFonts w:ascii="Times New Roman" w:hAnsi="Times New Roman" w:cs="Times New Roman"/>
          <w:bCs/>
          <w:sz w:val="24"/>
          <w:szCs w:val="24"/>
        </w:rPr>
        <w:t xml:space="preserve"> (component of overall Minor New Source Review Program)</w:t>
      </w:r>
    </w:p>
    <w:p w:rsidR="008A0206" w:rsidRDefault="008A0206" w:rsidP="0021689A">
      <w:pPr>
        <w:pStyle w:val="ListParagraph"/>
        <w:numPr>
          <w:ilvl w:val="1"/>
          <w:numId w:val="18"/>
        </w:numPr>
        <w:rPr>
          <w:rFonts w:ascii="Times New Roman" w:hAnsi="Times New Roman" w:cs="Times New Roman"/>
          <w:bCs/>
          <w:sz w:val="24"/>
          <w:szCs w:val="24"/>
        </w:rPr>
      </w:pPr>
      <w:r>
        <w:rPr>
          <w:rFonts w:ascii="Times New Roman" w:hAnsi="Times New Roman" w:cs="Times New Roman"/>
          <w:bCs/>
          <w:sz w:val="24"/>
          <w:szCs w:val="24"/>
        </w:rPr>
        <w:t>Redefin</w:t>
      </w:r>
      <w:r w:rsidR="004D0697">
        <w:rPr>
          <w:rFonts w:ascii="Times New Roman" w:hAnsi="Times New Roman" w:cs="Times New Roman"/>
          <w:bCs/>
          <w:sz w:val="24"/>
          <w:szCs w:val="24"/>
        </w:rPr>
        <w:t>e</w:t>
      </w:r>
      <w:r>
        <w:rPr>
          <w:rFonts w:ascii="Times New Roman" w:hAnsi="Times New Roman" w:cs="Times New Roman"/>
          <w:bCs/>
          <w:sz w:val="24"/>
          <w:szCs w:val="24"/>
        </w:rPr>
        <w:t xml:space="preserve"> net air quality benefit</w:t>
      </w:r>
    </w:p>
    <w:p w:rsidR="000701B3" w:rsidRDefault="004B1A5E" w:rsidP="0021689A">
      <w:pPr>
        <w:pStyle w:val="ListParagraph"/>
        <w:numPr>
          <w:ilvl w:val="2"/>
          <w:numId w:val="18"/>
        </w:numPr>
        <w:rPr>
          <w:rFonts w:ascii="Times New Roman" w:hAnsi="Times New Roman" w:cs="Times New Roman"/>
          <w:bCs/>
          <w:sz w:val="24"/>
          <w:szCs w:val="24"/>
        </w:rPr>
      </w:pPr>
      <w:r w:rsidRPr="000701B3">
        <w:rPr>
          <w:rFonts w:ascii="Times New Roman" w:hAnsi="Times New Roman" w:cs="Times New Roman"/>
          <w:bCs/>
          <w:sz w:val="24"/>
          <w:szCs w:val="24"/>
        </w:rPr>
        <w:t>Revise o</w:t>
      </w:r>
      <w:r w:rsidR="0005314D" w:rsidRPr="000701B3">
        <w:rPr>
          <w:rFonts w:ascii="Times New Roman" w:hAnsi="Times New Roman" w:cs="Times New Roman"/>
          <w:bCs/>
          <w:sz w:val="24"/>
          <w:szCs w:val="24"/>
        </w:rPr>
        <w:t xml:space="preserve">ffset ratios </w:t>
      </w:r>
      <w:r w:rsidRPr="000701B3">
        <w:rPr>
          <w:rFonts w:ascii="Times New Roman" w:hAnsi="Times New Roman" w:cs="Times New Roman"/>
          <w:bCs/>
          <w:sz w:val="24"/>
          <w:szCs w:val="24"/>
        </w:rPr>
        <w:t xml:space="preserve">and provide incentives </w:t>
      </w:r>
      <w:r w:rsidR="0005314D" w:rsidRPr="000701B3">
        <w:rPr>
          <w:rFonts w:ascii="Times New Roman" w:hAnsi="Times New Roman" w:cs="Times New Roman"/>
          <w:bCs/>
          <w:sz w:val="24"/>
          <w:szCs w:val="24"/>
        </w:rPr>
        <w:t xml:space="preserve">to </w:t>
      </w:r>
      <w:r w:rsidRPr="000701B3">
        <w:rPr>
          <w:rFonts w:ascii="Times New Roman" w:hAnsi="Times New Roman" w:cs="Times New Roman"/>
          <w:bCs/>
          <w:sz w:val="24"/>
          <w:szCs w:val="24"/>
        </w:rPr>
        <w:t xml:space="preserve">obtain offsets from priority sources </w:t>
      </w:r>
      <w:r w:rsidR="006A02B4" w:rsidRPr="000701B3">
        <w:rPr>
          <w:rFonts w:ascii="Times New Roman" w:hAnsi="Times New Roman" w:cs="Times New Roman"/>
          <w:bCs/>
          <w:sz w:val="24"/>
          <w:szCs w:val="24"/>
        </w:rPr>
        <w:t xml:space="preserve"> </w:t>
      </w:r>
    </w:p>
    <w:p w:rsidR="004B1A5E" w:rsidRPr="000701B3" w:rsidRDefault="004B1A5E" w:rsidP="0021689A">
      <w:pPr>
        <w:pStyle w:val="ListParagraph"/>
        <w:numPr>
          <w:ilvl w:val="2"/>
          <w:numId w:val="18"/>
        </w:numPr>
        <w:rPr>
          <w:rFonts w:ascii="Times New Roman" w:hAnsi="Times New Roman" w:cs="Times New Roman"/>
          <w:bCs/>
          <w:sz w:val="24"/>
          <w:szCs w:val="24"/>
        </w:rPr>
      </w:pPr>
      <w:r w:rsidRPr="000701B3">
        <w:rPr>
          <w:rFonts w:ascii="Times New Roman" w:hAnsi="Times New Roman" w:cs="Times New Roman"/>
          <w:bCs/>
          <w:sz w:val="24"/>
          <w:szCs w:val="24"/>
        </w:rPr>
        <w:t>Improve modeling procedures for demonstrating net air quality benefit</w:t>
      </w:r>
      <w:r w:rsidR="000701B3">
        <w:rPr>
          <w:rFonts w:ascii="Times New Roman" w:hAnsi="Times New Roman" w:cs="Times New Roman"/>
          <w:bCs/>
          <w:sz w:val="24"/>
          <w:szCs w:val="24"/>
        </w:rPr>
        <w:t xml:space="preserve"> </w:t>
      </w:r>
    </w:p>
    <w:p w:rsidR="00554559" w:rsidRDefault="00554559" w:rsidP="00554559">
      <w:pPr>
        <w:pStyle w:val="ListParagraph"/>
        <w:numPr>
          <w:ilvl w:val="1"/>
          <w:numId w:val="18"/>
        </w:numPr>
        <w:rPr>
          <w:rFonts w:ascii="Times New Roman" w:hAnsi="Times New Roman" w:cs="Times New Roman"/>
          <w:bCs/>
          <w:sz w:val="24"/>
          <w:szCs w:val="24"/>
        </w:rPr>
      </w:pPr>
      <w:r>
        <w:rPr>
          <w:rFonts w:ascii="Times New Roman" w:hAnsi="Times New Roman" w:cs="Times New Roman"/>
          <w:bCs/>
          <w:sz w:val="24"/>
          <w:szCs w:val="24"/>
        </w:rPr>
        <w:t xml:space="preserve">Enhancements to </w:t>
      </w:r>
      <w:r w:rsidRPr="00554559">
        <w:rPr>
          <w:rFonts w:ascii="Times New Roman" w:hAnsi="Times New Roman" w:cs="Times New Roman"/>
          <w:bCs/>
          <w:sz w:val="24"/>
          <w:szCs w:val="24"/>
        </w:rPr>
        <w:t>Major and State New Source Review Programs</w:t>
      </w:r>
    </w:p>
    <w:p w:rsidR="004151FF" w:rsidRDefault="004151FF" w:rsidP="004151FF">
      <w:pPr>
        <w:pStyle w:val="ListParagraph"/>
        <w:numPr>
          <w:ilvl w:val="2"/>
          <w:numId w:val="18"/>
        </w:numPr>
        <w:rPr>
          <w:rFonts w:ascii="Times New Roman" w:hAnsi="Times New Roman" w:cs="Times New Roman"/>
          <w:bCs/>
          <w:sz w:val="24"/>
          <w:szCs w:val="24"/>
        </w:rPr>
      </w:pPr>
      <w:r>
        <w:rPr>
          <w:rFonts w:ascii="Times New Roman" w:hAnsi="Times New Roman" w:cs="Times New Roman"/>
          <w:bCs/>
          <w:sz w:val="24"/>
          <w:szCs w:val="24"/>
        </w:rPr>
        <w:t>Offsets from “priority” sources</w:t>
      </w:r>
    </w:p>
    <w:p w:rsidR="004151FF" w:rsidRPr="00554559" w:rsidRDefault="004151FF" w:rsidP="004151FF">
      <w:pPr>
        <w:pStyle w:val="ListParagraph"/>
        <w:numPr>
          <w:ilvl w:val="2"/>
          <w:numId w:val="18"/>
        </w:numPr>
        <w:rPr>
          <w:rFonts w:ascii="Times New Roman" w:hAnsi="Times New Roman" w:cs="Times New Roman"/>
          <w:bCs/>
          <w:sz w:val="24"/>
          <w:szCs w:val="24"/>
        </w:rPr>
      </w:pPr>
      <w:r>
        <w:rPr>
          <w:rFonts w:ascii="Times New Roman" w:hAnsi="Times New Roman" w:cs="Times New Roman"/>
          <w:bCs/>
          <w:sz w:val="24"/>
          <w:szCs w:val="24"/>
        </w:rPr>
        <w:t>Increased offset ratio</w:t>
      </w:r>
    </w:p>
    <w:p w:rsidR="00594C15" w:rsidRPr="00BF074C" w:rsidRDefault="00594C15" w:rsidP="0021689A">
      <w:pPr>
        <w:pStyle w:val="ListParagraph"/>
        <w:numPr>
          <w:ilvl w:val="0"/>
          <w:numId w:val="18"/>
        </w:numPr>
        <w:rPr>
          <w:rFonts w:ascii="Times New Roman" w:hAnsi="Times New Roman" w:cs="Times New Roman"/>
          <w:bCs/>
          <w:sz w:val="24"/>
          <w:szCs w:val="24"/>
        </w:rPr>
      </w:pPr>
      <w:r>
        <w:rPr>
          <w:rFonts w:ascii="Times New Roman" w:hAnsi="Times New Roman" w:cs="Times New Roman"/>
          <w:bCs/>
          <w:sz w:val="24"/>
          <w:szCs w:val="24"/>
        </w:rPr>
        <w:t>Compliance</w:t>
      </w:r>
    </w:p>
    <w:p w:rsidR="000F4FAB" w:rsidRDefault="000F4FAB" w:rsidP="0021689A">
      <w:pPr>
        <w:pStyle w:val="ListParagraph"/>
        <w:numPr>
          <w:ilvl w:val="1"/>
          <w:numId w:val="18"/>
        </w:numPr>
        <w:spacing w:after="0" w:line="240" w:lineRule="auto"/>
        <w:rPr>
          <w:rFonts w:ascii="Times New Roman" w:hAnsi="Times New Roman" w:cs="Times New Roman"/>
          <w:bCs/>
          <w:sz w:val="24"/>
          <w:szCs w:val="24"/>
        </w:rPr>
      </w:pPr>
      <w:r w:rsidRPr="005A5986">
        <w:rPr>
          <w:rFonts w:ascii="Times New Roman" w:hAnsi="Times New Roman" w:cs="Times New Roman"/>
          <w:bCs/>
          <w:sz w:val="24"/>
          <w:szCs w:val="24"/>
        </w:rPr>
        <w:t xml:space="preserve">Update continuous monitoring and source test manuals </w:t>
      </w:r>
    </w:p>
    <w:p w:rsidR="00594C15" w:rsidRDefault="00594C15"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Excess emissions</w:t>
      </w:r>
    </w:p>
    <w:p w:rsidR="00594C15" w:rsidRPr="005A5986" w:rsidRDefault="00594C15" w:rsidP="0021689A">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Test methods with all standards</w:t>
      </w:r>
    </w:p>
    <w:p w:rsidR="00BC4A28" w:rsidRDefault="00BD72C2" w:rsidP="0021689A">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Permitting </w:t>
      </w:r>
      <w:r w:rsidR="00775898" w:rsidRPr="00775898">
        <w:rPr>
          <w:rFonts w:ascii="Times New Roman" w:hAnsi="Times New Roman" w:cs="Times New Roman"/>
          <w:bCs/>
          <w:sz w:val="24"/>
          <w:szCs w:val="24"/>
        </w:rPr>
        <w:t>Change</w:t>
      </w:r>
      <w:r w:rsidR="006B7D24">
        <w:rPr>
          <w:rFonts w:ascii="Times New Roman" w:hAnsi="Times New Roman" w:cs="Times New Roman"/>
          <w:bCs/>
          <w:sz w:val="24"/>
          <w:szCs w:val="24"/>
        </w:rPr>
        <w:t>s</w:t>
      </w:r>
      <w:r w:rsidR="00775898" w:rsidRPr="00775898">
        <w:rPr>
          <w:rFonts w:ascii="Times New Roman" w:hAnsi="Times New Roman" w:cs="Times New Roman"/>
          <w:bCs/>
          <w:sz w:val="24"/>
          <w:szCs w:val="24"/>
        </w:rPr>
        <w:t xml:space="preserve"> </w:t>
      </w:r>
    </w:p>
    <w:p w:rsidR="00356D36" w:rsidRPr="00356D36" w:rsidRDefault="00356D36" w:rsidP="00356D36">
      <w:pPr>
        <w:pStyle w:val="ListParagraph"/>
        <w:numPr>
          <w:ilvl w:val="1"/>
          <w:numId w:val="18"/>
        </w:numPr>
        <w:spacing w:after="0" w:line="240" w:lineRule="auto"/>
        <w:rPr>
          <w:rFonts w:ascii="Times New Roman" w:hAnsi="Times New Roman" w:cs="Times New Roman"/>
          <w:bCs/>
          <w:sz w:val="24"/>
          <w:szCs w:val="24"/>
        </w:rPr>
      </w:pPr>
      <w:r w:rsidRPr="00356D36">
        <w:rPr>
          <w:rFonts w:ascii="Times New Roman" w:hAnsi="Times New Roman" w:cs="Times New Roman"/>
          <w:bCs/>
          <w:sz w:val="24"/>
          <w:szCs w:val="24"/>
        </w:rPr>
        <w:t>Revise definition of categorically insignificant activities</w:t>
      </w:r>
    </w:p>
    <w:p w:rsidR="006A02B4" w:rsidRPr="00356D36" w:rsidRDefault="00393A16" w:rsidP="00393A16">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Update</w:t>
      </w:r>
      <w:r w:rsidR="00BC4A28" w:rsidRPr="00356D36">
        <w:rPr>
          <w:rFonts w:ascii="Times New Roman" w:hAnsi="Times New Roman" w:cs="Times New Roman"/>
          <w:bCs/>
          <w:sz w:val="24"/>
          <w:szCs w:val="24"/>
        </w:rPr>
        <w:t xml:space="preserve"> </w:t>
      </w:r>
      <w:r w:rsidR="00356D36" w:rsidRPr="00356D36">
        <w:rPr>
          <w:rFonts w:ascii="Times New Roman" w:hAnsi="Times New Roman" w:cs="Times New Roman"/>
          <w:bCs/>
          <w:sz w:val="24"/>
          <w:szCs w:val="24"/>
        </w:rPr>
        <w:t xml:space="preserve">ACDP </w:t>
      </w:r>
      <w:r w:rsidR="00BC4A28" w:rsidRPr="00356D36">
        <w:rPr>
          <w:rFonts w:ascii="Times New Roman" w:hAnsi="Times New Roman" w:cs="Times New Roman"/>
          <w:bCs/>
          <w:sz w:val="24"/>
          <w:szCs w:val="24"/>
        </w:rPr>
        <w:t>source categories</w:t>
      </w:r>
      <w:r w:rsidR="00356D36" w:rsidRPr="00356D36">
        <w:rPr>
          <w:rFonts w:ascii="Times New Roman" w:hAnsi="Times New Roman" w:cs="Times New Roman"/>
          <w:bCs/>
          <w:sz w:val="24"/>
          <w:szCs w:val="24"/>
        </w:rPr>
        <w:t xml:space="preserve"> - </w:t>
      </w:r>
      <w:r w:rsidR="006A02B4" w:rsidRPr="00356D36">
        <w:rPr>
          <w:rFonts w:ascii="Times New Roman" w:hAnsi="Times New Roman" w:cs="Times New Roman"/>
          <w:bCs/>
          <w:sz w:val="24"/>
          <w:szCs w:val="24"/>
        </w:rPr>
        <w:t>Table 1 changes</w:t>
      </w:r>
    </w:p>
    <w:p w:rsidR="00BD72C2" w:rsidRDefault="00BD72C2" w:rsidP="00BD72C2">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I</w:t>
      </w:r>
      <w:r w:rsidRPr="00775898">
        <w:rPr>
          <w:rFonts w:ascii="Times New Roman" w:hAnsi="Times New Roman" w:cs="Times New Roman"/>
          <w:bCs/>
          <w:sz w:val="24"/>
          <w:szCs w:val="24"/>
        </w:rPr>
        <w:t xml:space="preserve">mprove </w:t>
      </w:r>
      <w:r>
        <w:rPr>
          <w:rFonts w:ascii="Times New Roman" w:hAnsi="Times New Roman" w:cs="Times New Roman"/>
          <w:bCs/>
          <w:sz w:val="24"/>
          <w:szCs w:val="24"/>
        </w:rPr>
        <w:t>ACDP</w:t>
      </w:r>
      <w:r w:rsidRPr="00775898">
        <w:rPr>
          <w:rFonts w:ascii="Times New Roman" w:hAnsi="Times New Roman" w:cs="Times New Roman"/>
          <w:bCs/>
          <w:sz w:val="24"/>
          <w:szCs w:val="24"/>
        </w:rPr>
        <w:t xml:space="preserve"> timeliness</w:t>
      </w:r>
    </w:p>
    <w:p w:rsidR="001975CC" w:rsidRDefault="001975CC" w:rsidP="001975CC">
      <w:pPr>
        <w:spacing w:after="0" w:line="240" w:lineRule="auto"/>
        <w:rPr>
          <w:rFonts w:ascii="Times New Roman" w:hAnsi="Times New Roman" w:cs="Times New Roman"/>
          <w:bCs/>
          <w:sz w:val="24"/>
          <w:szCs w:val="24"/>
        </w:rPr>
      </w:pPr>
    </w:p>
    <w:p w:rsidR="001975CC" w:rsidRPr="001975CC" w:rsidRDefault="001975CC" w:rsidP="001975CC">
      <w:pPr>
        <w:pStyle w:val="Heading1"/>
      </w:pPr>
      <w:bookmarkStart w:id="0" w:name="_Toc366837594"/>
      <w:r w:rsidRPr="001975CC">
        <w:t>Rule Improvements</w:t>
      </w:r>
      <w:bookmarkEnd w:id="0"/>
    </w:p>
    <w:p w:rsidR="00076B31" w:rsidRDefault="00076B31" w:rsidP="00C90516">
      <w:pPr>
        <w:pStyle w:val="ListParagraph"/>
        <w:spacing w:after="0" w:line="240" w:lineRule="auto"/>
        <w:rPr>
          <w:rFonts w:ascii="Times New Roman" w:hAnsi="Times New Roman" w:cs="Times New Roman"/>
          <w:bCs/>
          <w:sz w:val="24"/>
          <w:szCs w:val="24"/>
        </w:rPr>
      </w:pPr>
    </w:p>
    <w:p w:rsidR="00184ACE" w:rsidRPr="00A23FF6" w:rsidRDefault="00184ACE" w:rsidP="00A23FF6">
      <w:pPr>
        <w:pStyle w:val="Heading2"/>
      </w:pPr>
      <w:bookmarkStart w:id="1" w:name="_Toc366837595"/>
      <w:r w:rsidRPr="00A23FF6">
        <w:t>Make the rules easier to use</w:t>
      </w:r>
      <w:r w:rsidR="00A23FF6" w:rsidRPr="00A23FF6">
        <w:t xml:space="preserve"> by reorganizing</w:t>
      </w:r>
      <w:bookmarkEnd w:id="1"/>
    </w:p>
    <w:p w:rsidR="00451352" w:rsidRPr="00451352" w:rsidRDefault="00184ACE" w:rsidP="00C9051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There are many procedural requirements </w:t>
      </w:r>
      <w:r w:rsidR="004D0697">
        <w:rPr>
          <w:rFonts w:ascii="Times New Roman" w:hAnsi="Times New Roman" w:cs="Times New Roman"/>
          <w:bCs/>
          <w:sz w:val="24"/>
          <w:szCs w:val="24"/>
        </w:rPr>
        <w:t>related to</w:t>
      </w:r>
      <w:r>
        <w:rPr>
          <w:rFonts w:ascii="Times New Roman" w:hAnsi="Times New Roman" w:cs="Times New Roman"/>
          <w:bCs/>
          <w:sz w:val="24"/>
          <w:szCs w:val="24"/>
        </w:rPr>
        <w:t xml:space="preserve"> Plant Site Emission Limits </w:t>
      </w:r>
      <w:r w:rsidR="004D0697">
        <w:rPr>
          <w:rFonts w:ascii="Times New Roman" w:hAnsi="Times New Roman" w:cs="Times New Roman"/>
          <w:bCs/>
          <w:sz w:val="24"/>
          <w:szCs w:val="24"/>
        </w:rPr>
        <w:t xml:space="preserve">and Netting Basis </w:t>
      </w:r>
      <w:r>
        <w:rPr>
          <w:rFonts w:ascii="Times New Roman" w:hAnsi="Times New Roman" w:cs="Times New Roman"/>
          <w:bCs/>
          <w:sz w:val="24"/>
          <w:szCs w:val="24"/>
        </w:rPr>
        <w:t>contained in division 200, which houses common definitions for air quality regulations</w:t>
      </w:r>
      <w:r w:rsidR="008C2CC3">
        <w:rPr>
          <w:rFonts w:ascii="Times New Roman" w:hAnsi="Times New Roman" w:cs="Times New Roman"/>
          <w:bCs/>
          <w:sz w:val="24"/>
          <w:szCs w:val="24"/>
        </w:rPr>
        <w:t xml:space="preserve">. </w:t>
      </w:r>
      <w:r>
        <w:rPr>
          <w:rFonts w:ascii="Times New Roman" w:hAnsi="Times New Roman" w:cs="Times New Roman"/>
          <w:bCs/>
          <w:sz w:val="24"/>
          <w:szCs w:val="24"/>
        </w:rPr>
        <w:t xml:space="preserve">People who are unfamiliar with the rules wouldn’t know to look in the definitions for these requirements. Therefore, DEQ is moving these procedural requirements </w:t>
      </w:r>
      <w:r w:rsidR="00F544D9">
        <w:rPr>
          <w:rFonts w:ascii="Times New Roman" w:hAnsi="Times New Roman" w:cs="Times New Roman"/>
          <w:bCs/>
          <w:sz w:val="24"/>
          <w:szCs w:val="24"/>
        </w:rPr>
        <w:t xml:space="preserve">to where they belong in </w:t>
      </w:r>
      <w:r>
        <w:rPr>
          <w:rFonts w:ascii="Times New Roman" w:hAnsi="Times New Roman" w:cs="Times New Roman"/>
          <w:bCs/>
          <w:sz w:val="24"/>
          <w:szCs w:val="24"/>
        </w:rPr>
        <w:t xml:space="preserve">division 222, </w:t>
      </w:r>
      <w:r w:rsidRPr="00184ACE">
        <w:rPr>
          <w:rFonts w:ascii="Times New Roman" w:hAnsi="Times New Roman" w:cs="Times New Roman"/>
          <w:bCs/>
          <w:sz w:val="24"/>
          <w:szCs w:val="24"/>
        </w:rPr>
        <w:t>Stationary Source Plant Site Emission Limits</w:t>
      </w:r>
      <w:r w:rsidR="008C2CC3">
        <w:rPr>
          <w:rFonts w:ascii="Times New Roman" w:hAnsi="Times New Roman" w:cs="Times New Roman"/>
          <w:bCs/>
          <w:sz w:val="24"/>
          <w:szCs w:val="24"/>
        </w:rPr>
        <w:t xml:space="preserve">. </w:t>
      </w:r>
    </w:p>
    <w:p w:rsidR="005A5986" w:rsidRDefault="005A5986" w:rsidP="00C90516">
      <w:pPr>
        <w:spacing w:after="0" w:line="240" w:lineRule="auto"/>
        <w:rPr>
          <w:rFonts w:ascii="Times New Roman" w:hAnsi="Times New Roman" w:cs="Times New Roman"/>
          <w:sz w:val="24"/>
          <w:szCs w:val="24"/>
        </w:rPr>
      </w:pPr>
    </w:p>
    <w:p w:rsidR="005A5986" w:rsidRDefault="005A5986" w:rsidP="00C9051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are also multiple and sometimes different definitions of the same term throughout the </w:t>
      </w:r>
      <w:r w:rsidR="00C82B33">
        <w:rPr>
          <w:rFonts w:ascii="Times New Roman" w:hAnsi="Times New Roman" w:cs="Times New Roman"/>
          <w:sz w:val="24"/>
          <w:szCs w:val="24"/>
        </w:rPr>
        <w:t xml:space="preserve">divisions that regulate </w:t>
      </w:r>
      <w:r w:rsidR="002F4CD8">
        <w:rPr>
          <w:rFonts w:ascii="Times New Roman" w:hAnsi="Times New Roman" w:cs="Times New Roman"/>
          <w:sz w:val="24"/>
          <w:szCs w:val="24"/>
        </w:rPr>
        <w:t>air quality</w:t>
      </w:r>
      <w:r w:rsidR="008C2CC3">
        <w:rPr>
          <w:rFonts w:ascii="Times New Roman" w:hAnsi="Times New Roman" w:cs="Times New Roman"/>
          <w:sz w:val="24"/>
          <w:szCs w:val="24"/>
        </w:rPr>
        <w:t xml:space="preserve">. </w:t>
      </w:r>
      <w:r>
        <w:rPr>
          <w:rFonts w:ascii="Times New Roman" w:hAnsi="Times New Roman" w:cs="Times New Roman"/>
          <w:sz w:val="24"/>
          <w:szCs w:val="24"/>
        </w:rPr>
        <w:t>DEQ is rectifying these definitions an</w:t>
      </w:r>
      <w:r w:rsidR="00391936">
        <w:rPr>
          <w:rFonts w:ascii="Times New Roman" w:hAnsi="Times New Roman" w:cs="Times New Roman"/>
          <w:sz w:val="24"/>
          <w:szCs w:val="24"/>
        </w:rPr>
        <w:t>d moving them to division 200</w:t>
      </w:r>
      <w:r w:rsidR="008C2CC3">
        <w:rPr>
          <w:rFonts w:ascii="Times New Roman" w:hAnsi="Times New Roman" w:cs="Times New Roman"/>
          <w:sz w:val="24"/>
          <w:szCs w:val="24"/>
        </w:rPr>
        <w:t xml:space="preserve">. </w:t>
      </w:r>
      <w:r w:rsidR="00391936">
        <w:rPr>
          <w:rFonts w:ascii="Times New Roman" w:hAnsi="Times New Roman" w:cs="Times New Roman"/>
          <w:sz w:val="24"/>
          <w:szCs w:val="24"/>
        </w:rPr>
        <w:t>Terms that are used only in on</w:t>
      </w:r>
      <w:r w:rsidR="00C82B33">
        <w:rPr>
          <w:rFonts w:ascii="Times New Roman" w:hAnsi="Times New Roman" w:cs="Times New Roman"/>
          <w:sz w:val="24"/>
          <w:szCs w:val="24"/>
        </w:rPr>
        <w:t>e</w:t>
      </w:r>
      <w:r w:rsidR="00391936">
        <w:rPr>
          <w:rFonts w:ascii="Times New Roman" w:hAnsi="Times New Roman" w:cs="Times New Roman"/>
          <w:sz w:val="24"/>
          <w:szCs w:val="24"/>
        </w:rPr>
        <w:t xml:space="preserve"> division remain defined in that division</w:t>
      </w:r>
      <w:r w:rsidR="008C2CC3">
        <w:rPr>
          <w:rFonts w:ascii="Times New Roman" w:hAnsi="Times New Roman" w:cs="Times New Roman"/>
          <w:sz w:val="24"/>
          <w:szCs w:val="24"/>
        </w:rPr>
        <w:t xml:space="preserve">. </w:t>
      </w:r>
    </w:p>
    <w:p w:rsidR="005A5986" w:rsidRDefault="005A5986" w:rsidP="00C90516">
      <w:pPr>
        <w:spacing w:after="0" w:line="240" w:lineRule="auto"/>
        <w:rPr>
          <w:rFonts w:ascii="Times New Roman" w:hAnsi="Times New Roman" w:cs="Times New Roman"/>
          <w:sz w:val="24"/>
          <w:szCs w:val="24"/>
        </w:rPr>
      </w:pPr>
    </w:p>
    <w:p w:rsidR="000F4FAB" w:rsidRPr="000F4FAB" w:rsidRDefault="00A23FF6" w:rsidP="00A23FF6">
      <w:pPr>
        <w:pStyle w:val="Heading2"/>
      </w:pPr>
      <w:bookmarkStart w:id="2" w:name="_Toc366837596"/>
      <w:r>
        <w:t>Provide c</w:t>
      </w:r>
      <w:r w:rsidR="000F4FAB" w:rsidRPr="000F4FAB">
        <w:t>larif</w:t>
      </w:r>
      <w:r>
        <w:t>ication when needed</w:t>
      </w:r>
      <w:bookmarkEnd w:id="2"/>
    </w:p>
    <w:p w:rsidR="000F4FAB" w:rsidRPr="008C4430" w:rsidRDefault="008C4430" w:rsidP="00C90516">
      <w:pPr>
        <w:spacing w:after="0" w:line="240" w:lineRule="auto"/>
        <w:rPr>
          <w:rFonts w:ascii="Times New Roman" w:hAnsi="Times New Roman" w:cs="Times New Roman"/>
          <w:bCs/>
          <w:sz w:val="24"/>
          <w:szCs w:val="24"/>
        </w:rPr>
      </w:pPr>
      <w:r w:rsidRPr="008C4430">
        <w:rPr>
          <w:rFonts w:ascii="Times New Roman" w:hAnsi="Times New Roman" w:cs="Times New Roman"/>
          <w:bCs/>
          <w:sz w:val="24"/>
          <w:szCs w:val="24"/>
        </w:rPr>
        <w:t>DEQ is clarifying the following</w:t>
      </w:r>
      <w:r>
        <w:rPr>
          <w:rFonts w:ascii="Times New Roman" w:hAnsi="Times New Roman" w:cs="Times New Roman"/>
          <w:bCs/>
          <w:sz w:val="24"/>
          <w:szCs w:val="24"/>
        </w:rPr>
        <w:t xml:space="preserve"> requirements</w:t>
      </w:r>
      <w:r w:rsidRPr="008C4430">
        <w:rPr>
          <w:rFonts w:ascii="Times New Roman" w:hAnsi="Times New Roman" w:cs="Times New Roman"/>
          <w:bCs/>
          <w:sz w:val="24"/>
          <w:szCs w:val="24"/>
        </w:rPr>
        <w:t>:</w:t>
      </w:r>
    </w:p>
    <w:p w:rsidR="00E7179E" w:rsidRDefault="00E7179E" w:rsidP="00C90516">
      <w:pPr>
        <w:pStyle w:val="ListParagraph"/>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who has to get an Air Contaminant Discharge Permit</w:t>
      </w:r>
    </w:p>
    <w:p w:rsidR="00285E73" w:rsidRDefault="000E194F" w:rsidP="00C90516">
      <w:pPr>
        <w:pStyle w:val="ListParagraph"/>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when a Notice of Construction versus a permit/permit modification is needed</w:t>
      </w:r>
    </w:p>
    <w:p w:rsidR="000E194F" w:rsidRDefault="00E7179E" w:rsidP="00C90516">
      <w:pPr>
        <w:pStyle w:val="ListParagraph"/>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what changes fit in Type 1, 2, 3, or 4 </w:t>
      </w:r>
      <w:r w:rsidR="001436AF">
        <w:rPr>
          <w:rFonts w:ascii="Times New Roman" w:hAnsi="Times New Roman" w:cs="Times New Roman"/>
          <w:bCs/>
          <w:sz w:val="24"/>
          <w:szCs w:val="24"/>
        </w:rPr>
        <w:t xml:space="preserve">public </w:t>
      </w:r>
      <w:r w:rsidR="004D0697">
        <w:rPr>
          <w:rFonts w:ascii="Times New Roman" w:hAnsi="Times New Roman" w:cs="Times New Roman"/>
          <w:bCs/>
          <w:sz w:val="24"/>
          <w:szCs w:val="24"/>
        </w:rPr>
        <w:t>notice requirements</w:t>
      </w:r>
    </w:p>
    <w:p w:rsidR="00E7179E" w:rsidRPr="00E7179E" w:rsidRDefault="00E7179E" w:rsidP="00C90516">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 xml:space="preserve">how emergency generators </w:t>
      </w:r>
      <w:r w:rsidR="001436AF">
        <w:rPr>
          <w:rFonts w:ascii="Times New Roman" w:hAnsi="Times New Roman" w:cs="Times New Roman"/>
          <w:bCs/>
          <w:sz w:val="24"/>
          <w:szCs w:val="24"/>
        </w:rPr>
        <w:t xml:space="preserve">and small fuel burning equipment </w:t>
      </w:r>
      <w:r w:rsidRPr="00E7179E">
        <w:rPr>
          <w:rFonts w:ascii="Times New Roman" w:hAnsi="Times New Roman" w:cs="Times New Roman"/>
          <w:bCs/>
          <w:sz w:val="24"/>
          <w:szCs w:val="24"/>
        </w:rPr>
        <w:t>should be permitted</w:t>
      </w:r>
    </w:p>
    <w:p w:rsidR="00E7179E" w:rsidRPr="001436AF" w:rsidRDefault="00E7179E" w:rsidP="001436AF">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 xml:space="preserve">how to permit </w:t>
      </w:r>
      <w:r w:rsidR="001436AF" w:rsidRPr="001436AF">
        <w:rPr>
          <w:rFonts w:ascii="Times New Roman" w:hAnsi="Times New Roman" w:cs="Times New Roman"/>
          <w:bCs/>
          <w:sz w:val="24"/>
          <w:szCs w:val="24"/>
        </w:rPr>
        <w:t>businesses</w:t>
      </w:r>
      <w:r w:rsidRPr="001436AF">
        <w:rPr>
          <w:rFonts w:ascii="Times New Roman" w:hAnsi="Times New Roman" w:cs="Times New Roman"/>
          <w:bCs/>
          <w:sz w:val="24"/>
          <w:szCs w:val="24"/>
        </w:rPr>
        <w:t xml:space="preserve"> that want to be split</w:t>
      </w:r>
      <w:r w:rsidR="001436AF" w:rsidRPr="001436AF">
        <w:rPr>
          <w:rFonts w:ascii="Times New Roman" w:hAnsi="Times New Roman" w:cs="Times New Roman"/>
          <w:bCs/>
          <w:sz w:val="24"/>
          <w:szCs w:val="24"/>
        </w:rPr>
        <w:t xml:space="preserve"> into two or more businesses</w:t>
      </w:r>
    </w:p>
    <w:p w:rsidR="00E7179E" w:rsidRPr="001436AF" w:rsidRDefault="00E7179E" w:rsidP="001436AF">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 xml:space="preserve">how </w:t>
      </w:r>
      <w:r w:rsidR="001436AF">
        <w:rPr>
          <w:rFonts w:ascii="Times New Roman" w:hAnsi="Times New Roman" w:cs="Times New Roman"/>
          <w:bCs/>
          <w:sz w:val="24"/>
          <w:szCs w:val="24"/>
        </w:rPr>
        <w:t xml:space="preserve">businesses </w:t>
      </w:r>
      <w:r w:rsidRPr="001436AF">
        <w:rPr>
          <w:rFonts w:ascii="Times New Roman" w:hAnsi="Times New Roman" w:cs="Times New Roman"/>
          <w:bCs/>
          <w:sz w:val="24"/>
          <w:szCs w:val="24"/>
        </w:rPr>
        <w:t xml:space="preserve"> should determine compliance with all standards</w:t>
      </w:r>
    </w:p>
    <w:p w:rsidR="00E7179E" w:rsidRPr="00E7179E" w:rsidRDefault="00E7179E" w:rsidP="00C90516">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when extensions for NSR/PSD permits can be granted</w:t>
      </w:r>
    </w:p>
    <w:p w:rsidR="00A23FF6" w:rsidRDefault="00E7179E" w:rsidP="00BF5403">
      <w:pPr>
        <w:pStyle w:val="ListParagraph"/>
        <w:numPr>
          <w:ilvl w:val="0"/>
          <w:numId w:val="8"/>
        </w:numPr>
        <w:spacing w:after="0" w:line="240" w:lineRule="auto"/>
        <w:rPr>
          <w:rFonts w:ascii="Times New Roman" w:hAnsi="Times New Roman" w:cs="Times New Roman"/>
          <w:bCs/>
          <w:sz w:val="24"/>
          <w:szCs w:val="24"/>
        </w:rPr>
      </w:pPr>
      <w:r w:rsidRPr="00E7179E">
        <w:rPr>
          <w:rFonts w:ascii="Times New Roman" w:hAnsi="Times New Roman" w:cs="Times New Roman"/>
          <w:bCs/>
          <w:sz w:val="24"/>
          <w:szCs w:val="24"/>
        </w:rPr>
        <w:t>when and how long emission reduction credits can be used</w:t>
      </w:r>
    </w:p>
    <w:p w:rsidR="00BF5403" w:rsidRPr="00BF5403" w:rsidRDefault="00BF5403" w:rsidP="00BF5403">
      <w:pPr>
        <w:pStyle w:val="ListParagraph"/>
        <w:spacing w:after="0" w:line="240" w:lineRule="auto"/>
        <w:rPr>
          <w:rFonts w:ascii="Times New Roman" w:hAnsi="Times New Roman" w:cs="Times New Roman"/>
          <w:bCs/>
          <w:sz w:val="24"/>
          <w:szCs w:val="24"/>
        </w:rPr>
      </w:pPr>
    </w:p>
    <w:p w:rsidR="00A23FF6" w:rsidRPr="000F4FAB" w:rsidRDefault="0058779A" w:rsidP="0058779A">
      <w:pPr>
        <w:pStyle w:val="Heading2"/>
      </w:pPr>
      <w:bookmarkStart w:id="3" w:name="_Toc366837597"/>
      <w:r>
        <w:t>Make housekeeping changes</w:t>
      </w:r>
      <w:bookmarkEnd w:id="3"/>
    </w:p>
    <w:p w:rsidR="00181EB0" w:rsidRPr="00181EB0" w:rsidRDefault="00181EB0" w:rsidP="00181EB0">
      <w:pPr>
        <w:spacing w:after="0" w:line="240" w:lineRule="auto"/>
        <w:rPr>
          <w:rFonts w:ascii="Times New Roman" w:hAnsi="Times New Roman" w:cs="Times New Roman"/>
          <w:bCs/>
          <w:sz w:val="24"/>
          <w:szCs w:val="24"/>
        </w:rPr>
      </w:pPr>
      <w:r w:rsidRPr="00181EB0">
        <w:rPr>
          <w:rFonts w:ascii="Times New Roman" w:hAnsi="Times New Roman" w:cs="Times New Roman"/>
          <w:bCs/>
          <w:sz w:val="24"/>
          <w:szCs w:val="24"/>
        </w:rPr>
        <w:t>DEQ is correcting typographical errors, misspellings, inaccurate cross references, etc. in this proposed rulemaking</w:t>
      </w:r>
      <w:r w:rsidR="008C2CC3">
        <w:rPr>
          <w:rFonts w:ascii="Times New Roman" w:hAnsi="Times New Roman" w:cs="Times New Roman"/>
          <w:bCs/>
          <w:sz w:val="24"/>
          <w:szCs w:val="24"/>
        </w:rPr>
        <w:t xml:space="preserve">. </w:t>
      </w:r>
    </w:p>
    <w:p w:rsidR="0058779A" w:rsidRPr="00181EB0" w:rsidRDefault="0058779A" w:rsidP="00C90516">
      <w:pPr>
        <w:spacing w:after="0" w:line="240" w:lineRule="auto"/>
        <w:rPr>
          <w:rFonts w:ascii="Times New Roman" w:hAnsi="Times New Roman" w:cs="Times New Roman"/>
          <w:bCs/>
          <w:sz w:val="24"/>
          <w:szCs w:val="24"/>
        </w:rPr>
      </w:pPr>
    </w:p>
    <w:p w:rsidR="0058779A" w:rsidRPr="0058779A" w:rsidRDefault="0058779A" w:rsidP="0058779A">
      <w:pPr>
        <w:pStyle w:val="Heading1"/>
      </w:pPr>
      <w:bookmarkStart w:id="4" w:name="_Toc366837598"/>
      <w:r w:rsidRPr="0058779A">
        <w:t>Emission Limits and Standards</w:t>
      </w:r>
      <w:bookmarkEnd w:id="4"/>
    </w:p>
    <w:p w:rsidR="00E548F5" w:rsidRDefault="00E548F5" w:rsidP="00C90516">
      <w:pPr>
        <w:spacing w:after="0" w:line="240" w:lineRule="auto"/>
        <w:rPr>
          <w:rFonts w:ascii="Times New Roman" w:hAnsi="Times New Roman" w:cs="Times New Roman"/>
          <w:bCs/>
          <w:sz w:val="24"/>
          <w:szCs w:val="24"/>
        </w:rPr>
      </w:pPr>
    </w:p>
    <w:p w:rsidR="00E548F5" w:rsidRPr="00E548F5" w:rsidRDefault="00E548F5" w:rsidP="00E548F5">
      <w:pPr>
        <w:pStyle w:val="Heading2"/>
      </w:pPr>
      <w:bookmarkStart w:id="5" w:name="_Toc366837599"/>
      <w:r>
        <w:t>Repeal outdated rules</w:t>
      </w:r>
      <w:bookmarkEnd w:id="5"/>
    </w:p>
    <w:p w:rsidR="00E058A2" w:rsidRPr="00E058A2" w:rsidRDefault="00E058A2" w:rsidP="00E058A2">
      <w:pPr>
        <w:spacing w:after="0" w:line="240" w:lineRule="auto"/>
        <w:rPr>
          <w:rFonts w:ascii="Times New Roman" w:hAnsi="Times New Roman" w:cs="Times New Roman"/>
          <w:bCs/>
          <w:sz w:val="24"/>
          <w:szCs w:val="24"/>
        </w:rPr>
      </w:pPr>
      <w:r w:rsidRPr="00E058A2">
        <w:rPr>
          <w:rFonts w:ascii="Times New Roman" w:hAnsi="Times New Roman" w:cs="Times New Roman"/>
          <w:bCs/>
          <w:sz w:val="24"/>
          <w:szCs w:val="24"/>
        </w:rPr>
        <w:t>The following rules are no longer needed because there are more stringent federal rules or that type of business no longer exists in Oregon. If that type of business wanted to build in Oregon, they would be permitted under federal rules, which are more stringent than the state rules being repealed</w:t>
      </w:r>
      <w:r w:rsidR="008C2CC3">
        <w:rPr>
          <w:rFonts w:ascii="Times New Roman" w:hAnsi="Times New Roman" w:cs="Times New Roman"/>
          <w:bCs/>
          <w:sz w:val="24"/>
          <w:szCs w:val="24"/>
        </w:rPr>
        <w:t xml:space="preserve">. </w:t>
      </w:r>
    </w:p>
    <w:p w:rsidR="00E058A2" w:rsidRPr="00E058A2" w:rsidRDefault="00E058A2" w:rsidP="00E058A2">
      <w:pPr>
        <w:numPr>
          <w:ilvl w:val="0"/>
          <w:numId w:val="8"/>
        </w:numPr>
        <w:spacing w:after="0" w:line="240" w:lineRule="auto"/>
        <w:contextualSpacing/>
        <w:rPr>
          <w:rFonts w:ascii="Times New Roman" w:hAnsi="Times New Roman" w:cs="Times New Roman"/>
          <w:bCs/>
          <w:sz w:val="24"/>
          <w:szCs w:val="24"/>
        </w:rPr>
      </w:pPr>
      <w:r w:rsidRPr="00E058A2">
        <w:rPr>
          <w:rFonts w:ascii="Times New Roman" w:hAnsi="Times New Roman" w:cs="Times New Roman"/>
          <w:bCs/>
          <w:sz w:val="24"/>
          <w:szCs w:val="24"/>
        </w:rPr>
        <w:t>Neutral Sulfite Semi-Chemical (NSSC) Pulp Mills in division 234</w:t>
      </w:r>
    </w:p>
    <w:p w:rsidR="00E058A2" w:rsidRPr="00E058A2" w:rsidRDefault="00E058A2" w:rsidP="00E058A2">
      <w:pPr>
        <w:numPr>
          <w:ilvl w:val="0"/>
          <w:numId w:val="8"/>
        </w:numPr>
        <w:spacing w:after="0" w:line="240" w:lineRule="auto"/>
        <w:contextualSpacing/>
        <w:rPr>
          <w:rFonts w:ascii="Times New Roman" w:hAnsi="Times New Roman" w:cs="Times New Roman"/>
          <w:bCs/>
          <w:sz w:val="24"/>
          <w:szCs w:val="24"/>
        </w:rPr>
      </w:pPr>
      <w:r w:rsidRPr="00E058A2">
        <w:rPr>
          <w:rFonts w:ascii="Times New Roman" w:hAnsi="Times New Roman" w:cs="Times New Roman"/>
          <w:bCs/>
          <w:sz w:val="24"/>
          <w:szCs w:val="24"/>
        </w:rPr>
        <w:t>Sulfite Pulp Mills in division 234</w:t>
      </w:r>
    </w:p>
    <w:p w:rsidR="00E058A2" w:rsidRPr="00E058A2" w:rsidRDefault="00E058A2" w:rsidP="00E058A2">
      <w:pPr>
        <w:numPr>
          <w:ilvl w:val="0"/>
          <w:numId w:val="8"/>
        </w:numPr>
        <w:spacing w:after="0" w:line="240" w:lineRule="auto"/>
        <w:contextualSpacing/>
        <w:rPr>
          <w:rFonts w:ascii="Times New Roman" w:hAnsi="Times New Roman" w:cs="Times New Roman"/>
          <w:bCs/>
          <w:sz w:val="24"/>
          <w:szCs w:val="24"/>
        </w:rPr>
      </w:pPr>
      <w:r w:rsidRPr="00E058A2">
        <w:rPr>
          <w:rFonts w:ascii="Times New Roman" w:hAnsi="Times New Roman" w:cs="Times New Roman"/>
          <w:bCs/>
          <w:sz w:val="24"/>
          <w:szCs w:val="24"/>
        </w:rPr>
        <w:t>Primary Aluminum Standards in division 236</w:t>
      </w:r>
    </w:p>
    <w:p w:rsidR="00E058A2" w:rsidRPr="00E058A2" w:rsidRDefault="00E058A2" w:rsidP="00E058A2">
      <w:pPr>
        <w:numPr>
          <w:ilvl w:val="0"/>
          <w:numId w:val="8"/>
        </w:numPr>
        <w:spacing w:after="0" w:line="240" w:lineRule="auto"/>
        <w:contextualSpacing/>
        <w:rPr>
          <w:rFonts w:ascii="Times New Roman" w:hAnsi="Times New Roman" w:cs="Times New Roman"/>
          <w:bCs/>
          <w:sz w:val="24"/>
          <w:szCs w:val="24"/>
        </w:rPr>
      </w:pPr>
      <w:r w:rsidRPr="00E058A2">
        <w:rPr>
          <w:rFonts w:ascii="Times New Roman" w:hAnsi="Times New Roman" w:cs="Times New Roman"/>
          <w:bCs/>
          <w:sz w:val="24"/>
          <w:szCs w:val="24"/>
        </w:rPr>
        <w:t>Laterite Ore Production of Ferronickel in division 236</w:t>
      </w:r>
    </w:p>
    <w:p w:rsidR="00E058A2" w:rsidRPr="00E058A2" w:rsidRDefault="00E058A2" w:rsidP="00E058A2">
      <w:pPr>
        <w:numPr>
          <w:ilvl w:val="0"/>
          <w:numId w:val="8"/>
        </w:numPr>
        <w:spacing w:after="0" w:line="240" w:lineRule="auto"/>
        <w:contextualSpacing/>
        <w:rPr>
          <w:rFonts w:ascii="Times New Roman" w:hAnsi="Times New Roman" w:cs="Times New Roman"/>
          <w:sz w:val="24"/>
          <w:szCs w:val="24"/>
        </w:rPr>
      </w:pPr>
      <w:r w:rsidRPr="00E058A2">
        <w:rPr>
          <w:rFonts w:ascii="Times New Roman" w:hAnsi="Times New Roman" w:cs="Times New Roman"/>
          <w:sz w:val="24"/>
          <w:szCs w:val="24"/>
        </w:rPr>
        <w:t>Charcoal Producing Plants in division 240</w:t>
      </w:r>
    </w:p>
    <w:p w:rsidR="00E058A2" w:rsidRPr="00E058A2" w:rsidRDefault="00E058A2" w:rsidP="00E058A2">
      <w:pPr>
        <w:numPr>
          <w:ilvl w:val="0"/>
          <w:numId w:val="8"/>
        </w:numPr>
        <w:spacing w:after="0" w:line="240" w:lineRule="auto"/>
        <w:contextualSpacing/>
        <w:rPr>
          <w:rFonts w:ascii="Times New Roman" w:hAnsi="Times New Roman" w:cs="Times New Roman"/>
          <w:sz w:val="24"/>
          <w:szCs w:val="24"/>
        </w:rPr>
      </w:pPr>
      <w:r w:rsidRPr="00E058A2">
        <w:rPr>
          <w:rFonts w:ascii="Times New Roman" w:hAnsi="Times New Roman" w:cs="Times New Roman"/>
          <w:sz w:val="24"/>
          <w:szCs w:val="24"/>
        </w:rPr>
        <w:t>Spray Paint in division 242</w:t>
      </w:r>
    </w:p>
    <w:p w:rsidR="00E058A2" w:rsidRPr="00E058A2" w:rsidRDefault="00716574" w:rsidP="00E058A2">
      <w:pPr>
        <w:numPr>
          <w:ilvl w:val="0"/>
          <w:numId w:val="8"/>
        </w:numPr>
        <w:contextualSpacing/>
        <w:rPr>
          <w:rFonts w:ascii="Times New Roman" w:hAnsi="Times New Roman" w:cs="Times New Roman"/>
          <w:sz w:val="24"/>
          <w:szCs w:val="24"/>
        </w:rPr>
      </w:pPr>
      <w:r>
        <w:rPr>
          <w:rFonts w:ascii="Times New Roman" w:hAnsi="Times New Roman" w:cs="Times New Roman"/>
          <w:sz w:val="24"/>
          <w:szCs w:val="24"/>
        </w:rPr>
        <w:t>Regional Haze</w:t>
      </w:r>
      <w:r w:rsidR="00E058A2" w:rsidRPr="00E058A2">
        <w:rPr>
          <w:rFonts w:ascii="Times New Roman" w:hAnsi="Times New Roman" w:cs="Times New Roman"/>
          <w:sz w:val="24"/>
          <w:szCs w:val="24"/>
        </w:rPr>
        <w:t xml:space="preserve"> rules for Western Backstop SO</w:t>
      </w:r>
      <w:r w:rsidR="00E058A2" w:rsidRPr="00E058A2">
        <w:rPr>
          <w:rFonts w:ascii="Times New Roman" w:hAnsi="Times New Roman" w:cs="Times New Roman"/>
          <w:sz w:val="24"/>
          <w:szCs w:val="24"/>
          <w:vertAlign w:val="subscript"/>
        </w:rPr>
        <w:t>2</w:t>
      </w:r>
      <w:r w:rsidR="00E058A2" w:rsidRPr="00E058A2">
        <w:rPr>
          <w:rFonts w:ascii="Times New Roman" w:hAnsi="Times New Roman" w:cs="Times New Roman"/>
          <w:sz w:val="24"/>
          <w:szCs w:val="24"/>
        </w:rPr>
        <w:t xml:space="preserve"> Trading Program in division 228</w:t>
      </w:r>
    </w:p>
    <w:p w:rsidR="00E058A2" w:rsidRPr="00E058A2" w:rsidRDefault="00E058A2" w:rsidP="00E058A2">
      <w:pPr>
        <w:spacing w:after="0" w:line="240" w:lineRule="auto"/>
        <w:rPr>
          <w:rFonts w:ascii="Times New Roman" w:hAnsi="Times New Roman" w:cs="Times New Roman"/>
          <w:sz w:val="24"/>
          <w:szCs w:val="24"/>
        </w:rPr>
      </w:pPr>
    </w:p>
    <w:p w:rsidR="00E058A2" w:rsidRDefault="00E058A2" w:rsidP="001A67FF">
      <w:pPr>
        <w:spacing w:after="0" w:line="240" w:lineRule="auto"/>
        <w:rPr>
          <w:rFonts w:ascii="Times New Roman" w:hAnsi="Times New Roman" w:cs="Times New Roman"/>
          <w:sz w:val="24"/>
          <w:szCs w:val="24"/>
        </w:rPr>
      </w:pPr>
      <w:r w:rsidRPr="00E058A2">
        <w:rPr>
          <w:rFonts w:ascii="Times New Roman" w:hAnsi="Times New Roman" w:cs="Times New Roman"/>
          <w:sz w:val="24"/>
          <w:szCs w:val="24"/>
        </w:rPr>
        <w:t xml:space="preserve">DEQ is also proposing repeal of the </w:t>
      </w:r>
      <w:r w:rsidR="000F6624">
        <w:rPr>
          <w:rFonts w:ascii="Times New Roman" w:hAnsi="Times New Roman" w:cs="Times New Roman"/>
          <w:sz w:val="24"/>
          <w:szCs w:val="24"/>
        </w:rPr>
        <w:t xml:space="preserve">30-second opacity limit in </w:t>
      </w:r>
      <w:r w:rsidR="000F6624">
        <w:rPr>
          <w:rFonts w:ascii="Times New Roman" w:hAnsi="Times New Roman" w:cs="Times New Roman"/>
          <w:bCs/>
          <w:sz w:val="24"/>
          <w:szCs w:val="24"/>
        </w:rPr>
        <w:t>OAR 340-208-06</w:t>
      </w:r>
      <w:r w:rsidR="00361D4F" w:rsidRPr="00361D4F">
        <w:rPr>
          <w:rFonts w:ascii="Times New Roman" w:hAnsi="Times New Roman" w:cs="Times New Roman"/>
          <w:bCs/>
          <w:sz w:val="24"/>
          <w:szCs w:val="24"/>
        </w:rPr>
        <w:t>00</w:t>
      </w:r>
      <w:r w:rsidR="008C2CC3">
        <w:rPr>
          <w:rFonts w:ascii="Times New Roman" w:hAnsi="Times New Roman" w:cs="Times New Roman"/>
          <w:bCs/>
          <w:sz w:val="24"/>
          <w:szCs w:val="24"/>
        </w:rPr>
        <w:t xml:space="preserve">. </w:t>
      </w:r>
      <w:r w:rsidR="000F6624">
        <w:rPr>
          <w:rFonts w:ascii="Times New Roman" w:hAnsi="Times New Roman" w:cs="Times New Roman"/>
          <w:bCs/>
          <w:sz w:val="24"/>
          <w:szCs w:val="24"/>
        </w:rPr>
        <w:t>Thi</w:t>
      </w:r>
      <w:r w:rsidR="00361D4F">
        <w:rPr>
          <w:rFonts w:ascii="Times New Roman" w:hAnsi="Times New Roman" w:cs="Times New Roman"/>
          <w:bCs/>
          <w:sz w:val="24"/>
          <w:szCs w:val="24"/>
        </w:rPr>
        <w:t>s</w:t>
      </w:r>
      <w:r w:rsidR="000F6624">
        <w:rPr>
          <w:rFonts w:ascii="Times New Roman" w:hAnsi="Times New Roman" w:cs="Times New Roman"/>
          <w:bCs/>
          <w:sz w:val="24"/>
          <w:szCs w:val="24"/>
        </w:rPr>
        <w:t xml:space="preserve"> rule</w:t>
      </w:r>
      <w:r w:rsidR="00361D4F">
        <w:rPr>
          <w:rFonts w:ascii="Times New Roman" w:hAnsi="Times New Roman" w:cs="Times New Roman"/>
          <w:bCs/>
          <w:sz w:val="24"/>
          <w:szCs w:val="24"/>
        </w:rPr>
        <w:t xml:space="preserve"> </w:t>
      </w:r>
      <w:r w:rsidR="000F6624">
        <w:rPr>
          <w:rFonts w:ascii="Times New Roman" w:hAnsi="Times New Roman" w:cs="Times New Roman"/>
          <w:sz w:val="24"/>
          <w:szCs w:val="24"/>
        </w:rPr>
        <w:t>is</w:t>
      </w:r>
      <w:r w:rsidRPr="00E058A2">
        <w:rPr>
          <w:rFonts w:ascii="Times New Roman" w:hAnsi="Times New Roman" w:cs="Times New Roman"/>
          <w:sz w:val="24"/>
          <w:szCs w:val="24"/>
        </w:rPr>
        <w:t xml:space="preserve"> specific to Clackamas, Columbia, Multnomah, and Washington </w:t>
      </w:r>
      <w:r w:rsidR="00361D4F">
        <w:rPr>
          <w:rFonts w:ascii="Times New Roman" w:hAnsi="Times New Roman" w:cs="Times New Roman"/>
          <w:sz w:val="24"/>
          <w:szCs w:val="24"/>
        </w:rPr>
        <w:t>Counties</w:t>
      </w:r>
      <w:r w:rsidRPr="001A67FF">
        <w:rPr>
          <w:rFonts w:ascii="Times New Roman" w:hAnsi="Times New Roman" w:cs="Times New Roman"/>
          <w:sz w:val="24"/>
          <w:szCs w:val="24"/>
        </w:rPr>
        <w:t xml:space="preserve">. </w:t>
      </w:r>
      <w:r w:rsidR="001A67FF">
        <w:rPr>
          <w:rFonts w:ascii="Times New Roman" w:hAnsi="Times New Roman" w:cs="Times New Roman"/>
          <w:sz w:val="24"/>
          <w:szCs w:val="24"/>
        </w:rPr>
        <w:t>T</w:t>
      </w:r>
      <w:r w:rsidRPr="001A67FF">
        <w:rPr>
          <w:rFonts w:ascii="Times New Roman" w:hAnsi="Times New Roman" w:cs="Times New Roman"/>
          <w:sz w:val="24"/>
          <w:szCs w:val="24"/>
        </w:rPr>
        <w:t>his rule</w:t>
      </w:r>
      <w:r w:rsidR="001A67FF">
        <w:rPr>
          <w:rFonts w:ascii="Times New Roman" w:hAnsi="Times New Roman" w:cs="Times New Roman"/>
          <w:sz w:val="24"/>
          <w:szCs w:val="24"/>
        </w:rPr>
        <w:t xml:space="preserve"> applies to </w:t>
      </w:r>
      <w:r w:rsidRPr="001A67FF">
        <w:rPr>
          <w:rFonts w:ascii="Times New Roman" w:hAnsi="Times New Roman" w:cs="Times New Roman"/>
          <w:sz w:val="24"/>
          <w:szCs w:val="24"/>
        </w:rPr>
        <w:t>“non-fuel-burning-equipment</w:t>
      </w:r>
      <w:r w:rsidR="001A67FF">
        <w:rPr>
          <w:rFonts w:ascii="Times New Roman" w:hAnsi="Times New Roman" w:cs="Times New Roman"/>
          <w:sz w:val="24"/>
          <w:szCs w:val="24"/>
        </w:rPr>
        <w:t>,</w:t>
      </w:r>
      <w:r w:rsidRPr="001A67FF">
        <w:rPr>
          <w:rFonts w:ascii="Times New Roman" w:hAnsi="Times New Roman" w:cs="Times New Roman"/>
          <w:sz w:val="24"/>
          <w:szCs w:val="24"/>
        </w:rPr>
        <w:t>” essentially equipment that is not a boiler, such as material dryers, storage systems and conveying systems. This rule therefore has limited applicability to equipment other than boilers located in the four-county area.</w:t>
      </w:r>
      <w:r w:rsidR="001A67FF">
        <w:rPr>
          <w:rFonts w:ascii="Times New Roman" w:hAnsi="Times New Roman" w:cs="Times New Roman"/>
          <w:sz w:val="24"/>
          <w:szCs w:val="24"/>
        </w:rPr>
        <w:t xml:space="preserve"> </w:t>
      </w:r>
      <w:r w:rsidRPr="001A67FF">
        <w:rPr>
          <w:rFonts w:ascii="Times New Roman" w:hAnsi="Times New Roman" w:cs="Times New Roman"/>
          <w:sz w:val="24"/>
          <w:szCs w:val="24"/>
        </w:rPr>
        <w:t xml:space="preserve">In addition to this rule, DEQ has statewide visible air contaminant standards. </w:t>
      </w:r>
    </w:p>
    <w:p w:rsidR="001A67FF" w:rsidRPr="001A67FF" w:rsidRDefault="001A67FF" w:rsidP="001A67FF">
      <w:pPr>
        <w:spacing w:after="0" w:line="240" w:lineRule="auto"/>
        <w:rPr>
          <w:rFonts w:ascii="Times New Roman" w:hAnsi="Times New Roman" w:cs="Times New Roman"/>
          <w:sz w:val="24"/>
          <w:szCs w:val="24"/>
        </w:rPr>
      </w:pPr>
    </w:p>
    <w:p w:rsidR="00E058A2" w:rsidRPr="001A67FF" w:rsidRDefault="00E058A2" w:rsidP="00E058A2">
      <w:pPr>
        <w:rPr>
          <w:rFonts w:ascii="Times New Roman" w:hAnsi="Times New Roman" w:cs="Times New Roman"/>
          <w:sz w:val="24"/>
          <w:szCs w:val="24"/>
        </w:rPr>
      </w:pPr>
      <w:r w:rsidRPr="001A67FF">
        <w:rPr>
          <w:rFonts w:ascii="Times New Roman" w:hAnsi="Times New Roman" w:cs="Times New Roman"/>
          <w:sz w:val="24"/>
          <w:szCs w:val="24"/>
        </w:rPr>
        <w:t>There is an exception for existing fuel burning equipment installed on or before June 1, 1970 utilizing wood wastes, which must comply with the following:</w:t>
      </w:r>
    </w:p>
    <w:p w:rsidR="00E058A2" w:rsidRPr="001A67FF" w:rsidRDefault="00E058A2" w:rsidP="00E058A2">
      <w:pPr>
        <w:ind w:left="720"/>
        <w:rPr>
          <w:rFonts w:ascii="Times New Roman" w:hAnsi="Times New Roman" w:cs="Times New Roman"/>
          <w:sz w:val="24"/>
          <w:szCs w:val="24"/>
        </w:rPr>
      </w:pPr>
      <w:r w:rsidRPr="001A67FF">
        <w:rPr>
          <w:rFonts w:ascii="Times New Roman" w:hAnsi="Times New Roman" w:cs="Times New Roman"/>
          <w:sz w:val="24"/>
          <w:szCs w:val="24"/>
        </w:rPr>
        <w:t>No person may emit any air contaminant for a period or periods aggregating more than three minutes in any one hour which is equal to or greater than 40% opacity.</w:t>
      </w:r>
    </w:p>
    <w:p w:rsidR="00E058A2" w:rsidRPr="001A67FF" w:rsidRDefault="00E058A2" w:rsidP="00E058A2">
      <w:pPr>
        <w:rPr>
          <w:rFonts w:ascii="Times New Roman" w:hAnsi="Times New Roman" w:cs="Times New Roman"/>
          <w:sz w:val="24"/>
          <w:szCs w:val="24"/>
        </w:rPr>
      </w:pPr>
      <w:r w:rsidRPr="001A67FF">
        <w:rPr>
          <w:rFonts w:ascii="Times New Roman" w:hAnsi="Times New Roman" w:cs="Times New Roman"/>
          <w:sz w:val="24"/>
          <w:szCs w:val="24"/>
        </w:rPr>
        <w:t>DEQ is proposing to revise the current statewide visible emission standards to apply on a six-minute average, which will put DEQ’s standards on the same basis as the U.S. EPA’s visible emissions standards.</w:t>
      </w:r>
    </w:p>
    <w:p w:rsidR="00E058A2" w:rsidRPr="001A67FF" w:rsidRDefault="00E058A2" w:rsidP="00E058A2">
      <w:pPr>
        <w:rPr>
          <w:rFonts w:ascii="Times New Roman" w:hAnsi="Times New Roman" w:cs="Times New Roman"/>
          <w:sz w:val="24"/>
          <w:szCs w:val="24"/>
        </w:rPr>
      </w:pPr>
      <w:r w:rsidRPr="001A67FF">
        <w:rPr>
          <w:rFonts w:ascii="Times New Roman" w:hAnsi="Times New Roman" w:cs="Times New Roman"/>
          <w:sz w:val="24"/>
          <w:szCs w:val="24"/>
        </w:rPr>
        <w:t>On the face of it, the visible emissions standard in OAR 340-208-0600 (may not equal 20 percent opacity or greater for a period of or periods totaling more than 30 seconds in any one hour) is more stringent than the current statewide standard. However, this rule has limited applicability as described above. More importantly, emissions standards are only enforceable if there is a defined method for determining compliance with the standard. In the case of the proposed statewide standards, EPA’s Method 9 is the defined method for determining compliance. Using EPA Method 9, visible emissions readings are taken every 15 seconds, and 24 consecutive readings are averaged to determine compliance with the 6-minute standard. However, DEQ does not have a defined method for determining compliance with the 30-second standard in OAR 340-208-0600, and EPA Method 9 does not lend itself to this task because readings are taken every 15 seconds.</w:t>
      </w:r>
    </w:p>
    <w:p w:rsidR="00E058A2" w:rsidRPr="001A67FF" w:rsidRDefault="00E058A2" w:rsidP="00E058A2">
      <w:pPr>
        <w:rPr>
          <w:rFonts w:ascii="Times New Roman" w:hAnsi="Times New Roman" w:cs="Times New Roman"/>
          <w:sz w:val="24"/>
          <w:szCs w:val="24"/>
        </w:rPr>
      </w:pPr>
      <w:r w:rsidRPr="001A67FF">
        <w:rPr>
          <w:rFonts w:ascii="Times New Roman" w:hAnsi="Times New Roman" w:cs="Times New Roman"/>
          <w:sz w:val="24"/>
          <w:szCs w:val="24"/>
        </w:rPr>
        <w:t>The lack of a defined compliance determination method makes the 30-second standard in OAR 340-208-0600 unenforceable as a practical matter. DEQ could devise and propose a compliance method to make this rule enforceable, but DEQ does not believe the level of effort required to do this is justified for a rule that has such limited applicability. DEQ also believes that the statewide standard will be sufficiently protective.</w:t>
      </w:r>
    </w:p>
    <w:p w:rsidR="00E058A2" w:rsidRPr="001A67FF" w:rsidRDefault="00E058A2" w:rsidP="00E058A2">
      <w:pPr>
        <w:rPr>
          <w:rFonts w:ascii="Times New Roman" w:hAnsi="Times New Roman" w:cs="Times New Roman"/>
          <w:sz w:val="24"/>
          <w:szCs w:val="24"/>
        </w:rPr>
      </w:pPr>
      <w:r w:rsidRPr="001A67FF">
        <w:rPr>
          <w:rFonts w:ascii="Times New Roman" w:hAnsi="Times New Roman" w:cs="Times New Roman"/>
          <w:sz w:val="24"/>
          <w:szCs w:val="24"/>
        </w:rPr>
        <w:t>DEQ proposes repeal of this rule because it is not practically enforceable and because the effort required to develop a method to make it enforceable is not justified. Repeal of this rule will have no effect.</w:t>
      </w:r>
    </w:p>
    <w:p w:rsidR="00E548F5" w:rsidRDefault="00E548F5" w:rsidP="00C90516">
      <w:pPr>
        <w:spacing w:after="0" w:line="240" w:lineRule="auto"/>
        <w:rPr>
          <w:rFonts w:ascii="Times New Roman" w:hAnsi="Times New Roman" w:cs="Times New Roman"/>
          <w:bCs/>
          <w:sz w:val="24"/>
          <w:szCs w:val="24"/>
          <w:u w:val="single"/>
        </w:rPr>
      </w:pPr>
    </w:p>
    <w:p w:rsidR="00E548F5" w:rsidRPr="00E548F5" w:rsidRDefault="00E548F5" w:rsidP="00E548F5">
      <w:pPr>
        <w:pStyle w:val="Heading2"/>
      </w:pPr>
      <w:bookmarkStart w:id="6" w:name="_Toc366837600"/>
      <w:r>
        <w:t>Update existing limits to address PM2.5</w:t>
      </w:r>
      <w:bookmarkEnd w:id="6"/>
    </w:p>
    <w:p w:rsidR="00E548F5" w:rsidRPr="00E548F5" w:rsidRDefault="00E548F5" w:rsidP="00C90516">
      <w:pPr>
        <w:spacing w:after="0" w:line="240" w:lineRule="auto"/>
        <w:rPr>
          <w:rFonts w:ascii="Times New Roman" w:hAnsi="Times New Roman" w:cs="Times New Roman"/>
          <w:bCs/>
          <w:sz w:val="24"/>
          <w:szCs w:val="24"/>
        </w:rPr>
      </w:pPr>
    </w:p>
    <w:p w:rsidR="007E424E" w:rsidRPr="00E638D3" w:rsidRDefault="007E424E" w:rsidP="007E424E">
      <w:pPr>
        <w:ind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Pr>
          <w:rFonts w:ascii="Times New Roman" w:eastAsia="Times New Roman" w:hAnsi="Times New Roman" w:cs="Times New Roman"/>
        </w:rPr>
        <w:t>ingle business along with the background concentration could be up to 70 percent</w:t>
      </w:r>
      <w:r w:rsidRPr="00E638D3">
        <w:rPr>
          <w:rFonts w:ascii="Times New Roman" w:eastAsia="Times New Roman" w:hAnsi="Times New Roman" w:cs="Times New Roman"/>
        </w:rPr>
        <w:t xml:space="preserve"> of </w:t>
      </w:r>
      <w:r>
        <w:rPr>
          <w:rFonts w:ascii="Times New Roman" w:eastAsia="Times New Roman" w:hAnsi="Times New Roman" w:cs="Times New Roman"/>
        </w:rPr>
        <w:t xml:space="preserve">the </w:t>
      </w:r>
      <w:r w:rsidRPr="00E638D3">
        <w:rPr>
          <w:rFonts w:ascii="Times New Roman" w:eastAsia="Times New Roman" w:hAnsi="Times New Roman" w:cs="Times New Roman"/>
        </w:rPr>
        <w:t>standard</w:t>
      </w:r>
      <w:r>
        <w:rPr>
          <w:rFonts w:ascii="Times New Roman" w:eastAsia="Times New Roman" w:hAnsi="Times New Roman" w:cs="Times New Roman"/>
        </w:rPr>
        <w:t>. Similar</w:t>
      </w:r>
      <w:r w:rsidRPr="00E638D3">
        <w:rPr>
          <w:rFonts w:ascii="Times New Roman" w:eastAsia="Times New Roman" w:hAnsi="Times New Roman" w:cs="Times New Roman"/>
        </w:rPr>
        <w:t xml:space="preserve"> area</w:t>
      </w:r>
      <w:r>
        <w:rPr>
          <w:rFonts w:ascii="Times New Roman" w:eastAsia="Times New Roman" w:hAnsi="Times New Roman" w:cs="Times New Roman"/>
        </w:rPr>
        <w:t>s with similar sources are also</w:t>
      </w:r>
      <w:r w:rsidRPr="00E638D3">
        <w:rPr>
          <w:rFonts w:ascii="Times New Roman" w:eastAsia="Times New Roman" w:hAnsi="Times New Roman" w:cs="Times New Roman"/>
        </w:rPr>
        <w:t xml:space="preserve"> in danger of violating the ambient air quality standard. This is a big risk for public health and economic development</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w:t>
      </w:r>
      <w:r>
        <w:rPr>
          <w:rFonts w:ascii="Times New Roman" w:eastAsia="Times New Roman" w:hAnsi="Times New Roman" w:cs="Times New Roman"/>
        </w:rPr>
        <w:t xml:space="preserve">a single business “consumes” </w:t>
      </w:r>
      <w:r w:rsidRPr="00E638D3">
        <w:rPr>
          <w:rFonts w:ascii="Times New Roman" w:eastAsia="Times New Roman" w:hAnsi="Times New Roman" w:cs="Times New Roman"/>
        </w:rPr>
        <w:t>the majority of the airshed</w:t>
      </w:r>
      <w:r>
        <w:rPr>
          <w:rFonts w:ascii="Times New Roman" w:eastAsia="Times New Roman" w:hAnsi="Times New Roman" w:cs="Times New Roman"/>
        </w:rPr>
        <w:t xml:space="preserve"> that is available in a clean air area, </w:t>
      </w:r>
      <w:r w:rsidRPr="00E638D3">
        <w:rPr>
          <w:rFonts w:ascii="Times New Roman" w:eastAsia="Times New Roman" w:hAnsi="Times New Roman" w:cs="Times New Roman"/>
        </w:rPr>
        <w:t>new businesses are</w:t>
      </w:r>
      <w:r>
        <w:rPr>
          <w:rFonts w:ascii="Times New Roman" w:eastAsia="Times New Roman" w:hAnsi="Times New Roman" w:cs="Times New Roman"/>
        </w:rPr>
        <w:t xml:space="preserve"> not</w:t>
      </w:r>
      <w:r w:rsidRPr="00E638D3">
        <w:rPr>
          <w:rFonts w:ascii="Times New Roman" w:eastAsia="Times New Roman" w:hAnsi="Times New Roman" w:cs="Times New Roman"/>
        </w:rPr>
        <w:t xml:space="preserve"> able to come into the area. </w:t>
      </w:r>
    </w:p>
    <w:p w:rsidR="007E424E" w:rsidRDefault="007E424E" w:rsidP="007E424E">
      <w:pPr>
        <w:spacing w:after="120"/>
        <w:ind w:right="14"/>
        <w:rPr>
          <w:rFonts w:ascii="Times New Roman" w:eastAsia="Times New Roman" w:hAnsi="Times New Roman" w:cs="Times New Roman"/>
        </w:rPr>
      </w:pPr>
      <w:r w:rsidRPr="00E638D3">
        <w:rPr>
          <w:rFonts w:ascii="Times New Roman" w:eastAsia="Times New Roman" w:hAnsi="Times New Roman" w:cs="Times New Roman"/>
        </w:rPr>
        <w:lastRenderedPageBreak/>
        <w:t xml:space="preserve">DEQ relies on several types of standards when issuing air quality permits. One standard for particulate matter – dust, dirt, etc. – involves </w:t>
      </w:r>
      <w:r>
        <w:rPr>
          <w:rFonts w:ascii="Times New Roman" w:eastAsia="Times New Roman" w:hAnsi="Times New Roman" w:cs="Times New Roman"/>
        </w:rPr>
        <w:t>concentration-based (mass per unit of volume)</w:t>
      </w:r>
      <w:r w:rsidRPr="00E638D3">
        <w:rPr>
          <w:rFonts w:ascii="Times New Roman" w:eastAsia="Times New Roman" w:hAnsi="Times New Roman" w:cs="Times New Roman"/>
        </w:rPr>
        <w:t xml:space="preserve"> emission limits. A second standard is referred to as a </w:t>
      </w:r>
      <w:r>
        <w:rPr>
          <w:rFonts w:ascii="Times New Roman" w:eastAsia="Times New Roman" w:hAnsi="Times New Roman" w:cs="Times New Roman"/>
        </w:rPr>
        <w:t>visible emissions</w:t>
      </w:r>
      <w:r w:rsidRPr="00E638D3">
        <w:rPr>
          <w:rFonts w:ascii="Times New Roman" w:eastAsia="Times New Roman" w:hAnsi="Times New Roman" w:cs="Times New Roman"/>
        </w:rPr>
        <w:t xml:space="preserve"> standard</w:t>
      </w:r>
      <w:r>
        <w:rPr>
          <w:rFonts w:ascii="Times New Roman" w:eastAsia="Times New Roman" w:hAnsi="Times New Roman" w:cs="Times New Roman"/>
        </w:rPr>
        <w:t xml:space="preserve"> that</w:t>
      </w:r>
      <w:r w:rsidRPr="00E638D3">
        <w:rPr>
          <w:rFonts w:ascii="Times New Roman" w:eastAsia="Times New Roman" w:hAnsi="Times New Roman" w:cs="Times New Roman"/>
        </w:rPr>
        <w:t xml:space="preserve"> </w:t>
      </w:r>
      <w:r>
        <w:rPr>
          <w:rFonts w:ascii="Times New Roman" w:eastAsia="Times New Roman" w:hAnsi="Times New Roman" w:cs="Times New Roman"/>
        </w:rPr>
        <w:t>limits</w:t>
      </w:r>
      <w:r w:rsidRPr="00E638D3">
        <w:rPr>
          <w:rFonts w:ascii="Times New Roman" w:eastAsia="Times New Roman" w:hAnsi="Times New Roman" w:cs="Times New Roman"/>
        </w:rPr>
        <w:t xml:space="preserve"> the</w:t>
      </w:r>
      <w:r>
        <w:rPr>
          <w:rFonts w:ascii="Times New Roman" w:eastAsia="Times New Roman" w:hAnsi="Times New Roman" w:cs="Times New Roman"/>
        </w:rPr>
        <w:t xml:space="preserve"> maximum visual</w:t>
      </w:r>
      <w:r w:rsidRPr="00E638D3">
        <w:rPr>
          <w:rFonts w:ascii="Times New Roman" w:eastAsia="Times New Roman" w:hAnsi="Times New Roman" w:cs="Times New Roman"/>
        </w:rPr>
        <w:t xml:space="preserve"> density – or opacity – of a plume. The rules include different</w:t>
      </w:r>
      <w:r>
        <w:rPr>
          <w:rFonts w:ascii="Times New Roman" w:eastAsia="Times New Roman" w:hAnsi="Times New Roman" w:cs="Times New Roman"/>
        </w:rPr>
        <w:t xml:space="preserve"> particulate matter and opacity</w:t>
      </w:r>
      <w:r w:rsidRPr="00E638D3">
        <w:rPr>
          <w:rFonts w:ascii="Times New Roman" w:eastAsia="Times New Roman" w:hAnsi="Times New Roman" w:cs="Times New Roman"/>
        </w:rPr>
        <w:t xml:space="preserve"> standards for </w:t>
      </w:r>
      <w:r>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7E424E" w:rsidRDefault="007E424E" w:rsidP="007E424E">
      <w:pPr>
        <w:pStyle w:val="ListParagraph"/>
        <w:numPr>
          <w:ilvl w:val="0"/>
          <w:numId w:val="21"/>
        </w:numPr>
        <w:spacing w:after="120" w:line="240" w:lineRule="auto"/>
        <w:ind w:right="14"/>
        <w:contextualSpacing w:val="0"/>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r>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7E424E" w:rsidRPr="00E638D3" w:rsidRDefault="007E424E" w:rsidP="000701B3">
      <w:pPr>
        <w:pStyle w:val="ListParagraph"/>
        <w:numPr>
          <w:ilvl w:val="0"/>
          <w:numId w:val="21"/>
        </w:numPr>
        <w:spacing w:line="240" w:lineRule="auto"/>
        <w:ind w:right="14"/>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r>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7E424E" w:rsidRPr="00E638D3" w:rsidRDefault="007E424E" w:rsidP="007E424E">
      <w:pPr>
        <w:ind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At that time, </w:t>
      </w:r>
      <w:r>
        <w:rPr>
          <w:rFonts w:ascii="Times New Roman" w:eastAsia="Times New Roman" w:hAnsi="Times New Roman" w:cs="Times New Roman"/>
        </w:rPr>
        <w:t xml:space="preserve">DEQ and EPA used </w:t>
      </w:r>
      <w:r w:rsidRPr="00E638D3">
        <w:rPr>
          <w:rFonts w:ascii="Times New Roman" w:eastAsia="Times New Roman" w:hAnsi="Times New Roman" w:cs="Times New Roman"/>
        </w:rPr>
        <w:t>an ambient air quality standard for total particulate</w:t>
      </w:r>
      <w:r>
        <w:rPr>
          <w:rFonts w:ascii="Times New Roman" w:eastAsia="Times New Roman" w:hAnsi="Times New Roman" w:cs="Times New Roman"/>
        </w:rPr>
        <w:t xml:space="preserve">s that did not differentiate between coarse particulates and fine particulates. </w:t>
      </w:r>
      <w:r w:rsidRPr="00E638D3">
        <w:rPr>
          <w:rFonts w:ascii="Times New Roman" w:eastAsia="Times New Roman" w:hAnsi="Times New Roman" w:cs="Times New Roman"/>
        </w:rPr>
        <w:t xml:space="preserve">With the adoption of the </w:t>
      </w:r>
      <w:r>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Pr>
          <w:rFonts w:ascii="Times New Roman" w:eastAsia="Times New Roman" w:hAnsi="Times New Roman" w:cs="Times New Roman"/>
        </w:rPr>
        <w:t xml:space="preserve">Oregon now has </w:t>
      </w:r>
      <w:r w:rsidRPr="00E638D3">
        <w:rPr>
          <w:rFonts w:ascii="Times New Roman" w:eastAsia="Times New Roman" w:hAnsi="Times New Roman" w:cs="Times New Roman"/>
        </w:rPr>
        <w:t>two areas that exceed the standard</w:t>
      </w:r>
      <w:r>
        <w:rPr>
          <w:rFonts w:ascii="Times New Roman" w:eastAsia="Times New Roman" w:hAnsi="Times New Roman" w:cs="Times New Roman"/>
        </w:rPr>
        <w:t xml:space="preserve">, Klamath Falls and Oakridge. </w:t>
      </w:r>
    </w:p>
    <w:p w:rsidR="007E424E" w:rsidRPr="00E638D3" w:rsidRDefault="007E424E" w:rsidP="007E424E">
      <w:pPr>
        <w:ind w:right="18"/>
        <w:rPr>
          <w:rFonts w:ascii="Times New Roman" w:eastAsia="Times New Roman" w:hAnsi="Times New Roman" w:cs="Times New Roman"/>
        </w:rPr>
      </w:pPr>
      <w:r w:rsidRPr="00E638D3">
        <w:rPr>
          <w:rFonts w:ascii="Times New Roman" w:eastAsia="Times New Roman" w:hAnsi="Times New Roman" w:cs="Times New Roman"/>
        </w:rPr>
        <w:t xml:space="preserve">These changes in the statewide particulate matter standards are proactive measures </w:t>
      </w:r>
      <w:r>
        <w:rPr>
          <w:rFonts w:ascii="Times New Roman" w:eastAsia="Times New Roman" w:hAnsi="Times New Roman" w:cs="Times New Roman"/>
        </w:rPr>
        <w:t>to</w:t>
      </w:r>
      <w:r w:rsidRPr="00E638D3">
        <w:rPr>
          <w:rFonts w:ascii="Times New Roman" w:eastAsia="Times New Roman" w:hAnsi="Times New Roman" w:cs="Times New Roman"/>
        </w:rPr>
        <w:t xml:space="preserve"> help</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prevent violations of current standards and potentially </w:t>
      </w:r>
      <w:r>
        <w:rPr>
          <w:rFonts w:ascii="Times New Roman" w:eastAsia="Times New Roman" w:hAnsi="Times New Roman" w:cs="Times New Roman"/>
        </w:rPr>
        <w:t xml:space="preserve">even </w:t>
      </w:r>
      <w:r w:rsidRPr="00E638D3">
        <w:rPr>
          <w:rFonts w:ascii="Times New Roman" w:eastAsia="Times New Roman" w:hAnsi="Times New Roman" w:cs="Times New Roman"/>
        </w:rPr>
        <w:t>more stringent standards in the future</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DEQ adopted similar, more stringent rules when areas like Medford and La Grande exceeded the </w:t>
      </w:r>
      <w:r>
        <w:rPr>
          <w:rFonts w:ascii="Times New Roman" w:eastAsia="Times New Roman" w:hAnsi="Times New Roman" w:cs="Times New Roman"/>
        </w:rPr>
        <w:t>coarse particulate</w:t>
      </w:r>
      <w:r w:rsidRPr="00E638D3">
        <w:rPr>
          <w:rFonts w:ascii="Times New Roman" w:eastAsia="Times New Roman" w:hAnsi="Times New Roman" w:cs="Times New Roman"/>
        </w:rPr>
        <w:t xml:space="preserve"> ambient air quality standard</w:t>
      </w:r>
      <w:r>
        <w:rPr>
          <w:rFonts w:ascii="Times New Roman" w:eastAsia="Times New Roman" w:hAnsi="Times New Roman" w:cs="Times New Roman"/>
        </w:rPr>
        <w:t xml:space="preserve"> and were designated as nonattainment areas by EPA. A</w:t>
      </w:r>
      <w:r w:rsidRPr="00E638D3">
        <w:rPr>
          <w:rFonts w:ascii="Times New Roman" w:eastAsia="Times New Roman" w:hAnsi="Times New Roman" w:cs="Times New Roman"/>
        </w:rPr>
        <w:t xml:space="preserve">dopting more stringent rules before areas exceed ambient air quality standards and become nonattainment areas, </w:t>
      </w:r>
      <w:r>
        <w:rPr>
          <w:rFonts w:ascii="Times New Roman" w:eastAsia="Times New Roman" w:hAnsi="Times New Roman" w:cs="Times New Roman"/>
        </w:rPr>
        <w:t>helps</w:t>
      </w:r>
      <w:r w:rsidRPr="00E638D3">
        <w:rPr>
          <w:rFonts w:ascii="Times New Roman" w:eastAsia="Times New Roman" w:hAnsi="Times New Roman" w:cs="Times New Roman"/>
        </w:rPr>
        <w:t xml:space="preserve"> avoid the severe </w:t>
      </w:r>
      <w:r>
        <w:rPr>
          <w:rFonts w:ascii="Times New Roman" w:eastAsia="Times New Roman" w:hAnsi="Times New Roman" w:cs="Times New Roman"/>
        </w:rPr>
        <w:t xml:space="preserve">nonattainment area </w:t>
      </w:r>
      <w:r w:rsidRPr="00E638D3">
        <w:rPr>
          <w:rFonts w:ascii="Times New Roman" w:eastAsia="Times New Roman" w:hAnsi="Times New Roman" w:cs="Times New Roman"/>
        </w:rPr>
        <w:t>restrictions that would be required for businesses that want to build or expand in a nonattainment area</w:t>
      </w:r>
      <w:r>
        <w:rPr>
          <w:rFonts w:ascii="Times New Roman" w:eastAsia="Times New Roman" w:hAnsi="Times New Roman" w:cs="Times New Roman"/>
        </w:rPr>
        <w:t xml:space="preserve">. </w:t>
      </w:r>
    </w:p>
    <w:p w:rsidR="007E424E" w:rsidRPr="00E638D3" w:rsidRDefault="007E424E" w:rsidP="007E424E">
      <w:pPr>
        <w:ind w:right="18"/>
        <w:rPr>
          <w:rFonts w:ascii="Times New Roman" w:eastAsia="Times New Roman" w:hAnsi="Times New Roman" w:cs="Times New Roman"/>
        </w:rPr>
      </w:pPr>
      <w:r>
        <w:rPr>
          <w:rFonts w:ascii="Times New Roman" w:eastAsia="Times New Roman" w:hAnsi="Times New Roman" w:cs="Times New Roman"/>
        </w:rPr>
        <w:t>The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current particulate matter </w:t>
      </w:r>
      <w:r w:rsidRPr="00E638D3">
        <w:rPr>
          <w:rFonts w:ascii="Times New Roman" w:eastAsia="Times New Roman" w:hAnsi="Times New Roman" w:cs="Times New Roman"/>
        </w:rPr>
        <w:t>standard is 0.1 gr/dscf</w:t>
      </w:r>
      <w:r>
        <w:rPr>
          <w:rFonts w:ascii="Times New Roman" w:eastAsia="Times New Roman" w:hAnsi="Times New Roman" w:cs="Times New Roman"/>
        </w:rPr>
        <w:t xml:space="preserve">. However, this value is </w:t>
      </w:r>
      <w:r w:rsidRPr="00E638D3">
        <w:rPr>
          <w:rFonts w:ascii="Times New Roman" w:eastAsia="Times New Roman" w:hAnsi="Times New Roman" w:cs="Times New Roman"/>
        </w:rPr>
        <w:t>inconsistent with current EPA policy for significant figures</w:t>
      </w:r>
      <w:r>
        <w:rPr>
          <w:rFonts w:ascii="Times New Roman" w:eastAsia="Times New Roman" w:hAnsi="Times New Roman" w:cs="Times New Roman"/>
        </w:rPr>
        <w:t xml:space="preserve"> when determining compliance with standards. </w:t>
      </w:r>
      <w:r w:rsidRPr="00E638D3">
        <w:rPr>
          <w:rFonts w:ascii="Times New Roman" w:eastAsia="Times New Roman" w:hAnsi="Times New Roman" w:cs="Times New Roman"/>
        </w:rPr>
        <w:t xml:space="preserve">EPA considers all standards to have two significant figures </w:t>
      </w:r>
      <w:r>
        <w:rPr>
          <w:rFonts w:ascii="Times New Roman" w:eastAsia="Times New Roman" w:hAnsi="Times New Roman" w:cs="Times New Roman"/>
        </w:rPr>
        <w:t xml:space="preserve">(0.10 gr/dscf) when comparing measured emissions data to the standards. </w:t>
      </w:r>
    </w:p>
    <w:p w:rsidR="007E424E" w:rsidRDefault="007E424E" w:rsidP="007E424E">
      <w:pPr>
        <w:ind w:right="18"/>
        <w:rPr>
          <w:rFonts w:ascii="Times New Roman" w:eastAsia="Times New Roman" w:hAnsi="Times New Roman" w:cs="Times New Roman"/>
        </w:rPr>
      </w:pPr>
      <w:r w:rsidRPr="00E638D3">
        <w:rPr>
          <w:rFonts w:ascii="Times New Roman" w:eastAsia="Times New Roman" w:hAnsi="Times New Roman" w:cs="Times New Roman"/>
        </w:rPr>
        <w:t xml:space="preserve">When </w:t>
      </w:r>
      <w:r>
        <w:rPr>
          <w:rFonts w:ascii="Times New Roman" w:eastAsia="Times New Roman" w:hAnsi="Times New Roman" w:cs="Times New Roman"/>
        </w:rPr>
        <w:t>Oregon</w:t>
      </w:r>
      <w:r w:rsidRPr="00E638D3">
        <w:rPr>
          <w:rFonts w:ascii="Times New Roman" w:eastAsia="Times New Roman" w:hAnsi="Times New Roman" w:cs="Times New Roman"/>
        </w:rPr>
        <w:t xml:space="preserve"> first adopted the opacity standard, </w:t>
      </w:r>
      <w:r>
        <w:rPr>
          <w:rFonts w:ascii="Times New Roman" w:eastAsia="Times New Roman" w:hAnsi="Times New Roman" w:cs="Times New Roman"/>
        </w:rPr>
        <w:t>it</w:t>
      </w:r>
      <w:r w:rsidRPr="00E638D3">
        <w:rPr>
          <w:rFonts w:ascii="Times New Roman" w:eastAsia="Times New Roman" w:hAnsi="Times New Roman" w:cs="Times New Roman"/>
        </w:rPr>
        <w:t xml:space="preserve"> was </w:t>
      </w:r>
      <w:r>
        <w:rPr>
          <w:rFonts w:ascii="Times New Roman" w:eastAsia="Times New Roman" w:hAnsi="Times New Roman" w:cs="Times New Roman"/>
        </w:rPr>
        <w:t xml:space="preserve">based on </w:t>
      </w:r>
      <w:r w:rsidRPr="00E638D3">
        <w:rPr>
          <w:rFonts w:ascii="Times New Roman" w:eastAsia="Times New Roman" w:hAnsi="Times New Roman" w:cs="Times New Roman"/>
        </w:rPr>
        <w:t>an aggregate of three minutes in a 60</w:t>
      </w:r>
      <w:r>
        <w:rPr>
          <w:rFonts w:ascii="Times New Roman" w:eastAsia="Times New Roman" w:hAnsi="Times New Roman" w:cs="Times New Roman"/>
        </w:rPr>
        <w:t>-</w:t>
      </w:r>
      <w:r w:rsidRPr="00E638D3">
        <w:rPr>
          <w:rFonts w:ascii="Times New Roman" w:eastAsia="Times New Roman" w:hAnsi="Times New Roman" w:cs="Times New Roman"/>
        </w:rPr>
        <w:t>minute period</w:t>
      </w:r>
      <w:r>
        <w:rPr>
          <w:rFonts w:ascii="Times New Roman" w:eastAsia="Times New Roman" w:hAnsi="Times New Roman" w:cs="Times New Roman"/>
        </w:rPr>
        <w:t>. However, Oregon</w:t>
      </w:r>
      <w:r w:rsidRPr="00614F71">
        <w:rPr>
          <w:rFonts w:ascii="Times New Roman" w:eastAsia="Times New Roman" w:hAnsi="Times New Roman" w:cs="Times New Roman"/>
        </w:rPr>
        <w:t xml:space="preserve"> never developed a reference method for the 3-minute aggregate limit</w:t>
      </w:r>
      <w:r>
        <w:rPr>
          <w:rFonts w:ascii="Times New Roman" w:eastAsia="Times New Roman" w:hAnsi="Times New Roman" w:cs="Times New Roman"/>
        </w:rPr>
        <w:t xml:space="preserve">. Not having a reference method for showing compliance makes a standard unenforceable. </w:t>
      </w:r>
      <w:r w:rsidRPr="00E638D3">
        <w:rPr>
          <w:rFonts w:ascii="Times New Roman" w:eastAsia="Times New Roman" w:hAnsi="Times New Roman" w:cs="Times New Roman"/>
        </w:rPr>
        <w:t>In order to show compliance with this standard, people use a</w:t>
      </w:r>
      <w:r>
        <w:rPr>
          <w:rFonts w:ascii="Times New Roman" w:eastAsia="Times New Roman" w:hAnsi="Times New Roman" w:cs="Times New Roman"/>
        </w:rPr>
        <w:t>n ad hoc</w:t>
      </w:r>
      <w:r w:rsidRPr="00E638D3">
        <w:rPr>
          <w:rFonts w:ascii="Times New Roman" w:eastAsia="Times New Roman" w:hAnsi="Times New Roman" w:cs="Times New Roman"/>
        </w:rPr>
        <w:t xml:space="preserve"> modified EPA Method 9 </w:t>
      </w:r>
      <w:r>
        <w:rPr>
          <w:rFonts w:ascii="Times New Roman" w:eastAsia="Times New Roman" w:hAnsi="Times New Roman" w:cs="Times New Roman"/>
        </w:rPr>
        <w:t xml:space="preserve">based on a 6-minute block average </w:t>
      </w:r>
      <w:r w:rsidRPr="00E638D3">
        <w:rPr>
          <w:rFonts w:ascii="Times New Roman" w:eastAsia="Times New Roman" w:hAnsi="Times New Roman" w:cs="Times New Roman"/>
        </w:rPr>
        <w:t>to read opacity</w:t>
      </w:r>
      <w:r>
        <w:rPr>
          <w:rFonts w:ascii="Times New Roman" w:eastAsia="Times New Roman" w:hAnsi="Times New Roman" w:cs="Times New Roman"/>
        </w:rPr>
        <w:t xml:space="preserve">. </w:t>
      </w:r>
    </w:p>
    <w:p w:rsidR="007E424E" w:rsidRPr="00E638D3" w:rsidRDefault="007E424E" w:rsidP="007E424E">
      <w:pPr>
        <w:ind w:right="18"/>
        <w:rPr>
          <w:rFonts w:ascii="Times New Roman" w:eastAsia="Times New Roman" w:hAnsi="Times New Roman" w:cs="Times New Roman"/>
        </w:rPr>
      </w:pPr>
      <w:r>
        <w:rPr>
          <w:rFonts w:ascii="Times New Roman" w:eastAsia="Times New Roman" w:hAnsi="Times New Roman" w:cs="Times New Roman"/>
        </w:rPr>
        <w:t>Current rules include a</w:t>
      </w:r>
      <w:r w:rsidRPr="00E638D3">
        <w:rPr>
          <w:rFonts w:ascii="Times New Roman" w:eastAsia="Times New Roman" w:hAnsi="Times New Roman" w:cs="Times New Roman"/>
        </w:rPr>
        <w:t xml:space="preserve"> 20</w:t>
      </w:r>
      <w:r>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 </w:t>
      </w:r>
      <w:r>
        <w:rPr>
          <w:rFonts w:ascii="Times New Roman" w:eastAsia="Times New Roman" w:hAnsi="Times New Roman" w:cs="Times New Roman"/>
        </w:rPr>
        <w:t>that</w:t>
      </w:r>
      <w:r w:rsidRPr="00E638D3">
        <w:rPr>
          <w:rFonts w:ascii="Times New Roman" w:eastAsia="Times New Roman" w:hAnsi="Times New Roman" w:cs="Times New Roman"/>
        </w:rPr>
        <w:t xml:space="preserve"> is an aggregate of 30 seconds in a 60-minute period for non-fuel burning equipment.</w:t>
      </w:r>
      <w:r>
        <w:rPr>
          <w:rFonts w:ascii="Times New Roman" w:eastAsia="Times New Roman" w:hAnsi="Times New Roman" w:cs="Times New Roman"/>
        </w:rPr>
        <w:t xml:space="preserve"> This rule only applies in the four-county area around Portland.</w:t>
      </w:r>
      <w:r w:rsidRPr="00E638D3">
        <w:rPr>
          <w:rFonts w:ascii="Times New Roman" w:eastAsia="Times New Roman" w:hAnsi="Times New Roman" w:cs="Times New Roman"/>
        </w:rPr>
        <w:t xml:space="preserve"> In the context of this rule, “non-fuel</w:t>
      </w:r>
      <w:r>
        <w:rPr>
          <w:rFonts w:ascii="Times New Roman" w:eastAsia="Times New Roman" w:hAnsi="Times New Roman" w:cs="Times New Roman"/>
        </w:rPr>
        <w:t xml:space="preserve"> </w:t>
      </w:r>
      <w:r w:rsidRPr="00E638D3">
        <w:rPr>
          <w:rFonts w:ascii="Times New Roman" w:eastAsia="Times New Roman" w:hAnsi="Times New Roman" w:cs="Times New Roman"/>
        </w:rPr>
        <w:t>burning</w:t>
      </w:r>
      <w:r>
        <w:rPr>
          <w:rFonts w:ascii="Times New Roman" w:eastAsia="Times New Roman" w:hAnsi="Times New Roman" w:cs="Times New Roman"/>
        </w:rPr>
        <w:t xml:space="preserve"> </w:t>
      </w:r>
      <w:r w:rsidRPr="00E638D3">
        <w:rPr>
          <w:rFonts w:ascii="Times New Roman" w:eastAsia="Times New Roman" w:hAnsi="Times New Roman" w:cs="Times New Roman"/>
        </w:rPr>
        <w:t>equipment” essentially means equipment that is not a boiler, such as material handling equipment. Therefore, this rule</w:t>
      </w:r>
      <w:r>
        <w:rPr>
          <w:rFonts w:ascii="Times New Roman" w:eastAsia="Times New Roman" w:hAnsi="Times New Roman" w:cs="Times New Roman"/>
        </w:rPr>
        <w:t xml:space="preserve"> is not just limited to the four-county area, but</w:t>
      </w:r>
      <w:r w:rsidRPr="00E638D3">
        <w:rPr>
          <w:rFonts w:ascii="Times New Roman" w:eastAsia="Times New Roman" w:hAnsi="Times New Roman" w:cs="Times New Roman"/>
        </w:rPr>
        <w:t xml:space="preserve"> has limited applicability </w:t>
      </w:r>
      <w:r>
        <w:rPr>
          <w:rFonts w:ascii="Times New Roman" w:eastAsia="Times New Roman" w:hAnsi="Times New Roman" w:cs="Times New Roman"/>
        </w:rPr>
        <w:t>with</w:t>
      </w:r>
      <w:r w:rsidRPr="00E638D3">
        <w:rPr>
          <w:rFonts w:ascii="Times New Roman" w:eastAsia="Times New Roman" w:hAnsi="Times New Roman" w:cs="Times New Roman"/>
        </w:rPr>
        <w:t>in the four-county area</w:t>
      </w:r>
      <w:r>
        <w:rPr>
          <w:rFonts w:ascii="Times New Roman" w:eastAsia="Times New Roman" w:hAnsi="Times New Roman" w:cs="Times New Roman"/>
        </w:rPr>
        <w:t xml:space="preserve"> making </w:t>
      </w:r>
      <w:r w:rsidRPr="00E638D3">
        <w:rPr>
          <w:rFonts w:ascii="Times New Roman" w:eastAsia="Times New Roman" w:hAnsi="Times New Roman" w:cs="Times New Roman"/>
        </w:rPr>
        <w:t>th</w:t>
      </w:r>
      <w:r>
        <w:rPr>
          <w:rFonts w:ascii="Times New Roman" w:eastAsia="Times New Roman" w:hAnsi="Times New Roman" w:cs="Times New Roman"/>
        </w:rPr>
        <w:t>is</w:t>
      </w:r>
      <w:r w:rsidRPr="00E638D3">
        <w:rPr>
          <w:rFonts w:ascii="Times New Roman" w:eastAsia="Times New Roman" w:hAnsi="Times New Roman" w:cs="Times New Roman"/>
        </w:rPr>
        <w:t xml:space="preserve"> visible emissions standard for the four-county area more stringent than the current statewide standard.</w:t>
      </w:r>
      <w:r>
        <w:rPr>
          <w:rFonts w:ascii="Times New Roman" w:eastAsia="Times New Roman" w:hAnsi="Times New Roman" w:cs="Times New Roman"/>
        </w:rPr>
        <w:t xml:space="preserve"> However, just like the 3-minute aggregate standard, Oregon</w:t>
      </w:r>
      <w:r w:rsidRPr="00614F71">
        <w:rPr>
          <w:rFonts w:ascii="Times New Roman" w:eastAsia="Times New Roman" w:hAnsi="Times New Roman" w:cs="Times New Roman"/>
        </w:rPr>
        <w:t xml:space="preserve"> never developed a reference method for the </w:t>
      </w:r>
      <w:r>
        <w:rPr>
          <w:rFonts w:ascii="Times New Roman" w:eastAsia="Times New Roman" w:hAnsi="Times New Roman" w:cs="Times New Roman"/>
        </w:rPr>
        <w:t>30-second</w:t>
      </w:r>
      <w:r w:rsidRPr="00614F71">
        <w:rPr>
          <w:rFonts w:ascii="Times New Roman" w:eastAsia="Times New Roman" w:hAnsi="Times New Roman" w:cs="Times New Roman"/>
        </w:rPr>
        <w:t xml:space="preserve"> aggregate limit</w:t>
      </w:r>
      <w:r>
        <w:rPr>
          <w:rFonts w:ascii="Times New Roman" w:eastAsia="Times New Roman" w:hAnsi="Times New Roman" w:cs="Times New Roman"/>
        </w:rPr>
        <w:t>. A</w:t>
      </w:r>
      <w:r w:rsidRPr="00E638D3">
        <w:rPr>
          <w:rFonts w:ascii="Times New Roman" w:eastAsia="Times New Roman" w:hAnsi="Times New Roman" w:cs="Times New Roman"/>
        </w:rPr>
        <w:t xml:space="preserve">s stated above, emissions standards are only enforceable if there is a defined method for determining compliance with the standard. </w:t>
      </w:r>
    </w:p>
    <w:p w:rsidR="00E548F5" w:rsidRDefault="007E424E" w:rsidP="007E424E">
      <w:pPr>
        <w:spacing w:after="0" w:line="240" w:lineRule="auto"/>
        <w:rPr>
          <w:rFonts w:ascii="Times New Roman" w:eastAsia="Times New Roman" w:hAnsi="Times New Roman" w:cs="Times New Roman"/>
        </w:rPr>
      </w:pPr>
      <w:r>
        <w:rPr>
          <w:rFonts w:ascii="Times New Roman" w:eastAsia="Times New Roman" w:hAnsi="Times New Roman" w:cs="Times New Roman"/>
        </w:rPr>
        <w:t>There is also a</w:t>
      </w:r>
      <w:r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trying to read opacity from fugitive emission sources. Fugitive particulate matter emissions are not emitted from a stack and typically originate from storage piles, material conveying systems, unpaved roads or other dusty activities. It may be possible in many situations to take </w:t>
      </w:r>
      <w:r w:rsidRPr="00E638D3">
        <w:rPr>
          <w:rFonts w:ascii="Times New Roman" w:eastAsia="Times New Roman" w:hAnsi="Times New Roman" w:cs="Times New Roman"/>
        </w:rPr>
        <w:lastRenderedPageBreak/>
        <w:t xml:space="preserve">opacity readings to determine if the </w:t>
      </w:r>
      <w:r>
        <w:rPr>
          <w:rFonts w:ascii="Times New Roman" w:eastAsia="Times New Roman" w:hAnsi="Times New Roman" w:cs="Times New Roman"/>
        </w:rPr>
        <w:t xml:space="preserve">emitting source exceeded the </w:t>
      </w:r>
      <w:r w:rsidRPr="00E638D3">
        <w:rPr>
          <w:rFonts w:ascii="Times New Roman" w:eastAsia="Times New Roman" w:hAnsi="Times New Roman" w:cs="Times New Roman"/>
        </w:rPr>
        <w:t xml:space="preserve">opacity </w:t>
      </w:r>
      <w:r w:rsidR="0075582D" w:rsidRPr="00E638D3">
        <w:rPr>
          <w:rFonts w:ascii="Times New Roman" w:eastAsia="Times New Roman" w:hAnsi="Times New Roman" w:cs="Times New Roman"/>
        </w:rPr>
        <w:t>standard and</w:t>
      </w:r>
      <w:r w:rsidRPr="00E638D3">
        <w:rPr>
          <w:rFonts w:ascii="Times New Roman" w:eastAsia="Times New Roman" w:hAnsi="Times New Roman" w:cs="Times New Roman"/>
        </w:rPr>
        <w:t xml:space="preserve"> to then require action to abate the emissions. However, there may be situations where opacity readings are difficult to take or the emissions do not exceed the opacity standard but are nevertheless objectionable. </w:t>
      </w:r>
    </w:p>
    <w:p w:rsidR="007E424E" w:rsidRDefault="007E424E" w:rsidP="007E424E">
      <w:pPr>
        <w:spacing w:after="0" w:line="240" w:lineRule="auto"/>
        <w:rPr>
          <w:rFonts w:ascii="Times New Roman" w:eastAsia="Times New Roman" w:hAnsi="Times New Roman" w:cs="Times New Roman"/>
        </w:rPr>
      </w:pPr>
    </w:p>
    <w:p w:rsidR="007E424E" w:rsidRPr="00E638D3" w:rsidRDefault="007E424E" w:rsidP="007E424E">
      <w:p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would </w:t>
      </w:r>
      <w:r w:rsidRPr="00E638D3">
        <w:rPr>
          <w:rFonts w:ascii="Times New Roman" w:eastAsia="Times New Roman" w:hAnsi="Times New Roman" w:cs="Times New Roman"/>
          <w:bCs/>
        </w:rPr>
        <w:t xml:space="preserve">improve </w:t>
      </w:r>
      <w:r>
        <w:rPr>
          <w:rFonts w:ascii="Times New Roman" w:eastAsia="Times New Roman" w:hAnsi="Times New Roman" w:cs="Times New Roman"/>
          <w:bCs/>
        </w:rPr>
        <w:t xml:space="preserve">and maintain </w:t>
      </w:r>
      <w:r w:rsidRPr="00E638D3">
        <w:rPr>
          <w:rFonts w:ascii="Times New Roman" w:eastAsia="Times New Roman" w:hAnsi="Times New Roman" w:cs="Times New Roman"/>
          <w:bCs/>
        </w:rPr>
        <w:t>air quality and allow economic development.</w:t>
      </w:r>
    </w:p>
    <w:p w:rsidR="007E424E" w:rsidRPr="00E638D3" w:rsidRDefault="007E424E" w:rsidP="007E424E">
      <w:p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changes </w:t>
      </w:r>
      <w:r>
        <w:rPr>
          <w:rFonts w:ascii="Times New Roman" w:eastAsia="Times New Roman" w:hAnsi="Times New Roman" w:cs="Times New Roman"/>
          <w:bCs/>
        </w:rPr>
        <w:t>would</w:t>
      </w:r>
      <w:r w:rsidRPr="00E638D3">
        <w:rPr>
          <w:rFonts w:ascii="Times New Roman" w:eastAsia="Times New Roman" w:hAnsi="Times New Roman" w:cs="Times New Roman"/>
          <w:bCs/>
        </w:rPr>
        <w:t>:</w:t>
      </w:r>
    </w:p>
    <w:p w:rsidR="007E424E" w:rsidRDefault="007E424E" w:rsidP="007E424E">
      <w:pPr>
        <w:pStyle w:val="ListParagraph"/>
        <w:numPr>
          <w:ilvl w:val="0"/>
          <w:numId w:val="21"/>
        </w:numPr>
        <w:spacing w:after="0" w:line="240" w:lineRule="auto"/>
        <w:ind w:right="18"/>
        <w:rPr>
          <w:rFonts w:ascii="Times New Roman" w:eastAsia="Times New Roman" w:hAnsi="Times New Roman" w:cs="Times New Roman"/>
          <w:bCs/>
        </w:rPr>
      </w:pPr>
      <w:r>
        <w:rPr>
          <w:rFonts w:ascii="Times New Roman" w:eastAsia="Times New Roman" w:hAnsi="Times New Roman" w:cs="Times New Roman"/>
          <w:bCs/>
        </w:rPr>
        <w:t>Reduce</w:t>
      </w:r>
      <w:r w:rsidRPr="00E638D3">
        <w:rPr>
          <w:rFonts w:ascii="Times New Roman" w:eastAsia="Times New Roman" w:hAnsi="Times New Roman" w:cs="Times New Roman"/>
          <w:bCs/>
        </w:rPr>
        <w:t xml:space="preserve"> the particulate matter emissions from pre-1970 units</w:t>
      </w:r>
      <w:r>
        <w:rPr>
          <w:rFonts w:ascii="Times New Roman" w:eastAsia="Times New Roman" w:hAnsi="Times New Roman" w:cs="Times New Roman"/>
          <w:bCs/>
        </w:rPr>
        <w:t>.</w:t>
      </w:r>
    </w:p>
    <w:p w:rsidR="007E424E" w:rsidRPr="00E638D3" w:rsidRDefault="007E424E" w:rsidP="007E424E">
      <w:pPr>
        <w:pStyle w:val="ListParagraph"/>
        <w:numPr>
          <w:ilvl w:val="0"/>
          <w:numId w:val="21"/>
        </w:numPr>
        <w:spacing w:after="0" w:line="240" w:lineRule="auto"/>
        <w:ind w:right="18"/>
        <w:rPr>
          <w:rFonts w:ascii="Times New Roman" w:eastAsia="Times New Roman" w:hAnsi="Times New Roman" w:cs="Times New Roman"/>
          <w:bCs/>
        </w:rPr>
      </w:pPr>
      <w:r>
        <w:rPr>
          <w:rFonts w:ascii="Times New Roman" w:eastAsia="Times New Roman" w:hAnsi="Times New Roman" w:cs="Times New Roman"/>
          <w:bCs/>
        </w:rPr>
        <w:t>A</w:t>
      </w:r>
      <w:r w:rsidRPr="00E638D3">
        <w:rPr>
          <w:rFonts w:ascii="Times New Roman" w:eastAsia="Times New Roman" w:hAnsi="Times New Roman" w:cs="Times New Roman"/>
          <w:bCs/>
        </w:rPr>
        <w:t>lign the particulate matter standard with EPA policy on enforcement</w:t>
      </w:r>
      <w:r>
        <w:rPr>
          <w:rFonts w:ascii="Times New Roman" w:eastAsia="Times New Roman" w:hAnsi="Times New Roman" w:cs="Times New Roman"/>
          <w:bCs/>
        </w:rPr>
        <w:t>.</w:t>
      </w:r>
    </w:p>
    <w:p w:rsidR="007E424E" w:rsidRPr="00E638D3" w:rsidRDefault="007E424E" w:rsidP="007E424E">
      <w:pPr>
        <w:pStyle w:val="ListParagraph"/>
        <w:numPr>
          <w:ilvl w:val="0"/>
          <w:numId w:val="21"/>
        </w:numPr>
        <w:spacing w:after="0" w:line="240" w:lineRule="auto"/>
        <w:ind w:right="18"/>
        <w:rPr>
          <w:rFonts w:ascii="Times New Roman" w:eastAsia="Times New Roman" w:hAnsi="Times New Roman" w:cs="Times New Roman"/>
          <w:bCs/>
        </w:rPr>
      </w:pPr>
      <w:r>
        <w:rPr>
          <w:rFonts w:ascii="Times New Roman" w:eastAsia="Times New Roman" w:hAnsi="Times New Roman" w:cs="Times New Roman"/>
          <w:bCs/>
        </w:rPr>
        <w:t>Practically increase enforceability of</w:t>
      </w:r>
      <w:r w:rsidRPr="00E638D3">
        <w:rPr>
          <w:rFonts w:ascii="Times New Roman" w:eastAsia="Times New Roman" w:hAnsi="Times New Roman" w:cs="Times New Roman"/>
          <w:bCs/>
        </w:rPr>
        <w:t xml:space="preserve"> the </w:t>
      </w:r>
      <w:r>
        <w:rPr>
          <w:rFonts w:ascii="Times New Roman" w:eastAsia="Times New Roman" w:hAnsi="Times New Roman" w:cs="Times New Roman"/>
          <w:bCs/>
        </w:rPr>
        <w:t>opacity</w:t>
      </w:r>
      <w:r w:rsidRPr="00E638D3">
        <w:rPr>
          <w:rFonts w:ascii="Times New Roman" w:eastAsia="Times New Roman" w:hAnsi="Times New Roman" w:cs="Times New Roman"/>
          <w:bCs/>
        </w:rPr>
        <w:t xml:space="preserve"> standard by aligning </w:t>
      </w:r>
      <w:r>
        <w:rPr>
          <w:rFonts w:ascii="Times New Roman" w:eastAsia="Times New Roman" w:hAnsi="Times New Roman" w:cs="Times New Roman"/>
          <w:bCs/>
        </w:rPr>
        <w:t xml:space="preserve">it </w:t>
      </w:r>
      <w:r w:rsidRPr="00E638D3">
        <w:rPr>
          <w:rFonts w:ascii="Times New Roman" w:eastAsia="Times New Roman" w:hAnsi="Times New Roman" w:cs="Times New Roman"/>
          <w:bCs/>
        </w:rPr>
        <w:t>with the reference compliance method</w:t>
      </w:r>
      <w:r>
        <w:rPr>
          <w:rFonts w:ascii="Times New Roman" w:eastAsia="Times New Roman" w:hAnsi="Times New Roman" w:cs="Times New Roman"/>
          <w:bCs/>
        </w:rPr>
        <w:t>.</w:t>
      </w:r>
      <w:r w:rsidRPr="00E638D3">
        <w:rPr>
          <w:rFonts w:ascii="Times New Roman" w:eastAsia="Times New Roman" w:hAnsi="Times New Roman" w:cs="Times New Roman"/>
          <w:bCs/>
        </w:rPr>
        <w:t xml:space="preserve"> </w:t>
      </w:r>
    </w:p>
    <w:p w:rsidR="007E424E" w:rsidRDefault="007E424E" w:rsidP="000701B3">
      <w:pPr>
        <w:pStyle w:val="ListParagraph"/>
        <w:numPr>
          <w:ilvl w:val="0"/>
          <w:numId w:val="21"/>
        </w:numPr>
        <w:spacing w:line="240" w:lineRule="auto"/>
        <w:ind w:right="14"/>
        <w:rPr>
          <w:rFonts w:ascii="Times New Roman" w:eastAsia="Times New Roman" w:hAnsi="Times New Roman" w:cs="Times New Roman"/>
          <w:bCs/>
        </w:rPr>
      </w:pPr>
      <w:r>
        <w:rPr>
          <w:rFonts w:ascii="Times New Roman" w:eastAsia="Times New Roman" w:hAnsi="Times New Roman" w:cs="Times New Roman"/>
          <w:bCs/>
        </w:rPr>
        <w:t>R</w:t>
      </w:r>
      <w:r w:rsidRPr="00E638D3">
        <w:rPr>
          <w:rFonts w:ascii="Times New Roman" w:eastAsia="Times New Roman" w:hAnsi="Times New Roman" w:cs="Times New Roman"/>
          <w:bCs/>
        </w:rPr>
        <w:t xml:space="preserve">equire abatement of any visible fugitive emissions that leave </w:t>
      </w:r>
      <w:r>
        <w:rPr>
          <w:rFonts w:ascii="Times New Roman" w:eastAsia="Times New Roman" w:hAnsi="Times New Roman" w:cs="Times New Roman"/>
          <w:bCs/>
        </w:rPr>
        <w:t>a</w:t>
      </w:r>
      <w:r w:rsidRPr="00E638D3">
        <w:rPr>
          <w:rFonts w:ascii="Times New Roman" w:eastAsia="Times New Roman" w:hAnsi="Times New Roman" w:cs="Times New Roman"/>
          <w:bCs/>
        </w:rPr>
        <w:t xml:space="preserve"> business's property, regardless of the actual opacity level </w:t>
      </w:r>
    </w:p>
    <w:p w:rsidR="007E424E" w:rsidRPr="00E638D3" w:rsidRDefault="007E424E" w:rsidP="007E424E">
      <w:pPr>
        <w:ind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units built before June 1970 by requiring these industries to meet </w:t>
      </w:r>
      <w:r>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Pr>
          <w:rFonts w:ascii="Times New Roman" w:eastAsia="Times New Roman" w:hAnsi="Times New Roman" w:cs="Times New Roman"/>
        </w:rPr>
        <w:t>as</w:t>
      </w:r>
      <w:r w:rsidRPr="00E638D3">
        <w:rPr>
          <w:rFonts w:ascii="Times New Roman" w:eastAsia="Times New Roman" w:hAnsi="Times New Roman" w:cs="Times New Roman"/>
        </w:rPr>
        <w:t xml:space="preserve"> post</w:t>
      </w:r>
      <w:r>
        <w:rPr>
          <w:rFonts w:ascii="Times New Roman" w:eastAsia="Times New Roman" w:hAnsi="Times New Roman" w:cs="Times New Roman"/>
        </w:rPr>
        <w:t>-</w:t>
      </w:r>
      <w:r w:rsidRPr="00E638D3">
        <w:rPr>
          <w:rFonts w:ascii="Times New Roman" w:eastAsia="Times New Roman" w:hAnsi="Times New Roman" w:cs="Times New Roman"/>
        </w:rPr>
        <w:t>1970 units.</w:t>
      </w:r>
      <w:r>
        <w:rPr>
          <w:rFonts w:ascii="Times New Roman" w:eastAsia="Times New Roman" w:hAnsi="Times New Roman" w:cs="Times New Roman"/>
        </w:rPr>
        <w:t xml:space="preserve"> </w:t>
      </w:r>
    </w:p>
    <w:p w:rsidR="007E424E" w:rsidRDefault="007E424E" w:rsidP="007E424E">
      <w:pPr>
        <w:pStyle w:val="ListParagraph"/>
        <w:ind w:left="0" w:right="18"/>
        <w:rPr>
          <w:rFonts w:ascii="Times New Roman" w:eastAsia="Times New Roman" w:hAnsi="Times New Roman" w:cs="Times New Roman"/>
        </w:rPr>
      </w:pPr>
      <w:r>
        <w:rPr>
          <w:rFonts w:ascii="Times New Roman" w:eastAsia="Times New Roman" w:hAnsi="Times New Roman" w:cs="Times New Roman"/>
        </w:rPr>
        <w:t xml:space="preserve">To align the particulate matter standard with EPA’s policy that standards have 2 significant figures, </w:t>
      </w:r>
      <w:r w:rsidRPr="00E638D3">
        <w:rPr>
          <w:rFonts w:ascii="Times New Roman" w:eastAsia="Times New Roman" w:hAnsi="Times New Roman" w:cs="Times New Roman"/>
        </w:rPr>
        <w:t>DEQ is proposing to add a zero to the</w:t>
      </w:r>
      <w:r>
        <w:rPr>
          <w:rFonts w:ascii="Times New Roman" w:eastAsia="Times New Roman" w:hAnsi="Times New Roman" w:cs="Times New Roman"/>
        </w:rPr>
        <w:t xml:space="preserve"> particulate matter</w:t>
      </w:r>
      <w:r w:rsidRPr="00E638D3">
        <w:rPr>
          <w:rFonts w:ascii="Times New Roman" w:eastAsia="Times New Roman" w:hAnsi="Times New Roman" w:cs="Times New Roman"/>
        </w:rPr>
        <w:t xml:space="preserve"> standard</w:t>
      </w:r>
      <w:r>
        <w:rPr>
          <w:rFonts w:ascii="Times New Roman" w:eastAsia="Times New Roman" w:hAnsi="Times New Roman" w:cs="Times New Roman"/>
        </w:rPr>
        <w:t>, changing it from 0.1 gr/dscf to</w:t>
      </w:r>
      <w:r w:rsidRPr="00E638D3">
        <w:rPr>
          <w:rFonts w:ascii="Times New Roman" w:eastAsia="Times New Roman" w:hAnsi="Times New Roman" w:cs="Times New Roman"/>
        </w:rPr>
        <w:t xml:space="preserve"> 0.10 gr/dscf</w:t>
      </w:r>
      <w:r>
        <w:rPr>
          <w:rFonts w:ascii="Times New Roman" w:eastAsia="Times New Roman" w:hAnsi="Times New Roman" w:cs="Times New Roman"/>
        </w:rPr>
        <w:t xml:space="preserve">. </w:t>
      </w:r>
    </w:p>
    <w:p w:rsidR="007E424E" w:rsidRDefault="007E424E" w:rsidP="007E424E">
      <w:pPr>
        <w:pStyle w:val="ListParagraph"/>
        <w:ind w:left="0" w:right="18"/>
        <w:rPr>
          <w:rFonts w:ascii="Times New Roman" w:eastAsia="Times New Roman" w:hAnsi="Times New Roman" w:cs="Times New Roman"/>
        </w:rPr>
      </w:pPr>
    </w:p>
    <w:p w:rsidR="007E424E" w:rsidRDefault="007E424E" w:rsidP="007E424E">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Pr>
          <w:rFonts w:ascii="Times New Roman" w:eastAsia="Times New Roman" w:hAnsi="Times New Roman" w:cs="Times New Roman"/>
        </w:rPr>
        <w:t>April</w:t>
      </w:r>
      <w:r w:rsidRPr="00E638D3">
        <w:rPr>
          <w:rFonts w:ascii="Times New Roman" w:eastAsia="Times New Roman" w:hAnsi="Times New Roman" w:cs="Times New Roman"/>
        </w:rPr>
        <w:t xml:space="preserve"> 1, 2015 to comply with the lower opacity standard</w:t>
      </w:r>
      <w:r>
        <w:rPr>
          <w:rFonts w:ascii="Times New Roman" w:eastAsia="Times New Roman" w:hAnsi="Times New Roman" w:cs="Times New Roman"/>
        </w:rPr>
        <w:t xml:space="preserve"> and until April</w:t>
      </w:r>
      <w:r w:rsidRPr="00E638D3">
        <w:rPr>
          <w:rFonts w:ascii="Times New Roman" w:eastAsia="Times New Roman" w:hAnsi="Times New Roman" w:cs="Times New Roman"/>
        </w:rPr>
        <w:t xml:space="preserve"> 1, 2019 to comply with the lower particulate matter standard</w:t>
      </w:r>
      <w:r>
        <w:rPr>
          <w:rFonts w:ascii="Times New Roman" w:eastAsia="Times New Roman" w:hAnsi="Times New Roman" w:cs="Times New Roman"/>
        </w:rPr>
        <w:t>.</w:t>
      </w:r>
    </w:p>
    <w:p w:rsidR="007E424E" w:rsidRDefault="007E424E" w:rsidP="007E424E">
      <w:pPr>
        <w:pStyle w:val="ListParagraph"/>
        <w:ind w:left="0" w:right="18"/>
        <w:rPr>
          <w:rFonts w:ascii="Times New Roman" w:eastAsia="Times New Roman" w:hAnsi="Times New Roman" w:cs="Times New Roman"/>
          <w:bCs/>
        </w:rPr>
      </w:pPr>
    </w:p>
    <w:p w:rsidR="007E424E" w:rsidRDefault="007E424E" w:rsidP="007E424E">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Pr="00E638D3">
        <w:rPr>
          <w:rFonts w:ascii="Times New Roman" w:eastAsia="Times New Roman" w:hAnsi="Times New Roman" w:cs="Times New Roman"/>
        </w:rPr>
        <w:t xml:space="preserve">to change all opacity standards (both statewide and industry specific) to </w:t>
      </w:r>
      <w:r>
        <w:rPr>
          <w:rFonts w:ascii="Times New Roman" w:eastAsia="Times New Roman" w:hAnsi="Times New Roman" w:cs="Times New Roman"/>
        </w:rPr>
        <w:t xml:space="preserve">a </w:t>
      </w:r>
      <w:r w:rsidRPr="00E638D3">
        <w:rPr>
          <w:rFonts w:ascii="Times New Roman" w:eastAsia="Times New Roman" w:hAnsi="Times New Roman" w:cs="Times New Roman"/>
        </w:rPr>
        <w:t>6-minute block average, consistent with other states in the region and EPA opacity standards</w:t>
      </w:r>
      <w:r>
        <w:rPr>
          <w:rFonts w:ascii="Times New Roman" w:eastAsia="Times New Roman" w:hAnsi="Times New Roman" w:cs="Times New Roman"/>
        </w:rPr>
        <w:t>. DEQ does not expect this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to </w:t>
      </w:r>
      <w:r w:rsidRPr="00E638D3">
        <w:rPr>
          <w:rFonts w:ascii="Times New Roman" w:eastAsia="Times New Roman" w:hAnsi="Times New Roman" w:cs="Times New Roman"/>
        </w:rPr>
        <w:t xml:space="preserve">change </w:t>
      </w:r>
      <w:r>
        <w:rPr>
          <w:rFonts w:ascii="Times New Roman" w:eastAsia="Times New Roman" w:hAnsi="Times New Roman" w:cs="Times New Roman"/>
        </w:rPr>
        <w:t xml:space="preserve">the overall </w:t>
      </w:r>
      <w:r w:rsidRPr="00E638D3">
        <w:rPr>
          <w:rFonts w:ascii="Times New Roman" w:eastAsia="Times New Roman" w:hAnsi="Times New Roman" w:cs="Times New Roman"/>
        </w:rPr>
        <w:t xml:space="preserve">stringency </w:t>
      </w:r>
      <w:r>
        <w:rPr>
          <w:rFonts w:ascii="Times New Roman" w:eastAsia="Times New Roman" w:hAnsi="Times New Roman" w:cs="Times New Roman"/>
        </w:rPr>
        <w:t>of the standards.</w:t>
      </w:r>
    </w:p>
    <w:p w:rsidR="007E424E" w:rsidRPr="00E638D3" w:rsidRDefault="007E424E" w:rsidP="007E424E">
      <w:pPr>
        <w:ind w:right="18"/>
        <w:rPr>
          <w:rFonts w:ascii="Times New Roman" w:eastAsia="Times New Roman" w:hAnsi="Times New Roman" w:cs="Times New Roman"/>
        </w:rPr>
      </w:pPr>
      <w:r>
        <w:rPr>
          <w:rFonts w:ascii="Times New Roman" w:eastAsia="Times New Roman" w:hAnsi="Times New Roman" w:cs="Times New Roman"/>
        </w:rPr>
        <w:t xml:space="preserve">Repealing the </w:t>
      </w:r>
      <w:r w:rsidRPr="00E638D3">
        <w:rPr>
          <w:rFonts w:ascii="Times New Roman" w:eastAsia="Times New Roman" w:hAnsi="Times New Roman" w:cs="Times New Roman"/>
        </w:rPr>
        <w:t>Portland</w:t>
      </w:r>
      <w:r>
        <w:rPr>
          <w:rFonts w:ascii="Times New Roman" w:eastAsia="Times New Roman" w:hAnsi="Times New Roman" w:cs="Times New Roman"/>
        </w:rPr>
        <w:t>-area</w:t>
      </w:r>
      <w:r w:rsidRPr="00E638D3">
        <w:rPr>
          <w:rFonts w:ascii="Times New Roman" w:eastAsia="Times New Roman" w:hAnsi="Times New Roman" w:cs="Times New Roman"/>
        </w:rPr>
        <w:t xml:space="preserve"> four-county 20</w:t>
      </w:r>
      <w:r>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w:t>
      </w:r>
      <w:r>
        <w:rPr>
          <w:rFonts w:ascii="Times New Roman" w:eastAsia="Times New Roman" w:hAnsi="Times New Roman" w:cs="Times New Roman"/>
        </w:rPr>
        <w:t xml:space="preserve"> would solve the problem of limited applicability and unenforceability.</w:t>
      </w:r>
    </w:p>
    <w:p w:rsidR="007E424E" w:rsidRPr="001A67FF" w:rsidRDefault="007E424E" w:rsidP="007E424E">
      <w:pPr>
        <w:spacing w:after="0" w:line="240" w:lineRule="auto"/>
        <w:rPr>
          <w:rFonts w:ascii="Times New Roman" w:hAnsi="Times New Roman" w:cs="Times New Roman"/>
          <w:bCs/>
          <w:sz w:val="24"/>
          <w:szCs w:val="24"/>
          <w:highlight w:val="yellow"/>
        </w:rPr>
      </w:pPr>
      <w:r>
        <w:rPr>
          <w:rFonts w:ascii="Times New Roman" w:eastAsia="Times New Roman" w:hAnsi="Times New Roman" w:cs="Times New Roman"/>
        </w:rPr>
        <w:t>Changing the visible emissions limit for</w:t>
      </w:r>
      <w:r w:rsidRPr="00E638D3">
        <w:rPr>
          <w:rFonts w:ascii="Times New Roman" w:eastAsia="Times New Roman" w:hAnsi="Times New Roman" w:cs="Times New Roman"/>
        </w:rPr>
        <w:t xml:space="preserve"> fugitive sources from 20</w:t>
      </w:r>
      <w:r>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w:t>
      </w:r>
      <w:r>
        <w:rPr>
          <w:rFonts w:ascii="Times New Roman" w:eastAsia="Times New Roman" w:hAnsi="Times New Roman" w:cs="Times New Roman"/>
        </w:rPr>
        <w:t>to a limit on any visible emissions leaving a source’s property would</w:t>
      </w:r>
      <w:r w:rsidRPr="00E638D3">
        <w:rPr>
          <w:rFonts w:ascii="Times New Roman" w:eastAsia="Times New Roman" w:hAnsi="Times New Roman" w:cs="Times New Roman"/>
        </w:rPr>
        <w:t xml:space="preserve"> solve the problem of trying to read opacity from fugitive emission sources</w:t>
      </w:r>
      <w:r>
        <w:rPr>
          <w:rFonts w:ascii="Times New Roman" w:eastAsia="Times New Roman" w:hAnsi="Times New Roman" w:cs="Times New Roman"/>
        </w:rPr>
        <w:t>. This</w:t>
      </w:r>
      <w:r w:rsidRPr="00E638D3">
        <w:rPr>
          <w:rFonts w:ascii="Times New Roman" w:eastAsia="Times New Roman" w:hAnsi="Times New Roman" w:cs="Times New Roman"/>
        </w:rPr>
        <w:t xml:space="preserve"> is a simpler, more stringent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t>
      </w:r>
      <w:r>
        <w:rPr>
          <w:rFonts w:ascii="Times New Roman" w:eastAsia="Times New Roman" w:hAnsi="Times New Roman" w:cs="Times New Roman"/>
        </w:rPr>
        <w:t>would</w:t>
      </w:r>
      <w:r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what is currently used (</w:t>
      </w:r>
      <w:r w:rsidRPr="00E638D3">
        <w:rPr>
          <w:rFonts w:ascii="Times New Roman" w:eastAsia="Times New Roman" w:hAnsi="Times New Roman" w:cs="Times New Roman"/>
        </w:rPr>
        <w:t>EPA Method 9</w:t>
      </w:r>
      <w:r>
        <w:rPr>
          <w:rFonts w:ascii="Times New Roman" w:eastAsia="Times New Roman" w:hAnsi="Times New Roman" w:cs="Times New Roman"/>
        </w:rPr>
        <w:t>).</w:t>
      </w:r>
    </w:p>
    <w:p w:rsidR="00E548F5" w:rsidRDefault="00E548F5" w:rsidP="00E548F5">
      <w:pPr>
        <w:pStyle w:val="Heading1"/>
      </w:pPr>
      <w:bookmarkStart w:id="7" w:name="_Toc366837601"/>
      <w:r>
        <w:t>New Source Review program overhaul</w:t>
      </w:r>
      <w:bookmarkEnd w:id="7"/>
    </w:p>
    <w:p w:rsidR="00E548F5" w:rsidRDefault="004A5A93" w:rsidP="00C90516">
      <w:pPr>
        <w:spacing w:after="0" w:line="240" w:lineRule="auto"/>
        <w:rPr>
          <w:rFonts w:ascii="Times New Roman" w:hAnsi="Times New Roman" w:cs="Times New Roman"/>
          <w:bCs/>
          <w:sz w:val="24"/>
          <w:szCs w:val="24"/>
        </w:rPr>
      </w:pPr>
      <w:r>
        <w:rPr>
          <w:rFonts w:ascii="Times New Roman" w:hAnsi="Times New Roman" w:cs="Times New Roman"/>
          <w:bCs/>
          <w:sz w:val="24"/>
          <w:szCs w:val="24"/>
        </w:rPr>
        <w:t>DEQ is proposing changes to the New Sou</w:t>
      </w:r>
      <w:r w:rsidR="007500F6">
        <w:rPr>
          <w:rFonts w:ascii="Times New Roman" w:hAnsi="Times New Roman" w:cs="Times New Roman"/>
          <w:bCs/>
          <w:sz w:val="24"/>
          <w:szCs w:val="24"/>
        </w:rPr>
        <w:t>rce R</w:t>
      </w:r>
      <w:r>
        <w:rPr>
          <w:rFonts w:ascii="Times New Roman" w:hAnsi="Times New Roman" w:cs="Times New Roman"/>
          <w:bCs/>
          <w:sz w:val="24"/>
          <w:szCs w:val="24"/>
        </w:rPr>
        <w:t xml:space="preserve">eview program </w:t>
      </w:r>
      <w:r w:rsidR="00C179E4">
        <w:rPr>
          <w:rFonts w:ascii="Times New Roman" w:hAnsi="Times New Roman" w:cs="Times New Roman"/>
          <w:bCs/>
          <w:sz w:val="24"/>
          <w:szCs w:val="24"/>
        </w:rPr>
        <w:t>to improve air quality in all areas of the state, especially those that are close to or exceed ambient air quality standards</w:t>
      </w:r>
      <w:r w:rsidR="008C2CC3">
        <w:rPr>
          <w:rFonts w:ascii="Times New Roman" w:hAnsi="Times New Roman" w:cs="Times New Roman"/>
          <w:bCs/>
          <w:sz w:val="24"/>
          <w:szCs w:val="24"/>
        </w:rPr>
        <w:t xml:space="preserve">. </w:t>
      </w:r>
      <w:r w:rsidR="00C179E4">
        <w:rPr>
          <w:rFonts w:ascii="Times New Roman" w:hAnsi="Times New Roman" w:cs="Times New Roman"/>
          <w:bCs/>
          <w:sz w:val="24"/>
          <w:szCs w:val="24"/>
        </w:rPr>
        <w:t xml:space="preserve">The proposed changes will also clarify permitting requirements, provide more opportunities for businesses to obtain offsets and </w:t>
      </w:r>
      <w:r w:rsidR="009945FB">
        <w:rPr>
          <w:rFonts w:ascii="Times New Roman" w:hAnsi="Times New Roman" w:cs="Times New Roman"/>
          <w:bCs/>
          <w:sz w:val="24"/>
          <w:szCs w:val="24"/>
        </w:rPr>
        <w:t>make it possible to demonstrate a new air quality benefit</w:t>
      </w:r>
      <w:r w:rsidR="008C2CC3">
        <w:rPr>
          <w:rFonts w:ascii="Times New Roman" w:hAnsi="Times New Roman" w:cs="Times New Roman"/>
          <w:bCs/>
          <w:sz w:val="24"/>
          <w:szCs w:val="24"/>
        </w:rPr>
        <w:t xml:space="preserve">. </w:t>
      </w:r>
      <w:r w:rsidR="00C179E4">
        <w:rPr>
          <w:rFonts w:ascii="Times New Roman" w:hAnsi="Times New Roman" w:cs="Times New Roman"/>
          <w:bCs/>
          <w:sz w:val="24"/>
          <w:szCs w:val="24"/>
        </w:rPr>
        <w:t xml:space="preserve"> </w:t>
      </w:r>
    </w:p>
    <w:p w:rsidR="006002A8" w:rsidRDefault="006002A8" w:rsidP="00C90516">
      <w:pPr>
        <w:spacing w:after="0" w:line="240" w:lineRule="auto"/>
        <w:rPr>
          <w:rFonts w:ascii="Times New Roman" w:hAnsi="Times New Roman" w:cs="Times New Roman"/>
          <w:bCs/>
          <w:sz w:val="24"/>
          <w:szCs w:val="24"/>
        </w:rPr>
      </w:pPr>
    </w:p>
    <w:p w:rsidR="00E548F5" w:rsidRDefault="00E548F5" w:rsidP="00E548F5">
      <w:pPr>
        <w:pStyle w:val="Heading2"/>
      </w:pPr>
      <w:bookmarkStart w:id="8" w:name="_Toc366837602"/>
      <w:r>
        <w:lastRenderedPageBreak/>
        <w:t>Redefine major source</w:t>
      </w:r>
      <w:bookmarkEnd w:id="8"/>
    </w:p>
    <w:p w:rsidR="007500F6" w:rsidRPr="007500F6" w:rsidRDefault="007500F6" w:rsidP="007500F6">
      <w:p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 xml:space="preserve">DEQ has had a major New Source Review program since </w:t>
      </w:r>
      <w:r w:rsidR="00716574">
        <w:rPr>
          <w:rFonts w:ascii="Times New Roman" w:hAnsi="Times New Roman" w:cs="Times New Roman"/>
          <w:bCs/>
          <w:sz w:val="24"/>
          <w:szCs w:val="24"/>
        </w:rPr>
        <w:t>the early 1980’s (see supplemental NSR Program Discussion document)</w:t>
      </w:r>
      <w:r w:rsidRPr="007500F6">
        <w:rPr>
          <w:rFonts w:ascii="Times New Roman" w:hAnsi="Times New Roman" w:cs="Times New Roman"/>
          <w:bCs/>
          <w:sz w:val="24"/>
          <w:szCs w:val="24"/>
        </w:rPr>
        <w:t xml:space="preserve">. This program regulates construction and modification of larger or major sources in the state. Major sources are defined as sources that have the potential to emit at a significant emission rate in Oregon. The federal NSR program </w:t>
      </w:r>
      <w:r w:rsidR="00716574" w:rsidRPr="007500F6">
        <w:rPr>
          <w:rFonts w:ascii="Times New Roman" w:hAnsi="Times New Roman" w:cs="Times New Roman"/>
          <w:bCs/>
          <w:sz w:val="24"/>
          <w:szCs w:val="24"/>
        </w:rPr>
        <w:t>differs</w:t>
      </w:r>
      <w:r w:rsidR="00716574">
        <w:rPr>
          <w:rFonts w:ascii="Times New Roman" w:hAnsi="Times New Roman" w:cs="Times New Roman"/>
          <w:bCs/>
          <w:sz w:val="24"/>
          <w:szCs w:val="24"/>
        </w:rPr>
        <w:t>.   For attainment or unclassified areas, the federal rules</w:t>
      </w:r>
      <w:r w:rsidRPr="007500F6">
        <w:rPr>
          <w:rFonts w:ascii="Times New Roman" w:hAnsi="Times New Roman" w:cs="Times New Roman"/>
          <w:bCs/>
          <w:sz w:val="24"/>
          <w:szCs w:val="24"/>
        </w:rPr>
        <w:t xml:space="preserve"> define major sources at 100 tons per year if they are on a specific list of sources or at 250 tons per year if they are not on that list. </w:t>
      </w:r>
      <w:r w:rsidR="00716574">
        <w:rPr>
          <w:rFonts w:ascii="Times New Roman" w:hAnsi="Times New Roman" w:cs="Times New Roman"/>
          <w:bCs/>
          <w:sz w:val="24"/>
          <w:szCs w:val="24"/>
        </w:rPr>
        <w:t xml:space="preserve">In nonattainment areas, the federal rules define major sources at 100 tons per year with lower thresholds, depending on the severity of the nonattainment area.  </w:t>
      </w:r>
      <w:r w:rsidRPr="007500F6">
        <w:rPr>
          <w:rFonts w:ascii="Times New Roman" w:hAnsi="Times New Roman" w:cs="Times New Roman"/>
          <w:bCs/>
          <w:sz w:val="24"/>
          <w:szCs w:val="24"/>
        </w:rPr>
        <w:t>As stated (in part) in the EQC report dated June 5, 1981 for defining major sources as those that emit at or above the significant emission rate:</w:t>
      </w:r>
    </w:p>
    <w:p w:rsidR="007500F6" w:rsidRPr="007500F6" w:rsidRDefault="007500F6" w:rsidP="007500F6">
      <w:pPr>
        <w:spacing w:after="0" w:line="240" w:lineRule="auto"/>
        <w:rPr>
          <w:rFonts w:ascii="Times New Roman" w:hAnsi="Times New Roman" w:cs="Times New Roman"/>
          <w:bCs/>
          <w:sz w:val="24"/>
          <w:szCs w:val="24"/>
        </w:rPr>
      </w:pPr>
    </w:p>
    <w:p w:rsidR="007500F6" w:rsidRPr="007500F6" w:rsidRDefault="007500F6" w:rsidP="007500F6">
      <w:p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 xml:space="preserve">“The advantages of using significant emission rate levels in nonattainment areas are the following:  </w:t>
      </w:r>
    </w:p>
    <w:p w:rsidR="007500F6" w:rsidRPr="007500F6" w:rsidRDefault="007500F6" w:rsidP="007500F6">
      <w:pPr>
        <w:spacing w:after="0" w:line="240" w:lineRule="auto"/>
        <w:rPr>
          <w:rFonts w:ascii="Times New Roman" w:hAnsi="Times New Roman" w:cs="Times New Roman"/>
          <w:bCs/>
          <w:sz w:val="24"/>
          <w:szCs w:val="24"/>
        </w:rPr>
      </w:pPr>
    </w:p>
    <w:p w:rsidR="007500F6" w:rsidRPr="007500F6" w:rsidRDefault="007500F6" w:rsidP="007500F6">
      <w:pPr>
        <w:numPr>
          <w:ilvl w:val="0"/>
          <w:numId w:val="11"/>
        </w:num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 xml:space="preserve">The “significant emission rate” levels were developed by EPA based on modeling that demonstrated a significant impact caused by such emissions. It makes sense that any emission increase that has a significant impact, whether the increase results from a new source or a modification, should be subject to New Source Review in a nonattainment area. EPA was forced to use different cutoffs for new sources and modification by court interpretations even though these different cutoffs make no technical sense. </w:t>
      </w:r>
    </w:p>
    <w:p w:rsidR="007500F6" w:rsidRPr="007500F6" w:rsidRDefault="007500F6" w:rsidP="007500F6">
      <w:pPr>
        <w:spacing w:after="0" w:line="240" w:lineRule="auto"/>
        <w:rPr>
          <w:rFonts w:ascii="Times New Roman" w:hAnsi="Times New Roman" w:cs="Times New Roman"/>
          <w:bCs/>
          <w:sz w:val="24"/>
          <w:szCs w:val="24"/>
        </w:rPr>
      </w:pPr>
    </w:p>
    <w:p w:rsidR="007500F6" w:rsidRPr="007500F6" w:rsidRDefault="007500F6" w:rsidP="007500F6">
      <w:pPr>
        <w:numPr>
          <w:ilvl w:val="0"/>
          <w:numId w:val="11"/>
        </w:num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 xml:space="preserve"> By providing the same cutoff criteria for new sources and modifications, equity would be provided for both new and existing sources.</w:t>
      </w:r>
    </w:p>
    <w:p w:rsidR="007500F6" w:rsidRPr="007500F6" w:rsidRDefault="007500F6" w:rsidP="007500F6">
      <w:pPr>
        <w:spacing w:after="0" w:line="240" w:lineRule="auto"/>
        <w:rPr>
          <w:rFonts w:ascii="Times New Roman" w:hAnsi="Times New Roman" w:cs="Times New Roman"/>
          <w:bCs/>
          <w:sz w:val="24"/>
          <w:szCs w:val="24"/>
        </w:rPr>
      </w:pPr>
    </w:p>
    <w:p w:rsidR="007500F6" w:rsidRPr="007500F6" w:rsidRDefault="007500F6" w:rsidP="007500F6">
      <w:pPr>
        <w:numPr>
          <w:ilvl w:val="0"/>
          <w:numId w:val="11"/>
        </w:numPr>
        <w:spacing w:after="0" w:line="240" w:lineRule="auto"/>
        <w:rPr>
          <w:rFonts w:ascii="Times New Roman" w:hAnsi="Times New Roman" w:cs="Times New Roman"/>
          <w:bCs/>
          <w:sz w:val="24"/>
          <w:szCs w:val="24"/>
        </w:rPr>
      </w:pPr>
      <w:r w:rsidRPr="007500F6">
        <w:rPr>
          <w:rFonts w:ascii="Times New Roman" w:hAnsi="Times New Roman" w:cs="Times New Roman"/>
          <w:bCs/>
          <w:sz w:val="24"/>
          <w:szCs w:val="24"/>
        </w:rPr>
        <w:t>Sources locating adjacent to nonattainment areas that would potentially impact the nonattainment area are also proposed to be subject to the “significant emission rate” criteria, thereby providing equity for those sources locating inside and those adjacent sources having a significant air quality impact on nonattainment areas.</w:t>
      </w:r>
    </w:p>
    <w:p w:rsidR="007500F6" w:rsidRPr="007500F6" w:rsidRDefault="007500F6" w:rsidP="007500F6">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In this proposed rulemaking, DEQ is changing the definition of “major so</w:t>
      </w:r>
      <w:r w:rsidR="00E22D92">
        <w:rPr>
          <w:rFonts w:ascii="Times New Roman" w:hAnsi="Times New Roman" w:cs="Times New Roman"/>
          <w:bCs/>
          <w:sz w:val="24"/>
          <w:szCs w:val="24"/>
        </w:rPr>
        <w:t xml:space="preserve">urce” </w:t>
      </w:r>
      <w:r w:rsidR="00716574">
        <w:rPr>
          <w:rFonts w:ascii="Times New Roman" w:hAnsi="Times New Roman" w:cs="Times New Roman"/>
          <w:bCs/>
          <w:sz w:val="24"/>
          <w:szCs w:val="24"/>
        </w:rPr>
        <w:t xml:space="preserve">for nonattainment and maintenance areas </w:t>
      </w:r>
      <w:r w:rsidR="00E22D92">
        <w:rPr>
          <w:rFonts w:ascii="Times New Roman" w:hAnsi="Times New Roman" w:cs="Times New Roman"/>
          <w:bCs/>
          <w:sz w:val="24"/>
          <w:szCs w:val="24"/>
        </w:rPr>
        <w:t>by aligning the threshold</w:t>
      </w:r>
      <w:r w:rsidRPr="002A0869">
        <w:rPr>
          <w:rFonts w:ascii="Times New Roman" w:hAnsi="Times New Roman" w:cs="Times New Roman"/>
          <w:bCs/>
          <w:sz w:val="24"/>
          <w:szCs w:val="24"/>
        </w:rPr>
        <w:t xml:space="preserve"> with the federal major source threshold, which is 100 tons per year</w:t>
      </w:r>
      <w:r w:rsidR="008C2CC3">
        <w:rPr>
          <w:rFonts w:ascii="Times New Roman" w:hAnsi="Times New Roman" w:cs="Times New Roman"/>
          <w:bCs/>
          <w:sz w:val="24"/>
          <w:szCs w:val="24"/>
        </w:rPr>
        <w:t xml:space="preserve">. </w:t>
      </w:r>
      <w:r w:rsidRPr="002A0869">
        <w:rPr>
          <w:rFonts w:ascii="Times New Roman" w:hAnsi="Times New Roman" w:cs="Times New Roman"/>
          <w:bCs/>
          <w:sz w:val="24"/>
          <w:szCs w:val="24"/>
        </w:rPr>
        <w:t>Sources with the potential to emit at levels between the S</w:t>
      </w:r>
      <w:r w:rsidR="00E22D92">
        <w:rPr>
          <w:rFonts w:ascii="Times New Roman" w:hAnsi="Times New Roman" w:cs="Times New Roman"/>
          <w:bCs/>
          <w:sz w:val="24"/>
          <w:szCs w:val="24"/>
        </w:rPr>
        <w:t>ignif</w:t>
      </w:r>
      <w:r w:rsidR="00D12310">
        <w:rPr>
          <w:rFonts w:ascii="Times New Roman" w:hAnsi="Times New Roman" w:cs="Times New Roman"/>
          <w:bCs/>
          <w:sz w:val="24"/>
          <w:szCs w:val="24"/>
        </w:rPr>
        <w:t>i</w:t>
      </w:r>
      <w:r w:rsidR="00E22D92">
        <w:rPr>
          <w:rFonts w:ascii="Times New Roman" w:hAnsi="Times New Roman" w:cs="Times New Roman"/>
          <w:bCs/>
          <w:sz w:val="24"/>
          <w:szCs w:val="24"/>
        </w:rPr>
        <w:t xml:space="preserve">cant </w:t>
      </w:r>
      <w:r w:rsidRPr="002A0869">
        <w:rPr>
          <w:rFonts w:ascii="Times New Roman" w:hAnsi="Times New Roman" w:cs="Times New Roman"/>
          <w:bCs/>
          <w:sz w:val="24"/>
          <w:szCs w:val="24"/>
        </w:rPr>
        <w:t>E</w:t>
      </w:r>
      <w:r w:rsidR="00E22D92">
        <w:rPr>
          <w:rFonts w:ascii="Times New Roman" w:hAnsi="Times New Roman" w:cs="Times New Roman"/>
          <w:bCs/>
          <w:sz w:val="24"/>
          <w:szCs w:val="24"/>
        </w:rPr>
        <w:t xml:space="preserve">mission </w:t>
      </w:r>
      <w:r w:rsidRPr="002A0869">
        <w:rPr>
          <w:rFonts w:ascii="Times New Roman" w:hAnsi="Times New Roman" w:cs="Times New Roman"/>
          <w:bCs/>
          <w:sz w:val="24"/>
          <w:szCs w:val="24"/>
        </w:rPr>
        <w:t>R</w:t>
      </w:r>
      <w:r w:rsidR="00E22D92">
        <w:rPr>
          <w:rFonts w:ascii="Times New Roman" w:hAnsi="Times New Roman" w:cs="Times New Roman"/>
          <w:bCs/>
          <w:sz w:val="24"/>
          <w:szCs w:val="24"/>
        </w:rPr>
        <w:t>ate</w:t>
      </w:r>
      <w:r w:rsidRPr="002A0869">
        <w:rPr>
          <w:rFonts w:ascii="Times New Roman" w:hAnsi="Times New Roman" w:cs="Times New Roman"/>
          <w:bCs/>
          <w:sz w:val="24"/>
          <w:szCs w:val="24"/>
        </w:rPr>
        <w:t xml:space="preserve"> and 100 tons per year </w:t>
      </w:r>
      <w:r w:rsidR="004A5A93">
        <w:rPr>
          <w:rFonts w:ascii="Times New Roman" w:hAnsi="Times New Roman" w:cs="Times New Roman"/>
          <w:bCs/>
          <w:sz w:val="24"/>
          <w:szCs w:val="24"/>
        </w:rPr>
        <w:t xml:space="preserve">that were previously considered major sources </w:t>
      </w:r>
      <w:r w:rsidRPr="002A0869">
        <w:rPr>
          <w:rFonts w:ascii="Times New Roman" w:hAnsi="Times New Roman" w:cs="Times New Roman"/>
          <w:bCs/>
          <w:sz w:val="24"/>
          <w:szCs w:val="24"/>
        </w:rPr>
        <w:t>are now considered minor sources</w:t>
      </w:r>
      <w:r w:rsidR="008C2CC3">
        <w:rPr>
          <w:rFonts w:ascii="Times New Roman" w:hAnsi="Times New Roman" w:cs="Times New Roman"/>
          <w:bCs/>
          <w:sz w:val="24"/>
          <w:szCs w:val="24"/>
        </w:rPr>
        <w:t xml:space="preserve">. </w:t>
      </w:r>
      <w:r w:rsidR="00353AFA">
        <w:rPr>
          <w:rFonts w:ascii="Times New Roman" w:hAnsi="Times New Roman" w:cs="Times New Roman"/>
          <w:bCs/>
          <w:sz w:val="24"/>
          <w:szCs w:val="24"/>
        </w:rPr>
        <w:t>DEQ is making this change because it is developing a State New Source Review program for these SER to 100 tpy sources that is separate from the Major New Source Review program</w:t>
      </w:r>
      <w:r w:rsidR="008C2CC3">
        <w:rPr>
          <w:rFonts w:ascii="Times New Roman" w:hAnsi="Times New Roman" w:cs="Times New Roman"/>
          <w:bCs/>
          <w:sz w:val="24"/>
          <w:szCs w:val="24"/>
        </w:rPr>
        <w:t xml:space="preserve">. </w:t>
      </w:r>
      <w:r w:rsidR="00973EE1">
        <w:rPr>
          <w:rFonts w:ascii="Times New Roman" w:hAnsi="Times New Roman" w:cs="Times New Roman"/>
          <w:bCs/>
          <w:sz w:val="24"/>
          <w:szCs w:val="24"/>
        </w:rPr>
        <w:t>The State NSR program is part of DEQ’s minor new source review program, along with the requirements for Notice of Construction</w:t>
      </w:r>
      <w:r w:rsidR="00673D93">
        <w:rPr>
          <w:rFonts w:ascii="Times New Roman" w:hAnsi="Times New Roman" w:cs="Times New Roman"/>
          <w:bCs/>
          <w:sz w:val="24"/>
          <w:szCs w:val="24"/>
        </w:rPr>
        <w:t xml:space="preserve"> and Approval of Plans</w:t>
      </w:r>
      <w:r w:rsidR="00716574">
        <w:rPr>
          <w:rFonts w:ascii="Times New Roman" w:hAnsi="Times New Roman" w:cs="Times New Roman"/>
          <w:bCs/>
          <w:sz w:val="24"/>
          <w:szCs w:val="24"/>
        </w:rPr>
        <w:t xml:space="preserve"> (OAR 340-210-0205 through 340-210-0250)</w:t>
      </w:r>
      <w:r w:rsidR="00973EE1">
        <w:rPr>
          <w:rFonts w:ascii="Times New Roman" w:hAnsi="Times New Roman" w:cs="Times New Roman"/>
          <w:bCs/>
          <w:sz w:val="24"/>
          <w:szCs w:val="24"/>
        </w:rPr>
        <w:t>, PSEL increases</w:t>
      </w:r>
      <w:r w:rsidR="00673D93">
        <w:rPr>
          <w:rFonts w:ascii="Times New Roman" w:hAnsi="Times New Roman" w:cs="Times New Roman"/>
          <w:bCs/>
          <w:sz w:val="24"/>
          <w:szCs w:val="24"/>
        </w:rPr>
        <w:t xml:space="preserve"> that are not subject to Major New Source Review</w:t>
      </w:r>
      <w:r w:rsidR="00D478A2">
        <w:rPr>
          <w:rFonts w:ascii="Times New Roman" w:hAnsi="Times New Roman" w:cs="Times New Roman"/>
          <w:bCs/>
          <w:sz w:val="24"/>
          <w:szCs w:val="24"/>
        </w:rPr>
        <w:t xml:space="preserve"> (340-222-0041)</w:t>
      </w:r>
      <w:r w:rsidR="00973EE1">
        <w:rPr>
          <w:rFonts w:ascii="Times New Roman" w:hAnsi="Times New Roman" w:cs="Times New Roman"/>
          <w:bCs/>
          <w:sz w:val="24"/>
          <w:szCs w:val="24"/>
        </w:rPr>
        <w:t xml:space="preserve">, </w:t>
      </w:r>
      <w:r w:rsidR="00673D93">
        <w:rPr>
          <w:rFonts w:ascii="Times New Roman" w:hAnsi="Times New Roman" w:cs="Times New Roman"/>
          <w:bCs/>
          <w:sz w:val="24"/>
          <w:szCs w:val="24"/>
        </w:rPr>
        <w:t>and the</w:t>
      </w:r>
      <w:r w:rsidR="009945FB">
        <w:rPr>
          <w:rFonts w:ascii="Times New Roman" w:hAnsi="Times New Roman" w:cs="Times New Roman"/>
          <w:bCs/>
          <w:sz w:val="24"/>
          <w:szCs w:val="24"/>
        </w:rPr>
        <w:t xml:space="preserve"> ACDP permitting program</w:t>
      </w:r>
      <w:r w:rsidR="00D478A2">
        <w:rPr>
          <w:rFonts w:ascii="Times New Roman" w:hAnsi="Times New Roman" w:cs="Times New Roman"/>
          <w:bCs/>
          <w:sz w:val="24"/>
          <w:szCs w:val="24"/>
        </w:rPr>
        <w:t xml:space="preserve"> (OAR 340, Division 216)</w:t>
      </w:r>
      <w:r w:rsidR="009945FB">
        <w:rPr>
          <w:rFonts w:ascii="Times New Roman" w:hAnsi="Times New Roman" w:cs="Times New Roman"/>
          <w:bCs/>
          <w:sz w:val="24"/>
          <w:szCs w:val="24"/>
        </w:rPr>
        <w:t>.</w:t>
      </w:r>
      <w:r w:rsidR="00673D93">
        <w:rPr>
          <w:rFonts w:ascii="Times New Roman" w:hAnsi="Times New Roman" w:cs="Times New Roman"/>
          <w:bCs/>
          <w:sz w:val="24"/>
          <w:szCs w:val="24"/>
        </w:rPr>
        <w:t xml:space="preserve"> </w:t>
      </w:r>
    </w:p>
    <w:p w:rsidR="008F3757" w:rsidRDefault="008F3757" w:rsidP="008F3757">
      <w:pPr>
        <w:spacing w:after="0" w:line="240" w:lineRule="auto"/>
        <w:rPr>
          <w:rFonts w:ascii="Times New Roman" w:hAnsi="Times New Roman" w:cs="Times New Roman"/>
          <w:bCs/>
          <w:sz w:val="24"/>
          <w:szCs w:val="24"/>
        </w:rPr>
      </w:pPr>
    </w:p>
    <w:p w:rsidR="00E548F5" w:rsidRDefault="00E548F5" w:rsidP="00E548F5">
      <w:pPr>
        <w:pStyle w:val="Heading2"/>
      </w:pPr>
      <w:bookmarkStart w:id="9" w:name="_Toc366837603"/>
      <w:r>
        <w:t>Define two new types of areas to improve or maintain air quality</w:t>
      </w:r>
      <w:bookmarkEnd w:id="9"/>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Based upon levels of air pollutants, geographic areas are classified by EPA as attainment or nonattainment areas.</w:t>
      </w:r>
    </w:p>
    <w:p w:rsidR="002A0869" w:rsidRPr="002A0869" w:rsidRDefault="002A0869" w:rsidP="002A0869">
      <w:pPr>
        <w:numPr>
          <w:ilvl w:val="0"/>
          <w:numId w:val="14"/>
        </w:num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 xml:space="preserve">A geographic area that meets or has pollutant levels below the national ambient air quality standards </w:t>
      </w:r>
      <w:r w:rsidR="00101E54">
        <w:rPr>
          <w:rFonts w:ascii="Times New Roman" w:hAnsi="Times New Roman" w:cs="Times New Roman"/>
          <w:bCs/>
          <w:sz w:val="24"/>
          <w:szCs w:val="24"/>
        </w:rPr>
        <w:t xml:space="preserve">(NAAQS) </w:t>
      </w:r>
      <w:r w:rsidRPr="002A0869">
        <w:rPr>
          <w:rFonts w:ascii="Times New Roman" w:hAnsi="Times New Roman" w:cs="Times New Roman"/>
          <w:bCs/>
          <w:sz w:val="24"/>
          <w:szCs w:val="24"/>
        </w:rPr>
        <w:t>is called an attainment area.</w:t>
      </w:r>
    </w:p>
    <w:p w:rsidR="002A0869" w:rsidRPr="002A0869" w:rsidRDefault="002A0869" w:rsidP="002A0869">
      <w:pPr>
        <w:numPr>
          <w:ilvl w:val="0"/>
          <w:numId w:val="14"/>
        </w:num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 xml:space="preserve">An area that exceeds the </w:t>
      </w:r>
      <w:r w:rsidR="00101E54">
        <w:rPr>
          <w:rFonts w:ascii="Times New Roman" w:hAnsi="Times New Roman" w:cs="Times New Roman"/>
          <w:bCs/>
          <w:sz w:val="24"/>
          <w:szCs w:val="24"/>
        </w:rPr>
        <w:t>NAAQS</w:t>
      </w:r>
      <w:r w:rsidRPr="002A0869">
        <w:rPr>
          <w:rFonts w:ascii="Times New Roman" w:hAnsi="Times New Roman" w:cs="Times New Roman"/>
          <w:bCs/>
          <w:sz w:val="24"/>
          <w:szCs w:val="24"/>
        </w:rPr>
        <w:t xml:space="preserve"> is designated a nonattainment area</w:t>
      </w:r>
      <w:r w:rsidR="000701B3">
        <w:rPr>
          <w:rFonts w:ascii="Times New Roman" w:hAnsi="Times New Roman" w:cs="Times New Roman"/>
          <w:bCs/>
          <w:sz w:val="24"/>
          <w:szCs w:val="24"/>
        </w:rPr>
        <w:t>.</w:t>
      </w:r>
    </w:p>
    <w:p w:rsidR="002A0869" w:rsidRPr="002A0869" w:rsidRDefault="002A0869" w:rsidP="002A0869">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Each nonattainment area is declared for a specific pollutant. Nonattainment areas for different pollutants may overlap each other or share common boundaries.</w:t>
      </w:r>
    </w:p>
    <w:p w:rsidR="002A0869" w:rsidRPr="002A0869" w:rsidRDefault="002A0869" w:rsidP="002A0869">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existing industries and preclude siting of new industries that provide job opportunities. Attainment of ambient air quality standards also helps avoid a potential loss of federal highway funding that can result from nonattainment status. Lastly, it is costly and time-consuming to develop and implement plans to bring areas back into attainment status.</w:t>
      </w:r>
    </w:p>
    <w:p w:rsidR="002A0869" w:rsidRPr="002A0869" w:rsidRDefault="002A0869" w:rsidP="002A0869">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In addition to areas classified as attainment and nonattainmen</w:t>
      </w:r>
      <w:r w:rsidR="00101E54">
        <w:rPr>
          <w:rFonts w:ascii="Times New Roman" w:hAnsi="Times New Roman" w:cs="Times New Roman"/>
          <w:bCs/>
          <w:sz w:val="24"/>
          <w:szCs w:val="24"/>
        </w:rPr>
        <w:t>t, some areas are described as “maintenance areas.”</w:t>
      </w:r>
      <w:r w:rsidRPr="002A0869">
        <w:rPr>
          <w:rFonts w:ascii="Times New Roman" w:hAnsi="Times New Roman" w:cs="Times New Roman"/>
          <w:bCs/>
          <w:sz w:val="24"/>
          <w:szCs w:val="24"/>
        </w:rPr>
        <w:t xml:space="preserve"> Maintenance areas are those geographic areas that were classified as nonattainment, but are now consistently meeting the </w:t>
      </w:r>
      <w:r w:rsidR="00101E54">
        <w:rPr>
          <w:rFonts w:ascii="Times New Roman" w:hAnsi="Times New Roman" w:cs="Times New Roman"/>
          <w:bCs/>
          <w:sz w:val="24"/>
          <w:szCs w:val="24"/>
        </w:rPr>
        <w:t>NAAQS</w:t>
      </w:r>
      <w:r w:rsidRPr="002A0869">
        <w:rPr>
          <w:rFonts w:ascii="Times New Roman" w:hAnsi="Times New Roman" w:cs="Times New Roman"/>
          <w:bCs/>
          <w:sz w:val="24"/>
          <w:szCs w:val="24"/>
        </w:rPr>
        <w:t xml:space="preserve">. Maintenance areas have been re-designated by the EPA from "nonattainment" to "attainment with a maintenance plan"; commonly called "maintenance areas." These areas have demonstrated through monitoring and modeling </w:t>
      </w:r>
      <w:r w:rsidR="00101E54">
        <w:rPr>
          <w:rFonts w:ascii="Times New Roman" w:hAnsi="Times New Roman" w:cs="Times New Roman"/>
          <w:bCs/>
          <w:sz w:val="24"/>
          <w:szCs w:val="24"/>
        </w:rPr>
        <w:t xml:space="preserve">that </w:t>
      </w:r>
      <w:r w:rsidRPr="002A0869">
        <w:rPr>
          <w:rFonts w:ascii="Times New Roman" w:hAnsi="Times New Roman" w:cs="Times New Roman"/>
          <w:bCs/>
          <w:sz w:val="24"/>
          <w:szCs w:val="24"/>
        </w:rPr>
        <w:t>they have sufficient controls in place to continue to meet the NAAQS. They also have contingency measures in place that would be implemented should the areas start showing exceedances again.</w:t>
      </w:r>
    </w:p>
    <w:p w:rsidR="002A0869" w:rsidRPr="002A0869" w:rsidRDefault="002A0869" w:rsidP="002A0869">
      <w:pPr>
        <w:spacing w:after="0" w:line="240" w:lineRule="auto"/>
        <w:rPr>
          <w:rFonts w:ascii="Times New Roman" w:hAnsi="Times New Roman" w:cs="Times New Roman"/>
          <w:bCs/>
          <w:sz w:val="24"/>
          <w:szCs w:val="24"/>
        </w:rPr>
      </w:pPr>
    </w:p>
    <w:p w:rsidR="002A0869" w:rsidRPr="002A0869" w:rsidRDefault="002A0869" w:rsidP="002A0869">
      <w:p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rPr>
        <w:t>DEQ is proposing to define two new types of areas based upon the amb</w:t>
      </w:r>
      <w:r w:rsidR="009B30B1">
        <w:rPr>
          <w:rFonts w:ascii="Times New Roman" w:hAnsi="Times New Roman" w:cs="Times New Roman"/>
          <w:bCs/>
          <w:sz w:val="24"/>
          <w:szCs w:val="24"/>
        </w:rPr>
        <w:t>ient air quality of that area:</w:t>
      </w:r>
    </w:p>
    <w:p w:rsidR="002A0869" w:rsidRDefault="002A0869" w:rsidP="002A0869">
      <w:pPr>
        <w:numPr>
          <w:ilvl w:val="0"/>
          <w:numId w:val="8"/>
        </w:numPr>
        <w:spacing w:after="0" w:line="240" w:lineRule="auto"/>
        <w:rPr>
          <w:rFonts w:ascii="Times New Roman" w:hAnsi="Times New Roman" w:cs="Times New Roman"/>
          <w:bCs/>
          <w:sz w:val="24"/>
          <w:szCs w:val="24"/>
        </w:rPr>
      </w:pPr>
      <w:r w:rsidRPr="002A0869">
        <w:rPr>
          <w:rFonts w:ascii="Times New Roman" w:hAnsi="Times New Roman" w:cs="Times New Roman"/>
          <w:bCs/>
          <w:sz w:val="24"/>
          <w:szCs w:val="24"/>
          <w:u w:val="single"/>
        </w:rPr>
        <w:t>Sustainment Areas:</w:t>
      </w:r>
      <w:r w:rsidRPr="002A0869">
        <w:rPr>
          <w:rFonts w:ascii="Times New Roman" w:hAnsi="Times New Roman" w:cs="Times New Roman"/>
          <w:bCs/>
          <w:sz w:val="24"/>
          <w:szCs w:val="24"/>
        </w:rPr>
        <w:t xml:space="preserve">  If DEQ has data showing that an area is close to or exceeding an ambient air quality standard but is not yet designated nonattainment by EPA, that area can be designated as a sustainment area by EQC</w:t>
      </w:r>
      <w:r w:rsidR="008C2CC3">
        <w:rPr>
          <w:rFonts w:ascii="Times New Roman" w:hAnsi="Times New Roman" w:cs="Times New Roman"/>
          <w:bCs/>
          <w:sz w:val="24"/>
          <w:szCs w:val="24"/>
        </w:rPr>
        <w:t xml:space="preserve">. </w:t>
      </w:r>
      <w:r w:rsidRPr="002A0869">
        <w:rPr>
          <w:rFonts w:ascii="Times New Roman" w:hAnsi="Times New Roman" w:cs="Times New Roman"/>
          <w:bCs/>
          <w:sz w:val="24"/>
          <w:szCs w:val="24"/>
        </w:rPr>
        <w:t>DEQ will work proactively with these areas to prevent them from becoming nonattainment areas. The focus will be on the “priority” sources that are causing the ambient air quality problems in the area</w:t>
      </w:r>
      <w:r w:rsidR="008C2CC3">
        <w:rPr>
          <w:rFonts w:ascii="Times New Roman" w:hAnsi="Times New Roman" w:cs="Times New Roman"/>
          <w:bCs/>
          <w:sz w:val="24"/>
          <w:szCs w:val="24"/>
        </w:rPr>
        <w:t xml:space="preserve">. </w:t>
      </w:r>
      <w:r w:rsidRPr="002A0869">
        <w:rPr>
          <w:rFonts w:ascii="Times New Roman" w:hAnsi="Times New Roman" w:cs="Times New Roman"/>
          <w:bCs/>
          <w:sz w:val="24"/>
          <w:szCs w:val="24"/>
        </w:rPr>
        <w:t xml:space="preserve">Without this new area designation, businesses </w:t>
      </w:r>
      <w:r w:rsidR="00101E54" w:rsidRPr="00101E54">
        <w:rPr>
          <w:rFonts w:ascii="Times New Roman" w:hAnsi="Times New Roman" w:cs="Times New Roman"/>
          <w:bCs/>
          <w:sz w:val="24"/>
          <w:szCs w:val="24"/>
        </w:rPr>
        <w:t xml:space="preserve">in areas that are over the standard </w:t>
      </w:r>
      <w:r w:rsidRPr="002A0869">
        <w:rPr>
          <w:rFonts w:ascii="Times New Roman" w:hAnsi="Times New Roman" w:cs="Times New Roman"/>
          <w:bCs/>
          <w:sz w:val="24"/>
          <w:szCs w:val="24"/>
        </w:rPr>
        <w:t xml:space="preserve">would not be allowed to build or expand due to restrictions based on poor air quality. </w:t>
      </w:r>
    </w:p>
    <w:p w:rsidR="00101E54" w:rsidRDefault="00101E54" w:rsidP="00101E54">
      <w:pPr>
        <w:spacing w:after="0" w:line="240" w:lineRule="auto"/>
        <w:ind w:left="720"/>
        <w:rPr>
          <w:rFonts w:ascii="Times New Roman" w:hAnsi="Times New Roman" w:cs="Times New Roman"/>
          <w:bCs/>
          <w:sz w:val="24"/>
          <w:szCs w:val="24"/>
        </w:rPr>
      </w:pPr>
    </w:p>
    <w:p w:rsidR="00E548F5" w:rsidRPr="00551007" w:rsidRDefault="002A0869" w:rsidP="002A0869">
      <w:pPr>
        <w:numPr>
          <w:ilvl w:val="0"/>
          <w:numId w:val="8"/>
        </w:numPr>
        <w:spacing w:after="0" w:line="240" w:lineRule="auto"/>
        <w:rPr>
          <w:rFonts w:ascii="Times New Roman" w:hAnsi="Times New Roman" w:cs="Times New Roman"/>
          <w:bCs/>
          <w:sz w:val="24"/>
          <w:szCs w:val="24"/>
        </w:rPr>
      </w:pPr>
      <w:r w:rsidRPr="00551007">
        <w:rPr>
          <w:rFonts w:ascii="Times New Roman" w:hAnsi="Times New Roman" w:cs="Times New Roman"/>
          <w:bCs/>
          <w:sz w:val="24"/>
          <w:szCs w:val="24"/>
          <w:u w:val="single"/>
        </w:rPr>
        <w:t>Reattainment Areas:</w:t>
      </w:r>
      <w:r w:rsidRPr="00551007">
        <w:rPr>
          <w:rFonts w:ascii="Times New Roman" w:hAnsi="Times New Roman" w:cs="Times New Roman"/>
          <w:bCs/>
          <w:sz w:val="24"/>
          <w:szCs w:val="24"/>
        </w:rPr>
        <w:t xml:space="preserve">  For areas that are currently nonattainment areas but have three years of monitoring data showing attainment, EQC can designate these areas as reattainment areas</w:t>
      </w:r>
      <w:r w:rsidR="008C2CC3">
        <w:rPr>
          <w:rFonts w:ascii="Times New Roman" w:hAnsi="Times New Roman" w:cs="Times New Roman"/>
          <w:bCs/>
          <w:sz w:val="24"/>
          <w:szCs w:val="24"/>
        </w:rPr>
        <w:t xml:space="preserve">. </w:t>
      </w:r>
      <w:r w:rsidRPr="00551007">
        <w:rPr>
          <w:rFonts w:ascii="Times New Roman" w:hAnsi="Times New Roman" w:cs="Times New Roman"/>
          <w:bCs/>
          <w:sz w:val="24"/>
          <w:szCs w:val="24"/>
        </w:rPr>
        <w:t>The process for EPA to redesignate areas from nonattainment to maintenance can take years because a maintenance plan has to be developed and approved</w:t>
      </w:r>
      <w:r w:rsidR="008C2CC3">
        <w:rPr>
          <w:rFonts w:ascii="Times New Roman" w:hAnsi="Times New Roman" w:cs="Times New Roman"/>
          <w:bCs/>
          <w:sz w:val="24"/>
          <w:szCs w:val="24"/>
        </w:rPr>
        <w:t xml:space="preserve">. </w:t>
      </w:r>
      <w:r w:rsidRPr="00551007">
        <w:rPr>
          <w:rFonts w:ascii="Times New Roman" w:hAnsi="Times New Roman" w:cs="Times New Roman"/>
          <w:bCs/>
          <w:sz w:val="24"/>
          <w:szCs w:val="24"/>
        </w:rPr>
        <w:t>In the meantime, economic growth in the area is limited until the maintenance plan is approved by EPA</w:t>
      </w:r>
      <w:r w:rsidR="008C2CC3">
        <w:rPr>
          <w:rFonts w:ascii="Times New Roman" w:hAnsi="Times New Roman" w:cs="Times New Roman"/>
          <w:bCs/>
          <w:sz w:val="24"/>
          <w:szCs w:val="24"/>
        </w:rPr>
        <w:t xml:space="preserve">. </w:t>
      </w:r>
      <w:r w:rsidRPr="00551007">
        <w:rPr>
          <w:rFonts w:ascii="Times New Roman" w:hAnsi="Times New Roman" w:cs="Times New Roman"/>
          <w:bCs/>
          <w:sz w:val="24"/>
          <w:szCs w:val="24"/>
        </w:rPr>
        <w:t>Reattainment status provisions will enable economic growth to take place while still protecting the air quality in the area</w:t>
      </w:r>
      <w:r w:rsidR="008C2CC3">
        <w:rPr>
          <w:rFonts w:ascii="Times New Roman" w:hAnsi="Times New Roman" w:cs="Times New Roman"/>
          <w:bCs/>
          <w:sz w:val="24"/>
          <w:szCs w:val="24"/>
        </w:rPr>
        <w:t xml:space="preserve">. </w:t>
      </w:r>
    </w:p>
    <w:p w:rsidR="002A0869" w:rsidRDefault="002A0869" w:rsidP="002A0869">
      <w:pPr>
        <w:spacing w:after="0" w:line="240" w:lineRule="auto"/>
        <w:rPr>
          <w:rFonts w:ascii="Times New Roman" w:hAnsi="Times New Roman" w:cs="Times New Roman"/>
          <w:bCs/>
          <w:sz w:val="24"/>
          <w:szCs w:val="24"/>
        </w:rPr>
      </w:pPr>
    </w:p>
    <w:p w:rsidR="00E548F5" w:rsidRDefault="00E548F5" w:rsidP="00C90516">
      <w:pPr>
        <w:spacing w:after="0" w:line="240" w:lineRule="auto"/>
        <w:rPr>
          <w:rFonts w:ascii="Times New Roman" w:hAnsi="Times New Roman" w:cs="Times New Roman"/>
          <w:bCs/>
          <w:sz w:val="24"/>
          <w:szCs w:val="24"/>
        </w:rPr>
      </w:pPr>
    </w:p>
    <w:p w:rsidR="00E548F5" w:rsidRDefault="00E548F5" w:rsidP="00E548F5">
      <w:pPr>
        <w:pStyle w:val="Heading2"/>
      </w:pPr>
      <w:bookmarkStart w:id="10" w:name="_Toc366837604"/>
      <w:r>
        <w:t>Define State New Source Review program (component of overall Minor New Source Review Program)</w:t>
      </w:r>
      <w:bookmarkEnd w:id="10"/>
    </w:p>
    <w:p w:rsidR="00784110"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DEQ is proposing a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for all sources. </w:t>
      </w:r>
      <w:r w:rsidR="00784110">
        <w:rPr>
          <w:rFonts w:ascii="Times New Roman" w:hAnsi="Times New Roman" w:cs="Times New Roman"/>
          <w:bCs/>
          <w:sz w:val="24"/>
          <w:szCs w:val="24"/>
        </w:rPr>
        <w:t>This program will cover the following:</w:t>
      </w:r>
    </w:p>
    <w:p w:rsidR="00784110" w:rsidRDefault="00784110" w:rsidP="00784110">
      <w:pPr>
        <w:pStyle w:val="ListParagraph"/>
        <w:numPr>
          <w:ilvl w:val="0"/>
          <w:numId w:val="20"/>
        </w:numPr>
        <w:spacing w:after="0" w:line="240" w:lineRule="auto"/>
        <w:rPr>
          <w:rFonts w:ascii="Times New Roman" w:hAnsi="Times New Roman" w:cs="Times New Roman"/>
          <w:bCs/>
          <w:sz w:val="24"/>
          <w:szCs w:val="24"/>
        </w:rPr>
      </w:pPr>
      <w:r>
        <w:rPr>
          <w:rFonts w:ascii="Times New Roman" w:hAnsi="Times New Roman" w:cs="Times New Roman"/>
          <w:bCs/>
          <w:sz w:val="24"/>
          <w:szCs w:val="24"/>
        </w:rPr>
        <w:t>PSEL increases greater than the SER that do not involve a physical change or change in the method of operation for all sources in the state, both large and small, and</w:t>
      </w:r>
    </w:p>
    <w:p w:rsidR="00784110" w:rsidRDefault="00784110" w:rsidP="00784110">
      <w:pPr>
        <w:pStyle w:val="ListParagraph"/>
        <w:numPr>
          <w:ilvl w:val="0"/>
          <w:numId w:val="20"/>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Construction and modification at sources that emit between the SER and 100 tons per year.</w:t>
      </w:r>
    </w:p>
    <w:p w:rsidR="00784110" w:rsidRDefault="00784110" w:rsidP="001E11C5">
      <w:pPr>
        <w:spacing w:after="0" w:line="240" w:lineRule="auto"/>
        <w:rPr>
          <w:rFonts w:ascii="Times New Roman" w:hAnsi="Times New Roman" w:cs="Times New Roman"/>
          <w:bCs/>
          <w:sz w:val="24"/>
          <w:szCs w:val="24"/>
        </w:rPr>
      </w:pPr>
    </w:p>
    <w:p w:rsidR="008C2CC3"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For sources</w:t>
      </w:r>
      <w:r w:rsidR="007C2165">
        <w:rPr>
          <w:rFonts w:ascii="Times New Roman" w:hAnsi="Times New Roman" w:cs="Times New Roman"/>
          <w:bCs/>
          <w:sz w:val="24"/>
          <w:szCs w:val="24"/>
        </w:rPr>
        <w:t xml:space="preserve"> that emit between the SER and 100 tons per year</w:t>
      </w:r>
      <w:r w:rsidRPr="001E11C5">
        <w:rPr>
          <w:rFonts w:ascii="Times New Roman" w:hAnsi="Times New Roman" w:cs="Times New Roman"/>
          <w:bCs/>
          <w:sz w:val="24"/>
          <w:szCs w:val="24"/>
        </w:rPr>
        <w:t xml:space="preserve">, the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is very similar to the major </w:t>
      </w:r>
      <w:r w:rsidR="008C2CC3">
        <w:rPr>
          <w:rFonts w:ascii="Times New Roman" w:hAnsi="Times New Roman" w:cs="Times New Roman"/>
          <w:bCs/>
          <w:sz w:val="24"/>
          <w:szCs w:val="24"/>
        </w:rPr>
        <w:t>New S</w:t>
      </w:r>
      <w:r w:rsidRPr="001E11C5">
        <w:rPr>
          <w:rFonts w:ascii="Times New Roman" w:hAnsi="Times New Roman" w:cs="Times New Roman"/>
          <w:bCs/>
          <w:sz w:val="24"/>
          <w:szCs w:val="24"/>
        </w:rPr>
        <w:t xml:space="preserve">ource </w:t>
      </w:r>
      <w:r w:rsidR="008C2CC3">
        <w:rPr>
          <w:rFonts w:ascii="Times New Roman" w:hAnsi="Times New Roman" w:cs="Times New Roman"/>
          <w:bCs/>
          <w:sz w:val="24"/>
          <w:szCs w:val="24"/>
        </w:rPr>
        <w:t xml:space="preserve">Review </w:t>
      </w:r>
      <w:r w:rsidRPr="001E11C5">
        <w:rPr>
          <w:rFonts w:ascii="Times New Roman" w:hAnsi="Times New Roman" w:cs="Times New Roman"/>
          <w:bCs/>
          <w:sz w:val="24"/>
          <w:szCs w:val="24"/>
        </w:rPr>
        <w:t>program under which they were previously regulated</w:t>
      </w:r>
      <w:r w:rsidR="008C2CC3">
        <w:rPr>
          <w:rFonts w:ascii="Times New Roman" w:hAnsi="Times New Roman" w:cs="Times New Roman"/>
          <w:bCs/>
          <w:sz w:val="24"/>
          <w:szCs w:val="24"/>
        </w:rPr>
        <w:t>. F</w:t>
      </w:r>
      <w:r w:rsidRPr="001E11C5">
        <w:rPr>
          <w:rFonts w:ascii="Times New Roman" w:hAnsi="Times New Roman" w:cs="Times New Roman"/>
          <w:bCs/>
          <w:sz w:val="24"/>
          <w:szCs w:val="24"/>
        </w:rPr>
        <w:t>or source</w:t>
      </w:r>
      <w:r w:rsidR="007C2165">
        <w:rPr>
          <w:rFonts w:ascii="Times New Roman" w:hAnsi="Times New Roman" w:cs="Times New Roman"/>
          <w:bCs/>
          <w:sz w:val="24"/>
          <w:szCs w:val="24"/>
        </w:rPr>
        <w:t>s that emit less than the SER,</w:t>
      </w:r>
      <w:r w:rsidRPr="001E11C5">
        <w:rPr>
          <w:rFonts w:ascii="Times New Roman" w:hAnsi="Times New Roman" w:cs="Times New Roman"/>
          <w:bCs/>
          <w:sz w:val="24"/>
          <w:szCs w:val="24"/>
        </w:rPr>
        <w:t xml:space="preserve"> the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w:t>
      </w:r>
      <w:r w:rsidR="00551007">
        <w:rPr>
          <w:rFonts w:ascii="Times New Roman" w:hAnsi="Times New Roman" w:cs="Times New Roman"/>
          <w:bCs/>
          <w:sz w:val="24"/>
          <w:szCs w:val="24"/>
        </w:rPr>
        <w:t xml:space="preserve">is similar to the existing PSEL </w:t>
      </w:r>
      <w:r w:rsidRPr="001E11C5">
        <w:rPr>
          <w:rFonts w:ascii="Times New Roman" w:hAnsi="Times New Roman" w:cs="Times New Roman"/>
          <w:bCs/>
          <w:sz w:val="24"/>
          <w:szCs w:val="24"/>
        </w:rPr>
        <w:t>program</w:t>
      </w:r>
      <w:r w:rsidR="008C2CC3">
        <w:rPr>
          <w:rFonts w:ascii="Times New Roman" w:hAnsi="Times New Roman" w:cs="Times New Roman"/>
          <w:bCs/>
          <w:sz w:val="24"/>
          <w:szCs w:val="24"/>
        </w:rPr>
        <w:t xml:space="preserve">. </w:t>
      </w:r>
    </w:p>
    <w:p w:rsidR="008C2CC3" w:rsidRDefault="008C2CC3"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The main reason for developing the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is to be able to address the sources that are causing the majority of the air quality problem in sustainment and nonattainment areas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DEQ has created a provision for the EQC to identify these sources as “priority” sources. Current </w:t>
      </w:r>
      <w:r w:rsidR="007C2165">
        <w:rPr>
          <w:rFonts w:ascii="Times New Roman" w:hAnsi="Times New Roman" w:cs="Times New Roman"/>
          <w:bCs/>
          <w:sz w:val="24"/>
          <w:szCs w:val="24"/>
        </w:rPr>
        <w:t xml:space="preserve">PM </w:t>
      </w:r>
      <w:r w:rsidRPr="001E11C5">
        <w:rPr>
          <w:rFonts w:ascii="Times New Roman" w:hAnsi="Times New Roman" w:cs="Times New Roman"/>
          <w:bCs/>
          <w:sz w:val="24"/>
          <w:szCs w:val="24"/>
        </w:rPr>
        <w:t>nonattainment areas are the result of smoke from residential wood burning</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Under the federal NSR program for major sources, offsets from residential wood burning are </w:t>
      </w:r>
      <w:r w:rsidR="00F5327D">
        <w:rPr>
          <w:rFonts w:ascii="Times New Roman" w:hAnsi="Times New Roman" w:cs="Times New Roman"/>
          <w:bCs/>
          <w:sz w:val="24"/>
          <w:szCs w:val="24"/>
        </w:rPr>
        <w:t>only allowed in Klamath Falls</w:t>
      </w:r>
      <w:r w:rsidRPr="001E11C5">
        <w:rPr>
          <w:rFonts w:ascii="Times New Roman" w:hAnsi="Times New Roman" w:cs="Times New Roman"/>
          <w:bCs/>
          <w:sz w:val="24"/>
          <w:szCs w:val="24"/>
        </w:rPr>
        <w:t>, whereas more flexibility is allowed in permitting minor sources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Therefore, a proposal for the </w:t>
      </w:r>
      <w:r w:rsidR="00551007">
        <w:rPr>
          <w:rFonts w:ascii="Times New Roman" w:hAnsi="Times New Roman" w:cs="Times New Roman"/>
          <w:bCs/>
          <w:sz w:val="24"/>
          <w:szCs w:val="24"/>
        </w:rPr>
        <w:t>State</w:t>
      </w:r>
      <w:r w:rsidRPr="001E11C5">
        <w:rPr>
          <w:rFonts w:ascii="Times New Roman" w:hAnsi="Times New Roman" w:cs="Times New Roman"/>
          <w:bCs/>
          <w:sz w:val="24"/>
          <w:szCs w:val="24"/>
        </w:rPr>
        <w:t xml:space="preserve"> NSR program allows sources in the SER to 100 ton per year range to get offsets from priority sources defined by the EQC</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This will directly address the air quality problem in these areas, helping the area meet the ambient air quality standards more quickly</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DEQ is also providing incentives, such as a lower offset ratio, for sources that offset their emissions with emissions from priority sources</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The following table shows the differences in permitting requirements for </w:t>
      </w:r>
      <w:r w:rsidR="00A24F76">
        <w:rPr>
          <w:rFonts w:ascii="Times New Roman" w:hAnsi="Times New Roman" w:cs="Times New Roman"/>
          <w:bCs/>
          <w:sz w:val="24"/>
          <w:szCs w:val="24"/>
        </w:rPr>
        <w:t>the</w:t>
      </w:r>
      <w:r w:rsidRPr="001E11C5">
        <w:rPr>
          <w:rFonts w:ascii="Times New Roman" w:hAnsi="Times New Roman" w:cs="Times New Roman"/>
          <w:bCs/>
          <w:sz w:val="24"/>
          <w:szCs w:val="24"/>
        </w:rPr>
        <w:t xml:space="preserve"> sources </w:t>
      </w:r>
      <w:r w:rsidR="00A24F76">
        <w:rPr>
          <w:rFonts w:ascii="Times New Roman" w:hAnsi="Times New Roman" w:cs="Times New Roman"/>
          <w:bCs/>
          <w:sz w:val="24"/>
          <w:szCs w:val="24"/>
        </w:rPr>
        <w:t xml:space="preserve">that emit between the SER and 100 tons per year </w:t>
      </w:r>
      <w:r w:rsidRPr="001E11C5">
        <w:rPr>
          <w:rFonts w:ascii="Times New Roman" w:hAnsi="Times New Roman" w:cs="Times New Roman"/>
          <w:bCs/>
          <w:sz w:val="24"/>
          <w:szCs w:val="24"/>
        </w:rPr>
        <w:t>before and after the proposed rule changes:</w:t>
      </w:r>
    </w:p>
    <w:p w:rsidR="00DB72F7" w:rsidRDefault="00DB72F7">
      <w:pPr>
        <w:rPr>
          <w:rFonts w:ascii="Times New Roman" w:hAnsi="Times New Roman" w:cs="Times New Roman"/>
          <w:bCs/>
          <w:sz w:val="24"/>
          <w:szCs w:val="24"/>
        </w:rPr>
      </w:pPr>
      <w:r>
        <w:rPr>
          <w:rFonts w:ascii="Times New Roman" w:hAnsi="Times New Roman" w:cs="Times New Roman"/>
          <w:bCs/>
          <w:sz w:val="24"/>
          <w:szCs w:val="24"/>
        </w:rPr>
        <w:br w:type="page"/>
      </w:r>
    </w:p>
    <w:p w:rsidR="001E11C5" w:rsidRPr="001E11C5" w:rsidRDefault="001E11C5" w:rsidP="001E11C5">
      <w:pPr>
        <w:spacing w:after="0" w:line="240" w:lineRule="auto"/>
        <w:rPr>
          <w:rFonts w:ascii="Times New Roman" w:hAnsi="Times New Roman" w:cs="Times New Roman"/>
          <w:bCs/>
          <w:sz w:val="24"/>
          <w:szCs w:val="24"/>
        </w:rPr>
      </w:pP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tblPr>
      <w:tblGrid>
        <w:gridCol w:w="2542"/>
        <w:gridCol w:w="3241"/>
        <w:gridCol w:w="3374"/>
      </w:tblGrid>
      <w:tr w:rsidR="00573311" w:rsidRPr="00822E7D" w:rsidTr="00573311">
        <w:trPr>
          <w:tblHeader/>
          <w:jc w:val="center"/>
        </w:trPr>
        <w:tc>
          <w:tcPr>
            <w:tcW w:w="2542" w:type="dxa"/>
            <w:vMerge w:val="restart"/>
            <w:tcBorders>
              <w:top w:val="double" w:sz="4" w:space="0" w:color="auto"/>
              <w:right w:val="double" w:sz="4" w:space="0" w:color="auto"/>
            </w:tcBorders>
          </w:tcPr>
          <w:p w:rsidR="00573311" w:rsidRPr="00822E7D" w:rsidRDefault="00573311" w:rsidP="001E11C5">
            <w:pPr>
              <w:rPr>
                <w:rFonts w:ascii="Times New Roman" w:hAnsi="Times New Roman" w:cs="Times New Roman"/>
                <w:bCs/>
                <w:sz w:val="24"/>
                <w:szCs w:val="24"/>
              </w:rPr>
            </w:pPr>
          </w:p>
        </w:tc>
        <w:tc>
          <w:tcPr>
            <w:tcW w:w="6615" w:type="dxa"/>
            <w:gridSpan w:val="2"/>
            <w:tcBorders>
              <w:top w:val="double" w:sz="4" w:space="0" w:color="auto"/>
              <w:left w:val="double" w:sz="4" w:space="0" w:color="auto"/>
              <w:bottom w:val="single" w:sz="4" w:space="0" w:color="auto"/>
              <w:right w:val="double" w:sz="4" w:space="0" w:color="auto"/>
            </w:tcBorders>
          </w:tcPr>
          <w:p w:rsidR="00573311" w:rsidRPr="00822E7D" w:rsidRDefault="00573311" w:rsidP="007D2056">
            <w:pPr>
              <w:jc w:val="center"/>
              <w:rPr>
                <w:rFonts w:ascii="Times New Roman" w:hAnsi="Times New Roman" w:cs="Times New Roman"/>
                <w:b/>
                <w:bCs/>
                <w:sz w:val="24"/>
                <w:szCs w:val="24"/>
              </w:rPr>
            </w:pPr>
            <w:r w:rsidRPr="00822E7D">
              <w:rPr>
                <w:rFonts w:ascii="Times New Roman" w:hAnsi="Times New Roman" w:cs="Times New Roman"/>
                <w:b/>
                <w:bCs/>
                <w:sz w:val="24"/>
                <w:szCs w:val="24"/>
              </w:rPr>
              <w:t>NONATTAINMENT</w:t>
            </w:r>
          </w:p>
        </w:tc>
      </w:tr>
      <w:tr w:rsidR="00573311" w:rsidRPr="00822E7D" w:rsidTr="00573311">
        <w:trPr>
          <w:tblHeader/>
          <w:jc w:val="center"/>
        </w:trPr>
        <w:tc>
          <w:tcPr>
            <w:tcW w:w="2542" w:type="dxa"/>
            <w:vMerge/>
            <w:tcBorders>
              <w:bottom w:val="double" w:sz="4" w:space="0" w:color="auto"/>
              <w:right w:val="double" w:sz="4" w:space="0" w:color="auto"/>
            </w:tcBorders>
          </w:tcPr>
          <w:p w:rsidR="00573311" w:rsidRPr="00822E7D" w:rsidRDefault="00573311" w:rsidP="001E11C5">
            <w:pPr>
              <w:rPr>
                <w:rFonts w:ascii="Times New Roman" w:hAnsi="Times New Roman" w:cs="Times New Roman"/>
                <w:bCs/>
                <w:sz w:val="24"/>
                <w:szCs w:val="24"/>
              </w:rPr>
            </w:pPr>
          </w:p>
        </w:tc>
        <w:tc>
          <w:tcPr>
            <w:tcW w:w="3241" w:type="dxa"/>
            <w:tcBorders>
              <w:top w:val="single" w:sz="4" w:space="0" w:color="auto"/>
              <w:left w:val="double" w:sz="4" w:space="0" w:color="auto"/>
              <w:bottom w:val="doub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74" w:type="dxa"/>
            <w:tcBorders>
              <w:top w:val="single" w:sz="4" w:space="0" w:color="auto"/>
              <w:bottom w:val="double" w:sz="4" w:space="0" w:color="auto"/>
              <w:right w:val="doub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3311" w:rsidRPr="00822E7D" w:rsidTr="00573311">
        <w:trPr>
          <w:jc w:val="center"/>
        </w:trPr>
        <w:tc>
          <w:tcPr>
            <w:tcW w:w="2542" w:type="dxa"/>
            <w:tcBorders>
              <w:top w:val="double" w:sz="4" w:space="0" w:color="auto"/>
              <w:bottom w:val="single" w:sz="4" w:space="0" w:color="auto"/>
              <w:right w:val="double" w:sz="4" w:space="0" w:color="auto"/>
            </w:tcBorders>
          </w:tcPr>
          <w:p w:rsidR="00573311" w:rsidRPr="00822E7D" w:rsidRDefault="00573311" w:rsidP="001E11C5">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241" w:type="dxa"/>
            <w:tcBorders>
              <w:top w:val="double" w:sz="4" w:space="0" w:color="auto"/>
              <w:left w:val="double" w:sz="4" w:space="0" w:color="auto"/>
              <w:bottom w:val="sing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74" w:type="dxa"/>
            <w:tcBorders>
              <w:top w:val="double" w:sz="4" w:space="0" w:color="auto"/>
              <w:bottom w:val="single" w:sz="4" w:space="0" w:color="auto"/>
              <w:right w:val="double" w:sz="4" w:space="0" w:color="auto"/>
            </w:tcBorders>
            <w:vAlign w:val="center"/>
          </w:tcPr>
          <w:p w:rsidR="00573311" w:rsidRPr="00822E7D" w:rsidRDefault="00573311" w:rsidP="007D2056">
            <w:pPr>
              <w:jc w:val="center"/>
              <w:rPr>
                <w:rFonts w:ascii="Times New Roman" w:hAnsi="Times New Roman" w:cs="Times New Roman"/>
                <w:b/>
                <w:bCs/>
                <w:sz w:val="24"/>
                <w:szCs w:val="24"/>
              </w:rPr>
            </w:pPr>
            <w:r w:rsidRPr="00822E7D">
              <w:rPr>
                <w:rFonts w:ascii="Times New Roman" w:hAnsi="Times New Roman" w:cs="Times New Roman"/>
                <w:b/>
                <w:bCs/>
                <w:sz w:val="24"/>
                <w:szCs w:val="24"/>
              </w:rPr>
              <w:t>Minor</w:t>
            </w:r>
          </w:p>
        </w:tc>
      </w:tr>
      <w:tr w:rsidR="00573311" w:rsidRPr="00822E7D" w:rsidTr="00573311">
        <w:trPr>
          <w:jc w:val="center"/>
        </w:trPr>
        <w:tc>
          <w:tcPr>
            <w:tcW w:w="2542" w:type="dxa"/>
            <w:tcBorders>
              <w:top w:val="single" w:sz="4" w:space="0" w:color="auto"/>
              <w:bottom w:val="single" w:sz="4" w:space="0" w:color="auto"/>
              <w:right w:val="double" w:sz="4" w:space="0" w:color="auto"/>
            </w:tcBorders>
          </w:tcPr>
          <w:p w:rsidR="00573311" w:rsidRPr="00822E7D" w:rsidRDefault="00573311" w:rsidP="001E11C5">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241" w:type="dxa"/>
            <w:tcBorders>
              <w:top w:val="single" w:sz="4" w:space="0" w:color="auto"/>
              <w:left w:val="double" w:sz="4" w:space="0" w:color="auto"/>
              <w:bottom w:val="sing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n/a</w:t>
            </w:r>
          </w:p>
        </w:tc>
        <w:tc>
          <w:tcPr>
            <w:tcW w:w="3374" w:type="dxa"/>
            <w:tcBorders>
              <w:top w:val="single" w:sz="4" w:space="0" w:color="auto"/>
              <w:bottom w:val="single" w:sz="4" w:space="0" w:color="auto"/>
              <w:right w:val="doub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n/a</w:t>
            </w:r>
          </w:p>
        </w:tc>
      </w:tr>
      <w:tr w:rsidR="00573311" w:rsidRPr="00822E7D" w:rsidTr="00573311">
        <w:trPr>
          <w:jc w:val="center"/>
        </w:trPr>
        <w:tc>
          <w:tcPr>
            <w:tcW w:w="2542" w:type="dxa"/>
            <w:tcBorders>
              <w:top w:val="single" w:sz="4" w:space="0" w:color="auto"/>
              <w:bottom w:val="single" w:sz="4" w:space="0" w:color="auto"/>
              <w:right w:val="double" w:sz="4" w:space="0" w:color="auto"/>
            </w:tcBorders>
          </w:tcPr>
          <w:p w:rsidR="00573311" w:rsidRPr="00822E7D" w:rsidRDefault="00573311" w:rsidP="001E11C5">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241" w:type="dxa"/>
            <w:tcBorders>
              <w:top w:val="single" w:sz="4" w:space="0" w:color="auto"/>
              <w:left w:val="double" w:sz="4" w:space="0" w:color="auto"/>
              <w:bottom w:val="sing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822E7D">
              <w:rPr>
                <w:rFonts w:ascii="Times New Roman" w:hAnsi="Times New Roman" w:cs="Times New Roman"/>
                <w:bCs/>
                <w:sz w:val="24"/>
                <w:szCs w:val="24"/>
              </w:rPr>
              <w:t>LAER *</w:t>
            </w:r>
          </w:p>
        </w:tc>
        <w:tc>
          <w:tcPr>
            <w:tcW w:w="3374" w:type="dxa"/>
            <w:tcBorders>
              <w:top w:val="single" w:sz="4" w:space="0" w:color="auto"/>
              <w:bottom w:val="single" w:sz="4" w:space="0" w:color="auto"/>
              <w:right w:val="double" w:sz="4" w:space="0" w:color="auto"/>
            </w:tcBorders>
            <w:vAlign w:val="center"/>
          </w:tcPr>
          <w:p w:rsidR="00573311" w:rsidRPr="00822E7D" w:rsidRDefault="00573311" w:rsidP="007D2056">
            <w:pPr>
              <w:jc w:val="center"/>
              <w:rPr>
                <w:rFonts w:ascii="Times New Roman" w:hAnsi="Times New Roman" w:cs="Times New Roman"/>
                <w:bCs/>
                <w:sz w:val="24"/>
                <w:szCs w:val="24"/>
              </w:rPr>
            </w:pPr>
            <w:r w:rsidRPr="00285268">
              <w:rPr>
                <w:rFonts w:ascii="Times New Roman" w:hAnsi="Times New Roman" w:cs="Times New Roman"/>
                <w:b/>
                <w:bCs/>
                <w:i/>
                <w:sz w:val="24"/>
                <w:szCs w:val="24"/>
              </w:rPr>
              <w:t>BACT</w:t>
            </w:r>
            <w:r w:rsidRPr="00285268">
              <w:rPr>
                <w:rFonts w:ascii="Times New Roman" w:hAnsi="Times New Roman" w:cs="Times New Roman"/>
                <w:bCs/>
                <w:i/>
                <w:sz w:val="24"/>
                <w:szCs w:val="24"/>
              </w:rPr>
              <w:t xml:space="preserve"> </w:t>
            </w:r>
            <w:r w:rsidRPr="00822E7D">
              <w:rPr>
                <w:rFonts w:ascii="Times New Roman" w:hAnsi="Times New Roman" w:cs="Times New Roman"/>
                <w:bCs/>
                <w:sz w:val="24"/>
                <w:szCs w:val="24"/>
              </w:rPr>
              <w:t>*</w:t>
            </w:r>
          </w:p>
        </w:tc>
      </w:tr>
      <w:tr w:rsidR="00573311" w:rsidRPr="00822E7D" w:rsidTr="00B33362">
        <w:trPr>
          <w:trHeight w:val="2240"/>
          <w:jc w:val="center"/>
        </w:trPr>
        <w:tc>
          <w:tcPr>
            <w:tcW w:w="2542" w:type="dxa"/>
            <w:tcBorders>
              <w:top w:val="single" w:sz="4" w:space="0" w:color="auto"/>
              <w:bottom w:val="double" w:sz="4" w:space="0" w:color="auto"/>
              <w:right w:val="double" w:sz="4" w:space="0" w:color="auto"/>
            </w:tcBorders>
          </w:tcPr>
          <w:p w:rsidR="00573311" w:rsidRPr="00822E7D" w:rsidRDefault="00573311" w:rsidP="001E11C5">
            <w:pPr>
              <w:rPr>
                <w:rFonts w:ascii="Times New Roman" w:hAnsi="Times New Roman" w:cs="Times New Roman"/>
                <w:bCs/>
                <w:sz w:val="24"/>
                <w:szCs w:val="24"/>
              </w:rPr>
            </w:pPr>
            <w:r w:rsidRPr="00822E7D">
              <w:rPr>
                <w:rFonts w:ascii="Times New Roman" w:hAnsi="Times New Roman" w:cs="Times New Roman"/>
                <w:bCs/>
                <w:sz w:val="24"/>
                <w:szCs w:val="24"/>
              </w:rPr>
              <w:t>NAQB</w:t>
            </w:r>
          </w:p>
        </w:tc>
        <w:tc>
          <w:tcPr>
            <w:tcW w:w="3241" w:type="dxa"/>
            <w:tcBorders>
              <w:top w:val="single" w:sz="4" w:space="0" w:color="auto"/>
              <w:left w:val="double" w:sz="4" w:space="0" w:color="auto"/>
              <w:bottom w:val="double" w:sz="4" w:space="0" w:color="auto"/>
            </w:tcBorders>
          </w:tcPr>
          <w:p w:rsidR="00573311" w:rsidRPr="00822E7D" w:rsidRDefault="00573311" w:rsidP="00DB72F7">
            <w:pPr>
              <w:rPr>
                <w:rFonts w:ascii="Times New Roman" w:hAnsi="Times New Roman" w:cs="Times New Roman"/>
                <w:sz w:val="24"/>
                <w:szCs w:val="24"/>
              </w:rPr>
            </w:pPr>
            <w:r w:rsidRPr="00822E7D">
              <w:rPr>
                <w:rFonts w:ascii="Times New Roman" w:hAnsi="Times New Roman" w:cs="Times New Roman"/>
                <w:sz w:val="24"/>
                <w:szCs w:val="24"/>
              </w:rPr>
              <w:t>Offsets</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tc>
        <w:tc>
          <w:tcPr>
            <w:tcW w:w="3374" w:type="dxa"/>
            <w:tcBorders>
              <w:top w:val="single" w:sz="4" w:space="0" w:color="auto"/>
              <w:bottom w:val="double" w:sz="4" w:space="0" w:color="auto"/>
              <w:right w:val="double" w:sz="4" w:space="0" w:color="auto"/>
            </w:tcBorders>
          </w:tcPr>
          <w:p w:rsidR="00573311" w:rsidRPr="00822E7D" w:rsidRDefault="00573311" w:rsidP="00DB72F7">
            <w:pPr>
              <w:rPr>
                <w:rFonts w:ascii="Times New Roman" w:hAnsi="Times New Roman" w:cs="Times New Roman"/>
                <w:sz w:val="24"/>
                <w:szCs w:val="24"/>
              </w:rPr>
            </w:pPr>
            <w:r w:rsidRPr="00822E7D">
              <w:rPr>
                <w:rFonts w:ascii="Times New Roman" w:hAnsi="Times New Roman" w:cs="Times New Roman"/>
                <w:sz w:val="24"/>
                <w:szCs w:val="24"/>
              </w:rPr>
              <w:t>Offsets</w:t>
            </w:r>
          </w:p>
          <w:p w:rsidR="00573311" w:rsidRPr="00822E7D" w:rsidRDefault="00573311" w:rsidP="00AA3B53">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1.1:1 for ozone</w:t>
            </w:r>
          </w:p>
          <w:p w:rsidR="00573311" w:rsidRDefault="00573311" w:rsidP="00AA3B53">
            <w:pPr>
              <w:numPr>
                <w:ilvl w:val="0"/>
                <w:numId w:val="13"/>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DB72F7" w:rsidRPr="00DB72F7" w:rsidRDefault="00DB72F7" w:rsidP="00BB4650">
            <w:pPr>
              <w:pStyle w:val="ListParagraph"/>
              <w:numPr>
                <w:ilvl w:val="2"/>
                <w:numId w:val="13"/>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DB72F7">
              <w:rPr>
                <w:rFonts w:ascii="Times New Roman" w:hAnsi="Times New Roman" w:cs="Times New Roman"/>
                <w:b/>
                <w:i/>
                <w:sz w:val="24"/>
                <w:szCs w:val="24"/>
              </w:rPr>
              <w:t xml:space="preserve"> </w:t>
            </w:r>
            <w:r w:rsidR="00763BEB" w:rsidRPr="00763BEB">
              <w:rPr>
                <w:rFonts w:ascii="Times New Roman" w:hAnsi="Times New Roman" w:cs="Times New Roman"/>
                <w:b/>
                <w:i/>
                <w:sz w:val="24"/>
                <w:szCs w:val="24"/>
                <w:u w:val="single"/>
              </w:rPr>
              <w:t>or</w:t>
            </w:r>
            <w:r w:rsidRPr="00DB72F7">
              <w:rPr>
                <w:rFonts w:ascii="Times New Roman" w:hAnsi="Times New Roman" w:cs="Times New Roman"/>
                <w:b/>
                <w:i/>
                <w:sz w:val="24"/>
                <w:szCs w:val="24"/>
              </w:rPr>
              <w:t xml:space="preserve"> </w:t>
            </w:r>
          </w:p>
          <w:p w:rsidR="00DB72F7" w:rsidRPr="00DB72F7" w:rsidRDefault="00DB72F7" w:rsidP="00BB4650">
            <w:pPr>
              <w:pStyle w:val="ListParagraph"/>
              <w:numPr>
                <w:ilvl w:val="2"/>
                <w:numId w:val="13"/>
              </w:numPr>
              <w:ind w:left="918"/>
              <w:rPr>
                <w:rFonts w:ascii="Times New Roman" w:hAnsi="Times New Roman" w:cs="Times New Roman"/>
                <w:b/>
                <w:i/>
                <w:sz w:val="24"/>
                <w:szCs w:val="24"/>
              </w:rPr>
            </w:pPr>
            <w:r w:rsidRPr="00DB72F7">
              <w:rPr>
                <w:rFonts w:ascii="Times New Roman" w:hAnsi="Times New Roman" w:cs="Times New Roman"/>
                <w:b/>
                <w:i/>
                <w:sz w:val="24"/>
                <w:szCs w:val="24"/>
              </w:rPr>
              <w:t xml:space="preserve">Impacts less than SIL at an average of receptors around DEQ approved ambient monitoring site </w:t>
            </w:r>
            <w:r w:rsidR="00763BEB" w:rsidRPr="00763BEB">
              <w:rPr>
                <w:rFonts w:ascii="Times New Roman" w:hAnsi="Times New Roman" w:cs="Times New Roman"/>
                <w:b/>
                <w:i/>
                <w:sz w:val="24"/>
                <w:szCs w:val="24"/>
                <w:u w:val="single"/>
              </w:rPr>
              <w:t>and</w:t>
            </w:r>
          </w:p>
          <w:p w:rsidR="00573311" w:rsidRPr="00822E7D" w:rsidRDefault="00573311" w:rsidP="00BB4650">
            <w:pPr>
              <w:pStyle w:val="ListParagraph"/>
              <w:numPr>
                <w:ilvl w:val="2"/>
                <w:numId w:val="13"/>
              </w:numPr>
              <w:ind w:left="918"/>
              <w:rPr>
                <w:rFonts w:ascii="Times New Roman" w:hAnsi="Times New Roman" w:cs="Times New Roman"/>
                <w:b/>
                <w:sz w:val="24"/>
                <w:szCs w:val="24"/>
              </w:rPr>
            </w:pPr>
            <w:r w:rsidRPr="00822E7D">
              <w:rPr>
                <w:rFonts w:ascii="Times New Roman" w:hAnsi="Times New Roman" w:cs="Times New Roman"/>
                <w:b/>
                <w:i/>
                <w:sz w:val="24"/>
                <w:szCs w:val="24"/>
              </w:rPr>
              <w:t>Source plus competing sources since area was designated less than 10% of the NAAQS</w:t>
            </w:r>
          </w:p>
        </w:tc>
      </w:tr>
    </w:tbl>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If a major modification is involved</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Offset ratio varies for certain areas such as Medford-Ashland AQMA for PM</w:t>
      </w:r>
      <w:r w:rsidRPr="001E11C5">
        <w:rPr>
          <w:rFonts w:ascii="Times New Roman" w:hAnsi="Times New Roman" w:cs="Times New Roman"/>
          <w:bCs/>
          <w:sz w:val="24"/>
          <w:szCs w:val="24"/>
          <w:vertAlign w:val="subscript"/>
        </w:rPr>
        <w:t>10</w:t>
      </w:r>
      <w:r w:rsidRPr="001E11C5">
        <w:rPr>
          <w:rFonts w:ascii="Times New Roman" w:hAnsi="Times New Roman" w:cs="Times New Roman"/>
          <w:bCs/>
          <w:sz w:val="24"/>
          <w:szCs w:val="24"/>
        </w:rPr>
        <w:t>, etc.</w:t>
      </w:r>
    </w:p>
    <w:p w:rsidR="00E548F5" w:rsidRDefault="00E548F5" w:rsidP="00DB72F7">
      <w:pPr>
        <w:rPr>
          <w:rFonts w:ascii="Times New Roman" w:hAnsi="Times New Roman" w:cs="Times New Roman"/>
          <w:bCs/>
          <w:sz w:val="24"/>
          <w:szCs w:val="24"/>
        </w:rPr>
      </w:pP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tblPr>
      <w:tblGrid>
        <w:gridCol w:w="2497"/>
        <w:gridCol w:w="3330"/>
        <w:gridCol w:w="3307"/>
      </w:tblGrid>
      <w:tr w:rsidR="00573311" w:rsidRPr="00822E7D" w:rsidTr="00573311">
        <w:trPr>
          <w:tblHeader/>
          <w:jc w:val="center"/>
        </w:trPr>
        <w:tc>
          <w:tcPr>
            <w:tcW w:w="2497" w:type="dxa"/>
            <w:vMerge w:val="restart"/>
            <w:tcBorders>
              <w:top w:val="double" w:sz="4" w:space="0" w:color="auto"/>
              <w:right w:val="double" w:sz="4" w:space="0" w:color="auto"/>
            </w:tcBorders>
          </w:tcPr>
          <w:p w:rsidR="00573311" w:rsidRPr="00822E7D" w:rsidRDefault="00573311" w:rsidP="00573311">
            <w:pPr>
              <w:rPr>
                <w:rFonts w:ascii="Times New Roman" w:hAnsi="Times New Roman" w:cs="Times New Roman"/>
                <w:bCs/>
                <w:sz w:val="24"/>
                <w:szCs w:val="24"/>
              </w:rPr>
            </w:pPr>
          </w:p>
        </w:tc>
        <w:tc>
          <w:tcPr>
            <w:tcW w:w="6637" w:type="dxa"/>
            <w:gridSpan w:val="2"/>
            <w:tcBorders>
              <w:left w:val="double" w:sz="4" w:space="0" w:color="auto"/>
              <w:bottom w:val="single" w:sz="4" w:space="0" w:color="auto"/>
            </w:tcBorders>
          </w:tcPr>
          <w:p w:rsidR="00573311" w:rsidRPr="00822E7D" w:rsidRDefault="00573311" w:rsidP="00573311">
            <w:pPr>
              <w:jc w:val="center"/>
              <w:rPr>
                <w:rFonts w:ascii="Times New Roman" w:hAnsi="Times New Roman" w:cs="Times New Roman"/>
                <w:b/>
                <w:bCs/>
                <w:sz w:val="24"/>
                <w:szCs w:val="24"/>
              </w:rPr>
            </w:pPr>
            <w:r w:rsidRPr="00822E7D">
              <w:rPr>
                <w:rFonts w:ascii="Times New Roman" w:hAnsi="Times New Roman" w:cs="Times New Roman"/>
                <w:b/>
                <w:bCs/>
                <w:sz w:val="24"/>
                <w:szCs w:val="24"/>
              </w:rPr>
              <w:t>MAINTENANCE</w:t>
            </w:r>
          </w:p>
        </w:tc>
      </w:tr>
      <w:tr w:rsidR="00573311" w:rsidRPr="00822E7D" w:rsidTr="00B33362">
        <w:trPr>
          <w:tblHeader/>
          <w:jc w:val="center"/>
        </w:trPr>
        <w:tc>
          <w:tcPr>
            <w:tcW w:w="2497" w:type="dxa"/>
            <w:vMerge/>
            <w:tcBorders>
              <w:bottom w:val="double" w:sz="4" w:space="0" w:color="auto"/>
              <w:right w:val="double" w:sz="4" w:space="0" w:color="auto"/>
            </w:tcBorders>
          </w:tcPr>
          <w:p w:rsidR="00573311" w:rsidRPr="00822E7D" w:rsidRDefault="00573311" w:rsidP="00573311">
            <w:pPr>
              <w:rPr>
                <w:rFonts w:ascii="Times New Roman" w:hAnsi="Times New Roman" w:cs="Times New Roman"/>
                <w:bCs/>
                <w:sz w:val="24"/>
                <w:szCs w:val="24"/>
              </w:rPr>
            </w:pPr>
          </w:p>
        </w:tc>
        <w:tc>
          <w:tcPr>
            <w:tcW w:w="3330" w:type="dxa"/>
            <w:tcBorders>
              <w:top w:val="single" w:sz="4" w:space="0" w:color="auto"/>
              <w:left w:val="double" w:sz="4" w:space="0" w:color="auto"/>
              <w:bottom w:val="doub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Current</w:t>
            </w:r>
          </w:p>
        </w:tc>
        <w:tc>
          <w:tcPr>
            <w:tcW w:w="3307" w:type="dxa"/>
            <w:tcBorders>
              <w:top w:val="single" w:sz="4" w:space="0" w:color="auto"/>
              <w:bottom w:val="doub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Proposed</w:t>
            </w:r>
          </w:p>
        </w:tc>
      </w:tr>
      <w:tr w:rsidR="00573311" w:rsidRPr="00822E7D" w:rsidTr="00B33362">
        <w:trPr>
          <w:jc w:val="center"/>
        </w:trPr>
        <w:tc>
          <w:tcPr>
            <w:tcW w:w="2497" w:type="dxa"/>
            <w:tcBorders>
              <w:top w:val="double" w:sz="4" w:space="0" w:color="auto"/>
              <w:bottom w:val="single" w:sz="4" w:space="0" w:color="auto"/>
              <w:right w:val="double" w:sz="4" w:space="0" w:color="auto"/>
            </w:tcBorders>
          </w:tcPr>
          <w:p w:rsidR="00573311" w:rsidRPr="00822E7D" w:rsidRDefault="00573311" w:rsidP="00573311">
            <w:pPr>
              <w:rPr>
                <w:rFonts w:ascii="Times New Roman" w:hAnsi="Times New Roman" w:cs="Times New Roman"/>
                <w:bCs/>
                <w:sz w:val="24"/>
                <w:szCs w:val="24"/>
              </w:rPr>
            </w:pPr>
            <w:r w:rsidRPr="00822E7D">
              <w:rPr>
                <w:rFonts w:ascii="Times New Roman" w:hAnsi="Times New Roman" w:cs="Times New Roman"/>
                <w:bCs/>
                <w:sz w:val="24"/>
                <w:szCs w:val="24"/>
              </w:rPr>
              <w:t>Source Classification</w:t>
            </w:r>
          </w:p>
        </w:tc>
        <w:tc>
          <w:tcPr>
            <w:tcW w:w="3330" w:type="dxa"/>
            <w:tcBorders>
              <w:top w:val="double" w:sz="4" w:space="0" w:color="auto"/>
              <w:left w:val="doub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Major</w:t>
            </w:r>
          </w:p>
        </w:tc>
        <w:tc>
          <w:tcPr>
            <w:tcW w:w="3307" w:type="dxa"/>
            <w:tcBorders>
              <w:top w:val="doub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Minor</w:t>
            </w:r>
          </w:p>
        </w:tc>
      </w:tr>
      <w:tr w:rsidR="00573311" w:rsidRPr="00822E7D" w:rsidTr="00B33362">
        <w:trPr>
          <w:jc w:val="center"/>
        </w:trPr>
        <w:tc>
          <w:tcPr>
            <w:tcW w:w="2497" w:type="dxa"/>
            <w:tcBorders>
              <w:top w:val="single" w:sz="4" w:space="0" w:color="auto"/>
              <w:bottom w:val="single" w:sz="4" w:space="0" w:color="auto"/>
              <w:right w:val="double" w:sz="4" w:space="0" w:color="auto"/>
            </w:tcBorders>
          </w:tcPr>
          <w:p w:rsidR="00573311" w:rsidRPr="00822E7D" w:rsidRDefault="00573311" w:rsidP="00573311">
            <w:pPr>
              <w:rPr>
                <w:rFonts w:ascii="Times New Roman" w:hAnsi="Times New Roman" w:cs="Times New Roman"/>
                <w:bCs/>
                <w:sz w:val="24"/>
                <w:szCs w:val="24"/>
              </w:rPr>
            </w:pPr>
            <w:r w:rsidRPr="00822E7D">
              <w:rPr>
                <w:rFonts w:ascii="Times New Roman" w:hAnsi="Times New Roman" w:cs="Times New Roman"/>
                <w:bCs/>
                <w:sz w:val="24"/>
                <w:szCs w:val="24"/>
              </w:rPr>
              <w:t>Preconstruction Monitoring</w:t>
            </w:r>
          </w:p>
        </w:tc>
        <w:tc>
          <w:tcPr>
            <w:tcW w:w="3330" w:type="dxa"/>
            <w:tcBorders>
              <w:left w:val="double" w:sz="4" w:space="0" w:color="auto"/>
            </w:tcBorders>
            <w:vAlign w:val="center"/>
          </w:tcPr>
          <w:p w:rsidR="00573311" w:rsidRPr="00822E7D" w:rsidRDefault="007C6853" w:rsidP="00573311">
            <w:pPr>
              <w:jc w:val="center"/>
              <w:rPr>
                <w:rFonts w:ascii="Times New Roman" w:hAnsi="Times New Roman" w:cs="Times New Roman"/>
                <w:b/>
                <w:bCs/>
                <w:sz w:val="24"/>
                <w:szCs w:val="24"/>
              </w:rPr>
            </w:pPr>
            <w:r>
              <w:rPr>
                <w:rFonts w:ascii="Times New Roman" w:hAnsi="Times New Roman" w:cs="Times New Roman"/>
                <w:b/>
                <w:bCs/>
                <w:sz w:val="24"/>
                <w:szCs w:val="24"/>
              </w:rPr>
              <w:t>Y</w:t>
            </w:r>
            <w:r w:rsidR="00D478A2">
              <w:rPr>
                <w:rFonts w:ascii="Times New Roman" w:hAnsi="Times New Roman" w:cs="Times New Roman"/>
                <w:b/>
                <w:bCs/>
                <w:sz w:val="24"/>
                <w:szCs w:val="24"/>
              </w:rPr>
              <w:t>es</w:t>
            </w:r>
            <w:r w:rsidR="00D478A2" w:rsidRPr="00822E7D">
              <w:rPr>
                <w:rFonts w:ascii="Times New Roman" w:hAnsi="Times New Roman" w:cs="Times New Roman"/>
                <w:b/>
                <w:bCs/>
                <w:sz w:val="24"/>
                <w:szCs w:val="24"/>
              </w:rPr>
              <w:t>***</w:t>
            </w:r>
          </w:p>
        </w:tc>
        <w:tc>
          <w:tcPr>
            <w:tcW w:w="3307" w:type="dxa"/>
            <w:vAlign w:val="center"/>
          </w:tcPr>
          <w:p w:rsidR="00573311" w:rsidRPr="00285268" w:rsidRDefault="00D478A2" w:rsidP="00573311">
            <w:pPr>
              <w:jc w:val="center"/>
              <w:rPr>
                <w:rFonts w:ascii="Times New Roman" w:hAnsi="Times New Roman" w:cs="Times New Roman"/>
                <w:b/>
                <w:bCs/>
                <w:i/>
                <w:sz w:val="24"/>
                <w:szCs w:val="24"/>
              </w:rPr>
            </w:pPr>
            <w:r>
              <w:rPr>
                <w:rFonts w:ascii="Times New Roman" w:hAnsi="Times New Roman" w:cs="Times New Roman"/>
                <w:b/>
                <w:bCs/>
                <w:i/>
                <w:sz w:val="24"/>
                <w:szCs w:val="24"/>
              </w:rPr>
              <w:t>No</w:t>
            </w:r>
          </w:p>
        </w:tc>
      </w:tr>
      <w:tr w:rsidR="00573311" w:rsidRPr="00822E7D" w:rsidTr="00B33362">
        <w:trPr>
          <w:jc w:val="center"/>
        </w:trPr>
        <w:tc>
          <w:tcPr>
            <w:tcW w:w="2497" w:type="dxa"/>
            <w:tcBorders>
              <w:top w:val="single" w:sz="4" w:space="0" w:color="auto"/>
              <w:bottom w:val="single" w:sz="4" w:space="0" w:color="auto"/>
              <w:right w:val="double" w:sz="4" w:space="0" w:color="auto"/>
            </w:tcBorders>
          </w:tcPr>
          <w:p w:rsidR="00573311" w:rsidRPr="00822E7D" w:rsidRDefault="00573311" w:rsidP="00573311">
            <w:pPr>
              <w:rPr>
                <w:rFonts w:ascii="Times New Roman" w:hAnsi="Times New Roman" w:cs="Times New Roman"/>
                <w:bCs/>
                <w:sz w:val="24"/>
                <w:szCs w:val="24"/>
              </w:rPr>
            </w:pPr>
            <w:r w:rsidRPr="00822E7D">
              <w:rPr>
                <w:rFonts w:ascii="Times New Roman" w:hAnsi="Times New Roman" w:cs="Times New Roman"/>
                <w:bCs/>
                <w:sz w:val="24"/>
                <w:szCs w:val="24"/>
              </w:rPr>
              <w:t>Control Technology</w:t>
            </w:r>
          </w:p>
        </w:tc>
        <w:tc>
          <w:tcPr>
            <w:tcW w:w="3330" w:type="dxa"/>
            <w:tcBorders>
              <w:left w:val="double" w:sz="4" w:space="0" w:color="auto"/>
              <w:bottom w:val="sing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c>
          <w:tcPr>
            <w:tcW w:w="3307" w:type="dxa"/>
            <w:tcBorders>
              <w:bottom w:val="single" w:sz="4" w:space="0" w:color="auto"/>
            </w:tcBorders>
            <w:vAlign w:val="center"/>
          </w:tcPr>
          <w:p w:rsidR="00573311" w:rsidRPr="00822E7D" w:rsidRDefault="00573311" w:rsidP="00573311">
            <w:pPr>
              <w:jc w:val="center"/>
              <w:rPr>
                <w:rFonts w:ascii="Times New Roman" w:hAnsi="Times New Roman" w:cs="Times New Roman"/>
                <w:bCs/>
                <w:sz w:val="24"/>
                <w:szCs w:val="24"/>
              </w:rPr>
            </w:pPr>
            <w:r w:rsidRPr="00822E7D">
              <w:rPr>
                <w:rFonts w:ascii="Times New Roman" w:hAnsi="Times New Roman" w:cs="Times New Roman"/>
                <w:bCs/>
                <w:sz w:val="24"/>
                <w:szCs w:val="24"/>
              </w:rPr>
              <w:t>BACT *</w:t>
            </w:r>
          </w:p>
        </w:tc>
      </w:tr>
      <w:tr w:rsidR="00B33362" w:rsidRPr="00822E7D" w:rsidTr="00B33362">
        <w:trPr>
          <w:trHeight w:val="3140"/>
          <w:jc w:val="center"/>
        </w:trPr>
        <w:tc>
          <w:tcPr>
            <w:tcW w:w="2497" w:type="dxa"/>
            <w:tcBorders>
              <w:top w:val="single" w:sz="4" w:space="0" w:color="auto"/>
              <w:bottom w:val="double" w:sz="4" w:space="0" w:color="auto"/>
              <w:right w:val="double" w:sz="4" w:space="0" w:color="auto"/>
            </w:tcBorders>
          </w:tcPr>
          <w:p w:rsidR="00B33362" w:rsidRPr="00822E7D" w:rsidRDefault="00B33362" w:rsidP="00573311">
            <w:pPr>
              <w:rPr>
                <w:rFonts w:ascii="Times New Roman" w:hAnsi="Times New Roman" w:cs="Times New Roman"/>
                <w:bCs/>
                <w:sz w:val="24"/>
                <w:szCs w:val="24"/>
              </w:rPr>
            </w:pPr>
            <w:r w:rsidRPr="00822E7D">
              <w:rPr>
                <w:rFonts w:ascii="Times New Roman" w:hAnsi="Times New Roman" w:cs="Times New Roman"/>
                <w:bCs/>
                <w:sz w:val="24"/>
                <w:szCs w:val="24"/>
              </w:rPr>
              <w:t>NAQB</w:t>
            </w:r>
          </w:p>
        </w:tc>
        <w:tc>
          <w:tcPr>
            <w:tcW w:w="3330" w:type="dxa"/>
            <w:tcBorders>
              <w:top w:val="single" w:sz="4" w:space="0" w:color="auto"/>
              <w:left w:val="double" w:sz="4" w:space="0" w:color="auto"/>
              <w:bottom w:val="double" w:sz="4" w:space="0" w:color="auto"/>
            </w:tcBorders>
          </w:tcPr>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Offsets</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1.0:1 for other pollutants ** and NAQB</w:t>
            </w:r>
          </w:p>
          <w:p w:rsidR="00B33362" w:rsidRPr="00822E7D" w:rsidRDefault="00B33362" w:rsidP="00B33362">
            <w:pPr>
              <w:pStyle w:val="ListParagraph"/>
              <w:numPr>
                <w:ilvl w:val="2"/>
                <w:numId w:val="13"/>
              </w:numPr>
              <w:ind w:left="918"/>
              <w:rPr>
                <w:rFonts w:ascii="Times New Roman" w:hAnsi="Times New Roman" w:cs="Times New Roman"/>
                <w:sz w:val="24"/>
                <w:szCs w:val="24"/>
              </w:rPr>
            </w:pPr>
            <w:r w:rsidRPr="00822E7D">
              <w:rPr>
                <w:rFonts w:ascii="Times New Roman" w:hAnsi="Times New Roman" w:cs="Times New Roman"/>
                <w:sz w:val="24"/>
                <w:szCs w:val="24"/>
              </w:rPr>
              <w:t>Reduce impacts at majority of receptors; and</w:t>
            </w:r>
          </w:p>
          <w:p w:rsidR="00B33362" w:rsidRPr="00822E7D" w:rsidRDefault="00B33362" w:rsidP="00B33362">
            <w:pPr>
              <w:pStyle w:val="ListParagraph"/>
              <w:numPr>
                <w:ilvl w:val="2"/>
                <w:numId w:val="13"/>
              </w:numPr>
              <w:ind w:left="918"/>
              <w:rPr>
                <w:rFonts w:ascii="Times New Roman" w:hAnsi="Times New Roman" w:cs="Times New Roman"/>
                <w:sz w:val="24"/>
                <w:szCs w:val="24"/>
              </w:rPr>
            </w:pPr>
            <w:r w:rsidRPr="00822E7D">
              <w:rPr>
                <w:rFonts w:ascii="Times New Roman" w:hAnsi="Times New Roman" w:cs="Times New Roman"/>
                <w:sz w:val="24"/>
                <w:szCs w:val="24"/>
              </w:rPr>
              <w:t>Impacts less than SIL at all receptors</w:t>
            </w:r>
          </w:p>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Or</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Or</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c>
          <w:tcPr>
            <w:tcW w:w="3307" w:type="dxa"/>
            <w:tcBorders>
              <w:top w:val="single" w:sz="4" w:space="0" w:color="auto"/>
              <w:bottom w:val="double" w:sz="4" w:space="0" w:color="auto"/>
            </w:tcBorders>
          </w:tcPr>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Offsets</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 xml:space="preserve">1.1:1 for ozone </w:t>
            </w:r>
          </w:p>
          <w:p w:rsidR="00B33362" w:rsidRDefault="00B33362" w:rsidP="00B33362">
            <w:pPr>
              <w:numPr>
                <w:ilvl w:val="0"/>
                <w:numId w:val="13"/>
              </w:numPr>
              <w:ind w:left="360"/>
              <w:rPr>
                <w:rFonts w:ascii="Times New Roman" w:hAnsi="Times New Roman" w:cs="Times New Roman"/>
                <w:b/>
                <w:i/>
                <w:sz w:val="24"/>
                <w:szCs w:val="24"/>
              </w:rPr>
            </w:pPr>
            <w:r w:rsidRPr="00822E7D">
              <w:rPr>
                <w:rFonts w:ascii="Times New Roman" w:hAnsi="Times New Roman" w:cs="Times New Roman"/>
                <w:b/>
                <w:i/>
                <w:sz w:val="24"/>
                <w:szCs w:val="24"/>
              </w:rPr>
              <w:t>1.0:1 for other pollutants, with provision to reduce the ratio if offsets are obtained from priority sources</w:t>
            </w:r>
          </w:p>
          <w:p w:rsidR="0001638E" w:rsidRPr="0001638E" w:rsidRDefault="0001638E" w:rsidP="0001638E">
            <w:pPr>
              <w:pStyle w:val="ListParagraph"/>
              <w:numPr>
                <w:ilvl w:val="2"/>
                <w:numId w:val="13"/>
              </w:numPr>
              <w:ind w:left="918"/>
              <w:rPr>
                <w:rFonts w:ascii="Times New Roman" w:hAnsi="Times New Roman" w:cs="Times New Roman"/>
                <w:b/>
                <w:i/>
                <w:sz w:val="24"/>
                <w:szCs w:val="24"/>
              </w:rPr>
            </w:pPr>
            <w:r w:rsidRPr="00285268">
              <w:rPr>
                <w:rFonts w:ascii="Times New Roman" w:hAnsi="Times New Roman" w:cs="Times New Roman"/>
                <w:sz w:val="24"/>
                <w:szCs w:val="24"/>
              </w:rPr>
              <w:t>Impacts less than SIL at all receptors</w:t>
            </w:r>
            <w:r w:rsidRPr="0001638E">
              <w:rPr>
                <w:rFonts w:ascii="Times New Roman" w:hAnsi="Times New Roman" w:cs="Times New Roman"/>
                <w:b/>
                <w:i/>
                <w:sz w:val="24"/>
                <w:szCs w:val="24"/>
              </w:rPr>
              <w:t xml:space="preserve"> </w:t>
            </w:r>
            <w:r w:rsidR="00763BEB" w:rsidRPr="00763BEB">
              <w:rPr>
                <w:rFonts w:ascii="Times New Roman" w:hAnsi="Times New Roman" w:cs="Times New Roman"/>
                <w:b/>
                <w:i/>
                <w:sz w:val="24"/>
                <w:szCs w:val="24"/>
                <w:u w:val="single"/>
              </w:rPr>
              <w:t>or</w:t>
            </w:r>
            <w:r w:rsidRPr="0001638E">
              <w:rPr>
                <w:rFonts w:ascii="Times New Roman" w:hAnsi="Times New Roman" w:cs="Times New Roman"/>
                <w:b/>
                <w:i/>
                <w:sz w:val="24"/>
                <w:szCs w:val="24"/>
              </w:rPr>
              <w:t xml:space="preserve"> </w:t>
            </w:r>
          </w:p>
          <w:p w:rsidR="0001638E" w:rsidRPr="0001638E" w:rsidRDefault="0001638E" w:rsidP="0001638E">
            <w:pPr>
              <w:pStyle w:val="ListParagraph"/>
              <w:numPr>
                <w:ilvl w:val="2"/>
                <w:numId w:val="13"/>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Impacts less than SIL at an average of receptors around DEQ approved ambient monitoring site </w:t>
            </w:r>
            <w:r w:rsidR="00763BEB" w:rsidRPr="00763BEB">
              <w:rPr>
                <w:rFonts w:ascii="Times New Roman" w:hAnsi="Times New Roman" w:cs="Times New Roman"/>
                <w:b/>
                <w:i/>
                <w:sz w:val="24"/>
                <w:szCs w:val="24"/>
                <w:u w:val="single"/>
              </w:rPr>
              <w:t>and</w:t>
            </w:r>
          </w:p>
          <w:p w:rsidR="00B33362" w:rsidRPr="0001638E" w:rsidRDefault="00B33362" w:rsidP="0001638E">
            <w:pPr>
              <w:pStyle w:val="ListParagraph"/>
              <w:numPr>
                <w:ilvl w:val="2"/>
                <w:numId w:val="13"/>
              </w:numPr>
              <w:ind w:left="918"/>
              <w:rPr>
                <w:rFonts w:ascii="Times New Roman" w:hAnsi="Times New Roman" w:cs="Times New Roman"/>
                <w:b/>
                <w:i/>
                <w:sz w:val="24"/>
                <w:szCs w:val="24"/>
              </w:rPr>
            </w:pPr>
            <w:r w:rsidRPr="0001638E">
              <w:rPr>
                <w:rFonts w:ascii="Times New Roman" w:hAnsi="Times New Roman" w:cs="Times New Roman"/>
                <w:b/>
                <w:i/>
                <w:sz w:val="24"/>
                <w:szCs w:val="24"/>
              </w:rPr>
              <w:t xml:space="preserve">Source plus competing sources since area was designated less than 10% of the NAAQS </w:t>
            </w:r>
          </w:p>
          <w:p w:rsidR="00B33362" w:rsidRPr="00822E7D" w:rsidRDefault="00B33362" w:rsidP="00B33362">
            <w:pPr>
              <w:rPr>
                <w:rFonts w:ascii="Times New Roman" w:hAnsi="Times New Roman" w:cs="Times New Roman"/>
                <w:sz w:val="24"/>
                <w:szCs w:val="24"/>
              </w:rPr>
            </w:pPr>
            <w:r w:rsidRPr="00822E7D">
              <w:rPr>
                <w:rFonts w:ascii="Times New Roman" w:hAnsi="Times New Roman" w:cs="Times New Roman"/>
                <w:sz w:val="24"/>
                <w:szCs w:val="24"/>
              </w:rPr>
              <w:t>Or</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Growth allowance</w:t>
            </w:r>
          </w:p>
          <w:p w:rsidR="00B33362" w:rsidRPr="00822E7D" w:rsidRDefault="00B33362" w:rsidP="00DB72F7">
            <w:pPr>
              <w:rPr>
                <w:rFonts w:ascii="Times New Roman" w:hAnsi="Times New Roman" w:cs="Times New Roman"/>
                <w:sz w:val="24"/>
                <w:szCs w:val="24"/>
              </w:rPr>
            </w:pPr>
            <w:r w:rsidRPr="00822E7D">
              <w:rPr>
                <w:rFonts w:ascii="Times New Roman" w:hAnsi="Times New Roman" w:cs="Times New Roman"/>
                <w:sz w:val="24"/>
                <w:szCs w:val="24"/>
              </w:rPr>
              <w:t>Or</w:t>
            </w:r>
          </w:p>
          <w:p w:rsidR="00B33362" w:rsidRPr="00822E7D" w:rsidRDefault="00B33362" w:rsidP="00B33362">
            <w:pPr>
              <w:numPr>
                <w:ilvl w:val="0"/>
                <w:numId w:val="13"/>
              </w:numPr>
              <w:ind w:left="360"/>
              <w:rPr>
                <w:rFonts w:ascii="Times New Roman" w:hAnsi="Times New Roman" w:cs="Times New Roman"/>
                <w:sz w:val="24"/>
                <w:szCs w:val="24"/>
              </w:rPr>
            </w:pPr>
            <w:r w:rsidRPr="00822E7D">
              <w:rPr>
                <w:rFonts w:ascii="Times New Roman" w:hAnsi="Times New Roman" w:cs="Times New Roman"/>
                <w:sz w:val="24"/>
                <w:szCs w:val="24"/>
              </w:rPr>
              <w:t>Model below maintenance area limits</w:t>
            </w:r>
          </w:p>
        </w:tc>
      </w:tr>
    </w:tbl>
    <w:p w:rsidR="00822E7D" w:rsidRPr="00822E7D" w:rsidRDefault="00822E7D" w:rsidP="00822E7D">
      <w:pPr>
        <w:spacing w:after="0" w:line="240" w:lineRule="auto"/>
        <w:rPr>
          <w:rFonts w:ascii="Times New Roman" w:hAnsi="Times New Roman" w:cs="Times New Roman"/>
          <w:bCs/>
          <w:sz w:val="24"/>
          <w:szCs w:val="24"/>
        </w:rPr>
      </w:pPr>
      <w:r w:rsidRPr="00822E7D">
        <w:rPr>
          <w:rFonts w:ascii="Times New Roman" w:hAnsi="Times New Roman" w:cs="Times New Roman"/>
          <w:bCs/>
          <w:sz w:val="24"/>
          <w:szCs w:val="24"/>
        </w:rPr>
        <w:t>*** If impacts are greater than the Significant Monitoring Concentration</w:t>
      </w:r>
      <w:r w:rsidR="00D478A2">
        <w:rPr>
          <w:rFonts w:ascii="Times New Roman" w:hAnsi="Times New Roman" w:cs="Times New Roman"/>
          <w:bCs/>
          <w:sz w:val="24"/>
          <w:szCs w:val="24"/>
        </w:rPr>
        <w:t xml:space="preserve"> (current exemptions will still apply, as well)</w:t>
      </w:r>
    </w:p>
    <w:p w:rsidR="00573311" w:rsidRDefault="00573311" w:rsidP="00C90516">
      <w:pPr>
        <w:spacing w:after="0" w:line="240" w:lineRule="auto"/>
        <w:rPr>
          <w:rFonts w:ascii="Times New Roman" w:hAnsi="Times New Roman" w:cs="Times New Roman"/>
          <w:bCs/>
          <w:sz w:val="24"/>
          <w:szCs w:val="24"/>
        </w:rPr>
      </w:pPr>
    </w:p>
    <w:p w:rsidR="00E548F5" w:rsidRDefault="00E548F5" w:rsidP="00E548F5">
      <w:pPr>
        <w:pStyle w:val="Heading2"/>
      </w:pPr>
      <w:bookmarkStart w:id="11" w:name="_Toc366837605"/>
      <w:r>
        <w:t>Redefine net air quality benefit</w:t>
      </w:r>
      <w:bookmarkEnd w:id="11"/>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The current definition of net air quality benefit for sources located within nonattainment area</w:t>
      </w:r>
      <w:r w:rsidR="00D478A2">
        <w:rPr>
          <w:rFonts w:ascii="Times New Roman" w:hAnsi="Times New Roman" w:cs="Times New Roman"/>
          <w:bCs/>
          <w:sz w:val="24"/>
          <w:szCs w:val="24"/>
        </w:rPr>
        <w:t>s for pollutants other ozone</w:t>
      </w:r>
      <w:r w:rsidRPr="001E11C5">
        <w:rPr>
          <w:rFonts w:ascii="Times New Roman" w:hAnsi="Times New Roman" w:cs="Times New Roman"/>
          <w:bCs/>
          <w:sz w:val="24"/>
          <w:szCs w:val="24"/>
        </w:rPr>
        <w:t xml:space="preserve"> is:</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 xml:space="preserve">“Offsets obtained result in a reduction in concentration at a majority of the modeled receptors and the emission increases from the proposed source or modification will result in less than a significant impact level increase at all modeled receptors”  </w:t>
      </w:r>
    </w:p>
    <w:p w:rsidR="001E11C5" w:rsidRPr="001E11C5" w:rsidRDefault="001E11C5" w:rsidP="001E11C5">
      <w:pPr>
        <w:spacing w:after="0" w:line="240" w:lineRule="auto"/>
        <w:rPr>
          <w:rFonts w:ascii="Times New Roman" w:hAnsi="Times New Roman" w:cs="Times New Roman"/>
          <w:bCs/>
          <w:sz w:val="24"/>
          <w:szCs w:val="24"/>
        </w:rPr>
      </w:pPr>
    </w:p>
    <w:p w:rsidR="00E82BFA" w:rsidRDefault="001E11C5" w:rsidP="00E82BFA">
      <w:pPr>
        <w:spacing w:after="0"/>
        <w:rPr>
          <w:rFonts w:ascii="Times New Roman" w:hAnsi="Times New Roman" w:cs="Times New Roman"/>
          <w:bCs/>
          <w:sz w:val="24"/>
          <w:szCs w:val="24"/>
        </w:rPr>
      </w:pPr>
      <w:r w:rsidRPr="001E11C5">
        <w:rPr>
          <w:rFonts w:ascii="Times New Roman" w:hAnsi="Times New Roman" w:cs="Times New Roman"/>
          <w:bCs/>
          <w:sz w:val="24"/>
          <w:szCs w:val="24"/>
        </w:rPr>
        <w:t xml:space="preserve">This two part test was adopted in May, 2001 and is unworkable. Since adoption, this definition has not been an issue for sources that triggered NSR/PSD because </w:t>
      </w:r>
      <w:r w:rsidR="0059251F">
        <w:rPr>
          <w:rFonts w:ascii="Times New Roman" w:hAnsi="Times New Roman" w:cs="Times New Roman"/>
          <w:bCs/>
          <w:sz w:val="24"/>
          <w:szCs w:val="24"/>
        </w:rPr>
        <w:t xml:space="preserve">all of the </w:t>
      </w:r>
      <w:r w:rsidRPr="001E11C5">
        <w:rPr>
          <w:rFonts w:ascii="Times New Roman" w:hAnsi="Times New Roman" w:cs="Times New Roman"/>
          <w:bCs/>
          <w:sz w:val="24"/>
          <w:szCs w:val="24"/>
        </w:rPr>
        <w:t xml:space="preserve">proposed sources were located in attainment or unclassified </w:t>
      </w:r>
      <w:r w:rsidR="00E82BFA">
        <w:rPr>
          <w:rFonts w:ascii="Times New Roman" w:hAnsi="Times New Roman" w:cs="Times New Roman"/>
          <w:bCs/>
          <w:sz w:val="24"/>
          <w:szCs w:val="24"/>
        </w:rPr>
        <w:t>areas and did not significantly impact</w:t>
      </w:r>
      <w:r w:rsidR="00E82BFA" w:rsidRPr="00E82BFA">
        <w:rPr>
          <w:rFonts w:ascii="Times New Roman" w:hAnsi="Times New Roman" w:cs="Times New Roman"/>
          <w:bCs/>
          <w:sz w:val="24"/>
          <w:szCs w:val="24"/>
        </w:rPr>
        <w:t xml:space="preserve"> air quality in a designated nonattainment or maintenance area</w:t>
      </w:r>
      <w:r w:rsidR="008C2CC3">
        <w:rPr>
          <w:rFonts w:ascii="Times New Roman" w:hAnsi="Times New Roman" w:cs="Times New Roman"/>
          <w:bCs/>
          <w:sz w:val="24"/>
          <w:szCs w:val="24"/>
        </w:rPr>
        <w:t xml:space="preserve">. </w:t>
      </w:r>
      <w:r w:rsidR="00E82BFA">
        <w:rPr>
          <w:rFonts w:ascii="Times New Roman" w:hAnsi="Times New Roman" w:cs="Times New Roman"/>
          <w:bCs/>
          <w:sz w:val="24"/>
          <w:szCs w:val="24"/>
        </w:rPr>
        <w:t xml:space="preserve">Therefore, these sources did not have to </w:t>
      </w:r>
      <w:r w:rsidR="00E82BFA" w:rsidRPr="00E82BFA">
        <w:rPr>
          <w:rFonts w:ascii="Times New Roman" w:hAnsi="Times New Roman" w:cs="Times New Roman"/>
          <w:bCs/>
          <w:sz w:val="24"/>
          <w:szCs w:val="24"/>
        </w:rPr>
        <w:t xml:space="preserve">meet the requirements of net air quality benefit. </w:t>
      </w:r>
    </w:p>
    <w:p w:rsidR="00E82BFA" w:rsidRPr="00E82BFA" w:rsidRDefault="00E82BFA" w:rsidP="00E82BFA">
      <w:pPr>
        <w:spacing w:after="0"/>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E82BFA">
        <w:rPr>
          <w:rFonts w:ascii="Times New Roman" w:hAnsi="Times New Roman" w:cs="Times New Roman"/>
          <w:bCs/>
          <w:sz w:val="24"/>
          <w:szCs w:val="24"/>
        </w:rPr>
        <w:t>In 2009, a source located in a nonattainment</w:t>
      </w:r>
      <w:r w:rsidRPr="001E11C5">
        <w:rPr>
          <w:rFonts w:ascii="Times New Roman" w:hAnsi="Times New Roman" w:cs="Times New Roman"/>
          <w:bCs/>
          <w:sz w:val="24"/>
          <w:szCs w:val="24"/>
        </w:rPr>
        <w:t xml:space="preserve"> area wanted to expand but couldn’t meet the second part of the net air quality benefit test because the offsets were from a different part of the nonattainment area</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Legislation was passed to redefine net air quality benefit for small scale local energy projects as a result</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Recently this rule was applied to a new business </w:t>
      </w:r>
      <w:r w:rsidR="00D575FC">
        <w:rPr>
          <w:rFonts w:ascii="Times New Roman" w:hAnsi="Times New Roman" w:cs="Times New Roman"/>
          <w:bCs/>
          <w:sz w:val="24"/>
          <w:szCs w:val="24"/>
        </w:rPr>
        <w:t xml:space="preserve">in a nonattainment area </w:t>
      </w:r>
      <w:r w:rsidRPr="001E11C5">
        <w:rPr>
          <w:rFonts w:ascii="Times New Roman" w:hAnsi="Times New Roman" w:cs="Times New Roman"/>
          <w:bCs/>
          <w:sz w:val="24"/>
          <w:szCs w:val="24"/>
        </w:rPr>
        <w:t>that was essentially co-located with the existing business that provided the offsets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Because the businesses were co-located, they were able to show that modeled impacts resulted in less than a significant impact level increase at all modeled receptors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If the businesses had not been co-located, this requirement would have been impossible to meet because of meteorological conditions and different topography.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[put a diagram here showing impacts from different sources in the same direction]</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DEQ is proposing changes to the definition of net air quality benefit for non-ozone pollutants because the current definition is unworkable except for co-located businesses that are increasing and offsetting emissions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EPA does not specify how businesses provide a net air quality benefit in the federal rules but does require offsets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Other states define net air quality benefit as offsets</w:t>
      </w:r>
      <w:r w:rsidR="00032927">
        <w:rPr>
          <w:rFonts w:ascii="Times New Roman" w:hAnsi="Times New Roman" w:cs="Times New Roman"/>
          <w:bCs/>
          <w:sz w:val="24"/>
          <w:szCs w:val="24"/>
        </w:rPr>
        <w:t xml:space="preserve"> alone</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DEQ will continue to </w:t>
      </w:r>
      <w:r w:rsidR="009950D3">
        <w:rPr>
          <w:rFonts w:ascii="Times New Roman" w:hAnsi="Times New Roman" w:cs="Times New Roman"/>
          <w:bCs/>
          <w:sz w:val="24"/>
          <w:szCs w:val="24"/>
        </w:rPr>
        <w:t xml:space="preserve">be more stringent than EPA’s federal program and </w:t>
      </w:r>
      <w:r w:rsidRPr="001E11C5">
        <w:rPr>
          <w:rFonts w:ascii="Times New Roman" w:hAnsi="Times New Roman" w:cs="Times New Roman"/>
          <w:bCs/>
          <w:sz w:val="24"/>
          <w:szCs w:val="24"/>
        </w:rPr>
        <w:t>require offsets but the proposed modeling analysis will be different and equally protective</w:t>
      </w:r>
      <w:r w:rsidR="00D575FC">
        <w:rPr>
          <w:rFonts w:ascii="Times New Roman" w:hAnsi="Times New Roman" w:cs="Times New Roman"/>
          <w:bCs/>
          <w:sz w:val="24"/>
          <w:szCs w:val="24"/>
        </w:rPr>
        <w:t xml:space="preserve"> as the existing modeling requirements</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8E4EAD" w:rsidRPr="0075582D" w:rsidRDefault="001E11C5" w:rsidP="001E11C5">
      <w:pPr>
        <w:spacing w:after="0" w:line="240" w:lineRule="auto"/>
        <w:rPr>
          <w:rFonts w:ascii="Times New Roman" w:hAnsi="Times New Roman" w:cs="Times New Roman"/>
          <w:bCs/>
          <w:sz w:val="24"/>
          <w:szCs w:val="24"/>
        </w:rPr>
      </w:pPr>
      <w:r w:rsidRPr="0075582D">
        <w:rPr>
          <w:rFonts w:ascii="Times New Roman" w:hAnsi="Times New Roman" w:cs="Times New Roman"/>
          <w:bCs/>
          <w:sz w:val="24"/>
          <w:szCs w:val="24"/>
        </w:rPr>
        <w:t>Computer modeling will be required to demonstrate that the impacts from emissions increases are either</w:t>
      </w:r>
      <w:r w:rsidR="008E4EAD" w:rsidRPr="0075582D">
        <w:rPr>
          <w:rFonts w:ascii="Times New Roman" w:hAnsi="Times New Roman" w:cs="Times New Roman"/>
          <w:bCs/>
          <w:sz w:val="24"/>
          <w:szCs w:val="24"/>
        </w:rPr>
        <w:t>:</w:t>
      </w:r>
    </w:p>
    <w:p w:rsidR="008E4EAD" w:rsidRPr="0075582D" w:rsidRDefault="001E11C5" w:rsidP="008E4EAD">
      <w:pPr>
        <w:pStyle w:val="ListParagraph"/>
        <w:numPr>
          <w:ilvl w:val="2"/>
          <w:numId w:val="13"/>
        </w:numPr>
        <w:spacing w:after="0" w:line="240" w:lineRule="auto"/>
        <w:rPr>
          <w:rFonts w:ascii="Times New Roman" w:hAnsi="Times New Roman" w:cs="Times New Roman"/>
          <w:bCs/>
          <w:sz w:val="24"/>
          <w:szCs w:val="24"/>
        </w:rPr>
      </w:pPr>
      <w:r w:rsidRPr="0075582D">
        <w:rPr>
          <w:rFonts w:ascii="Times New Roman" w:hAnsi="Times New Roman" w:cs="Times New Roman"/>
          <w:bCs/>
          <w:sz w:val="24"/>
          <w:szCs w:val="24"/>
        </w:rPr>
        <w:t>less than the Class II significant impact level at all receptors within the designated area</w:t>
      </w:r>
      <w:r w:rsidR="004B19CA" w:rsidRPr="0075582D">
        <w:rPr>
          <w:rFonts w:ascii="Times New Roman" w:hAnsi="Times New Roman" w:cs="Times New Roman"/>
          <w:bCs/>
          <w:sz w:val="24"/>
          <w:szCs w:val="24"/>
        </w:rPr>
        <w:t>;</w:t>
      </w:r>
      <w:r w:rsidRPr="0075582D">
        <w:rPr>
          <w:rFonts w:ascii="Times New Roman" w:hAnsi="Times New Roman" w:cs="Times New Roman"/>
          <w:bCs/>
          <w:sz w:val="24"/>
          <w:szCs w:val="24"/>
        </w:rPr>
        <w:t xml:space="preserve"> or </w:t>
      </w:r>
    </w:p>
    <w:p w:rsidR="008E4EAD" w:rsidRPr="0075582D" w:rsidRDefault="008E4EAD" w:rsidP="00181EB8">
      <w:pPr>
        <w:pStyle w:val="ListParagraph"/>
        <w:numPr>
          <w:ilvl w:val="2"/>
          <w:numId w:val="13"/>
        </w:numPr>
        <w:spacing w:after="0" w:line="240" w:lineRule="auto"/>
        <w:rPr>
          <w:rFonts w:ascii="Times New Roman" w:hAnsi="Times New Roman" w:cs="Times New Roman"/>
          <w:bCs/>
          <w:sz w:val="24"/>
          <w:szCs w:val="24"/>
        </w:rPr>
      </w:pPr>
      <w:r w:rsidRPr="0075582D">
        <w:rPr>
          <w:rFonts w:ascii="Times New Roman" w:hAnsi="Times New Roman" w:cs="Times New Roman"/>
          <w:bCs/>
          <w:sz w:val="24"/>
          <w:szCs w:val="24"/>
        </w:rPr>
        <w:t xml:space="preserve">less than the Class II SIL at an average of receptors within an area representing a neighborhood scale, a reasonably homogeneous urban area with dimensions of a few kilometers that represent air quality where people commonly live and work in a representative neighborhood, centered on the DEQ approved ambient monitoring site; and </w:t>
      </w:r>
    </w:p>
    <w:p w:rsidR="008E4EAD" w:rsidRPr="0075582D" w:rsidRDefault="008E4EAD" w:rsidP="008E4EAD">
      <w:pPr>
        <w:pStyle w:val="ListParagraph"/>
        <w:numPr>
          <w:ilvl w:val="2"/>
          <w:numId w:val="13"/>
        </w:numPr>
        <w:spacing w:after="0" w:line="240" w:lineRule="auto"/>
        <w:rPr>
          <w:rFonts w:ascii="Times New Roman" w:hAnsi="Times New Roman" w:cs="Times New Roman"/>
          <w:bCs/>
          <w:sz w:val="24"/>
          <w:szCs w:val="24"/>
        </w:rPr>
      </w:pPr>
      <w:r w:rsidRPr="0075582D">
        <w:rPr>
          <w:rFonts w:ascii="Times New Roman" w:hAnsi="Times New Roman" w:cs="Times New Roman"/>
          <w:bCs/>
          <w:sz w:val="24"/>
          <w:szCs w:val="24"/>
        </w:rPr>
        <w:t>the impacts of the emission increases above the source’s netting basis, plus the impacts of emission increases or decreases since the date of the current area designation of all other sources within the designated area</w:t>
      </w:r>
      <w:bookmarkStart w:id="12" w:name="_GoBack"/>
      <w:bookmarkEnd w:id="12"/>
      <w:r w:rsidRPr="0075582D">
        <w:rPr>
          <w:rFonts w:ascii="Times New Roman" w:hAnsi="Times New Roman" w:cs="Times New Roman"/>
          <w:bCs/>
          <w:sz w:val="24"/>
          <w:szCs w:val="24"/>
        </w:rPr>
        <w:t xml:space="preserve"> or significantly impacting the designated area are less than 10% of the NAAQS at all receptors within the designated area</w:t>
      </w:r>
    </w:p>
    <w:p w:rsidR="008E4EAD" w:rsidRPr="008E4EAD" w:rsidRDefault="008E4EAD" w:rsidP="004B19CA">
      <w:pPr>
        <w:pStyle w:val="ListParagraph"/>
        <w:spacing w:after="0" w:line="240" w:lineRule="auto"/>
        <w:ind w:left="900"/>
        <w:rPr>
          <w:rFonts w:ascii="Times New Roman" w:hAnsi="Times New Roman" w:cs="Times New Roman"/>
          <w:bCs/>
          <w:sz w:val="24"/>
          <w:szCs w:val="24"/>
        </w:rPr>
      </w:pPr>
    </w:p>
    <w:p w:rsidR="001E11C5" w:rsidRPr="004B19CA" w:rsidRDefault="001E11C5" w:rsidP="004B19CA">
      <w:pPr>
        <w:spacing w:after="0" w:line="240" w:lineRule="auto"/>
        <w:rPr>
          <w:rFonts w:ascii="Times New Roman" w:hAnsi="Times New Roman" w:cs="Times New Roman"/>
          <w:bCs/>
          <w:sz w:val="24"/>
          <w:szCs w:val="24"/>
        </w:rPr>
      </w:pPr>
      <w:r w:rsidRPr="004B19CA">
        <w:rPr>
          <w:rFonts w:ascii="Times New Roman" w:hAnsi="Times New Roman" w:cs="Times New Roman"/>
          <w:bCs/>
          <w:sz w:val="24"/>
          <w:szCs w:val="24"/>
        </w:rPr>
        <w:t>This demonstration of net air quality benefit shows that emissions increase from the new or modified source will not significantly impact the area</w:t>
      </w:r>
      <w:r w:rsidR="008C2CC3">
        <w:rPr>
          <w:rFonts w:ascii="Times New Roman" w:hAnsi="Times New Roman" w:cs="Times New Roman"/>
          <w:bCs/>
          <w:sz w:val="24"/>
          <w:szCs w:val="24"/>
        </w:rPr>
        <w:t xml:space="preserve">. </w:t>
      </w:r>
      <w:r w:rsidRPr="004B19CA">
        <w:rPr>
          <w:rFonts w:ascii="Times New Roman" w:hAnsi="Times New Roman" w:cs="Times New Roman"/>
          <w:bCs/>
          <w:sz w:val="24"/>
          <w:szCs w:val="24"/>
        </w:rPr>
        <w:t>It is not reliant upon co-located businesses that are increasing and offsetting emissions</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even if the single source impact is less than the SIL</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This safeguard ensures that a new or modified source will not significantly impact the area</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554559" w:rsidRDefault="001E11C5" w:rsidP="00554559">
      <w:pPr>
        <w:pStyle w:val="Heading2"/>
      </w:pPr>
      <w:bookmarkStart w:id="13" w:name="_Toc366837606"/>
      <w:commentRangeStart w:id="14"/>
      <w:r w:rsidRPr="00554559">
        <w:t xml:space="preserve">Enhancements to Major and State New Source Review </w:t>
      </w:r>
      <w:commentRangeStart w:id="15"/>
      <w:r w:rsidRPr="00554559">
        <w:t>Programs</w:t>
      </w:r>
      <w:commentRangeEnd w:id="14"/>
      <w:r w:rsidR="005F6323">
        <w:rPr>
          <w:rStyle w:val="CommentReference"/>
          <w:rFonts w:asciiTheme="minorHAnsi" w:eastAsiaTheme="minorHAnsi" w:hAnsiTheme="minorHAnsi" w:cstheme="minorBidi"/>
          <w:b w:val="0"/>
          <w:bCs w:val="0"/>
          <w:color w:val="auto"/>
        </w:rPr>
        <w:commentReference w:id="14"/>
      </w:r>
      <w:commentRangeEnd w:id="15"/>
      <w:r w:rsidR="00A91C5A">
        <w:rPr>
          <w:rStyle w:val="CommentReference"/>
          <w:rFonts w:asciiTheme="minorHAnsi" w:eastAsiaTheme="minorHAnsi" w:hAnsiTheme="minorHAnsi" w:cstheme="minorBidi"/>
          <w:b w:val="0"/>
          <w:bCs w:val="0"/>
          <w:color w:val="auto"/>
        </w:rPr>
        <w:commentReference w:id="15"/>
      </w:r>
      <w:bookmarkEnd w:id="13"/>
    </w:p>
    <w:p w:rsidR="00554559" w:rsidRDefault="001E11C5" w:rsidP="001E11C5">
      <w:pPr>
        <w:spacing w:after="0" w:line="240" w:lineRule="auto"/>
        <w:rPr>
          <w:rFonts w:ascii="Times New Roman" w:hAnsi="Times New Roman" w:cs="Times New Roman"/>
          <w:bCs/>
          <w:sz w:val="24"/>
          <w:szCs w:val="24"/>
        </w:rPr>
      </w:pPr>
      <w:bookmarkStart w:id="16" w:name="_Toc366837607"/>
      <w:r w:rsidRPr="00554559">
        <w:rPr>
          <w:rStyle w:val="Heading3Char"/>
        </w:rPr>
        <w:t>Offsets from “priority” so</w:t>
      </w:r>
      <w:r w:rsidR="00554559">
        <w:rPr>
          <w:rStyle w:val="Heading3Char"/>
        </w:rPr>
        <w:t>urces</w:t>
      </w:r>
      <w:bookmarkEnd w:id="16"/>
      <w:r w:rsidR="00554559">
        <w:rPr>
          <w:rStyle w:val="Heading3Char"/>
        </w:rPr>
        <w:t xml:space="preserve"> </w:t>
      </w:r>
      <w:r w:rsidRPr="001E11C5">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As stated above, DEQ is proposing special offset requirements for minor sources in sustainment, nonattainment, reattainment and maintenance areas to address “priority” source emissions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Currently there are three areas in the state that exceed the ambient air quality standard for PM</w:t>
      </w:r>
      <w:r w:rsidRPr="001E11C5">
        <w:rPr>
          <w:rFonts w:ascii="Times New Roman" w:hAnsi="Times New Roman" w:cs="Times New Roman"/>
          <w:bCs/>
          <w:sz w:val="24"/>
          <w:szCs w:val="24"/>
          <w:vertAlign w:val="subscript"/>
        </w:rPr>
        <w:t>2.5</w:t>
      </w:r>
      <w:r w:rsidRPr="001E11C5">
        <w:rPr>
          <w:rFonts w:ascii="Times New Roman" w:hAnsi="Times New Roman" w:cs="Times New Roman"/>
          <w:bCs/>
          <w:sz w:val="24"/>
          <w:szCs w:val="24"/>
        </w:rPr>
        <w:t xml:space="preserve"> at night in the winter because of residential wood burning emissions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When permitting new or expanding businesses in these areas, the requirement to offset emissions increases does not allow use of residential wood burning emissions except in Klamath Falls. DEQ wants to encourage new or expanding businesses to obtain part of their offsets from priority sources by allowing a lower offset ratio</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Normally the offset ratio is 1.0:1, meaning businesses have to offset their emission increases ton for ton from another business in the area that has reduced emissions. If a business uses offsets from priority sources, the offset ratio for minor sources may be reduced to as low as 0.5:1, meaning the business would only have to offset half of their increase in emissions. This would directly address the cause of poor air quality in the area while allowing for economic growth at the same time</w:t>
      </w:r>
      <w:r w:rsidR="008C2CC3">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Emission reductions from priority sources will be determined in accordance with division 268 Emission Reduction Credits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The reductions would be determined on a case-by-case basis as they are done now</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If there is good information for a priority source(s), as in the Klamath Falls residential wood burning instance, then procedures would be included in the rules for other areas, division 240.</w:t>
      </w:r>
    </w:p>
    <w:p w:rsidR="001E11C5" w:rsidRPr="001E11C5" w:rsidRDefault="001E11C5" w:rsidP="001E11C5">
      <w:pPr>
        <w:spacing w:after="0" w:line="240" w:lineRule="auto"/>
        <w:rPr>
          <w:rFonts w:ascii="Times New Roman" w:hAnsi="Times New Roman" w:cs="Times New Roman"/>
          <w:bCs/>
          <w:sz w:val="24"/>
          <w:szCs w:val="24"/>
        </w:rPr>
      </w:pPr>
    </w:p>
    <w:p w:rsidR="00554559" w:rsidRDefault="001E11C5" w:rsidP="001E11C5">
      <w:pPr>
        <w:spacing w:after="0" w:line="240" w:lineRule="auto"/>
        <w:rPr>
          <w:rFonts w:ascii="Times New Roman" w:hAnsi="Times New Roman" w:cs="Times New Roman"/>
          <w:bCs/>
          <w:sz w:val="24"/>
          <w:szCs w:val="24"/>
        </w:rPr>
      </w:pPr>
      <w:bookmarkStart w:id="17" w:name="_Toc366837608"/>
      <w:r w:rsidRPr="00554559">
        <w:rPr>
          <w:rStyle w:val="Heading3Char"/>
        </w:rPr>
        <w:t>Increased Offset Ratio</w:t>
      </w:r>
      <w:bookmarkEnd w:id="17"/>
      <w:r w:rsidRPr="001E11C5">
        <w:rPr>
          <w:rFonts w:ascii="Times New Roman" w:hAnsi="Times New Roman" w:cs="Times New Roman"/>
          <w:bCs/>
          <w:sz w:val="24"/>
          <w:szCs w:val="24"/>
        </w:rPr>
        <w:t xml:space="preserve">  </w:t>
      </w:r>
    </w:p>
    <w:p w:rsidR="001E11C5" w:rsidRPr="001E11C5" w:rsidRDefault="001E11C5" w:rsidP="001E11C5">
      <w:pPr>
        <w:spacing w:after="0" w:line="240" w:lineRule="auto"/>
        <w:rPr>
          <w:rFonts w:ascii="Times New Roman" w:hAnsi="Times New Roman" w:cs="Times New Roman"/>
          <w:bCs/>
          <w:sz w:val="24"/>
          <w:szCs w:val="24"/>
        </w:rPr>
      </w:pPr>
      <w:r w:rsidRPr="001E11C5">
        <w:rPr>
          <w:rFonts w:ascii="Times New Roman" w:hAnsi="Times New Roman" w:cs="Times New Roman"/>
          <w:bCs/>
          <w:sz w:val="24"/>
          <w:szCs w:val="24"/>
        </w:rPr>
        <w:t>DEQ is also providing the opportunity to use priority source offsets for major sources in nonattainment and reattainment areas only. In these areas, DEQ has increased the required offset ratio for major sources to 1.2:1 instead of the current 1.0:1</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If major sources offset some of their emissions increase with priority source emissions, then the ratio may be reduced to no less than 1.0:1. Since the minimum requirement of 1.0:1 offsets is still the same as the federal NSR program, offsetting with priority source emissions should be approvable by EPA</w:t>
      </w:r>
      <w:r w:rsidR="008C2CC3">
        <w:rPr>
          <w:rFonts w:ascii="Times New Roman" w:hAnsi="Times New Roman" w:cs="Times New Roman"/>
          <w:bCs/>
          <w:sz w:val="24"/>
          <w:szCs w:val="24"/>
        </w:rPr>
        <w:t xml:space="preserve">. </w:t>
      </w:r>
    </w:p>
    <w:p w:rsidR="00E548F5" w:rsidRDefault="00E548F5" w:rsidP="00C90516">
      <w:pPr>
        <w:spacing w:after="0" w:line="240" w:lineRule="auto"/>
        <w:rPr>
          <w:rFonts w:ascii="Times New Roman" w:hAnsi="Times New Roman" w:cs="Times New Roman"/>
          <w:bCs/>
          <w:sz w:val="24"/>
          <w:szCs w:val="24"/>
        </w:rPr>
      </w:pPr>
    </w:p>
    <w:p w:rsidR="00E548F5" w:rsidRDefault="00E548F5" w:rsidP="00E548F5">
      <w:pPr>
        <w:pStyle w:val="Heading1"/>
      </w:pPr>
      <w:bookmarkStart w:id="18" w:name="_Toc366837609"/>
      <w:r>
        <w:t>Compliance</w:t>
      </w:r>
      <w:bookmarkEnd w:id="18"/>
    </w:p>
    <w:p w:rsidR="00E548F5" w:rsidRPr="00896858" w:rsidRDefault="00E548F5" w:rsidP="00E548F5">
      <w:pPr>
        <w:rPr>
          <w:rFonts w:ascii="Times New Roman" w:hAnsi="Times New Roman" w:cs="Times New Roman"/>
          <w:sz w:val="24"/>
          <w:szCs w:val="24"/>
        </w:rPr>
      </w:pPr>
    </w:p>
    <w:p w:rsidR="00E548F5" w:rsidRPr="00896858" w:rsidRDefault="00896858" w:rsidP="00896858">
      <w:pPr>
        <w:pStyle w:val="Heading2"/>
      </w:pPr>
      <w:bookmarkStart w:id="19" w:name="_Toc366837610"/>
      <w:r w:rsidRPr="00896858">
        <w:t xml:space="preserve">Update </w:t>
      </w:r>
      <w:r>
        <w:t>continuous monitoring and source sampling manuals</w:t>
      </w:r>
      <w:bookmarkEnd w:id="19"/>
    </w:p>
    <w:p w:rsidR="001E11C5" w:rsidRPr="001E11C5" w:rsidRDefault="001E11C5" w:rsidP="001E11C5">
      <w:pPr>
        <w:rPr>
          <w:rFonts w:ascii="Times New Roman" w:hAnsi="Times New Roman" w:cs="Times New Roman"/>
          <w:bCs/>
          <w:sz w:val="24"/>
          <w:szCs w:val="24"/>
        </w:rPr>
      </w:pPr>
      <w:r w:rsidRPr="001E11C5">
        <w:rPr>
          <w:rFonts w:ascii="Times New Roman" w:hAnsi="Times New Roman" w:cs="Times New Roman"/>
          <w:bCs/>
          <w:sz w:val="24"/>
          <w:szCs w:val="24"/>
        </w:rPr>
        <w:t>DEQ’s Continuous Monitoring Manual and Source Sampling Manual were adopted by the EQC in 1992. Proposed revisions to the manuals include:</w:t>
      </w:r>
    </w:p>
    <w:p w:rsidR="001E11C5" w:rsidRDefault="001E11C5" w:rsidP="001E11C5">
      <w:pPr>
        <w:numPr>
          <w:ilvl w:val="0"/>
          <w:numId w:val="15"/>
        </w:numPr>
        <w:rPr>
          <w:rFonts w:ascii="Times New Roman" w:hAnsi="Times New Roman" w:cs="Times New Roman"/>
          <w:bCs/>
          <w:sz w:val="24"/>
          <w:szCs w:val="24"/>
        </w:rPr>
      </w:pPr>
      <w:r w:rsidRPr="001E11C5">
        <w:rPr>
          <w:rFonts w:ascii="Times New Roman" w:hAnsi="Times New Roman" w:cs="Times New Roman"/>
          <w:bCs/>
          <w:sz w:val="24"/>
          <w:szCs w:val="24"/>
        </w:rPr>
        <w:t>Updated references to EPA methods</w:t>
      </w:r>
      <w:r w:rsidR="002C29D8">
        <w:rPr>
          <w:rFonts w:ascii="Times New Roman" w:hAnsi="Times New Roman" w:cs="Times New Roman"/>
          <w:bCs/>
          <w:sz w:val="24"/>
          <w:szCs w:val="24"/>
        </w:rPr>
        <w:t>;</w:t>
      </w:r>
    </w:p>
    <w:p w:rsidR="002C29D8" w:rsidRDefault="000701B3" w:rsidP="001E11C5">
      <w:pPr>
        <w:numPr>
          <w:ilvl w:val="0"/>
          <w:numId w:val="15"/>
        </w:numPr>
        <w:rPr>
          <w:rFonts w:ascii="Times New Roman" w:hAnsi="Times New Roman" w:cs="Times New Roman"/>
          <w:bCs/>
          <w:sz w:val="24"/>
          <w:szCs w:val="24"/>
        </w:rPr>
      </w:pPr>
      <w:r>
        <w:rPr>
          <w:rFonts w:ascii="Times New Roman" w:hAnsi="Times New Roman" w:cs="Times New Roman"/>
          <w:bCs/>
          <w:sz w:val="24"/>
          <w:szCs w:val="24"/>
        </w:rPr>
        <w:t>Reorganized to make them</w:t>
      </w:r>
      <w:r w:rsidR="002C29D8">
        <w:rPr>
          <w:rFonts w:ascii="Times New Roman" w:hAnsi="Times New Roman" w:cs="Times New Roman"/>
          <w:bCs/>
          <w:sz w:val="24"/>
          <w:szCs w:val="24"/>
        </w:rPr>
        <w:t xml:space="preserve"> easier to use;</w:t>
      </w:r>
    </w:p>
    <w:p w:rsidR="002C29D8" w:rsidRDefault="00433AF4" w:rsidP="001E11C5">
      <w:pPr>
        <w:numPr>
          <w:ilvl w:val="0"/>
          <w:numId w:val="15"/>
        </w:numPr>
        <w:rPr>
          <w:rFonts w:ascii="Times New Roman" w:hAnsi="Times New Roman" w:cs="Times New Roman"/>
          <w:bCs/>
          <w:sz w:val="24"/>
          <w:szCs w:val="24"/>
        </w:rPr>
      </w:pPr>
      <w:r>
        <w:rPr>
          <w:rFonts w:ascii="Times New Roman" w:hAnsi="Times New Roman" w:cs="Times New Roman"/>
          <w:bCs/>
          <w:sz w:val="24"/>
          <w:szCs w:val="24"/>
        </w:rPr>
        <w:t>More detail to make requirements clearer; and</w:t>
      </w:r>
    </w:p>
    <w:p w:rsidR="002C29D8" w:rsidRPr="007C6853" w:rsidRDefault="00A91C5A" w:rsidP="00433AF4">
      <w:pPr>
        <w:numPr>
          <w:ilvl w:val="0"/>
          <w:numId w:val="15"/>
        </w:numPr>
        <w:rPr>
          <w:rFonts w:ascii="Times New Roman" w:hAnsi="Times New Roman" w:cs="Times New Roman"/>
          <w:bCs/>
          <w:sz w:val="24"/>
          <w:szCs w:val="24"/>
        </w:rPr>
      </w:pPr>
      <w:r w:rsidRPr="007C6853">
        <w:rPr>
          <w:rFonts w:ascii="Times New Roman" w:hAnsi="Times New Roman" w:cs="Times New Roman"/>
          <w:bCs/>
          <w:sz w:val="24"/>
          <w:szCs w:val="24"/>
        </w:rPr>
        <w:t>Clarify requirements for source test plans and reports.</w:t>
      </w:r>
    </w:p>
    <w:p w:rsidR="00E548F5" w:rsidRPr="00896858" w:rsidRDefault="00E548F5" w:rsidP="00E548F5">
      <w:pPr>
        <w:rPr>
          <w:rFonts w:ascii="Times New Roman" w:hAnsi="Times New Roman" w:cs="Times New Roman"/>
          <w:sz w:val="24"/>
          <w:szCs w:val="24"/>
        </w:rPr>
      </w:pPr>
    </w:p>
    <w:p w:rsidR="00E548F5" w:rsidRPr="00896858" w:rsidRDefault="00896858" w:rsidP="00896858">
      <w:pPr>
        <w:pStyle w:val="Heading2"/>
      </w:pPr>
      <w:bookmarkStart w:id="20" w:name="_Toc366837611"/>
      <w:r>
        <w:t>Excess emissions</w:t>
      </w:r>
      <w:bookmarkEnd w:id="20"/>
    </w:p>
    <w:p w:rsidR="00CF5E3C" w:rsidRPr="00CF5E3C" w:rsidRDefault="00AE2899" w:rsidP="00CF5E3C">
      <w:pPr>
        <w:rPr>
          <w:rFonts w:ascii="Times New Roman" w:hAnsi="Times New Roman" w:cs="Times New Roman"/>
          <w:sz w:val="24"/>
          <w:szCs w:val="24"/>
        </w:rPr>
      </w:pPr>
      <w:r>
        <w:rPr>
          <w:rFonts w:ascii="Times New Roman" w:hAnsi="Times New Roman" w:cs="Times New Roman"/>
          <w:sz w:val="24"/>
          <w:szCs w:val="24"/>
        </w:rPr>
        <w:t>Under the excess emission rules, sources are required to report excess emissions to DEQ</w:t>
      </w:r>
      <w:r w:rsidR="008C2CC3">
        <w:rPr>
          <w:rFonts w:ascii="Times New Roman" w:hAnsi="Times New Roman" w:cs="Times New Roman"/>
          <w:sz w:val="24"/>
          <w:szCs w:val="24"/>
        </w:rPr>
        <w:t xml:space="preserve">. </w:t>
      </w:r>
      <w:r>
        <w:rPr>
          <w:rFonts w:ascii="Times New Roman" w:hAnsi="Times New Roman" w:cs="Times New Roman"/>
          <w:sz w:val="24"/>
          <w:szCs w:val="24"/>
        </w:rPr>
        <w:t>“</w:t>
      </w:r>
      <w:r w:rsidRPr="00AE2899">
        <w:rPr>
          <w:rFonts w:ascii="Times New Roman" w:hAnsi="Times New Roman" w:cs="Times New Roman"/>
          <w:sz w:val="24"/>
          <w:szCs w:val="24"/>
        </w:rPr>
        <w:t>Large</w:t>
      </w:r>
      <w:r>
        <w:rPr>
          <w:rFonts w:ascii="Times New Roman" w:hAnsi="Times New Roman" w:cs="Times New Roman"/>
          <w:sz w:val="24"/>
          <w:szCs w:val="24"/>
        </w:rPr>
        <w:t>” s</w:t>
      </w:r>
      <w:r w:rsidRPr="00AE2899">
        <w:rPr>
          <w:rFonts w:ascii="Times New Roman" w:hAnsi="Times New Roman" w:cs="Times New Roman"/>
          <w:sz w:val="24"/>
          <w:szCs w:val="24"/>
        </w:rPr>
        <w:t>ource</w:t>
      </w:r>
      <w:r>
        <w:rPr>
          <w:rFonts w:ascii="Times New Roman" w:hAnsi="Times New Roman" w:cs="Times New Roman"/>
          <w:sz w:val="24"/>
          <w:szCs w:val="24"/>
        </w:rPr>
        <w:t xml:space="preserve">s are required to report </w:t>
      </w:r>
      <w:r w:rsidR="00CF5E3C">
        <w:rPr>
          <w:rFonts w:ascii="Times New Roman" w:hAnsi="Times New Roman" w:cs="Times New Roman"/>
          <w:sz w:val="24"/>
          <w:szCs w:val="24"/>
        </w:rPr>
        <w:t xml:space="preserve">all excess emissions </w:t>
      </w:r>
      <w:r>
        <w:rPr>
          <w:rFonts w:ascii="Times New Roman" w:hAnsi="Times New Roman" w:cs="Times New Roman"/>
          <w:sz w:val="24"/>
          <w:szCs w:val="24"/>
        </w:rPr>
        <w:t>immediately (within one hour</w:t>
      </w:r>
      <w:r w:rsidR="00CF5E3C">
        <w:rPr>
          <w:rFonts w:ascii="Times New Roman" w:hAnsi="Times New Roman" w:cs="Times New Roman"/>
          <w:sz w:val="24"/>
          <w:szCs w:val="24"/>
        </w:rPr>
        <w:t xml:space="preserve"> of the event</w:t>
      </w:r>
      <w:r>
        <w:rPr>
          <w:rFonts w:ascii="Times New Roman" w:hAnsi="Times New Roman" w:cs="Times New Roman"/>
          <w:sz w:val="24"/>
          <w:szCs w:val="24"/>
        </w:rPr>
        <w:t xml:space="preserve">) while </w:t>
      </w:r>
      <w:r w:rsidR="00D672CC">
        <w:rPr>
          <w:rFonts w:ascii="Times New Roman" w:hAnsi="Times New Roman" w:cs="Times New Roman"/>
          <w:sz w:val="24"/>
          <w:szCs w:val="24"/>
        </w:rPr>
        <w:t>“</w:t>
      </w:r>
      <w:r>
        <w:rPr>
          <w:rFonts w:ascii="Times New Roman" w:hAnsi="Times New Roman" w:cs="Times New Roman"/>
          <w:sz w:val="24"/>
          <w:szCs w:val="24"/>
        </w:rPr>
        <w:t>small</w:t>
      </w:r>
      <w:r w:rsidR="00D672CC">
        <w:rPr>
          <w:rFonts w:ascii="Times New Roman" w:hAnsi="Times New Roman" w:cs="Times New Roman"/>
          <w:sz w:val="24"/>
          <w:szCs w:val="24"/>
        </w:rPr>
        <w:t>”</w:t>
      </w:r>
      <w:r>
        <w:rPr>
          <w:rFonts w:ascii="Times New Roman" w:hAnsi="Times New Roman" w:cs="Times New Roman"/>
          <w:sz w:val="24"/>
          <w:szCs w:val="24"/>
        </w:rPr>
        <w:t xml:space="preserve"> sources </w:t>
      </w:r>
      <w:r w:rsidR="00CF5E3C" w:rsidRPr="00CF5E3C">
        <w:rPr>
          <w:rFonts w:ascii="Times New Roman" w:hAnsi="Times New Roman" w:cs="Times New Roman"/>
          <w:sz w:val="24"/>
          <w:szCs w:val="24"/>
        </w:rPr>
        <w:t xml:space="preserve">must notify DEQ </w:t>
      </w:r>
      <w:r w:rsidR="003134ED">
        <w:rPr>
          <w:rFonts w:ascii="Times New Roman" w:hAnsi="Times New Roman" w:cs="Times New Roman"/>
          <w:sz w:val="24"/>
          <w:szCs w:val="24"/>
        </w:rPr>
        <w:t xml:space="preserve">immediately only of </w:t>
      </w:r>
      <w:r w:rsidR="00CF5E3C" w:rsidRPr="00CF5E3C">
        <w:rPr>
          <w:rFonts w:ascii="Times New Roman" w:hAnsi="Times New Roman" w:cs="Times New Roman"/>
          <w:sz w:val="24"/>
          <w:szCs w:val="24"/>
        </w:rPr>
        <w:t>excess emissions events that could endanger public health</w:t>
      </w:r>
      <w:r w:rsidR="008C2CC3">
        <w:rPr>
          <w:rFonts w:ascii="Times New Roman" w:hAnsi="Times New Roman" w:cs="Times New Roman"/>
          <w:sz w:val="24"/>
          <w:szCs w:val="24"/>
        </w:rPr>
        <w:t xml:space="preserve">. </w:t>
      </w:r>
      <w:r w:rsidR="00CF5E3C">
        <w:rPr>
          <w:rFonts w:ascii="Times New Roman" w:hAnsi="Times New Roman" w:cs="Times New Roman"/>
          <w:sz w:val="24"/>
          <w:szCs w:val="24"/>
        </w:rPr>
        <w:t xml:space="preserve">A “large” source is defined as </w:t>
      </w:r>
      <w:r w:rsidRPr="00AE2899">
        <w:rPr>
          <w:rFonts w:ascii="Times New Roman" w:hAnsi="Times New Roman" w:cs="Times New Roman"/>
          <w:sz w:val="24"/>
          <w:szCs w:val="24"/>
        </w:rPr>
        <w:t xml:space="preserve">any Title V </w:t>
      </w:r>
      <w:r>
        <w:rPr>
          <w:rFonts w:ascii="Times New Roman" w:hAnsi="Times New Roman" w:cs="Times New Roman"/>
          <w:sz w:val="24"/>
          <w:szCs w:val="24"/>
        </w:rPr>
        <w:t>source</w:t>
      </w:r>
      <w:r w:rsidR="00D672CC">
        <w:rPr>
          <w:rFonts w:ascii="Times New Roman" w:hAnsi="Times New Roman" w:cs="Times New Roman"/>
          <w:sz w:val="24"/>
          <w:szCs w:val="24"/>
        </w:rPr>
        <w:t>,</w:t>
      </w:r>
      <w:r w:rsidRPr="00AE2899">
        <w:rPr>
          <w:rFonts w:ascii="Times New Roman" w:hAnsi="Times New Roman" w:cs="Times New Roman"/>
          <w:sz w:val="24"/>
          <w:szCs w:val="24"/>
        </w:rPr>
        <w:t xml:space="preserve"> </w:t>
      </w:r>
      <w:r>
        <w:rPr>
          <w:rFonts w:ascii="Times New Roman" w:hAnsi="Times New Roman" w:cs="Times New Roman"/>
          <w:sz w:val="24"/>
          <w:szCs w:val="24"/>
        </w:rPr>
        <w:t xml:space="preserve">any source </w:t>
      </w:r>
      <w:r w:rsidRPr="00AE2899">
        <w:rPr>
          <w:rFonts w:ascii="Times New Roman" w:hAnsi="Times New Roman" w:cs="Times New Roman"/>
          <w:sz w:val="24"/>
          <w:szCs w:val="24"/>
        </w:rPr>
        <w:t>whose emissions are equal to or exceed 100 tons per year of any regulated air pollutant</w:t>
      </w:r>
      <w:r w:rsidR="00D672CC">
        <w:rPr>
          <w:rFonts w:ascii="Times New Roman" w:hAnsi="Times New Roman" w:cs="Times New Roman"/>
          <w:sz w:val="24"/>
          <w:szCs w:val="24"/>
        </w:rPr>
        <w:t>,</w:t>
      </w:r>
      <w:r>
        <w:rPr>
          <w:rFonts w:ascii="Times New Roman" w:hAnsi="Times New Roman" w:cs="Times New Roman"/>
          <w:sz w:val="24"/>
          <w:szCs w:val="24"/>
        </w:rPr>
        <w:t xml:space="preserve"> </w:t>
      </w:r>
      <w:r w:rsidRPr="00AE2899">
        <w:rPr>
          <w:rFonts w:ascii="Times New Roman" w:hAnsi="Times New Roman" w:cs="Times New Roman"/>
          <w:sz w:val="24"/>
          <w:szCs w:val="24"/>
        </w:rPr>
        <w:t xml:space="preserve">or which is subject to a National Emissions Standard for Hazardous Air Pollutants (NESHAP). </w:t>
      </w:r>
      <w:r w:rsidR="00CF5E3C">
        <w:rPr>
          <w:rFonts w:ascii="Times New Roman" w:hAnsi="Times New Roman" w:cs="Times New Roman"/>
          <w:sz w:val="24"/>
          <w:szCs w:val="24"/>
        </w:rPr>
        <w:t xml:space="preserve">A </w:t>
      </w:r>
      <w:r w:rsidR="00CF5E3C" w:rsidRPr="00CF5E3C">
        <w:rPr>
          <w:rFonts w:ascii="Times New Roman" w:hAnsi="Times New Roman" w:cs="Times New Roman"/>
          <w:sz w:val="24"/>
          <w:szCs w:val="24"/>
        </w:rPr>
        <w:t>"</w:t>
      </w:r>
      <w:r w:rsidR="00CF5E3C">
        <w:rPr>
          <w:rFonts w:ascii="Times New Roman" w:hAnsi="Times New Roman" w:cs="Times New Roman"/>
          <w:sz w:val="24"/>
          <w:szCs w:val="24"/>
        </w:rPr>
        <w:t>s</w:t>
      </w:r>
      <w:r w:rsidR="00CF5E3C" w:rsidRPr="00CF5E3C">
        <w:rPr>
          <w:rFonts w:ascii="Times New Roman" w:hAnsi="Times New Roman" w:cs="Times New Roman"/>
          <w:sz w:val="24"/>
          <w:szCs w:val="24"/>
        </w:rPr>
        <w:t>mall</w:t>
      </w:r>
      <w:r w:rsidR="00CF5E3C">
        <w:rPr>
          <w:rFonts w:ascii="Times New Roman" w:hAnsi="Times New Roman" w:cs="Times New Roman"/>
          <w:sz w:val="24"/>
          <w:szCs w:val="24"/>
        </w:rPr>
        <w:t>”</w:t>
      </w:r>
      <w:r w:rsidR="00CF5E3C" w:rsidRPr="00CF5E3C">
        <w:rPr>
          <w:rFonts w:ascii="Times New Roman" w:hAnsi="Times New Roman" w:cs="Times New Roman"/>
          <w:sz w:val="24"/>
          <w:szCs w:val="24"/>
        </w:rPr>
        <w:t xml:space="preserve"> </w:t>
      </w:r>
      <w:r w:rsidR="00CF5E3C">
        <w:rPr>
          <w:rFonts w:ascii="Times New Roman" w:hAnsi="Times New Roman" w:cs="Times New Roman"/>
          <w:sz w:val="24"/>
          <w:szCs w:val="24"/>
        </w:rPr>
        <w:t>s</w:t>
      </w:r>
      <w:r w:rsidR="00CF5E3C" w:rsidRPr="00CF5E3C">
        <w:rPr>
          <w:rFonts w:ascii="Times New Roman" w:hAnsi="Times New Roman" w:cs="Times New Roman"/>
          <w:sz w:val="24"/>
          <w:szCs w:val="24"/>
        </w:rPr>
        <w:t>ource means any other stationary source with a general, simple or standard ACDP.</w:t>
      </w:r>
    </w:p>
    <w:p w:rsidR="00CF5E3C" w:rsidRPr="00CF5E3C" w:rsidRDefault="00CF5E3C" w:rsidP="00CF5E3C">
      <w:pPr>
        <w:rPr>
          <w:rFonts w:ascii="Times New Roman" w:hAnsi="Times New Roman" w:cs="Times New Roman"/>
          <w:sz w:val="24"/>
          <w:szCs w:val="24"/>
        </w:rPr>
      </w:pPr>
      <w:r w:rsidRPr="00CF5E3C">
        <w:rPr>
          <w:rFonts w:ascii="Times New Roman" w:hAnsi="Times New Roman" w:cs="Times New Roman"/>
          <w:sz w:val="24"/>
          <w:szCs w:val="24"/>
        </w:rPr>
        <w:t>DEQ is proposing changes to the sources that are required to report excess emissions</w:t>
      </w:r>
      <w:r w:rsidR="008C2CC3">
        <w:rPr>
          <w:rFonts w:ascii="Times New Roman" w:hAnsi="Times New Roman" w:cs="Times New Roman"/>
          <w:sz w:val="24"/>
          <w:szCs w:val="24"/>
        </w:rPr>
        <w:t xml:space="preserve">. </w:t>
      </w:r>
      <w:r w:rsidR="00650596">
        <w:rPr>
          <w:rFonts w:ascii="Times New Roman" w:hAnsi="Times New Roman" w:cs="Times New Roman"/>
          <w:sz w:val="24"/>
          <w:szCs w:val="24"/>
        </w:rPr>
        <w:t>Since the initial adoption of the excess emission rules, EPA has promulgated NESHAPs for many smaller sources, such as gas stations, hospital ethylene oxide sterilizers, and dry cleaners</w:t>
      </w:r>
      <w:r w:rsidR="008C2CC3">
        <w:rPr>
          <w:rFonts w:ascii="Times New Roman" w:hAnsi="Times New Roman" w:cs="Times New Roman"/>
          <w:sz w:val="24"/>
          <w:szCs w:val="24"/>
        </w:rPr>
        <w:t xml:space="preserve">. </w:t>
      </w:r>
      <w:r w:rsidRPr="00CF5E3C">
        <w:rPr>
          <w:rFonts w:ascii="Times New Roman" w:hAnsi="Times New Roman" w:cs="Times New Roman"/>
          <w:sz w:val="24"/>
          <w:szCs w:val="24"/>
        </w:rPr>
        <w:t xml:space="preserve">The general provisions for NESHAP sources have excess emission reporting and some individual NESHAPs have their own excess emission reporting </w:t>
      </w:r>
      <w:r w:rsidR="004025F1">
        <w:rPr>
          <w:rFonts w:ascii="Times New Roman" w:hAnsi="Times New Roman" w:cs="Times New Roman"/>
          <w:sz w:val="24"/>
          <w:szCs w:val="24"/>
        </w:rPr>
        <w:t>so these sources do not need to be included with large sources that are required to report immediately.</w:t>
      </w:r>
      <w:r w:rsidR="005570A5">
        <w:rPr>
          <w:rFonts w:ascii="Times New Roman" w:hAnsi="Times New Roman" w:cs="Times New Roman"/>
          <w:sz w:val="24"/>
          <w:szCs w:val="24"/>
        </w:rPr>
        <w:t xml:space="preserve"> </w:t>
      </w:r>
      <w:r w:rsidR="004025F1">
        <w:rPr>
          <w:rFonts w:ascii="Times New Roman" w:hAnsi="Times New Roman" w:cs="Times New Roman"/>
          <w:sz w:val="24"/>
          <w:szCs w:val="24"/>
        </w:rPr>
        <w:t>DEQ inadvertently omitted sources that are on basic permits in the definition of “small”</w:t>
      </w:r>
      <w:r w:rsidR="005570A5">
        <w:rPr>
          <w:rFonts w:ascii="Times New Roman" w:hAnsi="Times New Roman" w:cs="Times New Roman"/>
          <w:sz w:val="24"/>
          <w:szCs w:val="24"/>
        </w:rPr>
        <w:t xml:space="preserve"> sour</w:t>
      </w:r>
      <w:r w:rsidR="004025F1">
        <w:rPr>
          <w:rFonts w:ascii="Times New Roman" w:hAnsi="Times New Roman" w:cs="Times New Roman"/>
          <w:sz w:val="24"/>
          <w:szCs w:val="24"/>
        </w:rPr>
        <w:t xml:space="preserve">ces so they will be added </w:t>
      </w:r>
      <w:r w:rsidR="00D2791C">
        <w:rPr>
          <w:rFonts w:ascii="Times New Roman" w:hAnsi="Times New Roman" w:cs="Times New Roman"/>
          <w:sz w:val="24"/>
          <w:szCs w:val="24"/>
        </w:rPr>
        <w:t>and required to report excess emissions.</w:t>
      </w:r>
    </w:p>
    <w:p w:rsidR="00AE2899" w:rsidRDefault="003B2C11" w:rsidP="00E548F5">
      <w:pPr>
        <w:rPr>
          <w:rFonts w:ascii="Times New Roman" w:hAnsi="Times New Roman" w:cs="Times New Roman"/>
          <w:sz w:val="24"/>
          <w:szCs w:val="24"/>
        </w:rPr>
      </w:pPr>
      <w:r>
        <w:rPr>
          <w:rFonts w:ascii="Times New Roman" w:hAnsi="Times New Roman" w:cs="Times New Roman"/>
          <w:sz w:val="24"/>
          <w:szCs w:val="24"/>
        </w:rPr>
        <w:t xml:space="preserve">DEQ is proposing </w:t>
      </w:r>
      <w:r w:rsidR="000701B3">
        <w:rPr>
          <w:rFonts w:ascii="Times New Roman" w:hAnsi="Times New Roman" w:cs="Times New Roman"/>
          <w:sz w:val="24"/>
          <w:szCs w:val="24"/>
        </w:rPr>
        <w:t xml:space="preserve">to </w:t>
      </w:r>
      <w:r>
        <w:rPr>
          <w:rFonts w:ascii="Times New Roman" w:hAnsi="Times New Roman" w:cs="Times New Roman"/>
          <w:sz w:val="24"/>
          <w:szCs w:val="24"/>
        </w:rPr>
        <w:t xml:space="preserve">limit the sources that can use emergency as an affirmative defense to Title V permitted sources only because </w:t>
      </w:r>
      <w:r w:rsidR="00A91C5A">
        <w:rPr>
          <w:rFonts w:ascii="Times New Roman" w:hAnsi="Times New Roman" w:cs="Times New Roman"/>
          <w:sz w:val="24"/>
          <w:szCs w:val="24"/>
        </w:rPr>
        <w:t xml:space="preserve">of recent law suits. </w:t>
      </w:r>
    </w:p>
    <w:p w:rsidR="003B2C11" w:rsidRDefault="003B2C11" w:rsidP="003B2C11">
      <w:pPr>
        <w:rPr>
          <w:rFonts w:ascii="Times New Roman" w:hAnsi="Times New Roman" w:cs="Times New Roman"/>
          <w:sz w:val="24"/>
          <w:szCs w:val="24"/>
        </w:rPr>
      </w:pPr>
      <w:r>
        <w:rPr>
          <w:rFonts w:ascii="Times New Roman" w:hAnsi="Times New Roman" w:cs="Times New Roman"/>
          <w:sz w:val="24"/>
          <w:szCs w:val="24"/>
        </w:rPr>
        <w:t>DEQ proposes to add more criteria in determining whether to take enforcement action for excess emissions:</w:t>
      </w:r>
    </w:p>
    <w:p w:rsidR="003B2C11" w:rsidRPr="003B2C11" w:rsidRDefault="003B2C11" w:rsidP="003B2C11">
      <w:pPr>
        <w:pStyle w:val="ListParagraph"/>
        <w:numPr>
          <w:ilvl w:val="0"/>
          <w:numId w:val="15"/>
        </w:numPr>
        <w:rPr>
          <w:rFonts w:ascii="Times New Roman" w:hAnsi="Times New Roman" w:cs="Times New Roman"/>
          <w:sz w:val="24"/>
          <w:szCs w:val="24"/>
        </w:rPr>
      </w:pPr>
      <w:r w:rsidRPr="003B2C11">
        <w:rPr>
          <w:rFonts w:ascii="Times New Roman" w:hAnsi="Times New Roman" w:cs="Times New Roman"/>
          <w:sz w:val="24"/>
          <w:szCs w:val="24"/>
        </w:rPr>
        <w:t>whether any federal New Source Performance Standard or National Emission Standard for Hazardous Air Pollutants apply and whether the excess emission event caused a violation of the federal standard; and</w:t>
      </w:r>
    </w:p>
    <w:p w:rsidR="004A5A93" w:rsidRDefault="00752DF9" w:rsidP="003B2C1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w</w:t>
      </w:r>
      <w:r w:rsidR="003B2C11" w:rsidRPr="003B2C11">
        <w:rPr>
          <w:rFonts w:ascii="Times New Roman" w:hAnsi="Times New Roman" w:cs="Times New Roman"/>
          <w:sz w:val="24"/>
          <w:szCs w:val="24"/>
        </w:rPr>
        <w:t>hether the excess emissions event was due to an emergency</w:t>
      </w:r>
    </w:p>
    <w:p w:rsidR="00752DF9" w:rsidRPr="00752DF9" w:rsidRDefault="00752DF9" w:rsidP="00752DF9">
      <w:pPr>
        <w:rPr>
          <w:rFonts w:ascii="Times New Roman" w:hAnsi="Times New Roman" w:cs="Times New Roman"/>
          <w:sz w:val="24"/>
          <w:szCs w:val="24"/>
        </w:rPr>
      </w:pPr>
      <w:r>
        <w:rPr>
          <w:rFonts w:ascii="Times New Roman" w:hAnsi="Times New Roman" w:cs="Times New Roman"/>
          <w:sz w:val="24"/>
          <w:szCs w:val="24"/>
        </w:rPr>
        <w:t>S</w:t>
      </w:r>
      <w:r w:rsidRPr="00752DF9">
        <w:rPr>
          <w:rFonts w:ascii="Times New Roman" w:hAnsi="Times New Roman" w:cs="Times New Roman"/>
          <w:sz w:val="24"/>
          <w:szCs w:val="24"/>
        </w:rPr>
        <w:t xml:space="preserve">ource specific standard </w:t>
      </w:r>
      <w:r>
        <w:rPr>
          <w:rFonts w:ascii="Times New Roman" w:hAnsi="Times New Roman" w:cs="Times New Roman"/>
          <w:sz w:val="24"/>
          <w:szCs w:val="24"/>
        </w:rPr>
        <w:t xml:space="preserve">such as NSPS or NESHAP </w:t>
      </w:r>
      <w:r w:rsidRPr="00752DF9">
        <w:rPr>
          <w:rFonts w:ascii="Times New Roman" w:hAnsi="Times New Roman" w:cs="Times New Roman"/>
          <w:sz w:val="24"/>
          <w:szCs w:val="24"/>
        </w:rPr>
        <w:t>ha</w:t>
      </w:r>
      <w:r>
        <w:rPr>
          <w:rFonts w:ascii="Times New Roman" w:hAnsi="Times New Roman" w:cs="Times New Roman"/>
          <w:sz w:val="24"/>
          <w:szCs w:val="24"/>
        </w:rPr>
        <w:t>ve</w:t>
      </w:r>
      <w:r w:rsidRPr="00752DF9">
        <w:rPr>
          <w:rFonts w:ascii="Times New Roman" w:hAnsi="Times New Roman" w:cs="Times New Roman"/>
          <w:sz w:val="24"/>
          <w:szCs w:val="24"/>
        </w:rPr>
        <w:t xml:space="preserve"> taken into consideration the achievable emission of the </w:t>
      </w:r>
      <w:r w:rsidR="00A91C5A">
        <w:rPr>
          <w:rFonts w:ascii="Times New Roman" w:hAnsi="Times New Roman" w:cs="Times New Roman"/>
          <w:sz w:val="24"/>
          <w:szCs w:val="24"/>
        </w:rPr>
        <w:t>affected facility</w:t>
      </w:r>
      <w:r w:rsidR="00A91C5A" w:rsidRPr="00752DF9">
        <w:rPr>
          <w:rFonts w:ascii="Times New Roman" w:hAnsi="Times New Roman" w:cs="Times New Roman"/>
          <w:sz w:val="24"/>
          <w:szCs w:val="24"/>
        </w:rPr>
        <w:t xml:space="preserve"> </w:t>
      </w:r>
      <w:r w:rsidRPr="00752DF9">
        <w:rPr>
          <w:rFonts w:ascii="Times New Roman" w:hAnsi="Times New Roman" w:cs="Times New Roman"/>
          <w:sz w:val="24"/>
          <w:szCs w:val="24"/>
        </w:rPr>
        <w:t>while using best demonstrated technology</w:t>
      </w:r>
      <w:r w:rsidR="008C2CC3">
        <w:rPr>
          <w:rFonts w:ascii="Times New Roman" w:hAnsi="Times New Roman" w:cs="Times New Roman"/>
          <w:sz w:val="24"/>
          <w:szCs w:val="24"/>
        </w:rPr>
        <w:t xml:space="preserve">. </w:t>
      </w:r>
      <w:r w:rsidR="00D2791C">
        <w:rPr>
          <w:rFonts w:ascii="Times New Roman" w:hAnsi="Times New Roman" w:cs="Times New Roman"/>
          <w:sz w:val="24"/>
          <w:szCs w:val="24"/>
        </w:rPr>
        <w:t>Adding this criterion in determining whether to take enforcement action for excess emissions r</w:t>
      </w:r>
      <w:r w:rsidRPr="00752DF9">
        <w:rPr>
          <w:rFonts w:ascii="Times New Roman" w:hAnsi="Times New Roman" w:cs="Times New Roman"/>
          <w:sz w:val="24"/>
          <w:szCs w:val="24"/>
        </w:rPr>
        <w:t xml:space="preserve">ecognizes that there may be a violation of the general </w:t>
      </w:r>
      <w:r w:rsidR="00D2791C">
        <w:rPr>
          <w:rFonts w:ascii="Times New Roman" w:hAnsi="Times New Roman" w:cs="Times New Roman"/>
          <w:sz w:val="24"/>
          <w:szCs w:val="24"/>
        </w:rPr>
        <w:t xml:space="preserve">statewide </w:t>
      </w:r>
      <w:r w:rsidRPr="00752DF9">
        <w:rPr>
          <w:rFonts w:ascii="Times New Roman" w:hAnsi="Times New Roman" w:cs="Times New Roman"/>
          <w:sz w:val="24"/>
          <w:szCs w:val="24"/>
        </w:rPr>
        <w:t xml:space="preserve">standard but the source is still complying with the source specific technology based standard. </w:t>
      </w:r>
      <w:r w:rsidR="00F900D8">
        <w:rPr>
          <w:rFonts w:ascii="Times New Roman" w:hAnsi="Times New Roman" w:cs="Times New Roman"/>
          <w:sz w:val="24"/>
          <w:szCs w:val="24"/>
        </w:rPr>
        <w:t>Since DEQ is proposing to limit sources that can use emergency as an affirmative defense to Title V permitted sources, emergencies need to be evaluated for all other sources.</w:t>
      </w:r>
    </w:p>
    <w:p w:rsidR="00752DF9" w:rsidRPr="00752DF9" w:rsidRDefault="00752DF9" w:rsidP="00752DF9">
      <w:pPr>
        <w:rPr>
          <w:rFonts w:ascii="Times New Roman" w:hAnsi="Times New Roman" w:cs="Times New Roman"/>
          <w:sz w:val="24"/>
          <w:szCs w:val="24"/>
        </w:rPr>
      </w:pPr>
    </w:p>
    <w:p w:rsidR="00896858" w:rsidRPr="00896858" w:rsidRDefault="00896858" w:rsidP="00896858">
      <w:pPr>
        <w:pStyle w:val="Heading2"/>
      </w:pPr>
      <w:bookmarkStart w:id="21" w:name="_Toc366837612"/>
      <w:r>
        <w:t>Test methods with all standards</w:t>
      </w:r>
      <w:bookmarkEnd w:id="21"/>
    </w:p>
    <w:p w:rsidR="00896858" w:rsidRDefault="004A5A93" w:rsidP="00E548F5">
      <w:pPr>
        <w:rPr>
          <w:rFonts w:ascii="Times New Roman" w:hAnsi="Times New Roman" w:cs="Times New Roman"/>
          <w:sz w:val="24"/>
          <w:szCs w:val="24"/>
        </w:rPr>
      </w:pPr>
      <w:r>
        <w:rPr>
          <w:rFonts w:ascii="Times New Roman" w:hAnsi="Times New Roman" w:cs="Times New Roman"/>
          <w:sz w:val="24"/>
          <w:szCs w:val="24"/>
        </w:rPr>
        <w:t>Some standards do not include test methods so compliance demonstrations are not clear</w:t>
      </w:r>
      <w:r w:rsidR="008C2CC3">
        <w:rPr>
          <w:rFonts w:ascii="Times New Roman" w:hAnsi="Times New Roman" w:cs="Times New Roman"/>
          <w:sz w:val="24"/>
          <w:szCs w:val="24"/>
        </w:rPr>
        <w:t xml:space="preserve">. </w:t>
      </w:r>
      <w:r>
        <w:rPr>
          <w:rFonts w:ascii="Times New Roman" w:hAnsi="Times New Roman" w:cs="Times New Roman"/>
          <w:sz w:val="24"/>
          <w:szCs w:val="24"/>
        </w:rPr>
        <w:t xml:space="preserve">DEQ is adding test methods to all standards along with a testing and monitoring section to rules that do not already have them. </w:t>
      </w:r>
    </w:p>
    <w:p w:rsidR="00896858" w:rsidRDefault="00896858" w:rsidP="00896858">
      <w:pPr>
        <w:pStyle w:val="Heading1"/>
      </w:pPr>
      <w:bookmarkStart w:id="22" w:name="_Toc366837613"/>
      <w:r>
        <w:t>Permitting Changes</w:t>
      </w:r>
      <w:bookmarkEnd w:id="22"/>
    </w:p>
    <w:p w:rsidR="00896858" w:rsidRPr="00896858" w:rsidRDefault="00896858" w:rsidP="00896858">
      <w:pPr>
        <w:rPr>
          <w:rFonts w:ascii="Times New Roman" w:hAnsi="Times New Roman" w:cs="Times New Roman"/>
          <w:sz w:val="24"/>
          <w:szCs w:val="24"/>
        </w:rPr>
      </w:pPr>
    </w:p>
    <w:p w:rsidR="00896858" w:rsidRDefault="00896858" w:rsidP="00896858">
      <w:pPr>
        <w:pStyle w:val="Heading2"/>
      </w:pPr>
      <w:bookmarkStart w:id="23" w:name="_Toc366837614"/>
      <w:r w:rsidRPr="00896858">
        <w:t>Revise</w:t>
      </w:r>
      <w:r>
        <w:t xml:space="preserve"> definition of categorically insignificant activities</w:t>
      </w:r>
      <w:bookmarkEnd w:id="23"/>
    </w:p>
    <w:p w:rsidR="00CA4E39" w:rsidRDefault="00084F28" w:rsidP="00551007">
      <w:pPr>
        <w:rPr>
          <w:rFonts w:ascii="Times New Roman" w:hAnsi="Times New Roman" w:cs="Times New Roman"/>
          <w:sz w:val="24"/>
          <w:szCs w:val="24"/>
        </w:rPr>
      </w:pPr>
      <w:r>
        <w:rPr>
          <w:rFonts w:ascii="Times New Roman" w:hAnsi="Times New Roman" w:cs="Times New Roman"/>
          <w:sz w:val="24"/>
          <w:szCs w:val="24"/>
        </w:rPr>
        <w:t>DEQ is proposing revisions to portions of the definition of categorically insignificant activities in division 200</w:t>
      </w:r>
      <w:r w:rsidR="00CA4E39">
        <w:rPr>
          <w:rFonts w:ascii="Times New Roman" w:hAnsi="Times New Roman" w:cs="Times New Roman"/>
          <w:sz w:val="24"/>
          <w:szCs w:val="24"/>
        </w:rPr>
        <w:t xml:space="preserve">: </w:t>
      </w:r>
    </w:p>
    <w:p w:rsidR="00CA4E39" w:rsidRDefault="00084F28" w:rsidP="00084F28">
      <w:pPr>
        <w:pStyle w:val="ListParagraph"/>
        <w:numPr>
          <w:ilvl w:val="0"/>
          <w:numId w:val="15"/>
        </w:numPr>
        <w:rPr>
          <w:rFonts w:ascii="Times New Roman" w:hAnsi="Times New Roman" w:cs="Times New Roman"/>
          <w:sz w:val="24"/>
          <w:szCs w:val="24"/>
        </w:rPr>
      </w:pPr>
      <w:r w:rsidRPr="00CA4E39">
        <w:rPr>
          <w:rFonts w:ascii="Times New Roman" w:hAnsi="Times New Roman" w:cs="Times New Roman"/>
          <w:sz w:val="24"/>
          <w:szCs w:val="24"/>
        </w:rPr>
        <w:t>Distillate oil, kerosene, and gasoline fuel burning equipment rated at less than or equal to 0.4 million Btu/hour</w:t>
      </w:r>
      <w:r w:rsidR="00CA4E39">
        <w:rPr>
          <w:rFonts w:ascii="Times New Roman" w:hAnsi="Times New Roman" w:cs="Times New Roman"/>
          <w:sz w:val="24"/>
          <w:szCs w:val="24"/>
        </w:rPr>
        <w:t xml:space="preserve"> each;</w:t>
      </w:r>
    </w:p>
    <w:p w:rsidR="00CA4E39" w:rsidRPr="00CA4E39" w:rsidRDefault="00084F28" w:rsidP="00084F28">
      <w:pPr>
        <w:pStyle w:val="ListParagraph"/>
        <w:numPr>
          <w:ilvl w:val="0"/>
          <w:numId w:val="15"/>
        </w:numPr>
        <w:rPr>
          <w:rFonts w:ascii="Times New Roman" w:hAnsi="Times New Roman" w:cs="Times New Roman"/>
          <w:sz w:val="24"/>
          <w:szCs w:val="24"/>
        </w:rPr>
      </w:pPr>
      <w:r w:rsidRPr="00CA4E39">
        <w:rPr>
          <w:rFonts w:ascii="Times New Roman" w:hAnsi="Times New Roman" w:cs="Times New Roman"/>
          <w:sz w:val="24"/>
          <w:szCs w:val="24"/>
        </w:rPr>
        <w:t>Natural gas and propane burning equipment rated at less than or equal to 2.0 million Btu/hour each</w:t>
      </w:r>
      <w:r w:rsidR="00CA4E39">
        <w:rPr>
          <w:rFonts w:ascii="Times New Roman" w:hAnsi="Times New Roman" w:cs="Times New Roman"/>
          <w:sz w:val="24"/>
          <w:szCs w:val="24"/>
        </w:rPr>
        <w:t xml:space="preserve">; and </w:t>
      </w:r>
    </w:p>
    <w:p w:rsidR="00CA4E39" w:rsidRDefault="00084F28" w:rsidP="00084F28">
      <w:pPr>
        <w:pStyle w:val="ListParagraph"/>
        <w:numPr>
          <w:ilvl w:val="0"/>
          <w:numId w:val="15"/>
        </w:numPr>
        <w:rPr>
          <w:rFonts w:ascii="Times New Roman" w:hAnsi="Times New Roman" w:cs="Times New Roman"/>
          <w:sz w:val="24"/>
          <w:szCs w:val="24"/>
        </w:rPr>
      </w:pPr>
      <w:r w:rsidRPr="00CA4E39">
        <w:rPr>
          <w:rFonts w:ascii="Times New Roman" w:hAnsi="Times New Roman" w:cs="Times New Roman"/>
          <w:sz w:val="24"/>
          <w:szCs w:val="24"/>
        </w:rPr>
        <w:t xml:space="preserve">Emergency generators and pumps rated individually at less than 500 horsepower, used only during loss of primary equipment or utility service due to circumstances beyond the reasonable control of the owner or operator, or to address a power emergency as determined by DEQ </w:t>
      </w:r>
    </w:p>
    <w:p w:rsidR="00CA4E39" w:rsidRDefault="00CA4E39" w:rsidP="00EF2977">
      <w:pPr>
        <w:pStyle w:val="ListParagraph"/>
        <w:ind w:left="0"/>
        <w:rPr>
          <w:rFonts w:ascii="Times New Roman" w:hAnsi="Times New Roman" w:cs="Times New Roman"/>
          <w:sz w:val="24"/>
          <w:szCs w:val="24"/>
        </w:rPr>
      </w:pPr>
    </w:p>
    <w:p w:rsidR="007E7766" w:rsidRDefault="00EF2977" w:rsidP="00345908">
      <w:pPr>
        <w:pStyle w:val="ListParagraph"/>
        <w:ind w:left="0"/>
        <w:rPr>
          <w:rFonts w:ascii="Times New Roman" w:hAnsi="Times New Roman" w:cs="Times New Roman"/>
          <w:bCs/>
          <w:sz w:val="24"/>
          <w:szCs w:val="24"/>
        </w:rPr>
      </w:pPr>
      <w:r>
        <w:rPr>
          <w:rFonts w:ascii="Times New Roman" w:hAnsi="Times New Roman" w:cs="Times New Roman"/>
          <w:sz w:val="24"/>
          <w:szCs w:val="24"/>
        </w:rPr>
        <w:t xml:space="preserve">DEQ has encountered businesses that have numerous fuel burning equipment </w:t>
      </w:r>
      <w:r w:rsidR="00537F77">
        <w:rPr>
          <w:rFonts w:ascii="Times New Roman" w:hAnsi="Times New Roman" w:cs="Times New Roman"/>
          <w:sz w:val="24"/>
          <w:szCs w:val="24"/>
        </w:rPr>
        <w:t xml:space="preserve">and/or </w:t>
      </w:r>
      <w:r>
        <w:rPr>
          <w:rFonts w:ascii="Times New Roman" w:hAnsi="Times New Roman" w:cs="Times New Roman"/>
          <w:sz w:val="24"/>
          <w:szCs w:val="24"/>
        </w:rPr>
        <w:t xml:space="preserve">emergency generators at a single facility, whose aggregate emissions total </w:t>
      </w:r>
      <w:r w:rsidR="00206A3A">
        <w:rPr>
          <w:rFonts w:ascii="Times New Roman" w:hAnsi="Times New Roman" w:cs="Times New Roman"/>
          <w:sz w:val="24"/>
          <w:szCs w:val="24"/>
        </w:rPr>
        <w:t xml:space="preserve">much </w:t>
      </w:r>
      <w:r>
        <w:rPr>
          <w:rFonts w:ascii="Times New Roman" w:hAnsi="Times New Roman" w:cs="Times New Roman"/>
          <w:sz w:val="24"/>
          <w:szCs w:val="24"/>
        </w:rPr>
        <w:t>more than</w:t>
      </w:r>
      <w:r w:rsidR="00257C7E">
        <w:rPr>
          <w:rFonts w:ascii="Times New Roman" w:hAnsi="Times New Roman" w:cs="Times New Roman"/>
          <w:sz w:val="24"/>
          <w:szCs w:val="24"/>
        </w:rPr>
        <w:t xml:space="preserve"> </w:t>
      </w:r>
      <w:r>
        <w:rPr>
          <w:rFonts w:ascii="Times New Roman" w:hAnsi="Times New Roman" w:cs="Times New Roman"/>
          <w:sz w:val="24"/>
          <w:szCs w:val="24"/>
        </w:rPr>
        <w:t>the level</w:t>
      </w:r>
      <w:r w:rsidR="00257C7E">
        <w:rPr>
          <w:rFonts w:ascii="Times New Roman" w:hAnsi="Times New Roman" w:cs="Times New Roman"/>
          <w:sz w:val="24"/>
          <w:szCs w:val="24"/>
        </w:rPr>
        <w:t>s</w:t>
      </w:r>
      <w:r>
        <w:rPr>
          <w:rFonts w:ascii="Times New Roman" w:hAnsi="Times New Roman" w:cs="Times New Roman"/>
          <w:sz w:val="24"/>
          <w:szCs w:val="24"/>
        </w:rPr>
        <w:t xml:space="preserve"> in the definition of aggregate insignificant emissions</w:t>
      </w:r>
      <w:r w:rsidR="008C2CC3">
        <w:rPr>
          <w:rFonts w:ascii="Times New Roman" w:hAnsi="Times New Roman" w:cs="Times New Roman"/>
          <w:sz w:val="24"/>
          <w:szCs w:val="24"/>
        </w:rPr>
        <w:t xml:space="preserve">. </w:t>
      </w:r>
      <w:r w:rsidR="00257C7E">
        <w:rPr>
          <w:rFonts w:ascii="Times New Roman" w:hAnsi="Times New Roman" w:cs="Times New Roman"/>
          <w:sz w:val="24"/>
          <w:szCs w:val="24"/>
        </w:rPr>
        <w:t xml:space="preserve">In addition, there are requirements under </w:t>
      </w:r>
      <w:r w:rsidR="00B96EF6">
        <w:rPr>
          <w:rFonts w:ascii="Times New Roman" w:hAnsi="Times New Roman" w:cs="Times New Roman"/>
          <w:sz w:val="24"/>
          <w:szCs w:val="24"/>
        </w:rPr>
        <w:t xml:space="preserve">40 CFR Part 63, </w:t>
      </w:r>
      <w:r w:rsidR="00B96EF6" w:rsidRPr="00B96EF6">
        <w:rPr>
          <w:rFonts w:ascii="Times New Roman" w:hAnsi="Times New Roman" w:cs="Times New Roman"/>
          <w:bCs/>
          <w:sz w:val="24"/>
          <w:szCs w:val="24"/>
        </w:rPr>
        <w:t>Subpart ZZZZ—National Emissions Standards for Hazardous Air Pollutants for Stationary Reciprocating Internal Combustion Engines</w:t>
      </w:r>
      <w:r w:rsidR="00B96EF6">
        <w:rPr>
          <w:rFonts w:ascii="Times New Roman" w:hAnsi="Times New Roman" w:cs="Times New Roman"/>
          <w:bCs/>
          <w:sz w:val="24"/>
          <w:szCs w:val="24"/>
        </w:rPr>
        <w:t xml:space="preserve"> for emergency generators</w:t>
      </w:r>
      <w:r w:rsidR="008C2CC3">
        <w:rPr>
          <w:rFonts w:ascii="Times New Roman" w:hAnsi="Times New Roman" w:cs="Times New Roman"/>
          <w:bCs/>
          <w:sz w:val="24"/>
          <w:szCs w:val="24"/>
        </w:rPr>
        <w:t xml:space="preserve">. </w:t>
      </w:r>
      <w:r w:rsidR="00B96EF6">
        <w:rPr>
          <w:rFonts w:ascii="Times New Roman" w:hAnsi="Times New Roman" w:cs="Times New Roman"/>
          <w:bCs/>
          <w:sz w:val="24"/>
          <w:szCs w:val="24"/>
        </w:rPr>
        <w:t>Therefore, DEQ is proposing to add restrictions to these three activities of categorically insignificant activities</w:t>
      </w:r>
      <w:r w:rsidR="008C2CC3">
        <w:rPr>
          <w:rFonts w:ascii="Times New Roman" w:hAnsi="Times New Roman" w:cs="Times New Roman"/>
          <w:bCs/>
          <w:sz w:val="24"/>
          <w:szCs w:val="24"/>
        </w:rPr>
        <w:t xml:space="preserve">. </w:t>
      </w:r>
    </w:p>
    <w:p w:rsidR="007E7766" w:rsidRDefault="007E7766" w:rsidP="00345908">
      <w:pPr>
        <w:pStyle w:val="ListParagraph"/>
        <w:ind w:left="0"/>
        <w:rPr>
          <w:rFonts w:ascii="Times New Roman" w:hAnsi="Times New Roman" w:cs="Times New Roman"/>
          <w:bCs/>
          <w:sz w:val="24"/>
          <w:szCs w:val="24"/>
        </w:rPr>
      </w:pPr>
    </w:p>
    <w:p w:rsidR="00084F28" w:rsidRDefault="00B96EF6" w:rsidP="00345908">
      <w:pPr>
        <w:pStyle w:val="ListParagraph"/>
        <w:ind w:left="0"/>
        <w:rPr>
          <w:rFonts w:ascii="Times New Roman" w:hAnsi="Times New Roman" w:cs="Times New Roman"/>
          <w:sz w:val="24"/>
          <w:szCs w:val="24"/>
        </w:rPr>
      </w:pPr>
      <w:r>
        <w:rPr>
          <w:rFonts w:ascii="Times New Roman" w:hAnsi="Times New Roman" w:cs="Times New Roman"/>
          <w:bCs/>
          <w:sz w:val="24"/>
          <w:szCs w:val="24"/>
        </w:rPr>
        <w:t>If the emissions from the activity, in aggregate, are greater than the de minimis levels for any pollutant, they will not be considered categorically insignificant activities</w:t>
      </w:r>
      <w:r w:rsidR="008C2CC3">
        <w:rPr>
          <w:rFonts w:ascii="Times New Roman" w:hAnsi="Times New Roman" w:cs="Times New Roman"/>
          <w:bCs/>
          <w:sz w:val="24"/>
          <w:szCs w:val="24"/>
        </w:rPr>
        <w:t xml:space="preserve">. </w:t>
      </w:r>
      <w:r>
        <w:rPr>
          <w:rFonts w:ascii="Times New Roman" w:hAnsi="Times New Roman" w:cs="Times New Roman"/>
          <w:bCs/>
          <w:sz w:val="24"/>
          <w:szCs w:val="24"/>
        </w:rPr>
        <w:t xml:space="preserve">Emissions from emergency generators are based </w:t>
      </w:r>
      <w:r w:rsidR="00084F28" w:rsidRPr="00CA4E39">
        <w:rPr>
          <w:rFonts w:ascii="Times New Roman" w:hAnsi="Times New Roman" w:cs="Times New Roman"/>
          <w:sz w:val="24"/>
          <w:szCs w:val="24"/>
        </w:rPr>
        <w:t>on the readiness and testing hours of operation allowed by NSPS or NESHAP requirements or some other hours of operation specified in a permit</w:t>
      </w:r>
      <w:r w:rsidR="008C2CC3">
        <w:rPr>
          <w:rFonts w:ascii="Times New Roman" w:hAnsi="Times New Roman" w:cs="Times New Roman"/>
          <w:sz w:val="24"/>
          <w:szCs w:val="24"/>
        </w:rPr>
        <w:t xml:space="preserve">. </w:t>
      </w:r>
      <w:r w:rsidR="00206A3A" w:rsidRPr="00206A3A">
        <w:rPr>
          <w:rFonts w:ascii="Times New Roman" w:hAnsi="Times New Roman" w:cs="Times New Roman"/>
          <w:bCs/>
          <w:sz w:val="24"/>
          <w:szCs w:val="24"/>
        </w:rPr>
        <w:t xml:space="preserve">The emissions from the categorically insignificant activities will be added to the </w:t>
      </w:r>
      <w:r w:rsidR="00345908">
        <w:rPr>
          <w:rFonts w:ascii="Times New Roman" w:hAnsi="Times New Roman" w:cs="Times New Roman"/>
          <w:bCs/>
          <w:sz w:val="24"/>
          <w:szCs w:val="24"/>
        </w:rPr>
        <w:t xml:space="preserve">PSEL and the </w:t>
      </w:r>
      <w:r w:rsidR="00206A3A" w:rsidRPr="00206A3A">
        <w:rPr>
          <w:rFonts w:ascii="Times New Roman" w:hAnsi="Times New Roman" w:cs="Times New Roman"/>
          <w:bCs/>
          <w:sz w:val="24"/>
          <w:szCs w:val="24"/>
        </w:rPr>
        <w:t xml:space="preserve">netting </w:t>
      </w:r>
      <w:r w:rsidR="00345908">
        <w:rPr>
          <w:rFonts w:ascii="Times New Roman" w:hAnsi="Times New Roman" w:cs="Times New Roman"/>
          <w:bCs/>
          <w:sz w:val="24"/>
          <w:szCs w:val="24"/>
        </w:rPr>
        <w:t xml:space="preserve">basis </w:t>
      </w:r>
      <w:r w:rsidR="00206A3A" w:rsidRPr="00206A3A">
        <w:rPr>
          <w:rFonts w:ascii="Times New Roman" w:hAnsi="Times New Roman" w:cs="Times New Roman"/>
          <w:bCs/>
          <w:sz w:val="24"/>
          <w:szCs w:val="24"/>
        </w:rPr>
        <w:t xml:space="preserve">if </w:t>
      </w:r>
      <w:r w:rsidR="00345908">
        <w:rPr>
          <w:rFonts w:ascii="Times New Roman" w:hAnsi="Times New Roman" w:cs="Times New Roman"/>
          <w:bCs/>
          <w:sz w:val="24"/>
          <w:szCs w:val="24"/>
        </w:rPr>
        <w:t xml:space="preserve">the aggregate emissions are greater than </w:t>
      </w:r>
      <w:r w:rsidR="000701B3">
        <w:rPr>
          <w:rFonts w:ascii="Times New Roman" w:hAnsi="Times New Roman" w:cs="Times New Roman"/>
          <w:bCs/>
          <w:sz w:val="24"/>
          <w:szCs w:val="24"/>
        </w:rPr>
        <w:t>de minimis levels</w:t>
      </w:r>
      <w:r w:rsidR="00345908">
        <w:rPr>
          <w:rFonts w:ascii="Times New Roman" w:hAnsi="Times New Roman" w:cs="Times New Roman"/>
          <w:bCs/>
          <w:sz w:val="24"/>
          <w:szCs w:val="24"/>
        </w:rPr>
        <w:t>. I</w:t>
      </w:r>
      <w:r w:rsidR="00345908" w:rsidRPr="00345908">
        <w:rPr>
          <w:rFonts w:ascii="Times New Roman" w:hAnsi="Times New Roman" w:cs="Times New Roman"/>
          <w:sz w:val="24"/>
          <w:szCs w:val="24"/>
        </w:rPr>
        <w:t xml:space="preserve">f </w:t>
      </w:r>
      <w:r w:rsidR="00345908">
        <w:rPr>
          <w:rFonts w:ascii="Times New Roman" w:hAnsi="Times New Roman" w:cs="Times New Roman"/>
          <w:sz w:val="24"/>
          <w:szCs w:val="24"/>
        </w:rPr>
        <w:t xml:space="preserve">the revised </w:t>
      </w:r>
      <w:r w:rsidR="00345908" w:rsidRPr="00345908">
        <w:rPr>
          <w:rFonts w:ascii="Times New Roman" w:hAnsi="Times New Roman" w:cs="Times New Roman"/>
          <w:sz w:val="24"/>
          <w:szCs w:val="24"/>
        </w:rPr>
        <w:t xml:space="preserve">PSEL </w:t>
      </w:r>
      <w:r w:rsidR="00345908">
        <w:rPr>
          <w:rFonts w:ascii="Times New Roman" w:hAnsi="Times New Roman" w:cs="Times New Roman"/>
          <w:sz w:val="24"/>
          <w:szCs w:val="24"/>
        </w:rPr>
        <w:t xml:space="preserve">that includes emissions from previously considered categorically insignificant activities </w:t>
      </w:r>
      <w:r w:rsidR="00345908" w:rsidRPr="00345908">
        <w:rPr>
          <w:rFonts w:ascii="Times New Roman" w:hAnsi="Times New Roman" w:cs="Times New Roman"/>
          <w:sz w:val="24"/>
          <w:szCs w:val="24"/>
        </w:rPr>
        <w:t>is greater than the netting basis by greater than or equal to an SER as a result of this revision, the requirements of OAR 340-222-0041(4) do not apply. If the revised PSEL is greater than or equal to the SER above the netting basis, any future increase in the PSEL for any reason would be subject to OAR 340-222-0041(4).</w:t>
      </w:r>
      <w:r w:rsidR="007E7766">
        <w:rPr>
          <w:rFonts w:ascii="Times New Roman" w:hAnsi="Times New Roman" w:cs="Times New Roman"/>
          <w:sz w:val="24"/>
          <w:szCs w:val="24"/>
        </w:rPr>
        <w:t xml:space="preserve"> This applies only to categorically insignificant activities that existed at a facility before April 1, 2014</w:t>
      </w:r>
      <w:r w:rsidR="008C2CC3">
        <w:rPr>
          <w:rFonts w:ascii="Times New Roman" w:hAnsi="Times New Roman" w:cs="Times New Roman"/>
          <w:sz w:val="24"/>
          <w:szCs w:val="24"/>
        </w:rPr>
        <w:t xml:space="preserve">. </w:t>
      </w:r>
      <w:r w:rsidR="007E7766">
        <w:rPr>
          <w:rFonts w:ascii="Times New Roman" w:hAnsi="Times New Roman" w:cs="Times New Roman"/>
          <w:sz w:val="24"/>
          <w:szCs w:val="24"/>
        </w:rPr>
        <w:t xml:space="preserve">Emissions from </w:t>
      </w:r>
      <w:r w:rsidR="007E7766" w:rsidRPr="007E7766">
        <w:rPr>
          <w:rFonts w:ascii="Times New Roman" w:hAnsi="Times New Roman" w:cs="Times New Roman"/>
          <w:sz w:val="24"/>
          <w:szCs w:val="24"/>
        </w:rPr>
        <w:t>categorically insignificant activities</w:t>
      </w:r>
      <w:r w:rsidR="007E7766">
        <w:rPr>
          <w:rFonts w:ascii="Times New Roman" w:hAnsi="Times New Roman" w:cs="Times New Roman"/>
          <w:sz w:val="24"/>
          <w:szCs w:val="24"/>
        </w:rPr>
        <w:t xml:space="preserve"> installed after April 1, 2014 are not grandfathered from triggering the requirements of 340-222-0041(4)</w:t>
      </w:r>
      <w:r w:rsidR="008C2CC3">
        <w:rPr>
          <w:rFonts w:ascii="Times New Roman" w:hAnsi="Times New Roman" w:cs="Times New Roman"/>
          <w:sz w:val="24"/>
          <w:szCs w:val="24"/>
        </w:rPr>
        <w:t xml:space="preserve">. </w:t>
      </w:r>
    </w:p>
    <w:p w:rsidR="00345908" w:rsidRDefault="00345908" w:rsidP="00345908">
      <w:pPr>
        <w:pStyle w:val="ListParagraph"/>
        <w:ind w:left="0"/>
        <w:rPr>
          <w:rFonts w:ascii="Times New Roman" w:hAnsi="Times New Roman" w:cs="Times New Roman"/>
          <w:sz w:val="24"/>
          <w:szCs w:val="24"/>
        </w:rPr>
      </w:pPr>
    </w:p>
    <w:p w:rsidR="00896858" w:rsidRDefault="00896858" w:rsidP="00896858">
      <w:pPr>
        <w:pStyle w:val="Heading2"/>
      </w:pPr>
      <w:bookmarkStart w:id="24" w:name="_Toc366837615"/>
      <w:r>
        <w:t>Update ACDP source categories – Table 1 changes</w:t>
      </w:r>
      <w:bookmarkEnd w:id="24"/>
    </w:p>
    <w:p w:rsidR="00400E8D" w:rsidRDefault="00400E8D" w:rsidP="00400E8D">
      <w:pPr>
        <w:rPr>
          <w:rFonts w:ascii="Times New Roman" w:hAnsi="Times New Roman" w:cs="Times New Roman"/>
          <w:bCs/>
          <w:sz w:val="24"/>
          <w:szCs w:val="24"/>
        </w:rPr>
      </w:pPr>
      <w:r>
        <w:rPr>
          <w:rFonts w:ascii="Times New Roman" w:hAnsi="Times New Roman" w:cs="Times New Roman"/>
          <w:bCs/>
          <w:sz w:val="24"/>
          <w:szCs w:val="24"/>
        </w:rPr>
        <w:t xml:space="preserve">DEQ has added a lead-in to Table 1 </w:t>
      </w:r>
      <w:r w:rsidR="00BB1CC4">
        <w:rPr>
          <w:rFonts w:ascii="Times New Roman" w:hAnsi="Times New Roman" w:cs="Times New Roman"/>
          <w:bCs/>
          <w:sz w:val="24"/>
          <w:szCs w:val="24"/>
        </w:rPr>
        <w:t xml:space="preserve">in division 216 </w:t>
      </w:r>
      <w:r>
        <w:rPr>
          <w:rFonts w:ascii="Times New Roman" w:hAnsi="Times New Roman" w:cs="Times New Roman"/>
          <w:bCs/>
          <w:sz w:val="24"/>
          <w:szCs w:val="24"/>
        </w:rPr>
        <w:t>which lists the sources that are required to obtain air permits</w:t>
      </w:r>
      <w:r w:rsidR="008C2CC3">
        <w:rPr>
          <w:rFonts w:ascii="Times New Roman" w:hAnsi="Times New Roman" w:cs="Times New Roman"/>
          <w:bCs/>
          <w:sz w:val="24"/>
          <w:szCs w:val="24"/>
        </w:rPr>
        <w:t xml:space="preserve">. </w:t>
      </w:r>
      <w:r>
        <w:rPr>
          <w:rFonts w:ascii="Times New Roman" w:hAnsi="Times New Roman" w:cs="Times New Roman"/>
          <w:bCs/>
          <w:sz w:val="24"/>
          <w:szCs w:val="24"/>
        </w:rPr>
        <w:t>This should make it clear to business that m</w:t>
      </w:r>
      <w:r w:rsidRPr="00400E8D">
        <w:rPr>
          <w:rFonts w:ascii="Times New Roman" w:hAnsi="Times New Roman" w:cs="Times New Roman"/>
          <w:bCs/>
          <w:sz w:val="24"/>
          <w:szCs w:val="24"/>
        </w:rPr>
        <w:t xml:space="preserve">ore than one source category in Table 1 may apply to a </w:t>
      </w:r>
      <w:r w:rsidR="00206A3A">
        <w:rPr>
          <w:rFonts w:ascii="Times New Roman" w:hAnsi="Times New Roman" w:cs="Times New Roman"/>
          <w:bCs/>
          <w:sz w:val="24"/>
          <w:szCs w:val="24"/>
        </w:rPr>
        <w:t xml:space="preserve">facility </w:t>
      </w:r>
      <w:r w:rsidRPr="00400E8D">
        <w:rPr>
          <w:rFonts w:ascii="Times New Roman" w:hAnsi="Times New Roman" w:cs="Times New Roman"/>
          <w:bCs/>
          <w:sz w:val="24"/>
          <w:szCs w:val="24"/>
        </w:rPr>
        <w:t>and they are not necessarily listed in alphabetic order</w:t>
      </w:r>
      <w:r w:rsidR="008C2CC3">
        <w:rPr>
          <w:rFonts w:ascii="Times New Roman" w:hAnsi="Times New Roman" w:cs="Times New Roman"/>
          <w:bCs/>
          <w:sz w:val="24"/>
          <w:szCs w:val="24"/>
        </w:rPr>
        <w:t xml:space="preserve">. </w:t>
      </w:r>
      <w:r w:rsidRPr="00400E8D">
        <w:rPr>
          <w:rFonts w:ascii="Times New Roman" w:hAnsi="Times New Roman" w:cs="Times New Roman"/>
          <w:bCs/>
          <w:sz w:val="24"/>
          <w:szCs w:val="24"/>
        </w:rPr>
        <w:t>If more than one source category in Table 1 applies to a source, the highest level of permit specified in Part A, B, or C is required.</w:t>
      </w:r>
      <w:r w:rsidR="00BB1CC4" w:rsidRPr="00BB1CC4">
        <w:rPr>
          <w:rFonts w:ascii="Times New Roman" w:hAnsi="Times New Roman" w:cs="Times New Roman"/>
          <w:bCs/>
          <w:sz w:val="24"/>
          <w:szCs w:val="24"/>
        </w:rPr>
        <w:t xml:space="preserve"> There have been problems with businesses thinking that only one category applies</w:t>
      </w:r>
      <w:r w:rsidR="008C2CC3">
        <w:rPr>
          <w:rFonts w:ascii="Times New Roman" w:hAnsi="Times New Roman" w:cs="Times New Roman"/>
          <w:bCs/>
          <w:sz w:val="24"/>
          <w:szCs w:val="24"/>
        </w:rPr>
        <w:t xml:space="preserve">. </w:t>
      </w:r>
      <w:r w:rsidR="00F77F8F">
        <w:rPr>
          <w:rFonts w:ascii="Times New Roman" w:hAnsi="Times New Roman" w:cs="Times New Roman"/>
          <w:bCs/>
          <w:sz w:val="24"/>
          <w:szCs w:val="24"/>
        </w:rPr>
        <w:t xml:space="preserve">Numerous changes have been made to clarify which sources are required to get air permits. </w:t>
      </w:r>
    </w:p>
    <w:p w:rsidR="002B3B3E" w:rsidRDefault="00DD747A" w:rsidP="00DD747A">
      <w:pPr>
        <w:rPr>
          <w:rFonts w:ascii="Times New Roman" w:hAnsi="Times New Roman" w:cs="Times New Roman"/>
          <w:bCs/>
          <w:sz w:val="24"/>
          <w:szCs w:val="24"/>
        </w:rPr>
      </w:pPr>
      <w:r>
        <w:rPr>
          <w:rFonts w:ascii="Times New Roman" w:hAnsi="Times New Roman" w:cs="Times New Roman"/>
          <w:bCs/>
          <w:sz w:val="24"/>
          <w:szCs w:val="24"/>
        </w:rPr>
        <w:t>DEQ is proposing to handle emergency gene</w:t>
      </w:r>
      <w:bookmarkStart w:id="25" w:name="40:13.0.1.1.1"/>
      <w:r w:rsidR="00206A3A">
        <w:rPr>
          <w:rFonts w:ascii="Times New Roman" w:hAnsi="Times New Roman" w:cs="Times New Roman"/>
          <w:bCs/>
          <w:sz w:val="24"/>
          <w:szCs w:val="24"/>
        </w:rPr>
        <w:t xml:space="preserve">rators differently than before. </w:t>
      </w:r>
      <w:r>
        <w:rPr>
          <w:rFonts w:ascii="Times New Roman" w:hAnsi="Times New Roman" w:cs="Times New Roman"/>
          <w:bCs/>
          <w:sz w:val="24"/>
          <w:szCs w:val="24"/>
        </w:rPr>
        <w:t xml:space="preserve">40 CFR </w:t>
      </w:r>
      <w:r w:rsidRPr="00DD747A">
        <w:rPr>
          <w:rFonts w:ascii="Times New Roman" w:hAnsi="Times New Roman" w:cs="Times New Roman"/>
          <w:bCs/>
          <w:sz w:val="24"/>
          <w:szCs w:val="24"/>
        </w:rPr>
        <w:t>P</w:t>
      </w:r>
      <w:r>
        <w:rPr>
          <w:rFonts w:ascii="Times New Roman" w:hAnsi="Times New Roman" w:cs="Times New Roman"/>
          <w:bCs/>
          <w:sz w:val="24"/>
          <w:szCs w:val="24"/>
        </w:rPr>
        <w:t>ar</w:t>
      </w:r>
      <w:bookmarkEnd w:id="25"/>
      <w:r w:rsidR="00206A3A">
        <w:rPr>
          <w:rFonts w:ascii="Times New Roman" w:hAnsi="Times New Roman" w:cs="Times New Roman"/>
          <w:bCs/>
          <w:sz w:val="24"/>
          <w:szCs w:val="24"/>
        </w:rPr>
        <w:t xml:space="preserve">t 63 </w:t>
      </w:r>
      <w:r w:rsidRPr="00DD747A">
        <w:rPr>
          <w:rFonts w:ascii="Times New Roman" w:hAnsi="Times New Roman" w:cs="Times New Roman"/>
          <w:bCs/>
          <w:sz w:val="24"/>
          <w:szCs w:val="24"/>
        </w:rPr>
        <w:t>Subpart ZZZZ—National Emissions Standards for Hazardous Air Pollutants for Stationary Reciprocating Internal Combustion Engines</w:t>
      </w:r>
      <w:r>
        <w:rPr>
          <w:rFonts w:ascii="Times New Roman" w:hAnsi="Times New Roman" w:cs="Times New Roman"/>
          <w:bCs/>
          <w:sz w:val="24"/>
          <w:szCs w:val="24"/>
        </w:rPr>
        <w:t xml:space="preserve"> has </w:t>
      </w:r>
      <w:r w:rsidR="00AF3245">
        <w:rPr>
          <w:rFonts w:ascii="Times New Roman" w:hAnsi="Times New Roman" w:cs="Times New Roman"/>
          <w:bCs/>
          <w:sz w:val="24"/>
          <w:szCs w:val="24"/>
        </w:rPr>
        <w:t xml:space="preserve">testing </w:t>
      </w:r>
      <w:r w:rsidRPr="00DD747A">
        <w:rPr>
          <w:rFonts w:ascii="Times New Roman" w:hAnsi="Times New Roman" w:cs="Times New Roman"/>
          <w:bCs/>
          <w:sz w:val="24"/>
          <w:szCs w:val="24"/>
        </w:rPr>
        <w:t>requirements for emergency generators that were previously considered categorica</w:t>
      </w:r>
      <w:r w:rsidR="002B3B3E">
        <w:rPr>
          <w:rFonts w:ascii="Times New Roman" w:hAnsi="Times New Roman" w:cs="Times New Roman"/>
          <w:bCs/>
          <w:sz w:val="24"/>
          <w:szCs w:val="24"/>
        </w:rPr>
        <w:t>lly insignificant activities</w:t>
      </w:r>
      <w:r w:rsidR="008C2CC3">
        <w:rPr>
          <w:rFonts w:ascii="Times New Roman" w:hAnsi="Times New Roman" w:cs="Times New Roman"/>
          <w:bCs/>
          <w:sz w:val="24"/>
          <w:szCs w:val="24"/>
        </w:rPr>
        <w:t xml:space="preserve">. </w:t>
      </w:r>
      <w:r w:rsidR="002B3B3E">
        <w:rPr>
          <w:rFonts w:ascii="Times New Roman" w:hAnsi="Times New Roman" w:cs="Times New Roman"/>
          <w:bCs/>
          <w:sz w:val="24"/>
          <w:szCs w:val="24"/>
        </w:rPr>
        <w:t xml:space="preserve">Therefore, DEQ is adding </w:t>
      </w:r>
      <w:r w:rsidR="00AF3245">
        <w:rPr>
          <w:rFonts w:ascii="Times New Roman" w:hAnsi="Times New Roman" w:cs="Times New Roman"/>
          <w:bCs/>
          <w:sz w:val="24"/>
          <w:szCs w:val="24"/>
        </w:rPr>
        <w:t xml:space="preserve">these sources as </w:t>
      </w:r>
      <w:r w:rsidR="00B337DA">
        <w:rPr>
          <w:rFonts w:ascii="Times New Roman" w:hAnsi="Times New Roman" w:cs="Times New Roman"/>
          <w:bCs/>
          <w:sz w:val="24"/>
          <w:szCs w:val="24"/>
        </w:rPr>
        <w:t>a new category</w:t>
      </w:r>
      <w:r w:rsidR="002B3B3E">
        <w:rPr>
          <w:rFonts w:ascii="Times New Roman" w:hAnsi="Times New Roman" w:cs="Times New Roman"/>
          <w:bCs/>
          <w:sz w:val="24"/>
          <w:szCs w:val="24"/>
        </w:rPr>
        <w:t xml:space="preserve"> that </w:t>
      </w:r>
      <w:r w:rsidR="00B337DA">
        <w:rPr>
          <w:rFonts w:ascii="Times New Roman" w:hAnsi="Times New Roman" w:cs="Times New Roman"/>
          <w:bCs/>
          <w:sz w:val="24"/>
          <w:szCs w:val="24"/>
        </w:rPr>
        <w:t xml:space="preserve">is </w:t>
      </w:r>
      <w:r w:rsidR="002B3B3E">
        <w:rPr>
          <w:rFonts w:ascii="Times New Roman" w:hAnsi="Times New Roman" w:cs="Times New Roman"/>
          <w:bCs/>
          <w:sz w:val="24"/>
          <w:szCs w:val="24"/>
        </w:rPr>
        <w:t>required to get air permit</w:t>
      </w:r>
      <w:r w:rsidR="00B337DA">
        <w:rPr>
          <w:rFonts w:ascii="Times New Roman" w:hAnsi="Times New Roman" w:cs="Times New Roman"/>
          <w:bCs/>
          <w:sz w:val="24"/>
          <w:szCs w:val="24"/>
        </w:rPr>
        <w:t>s</w:t>
      </w:r>
      <w:r w:rsidR="00206A3A">
        <w:rPr>
          <w:rFonts w:ascii="Times New Roman" w:hAnsi="Times New Roman" w:cs="Times New Roman"/>
          <w:bCs/>
          <w:sz w:val="24"/>
          <w:szCs w:val="24"/>
        </w:rPr>
        <w:t xml:space="preserve"> and modifying existing category 27</w:t>
      </w:r>
      <w:r w:rsidR="002B3B3E">
        <w:rPr>
          <w:rFonts w:ascii="Times New Roman" w:hAnsi="Times New Roman" w:cs="Times New Roman"/>
          <w:bCs/>
          <w:sz w:val="24"/>
          <w:szCs w:val="24"/>
        </w:rPr>
        <w:t>:</w:t>
      </w:r>
    </w:p>
    <w:p w:rsidR="00B337DA" w:rsidRPr="00B337DA" w:rsidRDefault="00B337DA" w:rsidP="00B337DA">
      <w:pPr>
        <w:ind w:left="720"/>
        <w:rPr>
          <w:rFonts w:ascii="Times New Roman" w:hAnsi="Times New Roman" w:cs="Times New Roman"/>
          <w:bCs/>
          <w:sz w:val="24"/>
          <w:szCs w:val="24"/>
        </w:rPr>
      </w:pPr>
      <w:r w:rsidRPr="00B337DA">
        <w:rPr>
          <w:rFonts w:ascii="Times New Roman" w:hAnsi="Times New Roman" w:cs="Times New Roman"/>
          <w:bCs/>
          <w:sz w:val="24"/>
          <w:szCs w:val="24"/>
        </w:rPr>
        <w:t>27</w:t>
      </w:r>
      <w:r w:rsidR="008C2CC3">
        <w:rPr>
          <w:rFonts w:ascii="Times New Roman" w:hAnsi="Times New Roman" w:cs="Times New Roman"/>
          <w:bCs/>
          <w:sz w:val="24"/>
          <w:szCs w:val="24"/>
        </w:rPr>
        <w:t xml:space="preserve">. </w:t>
      </w:r>
      <w:r w:rsidRPr="00B337DA">
        <w:rPr>
          <w:rFonts w:ascii="Times New Roman" w:hAnsi="Times New Roman" w:cs="Times New Roman"/>
          <w:bCs/>
          <w:sz w:val="24"/>
          <w:szCs w:val="24"/>
        </w:rPr>
        <w:t>     Stationary reciprocating internal combustion engines used for</w:t>
      </w:r>
      <w:r w:rsidRPr="00B337DA">
        <w:rPr>
          <w:rFonts w:ascii="Times New Roman" w:hAnsi="Times New Roman" w:cs="Times New Roman"/>
          <w:bCs/>
          <w:i/>
          <w:iCs/>
          <w:sz w:val="24"/>
          <w:szCs w:val="24"/>
        </w:rPr>
        <w:t xml:space="preserve"> </w:t>
      </w:r>
      <w:r w:rsidRPr="00B337DA">
        <w:rPr>
          <w:rFonts w:ascii="Times New Roman" w:hAnsi="Times New Roman" w:cs="Times New Roman"/>
          <w:bCs/>
          <w:sz w:val="24"/>
          <w:szCs w:val="24"/>
        </w:rPr>
        <w:t xml:space="preserve">electrical power generation or to power pumps or compressors, with a site rating of 500 horsepower or more, excluding 2-stroke lean burn engines </w:t>
      </w:r>
    </w:p>
    <w:p w:rsidR="00B337DA" w:rsidRPr="00B337DA" w:rsidRDefault="00B337DA" w:rsidP="00B337DA">
      <w:pPr>
        <w:ind w:left="720"/>
        <w:rPr>
          <w:rFonts w:ascii="Times New Roman" w:hAnsi="Times New Roman" w:cs="Times New Roman"/>
          <w:bCs/>
          <w:sz w:val="24"/>
          <w:szCs w:val="24"/>
        </w:rPr>
      </w:pPr>
      <w:r w:rsidRPr="00B337DA">
        <w:rPr>
          <w:rFonts w:ascii="Times New Roman" w:hAnsi="Times New Roman" w:cs="Times New Roman"/>
          <w:bCs/>
          <w:sz w:val="24"/>
          <w:szCs w:val="24"/>
        </w:rPr>
        <w:t>28</w:t>
      </w:r>
      <w:r w:rsidR="008C2CC3">
        <w:rPr>
          <w:rFonts w:ascii="Times New Roman" w:hAnsi="Times New Roman" w:cs="Times New Roman"/>
          <w:bCs/>
          <w:sz w:val="24"/>
          <w:szCs w:val="24"/>
        </w:rPr>
        <w:t xml:space="preserve">. </w:t>
      </w:r>
      <w:r w:rsidRPr="00B337DA">
        <w:rPr>
          <w:rFonts w:ascii="Times New Roman" w:hAnsi="Times New Roman" w:cs="Times New Roman"/>
          <w:bCs/>
          <w:sz w:val="24"/>
          <w:szCs w:val="24"/>
        </w:rPr>
        <w:t xml:space="preserve">     Stationary emergency generators and firewater pumps that are </w:t>
      </w:r>
      <w:r w:rsidR="00AF3245">
        <w:rPr>
          <w:rFonts w:ascii="Times New Roman" w:hAnsi="Times New Roman" w:cs="Times New Roman"/>
          <w:bCs/>
          <w:sz w:val="24"/>
          <w:szCs w:val="24"/>
        </w:rPr>
        <w:t xml:space="preserve">each </w:t>
      </w:r>
      <w:r w:rsidRPr="00B337DA">
        <w:rPr>
          <w:rFonts w:ascii="Times New Roman" w:hAnsi="Times New Roman" w:cs="Times New Roman"/>
          <w:bCs/>
          <w:sz w:val="24"/>
          <w:szCs w:val="24"/>
        </w:rPr>
        <w:t>rated at 500 horsepower or more</w:t>
      </w:r>
    </w:p>
    <w:p w:rsidR="00194290" w:rsidRDefault="00206A3A" w:rsidP="000D7AE6">
      <w:pPr>
        <w:rPr>
          <w:rFonts w:ascii="Times New Roman" w:hAnsi="Times New Roman" w:cs="Times New Roman"/>
          <w:sz w:val="24"/>
          <w:szCs w:val="24"/>
        </w:rPr>
      </w:pPr>
      <w:r>
        <w:rPr>
          <w:rFonts w:ascii="Times New Roman" w:hAnsi="Times New Roman" w:cs="Times New Roman"/>
          <w:sz w:val="24"/>
          <w:szCs w:val="24"/>
        </w:rPr>
        <w:t xml:space="preserve">Changes to Category 27 are proposed that will </w:t>
      </w:r>
      <w:r w:rsidR="00194290">
        <w:rPr>
          <w:rFonts w:ascii="Times New Roman" w:hAnsi="Times New Roman" w:cs="Times New Roman"/>
          <w:sz w:val="24"/>
          <w:szCs w:val="24"/>
        </w:rPr>
        <w:t xml:space="preserve">require permits for stationary </w:t>
      </w:r>
      <w:r w:rsidR="00AF3245">
        <w:rPr>
          <w:rFonts w:ascii="Times New Roman" w:hAnsi="Times New Roman" w:cs="Times New Roman"/>
          <w:sz w:val="24"/>
          <w:szCs w:val="24"/>
        </w:rPr>
        <w:t xml:space="preserve">reciprocating internal combustion engines used for </w:t>
      </w:r>
      <w:r w:rsidR="00194290">
        <w:rPr>
          <w:rFonts w:ascii="Times New Roman" w:hAnsi="Times New Roman" w:cs="Times New Roman"/>
          <w:sz w:val="24"/>
          <w:szCs w:val="24"/>
        </w:rPr>
        <w:t xml:space="preserve">electrical power generation </w:t>
      </w:r>
      <w:r w:rsidR="00AF3245">
        <w:rPr>
          <w:rFonts w:ascii="Times New Roman" w:hAnsi="Times New Roman" w:cs="Times New Roman"/>
          <w:sz w:val="24"/>
          <w:szCs w:val="24"/>
        </w:rPr>
        <w:t xml:space="preserve">or to power pumps or compressors </w:t>
      </w:r>
      <w:r w:rsidR="00194290">
        <w:rPr>
          <w:rFonts w:ascii="Times New Roman" w:hAnsi="Times New Roman" w:cs="Times New Roman"/>
          <w:sz w:val="24"/>
          <w:szCs w:val="24"/>
        </w:rPr>
        <w:t xml:space="preserve">with a </w:t>
      </w:r>
      <w:r w:rsidR="00AF3245">
        <w:rPr>
          <w:rFonts w:ascii="Times New Roman" w:hAnsi="Times New Roman" w:cs="Times New Roman"/>
          <w:sz w:val="24"/>
          <w:szCs w:val="24"/>
        </w:rPr>
        <w:t xml:space="preserve">site rating of </w:t>
      </w:r>
      <w:r w:rsidR="00194290">
        <w:rPr>
          <w:rFonts w:ascii="Times New Roman" w:hAnsi="Times New Roman" w:cs="Times New Roman"/>
          <w:sz w:val="24"/>
          <w:szCs w:val="24"/>
        </w:rPr>
        <w:t>500 horsepower or more</w:t>
      </w:r>
      <w:r w:rsidR="006E06FF">
        <w:rPr>
          <w:rFonts w:ascii="Times New Roman" w:hAnsi="Times New Roman" w:cs="Times New Roman"/>
          <w:sz w:val="24"/>
          <w:szCs w:val="24"/>
        </w:rPr>
        <w:t xml:space="preserve">. There are no requirements for </w:t>
      </w:r>
      <w:r w:rsidR="00194290">
        <w:rPr>
          <w:rFonts w:ascii="Times New Roman" w:hAnsi="Times New Roman" w:cs="Times New Roman"/>
          <w:sz w:val="24"/>
          <w:szCs w:val="24"/>
        </w:rPr>
        <w:t>2-stroke lean burn engines</w:t>
      </w:r>
      <w:r w:rsidR="006E06FF">
        <w:rPr>
          <w:rFonts w:ascii="Times New Roman" w:hAnsi="Times New Roman" w:cs="Times New Roman"/>
          <w:sz w:val="24"/>
          <w:szCs w:val="24"/>
        </w:rPr>
        <w:t xml:space="preserve"> so they are exempt from permitting</w:t>
      </w:r>
      <w:r w:rsidR="00194290">
        <w:rPr>
          <w:rFonts w:ascii="Times New Roman" w:hAnsi="Times New Roman" w:cs="Times New Roman"/>
          <w:sz w:val="24"/>
          <w:szCs w:val="24"/>
        </w:rPr>
        <w:t xml:space="preserve">. </w:t>
      </w:r>
      <w:r w:rsidR="00C07856">
        <w:rPr>
          <w:rFonts w:ascii="Times New Roman" w:hAnsi="Times New Roman" w:cs="Times New Roman"/>
          <w:sz w:val="24"/>
          <w:szCs w:val="24"/>
        </w:rPr>
        <w:t xml:space="preserve">A general permit will be developed for Category 28, </w:t>
      </w:r>
      <w:r w:rsidR="00C07856" w:rsidRPr="00C07856">
        <w:rPr>
          <w:rFonts w:ascii="Times New Roman" w:hAnsi="Times New Roman" w:cs="Times New Roman"/>
          <w:bCs/>
          <w:sz w:val="24"/>
          <w:szCs w:val="24"/>
        </w:rPr>
        <w:t>Stationary emergency generators and firewater pumps that are each rated at 500 horsepower or more</w:t>
      </w:r>
      <w:r w:rsidR="00C07856">
        <w:rPr>
          <w:rFonts w:ascii="Times New Roman" w:hAnsi="Times New Roman" w:cs="Times New Roman"/>
          <w:bCs/>
          <w:sz w:val="24"/>
          <w:szCs w:val="24"/>
        </w:rPr>
        <w:t>.</w:t>
      </w:r>
    </w:p>
    <w:p w:rsidR="00D84E11" w:rsidRPr="00400E8D" w:rsidRDefault="00D84E11" w:rsidP="00D84E11">
      <w:pPr>
        <w:rPr>
          <w:rFonts w:ascii="Times New Roman" w:hAnsi="Times New Roman" w:cs="Times New Roman"/>
          <w:sz w:val="24"/>
          <w:szCs w:val="24"/>
        </w:rPr>
      </w:pPr>
    </w:p>
    <w:p w:rsidR="00896858" w:rsidRPr="00896858" w:rsidRDefault="00896858" w:rsidP="00896858">
      <w:pPr>
        <w:pStyle w:val="Heading2"/>
      </w:pPr>
      <w:bookmarkStart w:id="26" w:name="_Toc366837616"/>
      <w:r>
        <w:t>Improve ACDP timeliness</w:t>
      </w:r>
      <w:bookmarkEnd w:id="26"/>
    </w:p>
    <w:p w:rsidR="00896858" w:rsidRPr="001E11C5" w:rsidRDefault="001E11C5" w:rsidP="00896858">
      <w:pPr>
        <w:rPr>
          <w:rFonts w:ascii="Times New Roman" w:hAnsi="Times New Roman" w:cs="Times New Roman"/>
          <w:bCs/>
          <w:sz w:val="24"/>
          <w:szCs w:val="24"/>
        </w:rPr>
      </w:pPr>
      <w:r w:rsidRPr="001E11C5">
        <w:rPr>
          <w:rFonts w:ascii="Times New Roman" w:hAnsi="Times New Roman" w:cs="Times New Roman"/>
          <w:bCs/>
          <w:sz w:val="24"/>
          <w:szCs w:val="24"/>
        </w:rPr>
        <w:t>DEQ is proposing a change to when Air Contaminant Discharge Permit holders are required to submit renewal or modification applications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Currently these businesses are required to submit applications 60 days before a permit is needed</w:t>
      </w:r>
      <w:r w:rsidR="000701B3">
        <w:rPr>
          <w:rFonts w:ascii="Times New Roman" w:hAnsi="Times New Roman" w:cs="Times New Roman"/>
          <w:bCs/>
          <w:sz w:val="24"/>
          <w:szCs w:val="24"/>
        </w:rPr>
        <w:t xml:space="preserve"> or expires</w:t>
      </w:r>
      <w:r w:rsidRPr="001E11C5">
        <w:rPr>
          <w:rFonts w:ascii="Times New Roman" w:hAnsi="Times New Roman" w:cs="Times New Roman"/>
          <w:bCs/>
          <w:sz w:val="24"/>
          <w:szCs w:val="24"/>
        </w:rPr>
        <w:t>. Some ACDPs are quite complicated and changes to the permit cannot be completed in 60 days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Therefore, DEQ is requiring these applications to be submitted 180 days before a permit is needed</w:t>
      </w:r>
      <w:r w:rsidR="000701B3">
        <w:rPr>
          <w:rFonts w:ascii="Times New Roman" w:hAnsi="Times New Roman" w:cs="Times New Roman"/>
          <w:bCs/>
          <w:sz w:val="24"/>
          <w:szCs w:val="24"/>
        </w:rPr>
        <w:t xml:space="preserve"> or expires</w:t>
      </w:r>
      <w:r w:rsidRPr="001E11C5">
        <w:rPr>
          <w:rFonts w:ascii="Times New Roman" w:hAnsi="Times New Roman" w:cs="Times New Roman"/>
          <w:bCs/>
          <w:sz w:val="24"/>
          <w:szCs w:val="24"/>
        </w:rPr>
        <w:t>, rather than 60 days</w:t>
      </w:r>
      <w:r w:rsidR="008C2CC3">
        <w:rPr>
          <w:rFonts w:ascii="Times New Roman" w:hAnsi="Times New Roman" w:cs="Times New Roman"/>
          <w:bCs/>
          <w:sz w:val="24"/>
          <w:szCs w:val="24"/>
        </w:rPr>
        <w:t xml:space="preserve">. </w:t>
      </w:r>
      <w:r w:rsidRPr="001E11C5">
        <w:rPr>
          <w:rFonts w:ascii="Times New Roman" w:hAnsi="Times New Roman" w:cs="Times New Roman"/>
          <w:bCs/>
          <w:sz w:val="24"/>
          <w:szCs w:val="24"/>
        </w:rPr>
        <w:t>This change will help DEQ issue more timely permits</w:t>
      </w:r>
      <w:r w:rsidR="008C2CC3">
        <w:rPr>
          <w:rFonts w:ascii="Times New Roman" w:hAnsi="Times New Roman" w:cs="Times New Roman"/>
          <w:bCs/>
          <w:sz w:val="24"/>
          <w:szCs w:val="24"/>
        </w:rPr>
        <w:t xml:space="preserve">. </w:t>
      </w:r>
    </w:p>
    <w:sectPr w:rsidR="00896858" w:rsidRPr="001E11C5" w:rsidSect="0003575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 w:author="Preferred Customer" w:date="2013-05-28T09:23:00Z" w:initials="JSI">
    <w:p w:rsidR="005F6323" w:rsidRDefault="005F6323">
      <w:pPr>
        <w:pStyle w:val="CommentText"/>
      </w:pPr>
      <w:r>
        <w:rPr>
          <w:rStyle w:val="CommentReference"/>
        </w:rPr>
        <w:annotationRef/>
      </w:r>
      <w:r>
        <w:t>I know this is a repeat of above but thought we should stress it for enviros.  What do you think?  Maybe it stresses it too much for industry?</w:t>
      </w:r>
    </w:p>
  </w:comment>
  <w:comment w:id="15" w:author="mfisher" w:date="2013-06-05T08:47:00Z" w:initials="mf">
    <w:p w:rsidR="00A91C5A" w:rsidRDefault="00A91C5A">
      <w:pPr>
        <w:pStyle w:val="CommentText"/>
      </w:pPr>
      <w:r>
        <w:rPr>
          <w:rStyle w:val="CommentReference"/>
        </w:rPr>
        <w:annotationRef/>
      </w:r>
      <w:r>
        <w:t>See my NSR discussion, as well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92A" w:rsidRDefault="0029192A" w:rsidP="00035755">
      <w:pPr>
        <w:spacing w:after="0" w:line="240" w:lineRule="auto"/>
      </w:pPr>
      <w:r>
        <w:separator/>
      </w:r>
    </w:p>
  </w:endnote>
  <w:endnote w:type="continuationSeparator" w:id="0">
    <w:p w:rsidR="0029192A" w:rsidRDefault="0029192A" w:rsidP="000357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F7" w:rsidRDefault="009C36A8">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DB72F7">
      <w:rPr>
        <w:rFonts w:asciiTheme="majorHAnsi" w:hAnsiTheme="majorHAnsi"/>
      </w:rPr>
      <w:instrText xml:space="preserve"> DATE \@ "M/d/yyyy h:mm am/pm" </w:instrText>
    </w:r>
    <w:r>
      <w:rPr>
        <w:rFonts w:asciiTheme="majorHAnsi" w:hAnsiTheme="majorHAnsi"/>
      </w:rPr>
      <w:fldChar w:fldCharType="separate"/>
    </w:r>
    <w:r w:rsidR="0075582D">
      <w:rPr>
        <w:rFonts w:asciiTheme="majorHAnsi" w:hAnsiTheme="majorHAnsi"/>
        <w:noProof/>
      </w:rPr>
      <w:t>9/13/2013 12:25 PM</w:t>
    </w:r>
    <w:r>
      <w:rPr>
        <w:rFonts w:asciiTheme="majorHAnsi" w:hAnsiTheme="majorHAnsi"/>
      </w:rPr>
      <w:fldChar w:fldCharType="end"/>
    </w:r>
    <w:r w:rsidR="00DB72F7">
      <w:rPr>
        <w:rFonts w:asciiTheme="majorHAnsi" w:hAnsiTheme="majorHAnsi"/>
      </w:rPr>
      <w:ptab w:relativeTo="margin" w:alignment="right" w:leader="none"/>
    </w:r>
    <w:r w:rsidR="00DB72F7">
      <w:rPr>
        <w:rFonts w:asciiTheme="majorHAnsi" w:hAnsiTheme="majorHAnsi"/>
      </w:rPr>
      <w:t xml:space="preserve">Page </w:t>
    </w:r>
    <w:r w:rsidRPr="009C36A8">
      <w:fldChar w:fldCharType="begin"/>
    </w:r>
    <w:r w:rsidR="00DB72F7">
      <w:instrText xml:space="preserve"> PAGE   \* MERGEFORMAT </w:instrText>
    </w:r>
    <w:r w:rsidRPr="009C36A8">
      <w:fldChar w:fldCharType="separate"/>
    </w:r>
    <w:r w:rsidR="0075582D" w:rsidRPr="0075582D">
      <w:rPr>
        <w:rFonts w:asciiTheme="majorHAnsi" w:hAnsiTheme="majorHAnsi"/>
        <w:noProof/>
      </w:rPr>
      <w:t>17</w:t>
    </w:r>
    <w:r>
      <w:rPr>
        <w:rFonts w:asciiTheme="majorHAnsi" w:hAnsiTheme="majorHAnsi"/>
        <w:noProof/>
      </w:rPr>
      <w:fldChar w:fldCharType="end"/>
    </w:r>
  </w:p>
  <w:p w:rsidR="00DB72F7" w:rsidRDefault="00DB72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92A" w:rsidRDefault="0029192A" w:rsidP="00035755">
      <w:pPr>
        <w:spacing w:after="0" w:line="240" w:lineRule="auto"/>
      </w:pPr>
      <w:r>
        <w:separator/>
      </w:r>
    </w:p>
  </w:footnote>
  <w:footnote w:type="continuationSeparator" w:id="0">
    <w:p w:rsidR="0029192A" w:rsidRDefault="0029192A" w:rsidP="000357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409"/>
    <w:multiLevelType w:val="hybridMultilevel"/>
    <w:tmpl w:val="5F8E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06099"/>
    <w:multiLevelType w:val="hybridMultilevel"/>
    <w:tmpl w:val="9C620448"/>
    <w:lvl w:ilvl="0" w:tplc="6264F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E1E51"/>
    <w:multiLevelType w:val="hybridMultilevel"/>
    <w:tmpl w:val="64DCC7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615E8"/>
    <w:multiLevelType w:val="hybridMultilevel"/>
    <w:tmpl w:val="52EE0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9">
    <w:nsid w:val="3587496D"/>
    <w:multiLevelType w:val="hybridMultilevel"/>
    <w:tmpl w:val="5EDC88D8"/>
    <w:lvl w:ilvl="0" w:tplc="3640A3CE">
      <w:start w:val="1"/>
      <w:numFmt w:val="bullet"/>
      <w:lvlText w:val=""/>
      <w:lvlJc w:val="left"/>
      <w:pPr>
        <w:tabs>
          <w:tab w:val="num" w:pos="720"/>
        </w:tabs>
        <w:ind w:left="720" w:hanging="360"/>
      </w:pPr>
      <w:rPr>
        <w:rFonts w:ascii="Wingdings 2" w:hAnsi="Wingdings 2" w:hint="default"/>
      </w:rPr>
    </w:lvl>
    <w:lvl w:ilvl="1" w:tplc="B128C81C" w:tentative="1">
      <w:start w:val="1"/>
      <w:numFmt w:val="bullet"/>
      <w:lvlText w:val=""/>
      <w:lvlJc w:val="left"/>
      <w:pPr>
        <w:tabs>
          <w:tab w:val="num" w:pos="1440"/>
        </w:tabs>
        <w:ind w:left="1440" w:hanging="360"/>
      </w:pPr>
      <w:rPr>
        <w:rFonts w:ascii="Wingdings 2" w:hAnsi="Wingdings 2" w:hint="default"/>
      </w:rPr>
    </w:lvl>
    <w:lvl w:ilvl="2" w:tplc="4C4670DA" w:tentative="1">
      <w:start w:val="1"/>
      <w:numFmt w:val="bullet"/>
      <w:lvlText w:val=""/>
      <w:lvlJc w:val="left"/>
      <w:pPr>
        <w:tabs>
          <w:tab w:val="num" w:pos="2160"/>
        </w:tabs>
        <w:ind w:left="2160" w:hanging="360"/>
      </w:pPr>
      <w:rPr>
        <w:rFonts w:ascii="Wingdings 2" w:hAnsi="Wingdings 2" w:hint="default"/>
      </w:rPr>
    </w:lvl>
    <w:lvl w:ilvl="3" w:tplc="C8783020" w:tentative="1">
      <w:start w:val="1"/>
      <w:numFmt w:val="bullet"/>
      <w:lvlText w:val=""/>
      <w:lvlJc w:val="left"/>
      <w:pPr>
        <w:tabs>
          <w:tab w:val="num" w:pos="2880"/>
        </w:tabs>
        <w:ind w:left="2880" w:hanging="360"/>
      </w:pPr>
      <w:rPr>
        <w:rFonts w:ascii="Wingdings 2" w:hAnsi="Wingdings 2" w:hint="default"/>
      </w:rPr>
    </w:lvl>
    <w:lvl w:ilvl="4" w:tplc="B9CEA478" w:tentative="1">
      <w:start w:val="1"/>
      <w:numFmt w:val="bullet"/>
      <w:lvlText w:val=""/>
      <w:lvlJc w:val="left"/>
      <w:pPr>
        <w:tabs>
          <w:tab w:val="num" w:pos="3600"/>
        </w:tabs>
        <w:ind w:left="3600" w:hanging="360"/>
      </w:pPr>
      <w:rPr>
        <w:rFonts w:ascii="Wingdings 2" w:hAnsi="Wingdings 2" w:hint="default"/>
      </w:rPr>
    </w:lvl>
    <w:lvl w:ilvl="5" w:tplc="3C1A205A" w:tentative="1">
      <w:start w:val="1"/>
      <w:numFmt w:val="bullet"/>
      <w:lvlText w:val=""/>
      <w:lvlJc w:val="left"/>
      <w:pPr>
        <w:tabs>
          <w:tab w:val="num" w:pos="4320"/>
        </w:tabs>
        <w:ind w:left="4320" w:hanging="360"/>
      </w:pPr>
      <w:rPr>
        <w:rFonts w:ascii="Wingdings 2" w:hAnsi="Wingdings 2" w:hint="default"/>
      </w:rPr>
    </w:lvl>
    <w:lvl w:ilvl="6" w:tplc="97D65A4A" w:tentative="1">
      <w:start w:val="1"/>
      <w:numFmt w:val="bullet"/>
      <w:lvlText w:val=""/>
      <w:lvlJc w:val="left"/>
      <w:pPr>
        <w:tabs>
          <w:tab w:val="num" w:pos="5040"/>
        </w:tabs>
        <w:ind w:left="5040" w:hanging="360"/>
      </w:pPr>
      <w:rPr>
        <w:rFonts w:ascii="Wingdings 2" w:hAnsi="Wingdings 2" w:hint="default"/>
      </w:rPr>
    </w:lvl>
    <w:lvl w:ilvl="7" w:tplc="5E7C4D42" w:tentative="1">
      <w:start w:val="1"/>
      <w:numFmt w:val="bullet"/>
      <w:lvlText w:val=""/>
      <w:lvlJc w:val="left"/>
      <w:pPr>
        <w:tabs>
          <w:tab w:val="num" w:pos="5760"/>
        </w:tabs>
        <w:ind w:left="5760" w:hanging="360"/>
      </w:pPr>
      <w:rPr>
        <w:rFonts w:ascii="Wingdings 2" w:hAnsi="Wingdings 2" w:hint="default"/>
      </w:rPr>
    </w:lvl>
    <w:lvl w:ilvl="8" w:tplc="70FAA140" w:tentative="1">
      <w:start w:val="1"/>
      <w:numFmt w:val="bullet"/>
      <w:lvlText w:val=""/>
      <w:lvlJc w:val="left"/>
      <w:pPr>
        <w:tabs>
          <w:tab w:val="num" w:pos="6480"/>
        </w:tabs>
        <w:ind w:left="6480" w:hanging="360"/>
      </w:pPr>
      <w:rPr>
        <w:rFonts w:ascii="Wingdings 2" w:hAnsi="Wingdings 2" w:hint="default"/>
      </w:rPr>
    </w:lvl>
  </w:abstractNum>
  <w:abstractNum w:abstractNumId="10">
    <w:nsid w:val="3CE67A76"/>
    <w:multiLevelType w:val="hybridMultilevel"/>
    <w:tmpl w:val="CC92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5659F9"/>
    <w:multiLevelType w:val="hybridMultilevel"/>
    <w:tmpl w:val="85CA310E"/>
    <w:lvl w:ilvl="0" w:tplc="D5722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071BD0"/>
    <w:multiLevelType w:val="hybridMultilevel"/>
    <w:tmpl w:val="2AC2D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53244687"/>
    <w:multiLevelType w:val="hybridMultilevel"/>
    <w:tmpl w:val="198ED9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decimal"/>
      <w:lvlText w:val="%3."/>
      <w:lvlJc w:val="left"/>
      <w:pPr>
        <w:tabs>
          <w:tab w:val="num" w:pos="1890"/>
        </w:tabs>
        <w:ind w:left="1890" w:hanging="360"/>
      </w:pPr>
    </w:lvl>
    <w:lvl w:ilvl="3" w:tplc="04090001">
      <w:start w:val="1"/>
      <w:numFmt w:val="decimal"/>
      <w:lvlText w:val="%4."/>
      <w:lvlJc w:val="left"/>
      <w:pPr>
        <w:tabs>
          <w:tab w:val="num" w:pos="2610"/>
        </w:tabs>
        <w:ind w:left="2610" w:hanging="360"/>
      </w:pPr>
    </w:lvl>
    <w:lvl w:ilvl="4" w:tplc="04090003">
      <w:start w:val="1"/>
      <w:numFmt w:val="decimal"/>
      <w:lvlText w:val="%5."/>
      <w:lvlJc w:val="left"/>
      <w:pPr>
        <w:tabs>
          <w:tab w:val="num" w:pos="3330"/>
        </w:tabs>
        <w:ind w:left="3330" w:hanging="360"/>
      </w:pPr>
    </w:lvl>
    <w:lvl w:ilvl="5" w:tplc="04090005">
      <w:start w:val="1"/>
      <w:numFmt w:val="decimal"/>
      <w:lvlText w:val="%6."/>
      <w:lvlJc w:val="left"/>
      <w:pPr>
        <w:tabs>
          <w:tab w:val="num" w:pos="4050"/>
        </w:tabs>
        <w:ind w:left="4050" w:hanging="360"/>
      </w:pPr>
    </w:lvl>
    <w:lvl w:ilvl="6" w:tplc="04090001">
      <w:start w:val="1"/>
      <w:numFmt w:val="decimal"/>
      <w:lvlText w:val="%7."/>
      <w:lvlJc w:val="left"/>
      <w:pPr>
        <w:tabs>
          <w:tab w:val="num" w:pos="4770"/>
        </w:tabs>
        <w:ind w:left="4770" w:hanging="360"/>
      </w:pPr>
    </w:lvl>
    <w:lvl w:ilvl="7" w:tplc="04090003">
      <w:start w:val="1"/>
      <w:numFmt w:val="decimal"/>
      <w:lvlText w:val="%8."/>
      <w:lvlJc w:val="left"/>
      <w:pPr>
        <w:tabs>
          <w:tab w:val="num" w:pos="5490"/>
        </w:tabs>
        <w:ind w:left="5490" w:hanging="360"/>
      </w:pPr>
    </w:lvl>
    <w:lvl w:ilvl="8" w:tplc="04090005">
      <w:start w:val="1"/>
      <w:numFmt w:val="decimal"/>
      <w:lvlText w:val="%9."/>
      <w:lvlJc w:val="left"/>
      <w:pPr>
        <w:tabs>
          <w:tab w:val="num" w:pos="6210"/>
        </w:tabs>
        <w:ind w:left="6210" w:hanging="360"/>
      </w:pPr>
    </w:lvl>
  </w:abstractNum>
  <w:abstractNum w:abstractNumId="14">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56814BE"/>
    <w:multiLevelType w:val="hybridMultilevel"/>
    <w:tmpl w:val="7A6E48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9DE32AF"/>
    <w:multiLevelType w:val="hybridMultilevel"/>
    <w:tmpl w:val="254C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B31DE5"/>
    <w:multiLevelType w:val="hybridMultilevel"/>
    <w:tmpl w:val="11706B5C"/>
    <w:lvl w:ilvl="0" w:tplc="939A07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0A71035"/>
    <w:multiLevelType w:val="hybridMultilevel"/>
    <w:tmpl w:val="CD3C1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6"/>
  </w:num>
  <w:num w:numId="7">
    <w:abstractNumId w:val="18"/>
  </w:num>
  <w:num w:numId="8">
    <w:abstractNumId w:val="12"/>
  </w:num>
  <w:num w:numId="9">
    <w:abstractNumId w:val="10"/>
  </w:num>
  <w:num w:numId="10">
    <w:abstractNumId w:val="1"/>
  </w:num>
  <w:num w:numId="11">
    <w:abstractNumId w:val="11"/>
  </w:num>
  <w:num w:numId="12">
    <w:abstractNumId w:val="17"/>
  </w:num>
  <w:num w:numId="13">
    <w:abstractNumId w:val="8"/>
  </w:num>
  <w:num w:numId="14">
    <w:abstractNumId w:val="4"/>
  </w:num>
  <w:num w:numId="15">
    <w:abstractNumId w:val="5"/>
  </w:num>
  <w:num w:numId="16">
    <w:abstractNumId w:val="16"/>
  </w:num>
  <w:num w:numId="17">
    <w:abstractNumId w:val="9"/>
  </w:num>
  <w:num w:numId="18">
    <w:abstractNumId w:val="0"/>
  </w:num>
  <w:num w:numId="19">
    <w:abstractNumId w:val="14"/>
  </w:num>
  <w:num w:numId="20">
    <w:abstractNumId w:val="2"/>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66C25"/>
    <w:rsid w:val="00003A85"/>
    <w:rsid w:val="00015467"/>
    <w:rsid w:val="0001638E"/>
    <w:rsid w:val="00032927"/>
    <w:rsid w:val="00033C91"/>
    <w:rsid w:val="00035755"/>
    <w:rsid w:val="00045B12"/>
    <w:rsid w:val="000500A1"/>
    <w:rsid w:val="0005314D"/>
    <w:rsid w:val="000701B3"/>
    <w:rsid w:val="000711DA"/>
    <w:rsid w:val="00074D36"/>
    <w:rsid w:val="00076B31"/>
    <w:rsid w:val="00084F28"/>
    <w:rsid w:val="000A2C57"/>
    <w:rsid w:val="000A31B8"/>
    <w:rsid w:val="000B0FEE"/>
    <w:rsid w:val="000B380C"/>
    <w:rsid w:val="000B4697"/>
    <w:rsid w:val="000C5EC4"/>
    <w:rsid w:val="000D3580"/>
    <w:rsid w:val="000D5C02"/>
    <w:rsid w:val="000D7AE6"/>
    <w:rsid w:val="000E194F"/>
    <w:rsid w:val="000E6C93"/>
    <w:rsid w:val="000F4FAB"/>
    <w:rsid w:val="000F6624"/>
    <w:rsid w:val="00101E54"/>
    <w:rsid w:val="00103A5A"/>
    <w:rsid w:val="00106B2B"/>
    <w:rsid w:val="0011140F"/>
    <w:rsid w:val="001170F4"/>
    <w:rsid w:val="00121290"/>
    <w:rsid w:val="0012700E"/>
    <w:rsid w:val="001275D8"/>
    <w:rsid w:val="00127BEC"/>
    <w:rsid w:val="001313F9"/>
    <w:rsid w:val="00135BF7"/>
    <w:rsid w:val="001436AF"/>
    <w:rsid w:val="00160BB4"/>
    <w:rsid w:val="00162B68"/>
    <w:rsid w:val="00174151"/>
    <w:rsid w:val="00174DBD"/>
    <w:rsid w:val="00181EB0"/>
    <w:rsid w:val="00181EB8"/>
    <w:rsid w:val="00183E36"/>
    <w:rsid w:val="00184ACE"/>
    <w:rsid w:val="00194290"/>
    <w:rsid w:val="00195444"/>
    <w:rsid w:val="001975CC"/>
    <w:rsid w:val="001A67FF"/>
    <w:rsid w:val="001B56A6"/>
    <w:rsid w:val="001B7928"/>
    <w:rsid w:val="001C4F0B"/>
    <w:rsid w:val="001D2217"/>
    <w:rsid w:val="001E11C5"/>
    <w:rsid w:val="0020056E"/>
    <w:rsid w:val="00200FA0"/>
    <w:rsid w:val="00206A3A"/>
    <w:rsid w:val="0021689A"/>
    <w:rsid w:val="00226221"/>
    <w:rsid w:val="002405A4"/>
    <w:rsid w:val="00240C1A"/>
    <w:rsid w:val="00254AC8"/>
    <w:rsid w:val="00257C7E"/>
    <w:rsid w:val="002723C6"/>
    <w:rsid w:val="00285268"/>
    <w:rsid w:val="00285E73"/>
    <w:rsid w:val="0029192A"/>
    <w:rsid w:val="00292DC6"/>
    <w:rsid w:val="00292EFB"/>
    <w:rsid w:val="002A0869"/>
    <w:rsid w:val="002B3B3E"/>
    <w:rsid w:val="002B49DB"/>
    <w:rsid w:val="002B6641"/>
    <w:rsid w:val="002B69BC"/>
    <w:rsid w:val="002C10F7"/>
    <w:rsid w:val="002C29D8"/>
    <w:rsid w:val="002E54E2"/>
    <w:rsid w:val="002F1576"/>
    <w:rsid w:val="002F1851"/>
    <w:rsid w:val="002F1CA5"/>
    <w:rsid w:val="002F4CD8"/>
    <w:rsid w:val="002F6D15"/>
    <w:rsid w:val="003134ED"/>
    <w:rsid w:val="00327397"/>
    <w:rsid w:val="00333FF9"/>
    <w:rsid w:val="00337E58"/>
    <w:rsid w:val="00340C9E"/>
    <w:rsid w:val="00345908"/>
    <w:rsid w:val="00353AFA"/>
    <w:rsid w:val="00356D36"/>
    <w:rsid w:val="00361D4F"/>
    <w:rsid w:val="00381309"/>
    <w:rsid w:val="00385E7D"/>
    <w:rsid w:val="00391936"/>
    <w:rsid w:val="00393A16"/>
    <w:rsid w:val="003A60DE"/>
    <w:rsid w:val="003B2C11"/>
    <w:rsid w:val="003B75C9"/>
    <w:rsid w:val="003D38C7"/>
    <w:rsid w:val="00400E8D"/>
    <w:rsid w:val="004025F1"/>
    <w:rsid w:val="00414F67"/>
    <w:rsid w:val="004151FF"/>
    <w:rsid w:val="00421616"/>
    <w:rsid w:val="00433AF4"/>
    <w:rsid w:val="004430E5"/>
    <w:rsid w:val="00444A34"/>
    <w:rsid w:val="00447792"/>
    <w:rsid w:val="00451352"/>
    <w:rsid w:val="00454CF2"/>
    <w:rsid w:val="00467AE8"/>
    <w:rsid w:val="0047042A"/>
    <w:rsid w:val="00480240"/>
    <w:rsid w:val="00483040"/>
    <w:rsid w:val="004908A5"/>
    <w:rsid w:val="00490A4A"/>
    <w:rsid w:val="004915EA"/>
    <w:rsid w:val="004A405F"/>
    <w:rsid w:val="004A5A93"/>
    <w:rsid w:val="004B19CA"/>
    <w:rsid w:val="004B1A5E"/>
    <w:rsid w:val="004B2179"/>
    <w:rsid w:val="004D0697"/>
    <w:rsid w:val="004D578D"/>
    <w:rsid w:val="004E0378"/>
    <w:rsid w:val="004E1258"/>
    <w:rsid w:val="004F1CDD"/>
    <w:rsid w:val="00531E09"/>
    <w:rsid w:val="005329D6"/>
    <w:rsid w:val="00534A7F"/>
    <w:rsid w:val="00537F77"/>
    <w:rsid w:val="0055072C"/>
    <w:rsid w:val="00551007"/>
    <w:rsid w:val="00554559"/>
    <w:rsid w:val="0055486F"/>
    <w:rsid w:val="00554992"/>
    <w:rsid w:val="005570A5"/>
    <w:rsid w:val="00564AB3"/>
    <w:rsid w:val="00573311"/>
    <w:rsid w:val="0058779A"/>
    <w:rsid w:val="0059251F"/>
    <w:rsid w:val="00594C15"/>
    <w:rsid w:val="005A5986"/>
    <w:rsid w:val="005C0504"/>
    <w:rsid w:val="005F6323"/>
    <w:rsid w:val="006002A8"/>
    <w:rsid w:val="00605DE5"/>
    <w:rsid w:val="00612AAA"/>
    <w:rsid w:val="00614ACE"/>
    <w:rsid w:val="00626A8F"/>
    <w:rsid w:val="00633022"/>
    <w:rsid w:val="006347EE"/>
    <w:rsid w:val="00650596"/>
    <w:rsid w:val="00673D93"/>
    <w:rsid w:val="0068348F"/>
    <w:rsid w:val="006839E1"/>
    <w:rsid w:val="0068622E"/>
    <w:rsid w:val="006863CE"/>
    <w:rsid w:val="006A02B4"/>
    <w:rsid w:val="006A3320"/>
    <w:rsid w:val="006A34D7"/>
    <w:rsid w:val="006B2DF0"/>
    <w:rsid w:val="006B7D24"/>
    <w:rsid w:val="006C6CD2"/>
    <w:rsid w:val="006D64E3"/>
    <w:rsid w:val="006E06FF"/>
    <w:rsid w:val="006E3DD1"/>
    <w:rsid w:val="00704CD3"/>
    <w:rsid w:val="00715B95"/>
    <w:rsid w:val="00716574"/>
    <w:rsid w:val="007318DC"/>
    <w:rsid w:val="00732F05"/>
    <w:rsid w:val="00736990"/>
    <w:rsid w:val="00740FE6"/>
    <w:rsid w:val="00744B18"/>
    <w:rsid w:val="007500F6"/>
    <w:rsid w:val="00752DF9"/>
    <w:rsid w:val="0075582D"/>
    <w:rsid w:val="00763BEB"/>
    <w:rsid w:val="00775898"/>
    <w:rsid w:val="00775BAE"/>
    <w:rsid w:val="00784110"/>
    <w:rsid w:val="00791AB5"/>
    <w:rsid w:val="007B53BA"/>
    <w:rsid w:val="007C1756"/>
    <w:rsid w:val="007C2165"/>
    <w:rsid w:val="007C4F24"/>
    <w:rsid w:val="007C6853"/>
    <w:rsid w:val="007D2056"/>
    <w:rsid w:val="007E424E"/>
    <w:rsid w:val="007E7766"/>
    <w:rsid w:val="007F7A9F"/>
    <w:rsid w:val="008000F6"/>
    <w:rsid w:val="00805871"/>
    <w:rsid w:val="00822E7D"/>
    <w:rsid w:val="00822FC3"/>
    <w:rsid w:val="00854BED"/>
    <w:rsid w:val="00857EE3"/>
    <w:rsid w:val="00875A4A"/>
    <w:rsid w:val="00892F86"/>
    <w:rsid w:val="00896858"/>
    <w:rsid w:val="008A0206"/>
    <w:rsid w:val="008A0E28"/>
    <w:rsid w:val="008A12AC"/>
    <w:rsid w:val="008A5039"/>
    <w:rsid w:val="008A7A14"/>
    <w:rsid w:val="008C2CC3"/>
    <w:rsid w:val="008C4430"/>
    <w:rsid w:val="008E1B02"/>
    <w:rsid w:val="008E1F72"/>
    <w:rsid w:val="008E4EAD"/>
    <w:rsid w:val="008E797C"/>
    <w:rsid w:val="008F343B"/>
    <w:rsid w:val="008F3757"/>
    <w:rsid w:val="00923519"/>
    <w:rsid w:val="00932505"/>
    <w:rsid w:val="00932818"/>
    <w:rsid w:val="00951325"/>
    <w:rsid w:val="00952ABA"/>
    <w:rsid w:val="0096670C"/>
    <w:rsid w:val="00966C8A"/>
    <w:rsid w:val="00971570"/>
    <w:rsid w:val="00973BD1"/>
    <w:rsid w:val="00973EE1"/>
    <w:rsid w:val="009810FD"/>
    <w:rsid w:val="00981161"/>
    <w:rsid w:val="009945FB"/>
    <w:rsid w:val="009950D3"/>
    <w:rsid w:val="009A3193"/>
    <w:rsid w:val="009B30B1"/>
    <w:rsid w:val="009B3C07"/>
    <w:rsid w:val="009C36A8"/>
    <w:rsid w:val="009C5C5E"/>
    <w:rsid w:val="009D7EA7"/>
    <w:rsid w:val="009E6AE7"/>
    <w:rsid w:val="009F2CF0"/>
    <w:rsid w:val="00A07ACD"/>
    <w:rsid w:val="00A22FCF"/>
    <w:rsid w:val="00A23FF6"/>
    <w:rsid w:val="00A24F76"/>
    <w:rsid w:val="00A509BB"/>
    <w:rsid w:val="00A52A96"/>
    <w:rsid w:val="00A55D71"/>
    <w:rsid w:val="00A74798"/>
    <w:rsid w:val="00A80FBD"/>
    <w:rsid w:val="00A91C5A"/>
    <w:rsid w:val="00A939CF"/>
    <w:rsid w:val="00A947EB"/>
    <w:rsid w:val="00A970BF"/>
    <w:rsid w:val="00AA3B53"/>
    <w:rsid w:val="00AB6329"/>
    <w:rsid w:val="00AE1F83"/>
    <w:rsid w:val="00AE2899"/>
    <w:rsid w:val="00AF3245"/>
    <w:rsid w:val="00B11017"/>
    <w:rsid w:val="00B33362"/>
    <w:rsid w:val="00B337DA"/>
    <w:rsid w:val="00B34067"/>
    <w:rsid w:val="00B5434F"/>
    <w:rsid w:val="00B60BE8"/>
    <w:rsid w:val="00B66C25"/>
    <w:rsid w:val="00B73B91"/>
    <w:rsid w:val="00B76A3A"/>
    <w:rsid w:val="00B76A67"/>
    <w:rsid w:val="00B80CC8"/>
    <w:rsid w:val="00B91F8B"/>
    <w:rsid w:val="00B926A2"/>
    <w:rsid w:val="00B96EF6"/>
    <w:rsid w:val="00BA4310"/>
    <w:rsid w:val="00BA619B"/>
    <w:rsid w:val="00BA7BC3"/>
    <w:rsid w:val="00BB1CC4"/>
    <w:rsid w:val="00BB4650"/>
    <w:rsid w:val="00BC407B"/>
    <w:rsid w:val="00BC4A28"/>
    <w:rsid w:val="00BD3BE4"/>
    <w:rsid w:val="00BD72C2"/>
    <w:rsid w:val="00BF074C"/>
    <w:rsid w:val="00BF5403"/>
    <w:rsid w:val="00C002E8"/>
    <w:rsid w:val="00C07856"/>
    <w:rsid w:val="00C104EC"/>
    <w:rsid w:val="00C151C5"/>
    <w:rsid w:val="00C16C75"/>
    <w:rsid w:val="00C179E4"/>
    <w:rsid w:val="00C5206F"/>
    <w:rsid w:val="00C60DB6"/>
    <w:rsid w:val="00C708AA"/>
    <w:rsid w:val="00C82B33"/>
    <w:rsid w:val="00C83CB9"/>
    <w:rsid w:val="00C90516"/>
    <w:rsid w:val="00C93CC4"/>
    <w:rsid w:val="00CA1F4E"/>
    <w:rsid w:val="00CA4E39"/>
    <w:rsid w:val="00CA6AA8"/>
    <w:rsid w:val="00CA6E14"/>
    <w:rsid w:val="00CB1B08"/>
    <w:rsid w:val="00CF2E54"/>
    <w:rsid w:val="00CF5E3C"/>
    <w:rsid w:val="00CF64AA"/>
    <w:rsid w:val="00D02E19"/>
    <w:rsid w:val="00D12310"/>
    <w:rsid w:val="00D2791C"/>
    <w:rsid w:val="00D478A2"/>
    <w:rsid w:val="00D57277"/>
    <w:rsid w:val="00D575FC"/>
    <w:rsid w:val="00D672CC"/>
    <w:rsid w:val="00D7454E"/>
    <w:rsid w:val="00D84E11"/>
    <w:rsid w:val="00DA0DF6"/>
    <w:rsid w:val="00DB72F7"/>
    <w:rsid w:val="00DC44B7"/>
    <w:rsid w:val="00DD747A"/>
    <w:rsid w:val="00E058A2"/>
    <w:rsid w:val="00E22D92"/>
    <w:rsid w:val="00E30C78"/>
    <w:rsid w:val="00E33E9C"/>
    <w:rsid w:val="00E51A12"/>
    <w:rsid w:val="00E53B74"/>
    <w:rsid w:val="00E548F5"/>
    <w:rsid w:val="00E67189"/>
    <w:rsid w:val="00E7179E"/>
    <w:rsid w:val="00E72AE5"/>
    <w:rsid w:val="00E77F11"/>
    <w:rsid w:val="00E8205E"/>
    <w:rsid w:val="00E82BFA"/>
    <w:rsid w:val="00E85B8C"/>
    <w:rsid w:val="00E864CF"/>
    <w:rsid w:val="00E939D0"/>
    <w:rsid w:val="00E9427B"/>
    <w:rsid w:val="00EA5C85"/>
    <w:rsid w:val="00ED5A72"/>
    <w:rsid w:val="00EF2977"/>
    <w:rsid w:val="00EF3968"/>
    <w:rsid w:val="00EF5053"/>
    <w:rsid w:val="00EF697E"/>
    <w:rsid w:val="00F004E1"/>
    <w:rsid w:val="00F21FE9"/>
    <w:rsid w:val="00F30295"/>
    <w:rsid w:val="00F40936"/>
    <w:rsid w:val="00F4518F"/>
    <w:rsid w:val="00F469F5"/>
    <w:rsid w:val="00F47CEE"/>
    <w:rsid w:val="00F5327D"/>
    <w:rsid w:val="00F544D9"/>
    <w:rsid w:val="00F565F4"/>
    <w:rsid w:val="00F77F8F"/>
    <w:rsid w:val="00F85FAA"/>
    <w:rsid w:val="00F86EA3"/>
    <w:rsid w:val="00F900D8"/>
    <w:rsid w:val="00FA0CAB"/>
    <w:rsid w:val="00FA12E5"/>
    <w:rsid w:val="00FA69E6"/>
    <w:rsid w:val="00FB1814"/>
    <w:rsid w:val="00FB409E"/>
    <w:rsid w:val="00FE47DF"/>
    <w:rsid w:val="00FF14A7"/>
    <w:rsid w:val="00FF14A9"/>
    <w:rsid w:val="00FF1775"/>
    <w:rsid w:val="00FF4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next w:val="Normal"/>
    <w:link w:val="Heading1Char"/>
    <w:uiPriority w:val="9"/>
    <w:qFormat/>
    <w:rsid w:val="00197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3F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48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54E2"/>
    <w:pPr>
      <w:ind w:left="720"/>
      <w:contextualSpacing/>
    </w:pPr>
  </w:style>
  <w:style w:type="paragraph" w:styleId="BalloonText">
    <w:name w:val="Balloon Text"/>
    <w:basedOn w:val="Normal"/>
    <w:link w:val="BalloonTextChar"/>
    <w:uiPriority w:val="99"/>
    <w:semiHidden/>
    <w:unhideWhenUsed/>
    <w:rsid w:val="008E7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7C"/>
    <w:rPr>
      <w:rFonts w:ascii="Tahoma" w:hAnsi="Tahoma" w:cs="Tahoma"/>
      <w:sz w:val="16"/>
      <w:szCs w:val="16"/>
    </w:rPr>
  </w:style>
  <w:style w:type="character" w:styleId="Strong">
    <w:name w:val="Strong"/>
    <w:basedOn w:val="DefaultParagraphFont"/>
    <w:uiPriority w:val="22"/>
    <w:qFormat/>
    <w:rsid w:val="00B91F8B"/>
    <w:rPr>
      <w:b/>
      <w:bCs/>
    </w:rPr>
  </w:style>
  <w:style w:type="paragraph" w:styleId="NormalWeb">
    <w:name w:val="Normal (Web)"/>
    <w:basedOn w:val="Normal"/>
    <w:uiPriority w:val="99"/>
    <w:semiHidden/>
    <w:unhideWhenUsed/>
    <w:rsid w:val="004F1CD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0378"/>
    <w:rPr>
      <w:sz w:val="16"/>
      <w:szCs w:val="16"/>
    </w:rPr>
  </w:style>
  <w:style w:type="paragraph" w:styleId="CommentText">
    <w:name w:val="annotation text"/>
    <w:basedOn w:val="Normal"/>
    <w:link w:val="CommentTextChar"/>
    <w:uiPriority w:val="99"/>
    <w:unhideWhenUsed/>
    <w:rsid w:val="004E0378"/>
    <w:pPr>
      <w:spacing w:line="240" w:lineRule="auto"/>
    </w:pPr>
    <w:rPr>
      <w:sz w:val="20"/>
      <w:szCs w:val="20"/>
    </w:rPr>
  </w:style>
  <w:style w:type="character" w:customStyle="1" w:styleId="CommentTextChar">
    <w:name w:val="Comment Text Char"/>
    <w:basedOn w:val="DefaultParagraphFont"/>
    <w:link w:val="CommentText"/>
    <w:uiPriority w:val="99"/>
    <w:rsid w:val="004E0378"/>
    <w:rPr>
      <w:sz w:val="20"/>
      <w:szCs w:val="20"/>
    </w:rPr>
  </w:style>
  <w:style w:type="paragraph" w:styleId="CommentSubject">
    <w:name w:val="annotation subject"/>
    <w:basedOn w:val="CommentText"/>
    <w:next w:val="CommentText"/>
    <w:link w:val="CommentSubjectChar"/>
    <w:uiPriority w:val="99"/>
    <w:semiHidden/>
    <w:unhideWhenUsed/>
    <w:rsid w:val="004E0378"/>
    <w:rPr>
      <w:b/>
      <w:bCs/>
    </w:rPr>
  </w:style>
  <w:style w:type="character" w:customStyle="1" w:styleId="CommentSubjectChar">
    <w:name w:val="Comment Subject Char"/>
    <w:basedOn w:val="CommentTextChar"/>
    <w:link w:val="CommentSubject"/>
    <w:uiPriority w:val="99"/>
    <w:semiHidden/>
    <w:rsid w:val="004E0378"/>
    <w:rPr>
      <w:b/>
      <w:bCs/>
      <w:sz w:val="20"/>
      <w:szCs w:val="20"/>
    </w:rPr>
  </w:style>
  <w:style w:type="paragraph" w:styleId="Header">
    <w:name w:val="header"/>
    <w:basedOn w:val="Normal"/>
    <w:link w:val="HeaderChar"/>
    <w:uiPriority w:val="99"/>
    <w:semiHidden/>
    <w:unhideWhenUsed/>
    <w:rsid w:val="000357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5755"/>
  </w:style>
  <w:style w:type="paragraph" w:styleId="Footer">
    <w:name w:val="footer"/>
    <w:basedOn w:val="Normal"/>
    <w:link w:val="FooterChar"/>
    <w:uiPriority w:val="99"/>
    <w:unhideWhenUsed/>
    <w:rsid w:val="00035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755"/>
  </w:style>
  <w:style w:type="paragraph" w:styleId="FootnoteText">
    <w:name w:val="footnote text"/>
    <w:basedOn w:val="Normal"/>
    <w:link w:val="FootnoteTextChar"/>
    <w:uiPriority w:val="99"/>
    <w:semiHidden/>
    <w:unhideWhenUsed/>
    <w:rsid w:val="00162B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62B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2B68"/>
    <w:rPr>
      <w:vertAlign w:val="superscript"/>
    </w:rPr>
  </w:style>
  <w:style w:type="character" w:customStyle="1" w:styleId="Heading1Char">
    <w:name w:val="Heading 1 Char"/>
    <w:basedOn w:val="DefaultParagraphFont"/>
    <w:link w:val="Heading1"/>
    <w:uiPriority w:val="9"/>
    <w:rsid w:val="001975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23F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48F5"/>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C002E8"/>
    <w:pPr>
      <w:outlineLvl w:val="9"/>
    </w:pPr>
    <w:rPr>
      <w:lang w:eastAsia="ja-JP"/>
    </w:rPr>
  </w:style>
  <w:style w:type="paragraph" w:styleId="TOC1">
    <w:name w:val="toc 1"/>
    <w:basedOn w:val="Normal"/>
    <w:next w:val="Normal"/>
    <w:autoRedefine/>
    <w:uiPriority w:val="39"/>
    <w:unhideWhenUsed/>
    <w:rsid w:val="00C002E8"/>
    <w:pPr>
      <w:spacing w:after="100"/>
    </w:pPr>
  </w:style>
  <w:style w:type="paragraph" w:styleId="TOC2">
    <w:name w:val="toc 2"/>
    <w:basedOn w:val="Normal"/>
    <w:next w:val="Normal"/>
    <w:autoRedefine/>
    <w:uiPriority w:val="39"/>
    <w:unhideWhenUsed/>
    <w:rsid w:val="00C002E8"/>
    <w:pPr>
      <w:spacing w:after="100"/>
      <w:ind w:left="220"/>
    </w:pPr>
  </w:style>
  <w:style w:type="paragraph" w:styleId="TOC3">
    <w:name w:val="toc 3"/>
    <w:basedOn w:val="Normal"/>
    <w:next w:val="Normal"/>
    <w:autoRedefine/>
    <w:uiPriority w:val="39"/>
    <w:unhideWhenUsed/>
    <w:rsid w:val="00C002E8"/>
    <w:pPr>
      <w:spacing w:after="100"/>
      <w:ind w:left="440"/>
    </w:pPr>
  </w:style>
  <w:style w:type="character" w:styleId="Hyperlink">
    <w:name w:val="Hyperlink"/>
    <w:basedOn w:val="DefaultParagraphFont"/>
    <w:uiPriority w:val="99"/>
    <w:unhideWhenUsed/>
    <w:rsid w:val="00C002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551772">
      <w:bodyDiv w:val="1"/>
      <w:marLeft w:val="0"/>
      <w:marRight w:val="0"/>
      <w:marTop w:val="0"/>
      <w:marBottom w:val="0"/>
      <w:divBdr>
        <w:top w:val="none" w:sz="0" w:space="0" w:color="auto"/>
        <w:left w:val="none" w:sz="0" w:space="0" w:color="auto"/>
        <w:bottom w:val="none" w:sz="0" w:space="0" w:color="auto"/>
        <w:right w:val="none" w:sz="0" w:space="0" w:color="auto"/>
      </w:divBdr>
      <w:divsChild>
        <w:div w:id="1318723413">
          <w:marLeft w:val="0"/>
          <w:marRight w:val="0"/>
          <w:marTop w:val="0"/>
          <w:marBottom w:val="0"/>
          <w:divBdr>
            <w:top w:val="none" w:sz="0" w:space="0" w:color="auto"/>
            <w:left w:val="none" w:sz="0" w:space="0" w:color="auto"/>
            <w:bottom w:val="none" w:sz="0" w:space="0" w:color="auto"/>
            <w:right w:val="none" w:sz="0" w:space="0" w:color="auto"/>
          </w:divBdr>
          <w:divsChild>
            <w:div w:id="2017343007">
              <w:marLeft w:val="0"/>
              <w:marRight w:val="0"/>
              <w:marTop w:val="0"/>
              <w:marBottom w:val="0"/>
              <w:divBdr>
                <w:top w:val="none" w:sz="0" w:space="0" w:color="auto"/>
                <w:left w:val="none" w:sz="0" w:space="0" w:color="auto"/>
                <w:bottom w:val="none" w:sz="0" w:space="0" w:color="auto"/>
                <w:right w:val="none" w:sz="0" w:space="0" w:color="auto"/>
              </w:divBdr>
              <w:divsChild>
                <w:div w:id="623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07603">
      <w:bodyDiv w:val="1"/>
      <w:marLeft w:val="0"/>
      <w:marRight w:val="0"/>
      <w:marTop w:val="0"/>
      <w:marBottom w:val="0"/>
      <w:divBdr>
        <w:top w:val="none" w:sz="0" w:space="0" w:color="auto"/>
        <w:left w:val="none" w:sz="0" w:space="0" w:color="auto"/>
        <w:bottom w:val="none" w:sz="0" w:space="0" w:color="auto"/>
        <w:right w:val="none" w:sz="0" w:space="0" w:color="auto"/>
      </w:divBdr>
      <w:divsChild>
        <w:div w:id="1767656981">
          <w:marLeft w:val="0"/>
          <w:marRight w:val="0"/>
          <w:marTop w:val="0"/>
          <w:marBottom w:val="0"/>
          <w:divBdr>
            <w:top w:val="none" w:sz="0" w:space="0" w:color="auto"/>
            <w:left w:val="none" w:sz="0" w:space="0" w:color="auto"/>
            <w:bottom w:val="none" w:sz="0" w:space="0" w:color="auto"/>
            <w:right w:val="none" w:sz="0" w:space="0" w:color="auto"/>
          </w:divBdr>
          <w:divsChild>
            <w:div w:id="1977683745">
              <w:marLeft w:val="0"/>
              <w:marRight w:val="0"/>
              <w:marTop w:val="0"/>
              <w:marBottom w:val="0"/>
              <w:divBdr>
                <w:top w:val="none" w:sz="0" w:space="0" w:color="auto"/>
                <w:left w:val="none" w:sz="0" w:space="0" w:color="auto"/>
                <w:bottom w:val="none" w:sz="0" w:space="0" w:color="auto"/>
                <w:right w:val="none" w:sz="0" w:space="0" w:color="auto"/>
              </w:divBdr>
              <w:divsChild>
                <w:div w:id="1741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16341">
      <w:bodyDiv w:val="1"/>
      <w:marLeft w:val="0"/>
      <w:marRight w:val="0"/>
      <w:marTop w:val="0"/>
      <w:marBottom w:val="0"/>
      <w:divBdr>
        <w:top w:val="none" w:sz="0" w:space="0" w:color="auto"/>
        <w:left w:val="none" w:sz="0" w:space="0" w:color="auto"/>
        <w:bottom w:val="none" w:sz="0" w:space="0" w:color="auto"/>
        <w:right w:val="none" w:sz="0" w:space="0" w:color="auto"/>
      </w:divBdr>
      <w:divsChild>
        <w:div w:id="854078805">
          <w:marLeft w:val="0"/>
          <w:marRight w:val="0"/>
          <w:marTop w:val="0"/>
          <w:marBottom w:val="0"/>
          <w:divBdr>
            <w:top w:val="none" w:sz="0" w:space="0" w:color="auto"/>
            <w:left w:val="none" w:sz="0" w:space="0" w:color="auto"/>
            <w:bottom w:val="none" w:sz="0" w:space="0" w:color="auto"/>
            <w:right w:val="none" w:sz="0" w:space="0" w:color="auto"/>
          </w:divBdr>
          <w:divsChild>
            <w:div w:id="794253990">
              <w:marLeft w:val="0"/>
              <w:marRight w:val="0"/>
              <w:marTop w:val="0"/>
              <w:marBottom w:val="0"/>
              <w:divBdr>
                <w:top w:val="none" w:sz="0" w:space="0" w:color="auto"/>
                <w:left w:val="none" w:sz="0" w:space="0" w:color="auto"/>
                <w:bottom w:val="none" w:sz="0" w:space="0" w:color="auto"/>
                <w:right w:val="none" w:sz="0" w:space="0" w:color="auto"/>
              </w:divBdr>
              <w:divsChild>
                <w:div w:id="8460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799392">
      <w:bodyDiv w:val="1"/>
      <w:marLeft w:val="0"/>
      <w:marRight w:val="0"/>
      <w:marTop w:val="0"/>
      <w:marBottom w:val="0"/>
      <w:divBdr>
        <w:top w:val="none" w:sz="0" w:space="0" w:color="auto"/>
        <w:left w:val="none" w:sz="0" w:space="0" w:color="auto"/>
        <w:bottom w:val="none" w:sz="0" w:space="0" w:color="auto"/>
        <w:right w:val="none" w:sz="0" w:space="0" w:color="auto"/>
      </w:divBdr>
      <w:divsChild>
        <w:div w:id="1009866862">
          <w:marLeft w:val="0"/>
          <w:marRight w:val="0"/>
          <w:marTop w:val="0"/>
          <w:marBottom w:val="0"/>
          <w:divBdr>
            <w:top w:val="none" w:sz="0" w:space="0" w:color="auto"/>
            <w:left w:val="none" w:sz="0" w:space="0" w:color="auto"/>
            <w:bottom w:val="none" w:sz="0" w:space="0" w:color="auto"/>
            <w:right w:val="none" w:sz="0" w:space="0" w:color="auto"/>
          </w:divBdr>
          <w:divsChild>
            <w:div w:id="158427872">
              <w:marLeft w:val="0"/>
              <w:marRight w:val="0"/>
              <w:marTop w:val="0"/>
              <w:marBottom w:val="0"/>
              <w:divBdr>
                <w:top w:val="none" w:sz="0" w:space="0" w:color="auto"/>
                <w:left w:val="none" w:sz="0" w:space="0" w:color="auto"/>
                <w:bottom w:val="none" w:sz="0" w:space="0" w:color="auto"/>
                <w:right w:val="none" w:sz="0" w:space="0" w:color="auto"/>
              </w:divBdr>
              <w:divsChild>
                <w:div w:id="136952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21817">
      <w:bodyDiv w:val="1"/>
      <w:marLeft w:val="0"/>
      <w:marRight w:val="0"/>
      <w:marTop w:val="0"/>
      <w:marBottom w:val="0"/>
      <w:divBdr>
        <w:top w:val="none" w:sz="0" w:space="0" w:color="auto"/>
        <w:left w:val="none" w:sz="0" w:space="0" w:color="auto"/>
        <w:bottom w:val="none" w:sz="0" w:space="0" w:color="auto"/>
        <w:right w:val="none" w:sz="0" w:space="0" w:color="auto"/>
      </w:divBdr>
      <w:divsChild>
        <w:div w:id="425852998">
          <w:marLeft w:val="0"/>
          <w:marRight w:val="0"/>
          <w:marTop w:val="0"/>
          <w:marBottom w:val="0"/>
          <w:divBdr>
            <w:top w:val="none" w:sz="0" w:space="0" w:color="auto"/>
            <w:left w:val="none" w:sz="0" w:space="0" w:color="auto"/>
            <w:bottom w:val="none" w:sz="0" w:space="0" w:color="auto"/>
            <w:right w:val="none" w:sz="0" w:space="0" w:color="auto"/>
          </w:divBdr>
          <w:divsChild>
            <w:div w:id="1630697247">
              <w:marLeft w:val="0"/>
              <w:marRight w:val="0"/>
              <w:marTop w:val="0"/>
              <w:marBottom w:val="0"/>
              <w:divBdr>
                <w:top w:val="none" w:sz="0" w:space="0" w:color="auto"/>
                <w:left w:val="none" w:sz="0" w:space="0" w:color="auto"/>
                <w:bottom w:val="none" w:sz="0" w:space="0" w:color="auto"/>
                <w:right w:val="none" w:sz="0" w:space="0" w:color="auto"/>
              </w:divBdr>
              <w:divsChild>
                <w:div w:id="16517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3774">
      <w:bodyDiv w:val="1"/>
      <w:marLeft w:val="0"/>
      <w:marRight w:val="0"/>
      <w:marTop w:val="0"/>
      <w:marBottom w:val="0"/>
      <w:divBdr>
        <w:top w:val="none" w:sz="0" w:space="0" w:color="auto"/>
        <w:left w:val="none" w:sz="0" w:space="0" w:color="auto"/>
        <w:bottom w:val="none" w:sz="0" w:space="0" w:color="auto"/>
        <w:right w:val="none" w:sz="0" w:space="0" w:color="auto"/>
      </w:divBdr>
    </w:div>
    <w:div w:id="556476929">
      <w:bodyDiv w:val="1"/>
      <w:marLeft w:val="0"/>
      <w:marRight w:val="0"/>
      <w:marTop w:val="0"/>
      <w:marBottom w:val="0"/>
      <w:divBdr>
        <w:top w:val="none" w:sz="0" w:space="0" w:color="auto"/>
        <w:left w:val="none" w:sz="0" w:space="0" w:color="auto"/>
        <w:bottom w:val="none" w:sz="0" w:space="0" w:color="auto"/>
        <w:right w:val="none" w:sz="0" w:space="0" w:color="auto"/>
      </w:divBdr>
    </w:div>
    <w:div w:id="578295671">
      <w:bodyDiv w:val="1"/>
      <w:marLeft w:val="0"/>
      <w:marRight w:val="0"/>
      <w:marTop w:val="0"/>
      <w:marBottom w:val="0"/>
      <w:divBdr>
        <w:top w:val="none" w:sz="0" w:space="0" w:color="auto"/>
        <w:left w:val="none" w:sz="0" w:space="0" w:color="auto"/>
        <w:bottom w:val="none" w:sz="0" w:space="0" w:color="auto"/>
        <w:right w:val="none" w:sz="0" w:space="0" w:color="auto"/>
      </w:divBdr>
      <w:divsChild>
        <w:div w:id="596062796">
          <w:marLeft w:val="0"/>
          <w:marRight w:val="0"/>
          <w:marTop w:val="0"/>
          <w:marBottom w:val="0"/>
          <w:divBdr>
            <w:top w:val="none" w:sz="0" w:space="0" w:color="auto"/>
            <w:left w:val="none" w:sz="0" w:space="0" w:color="auto"/>
            <w:bottom w:val="none" w:sz="0" w:space="0" w:color="auto"/>
            <w:right w:val="none" w:sz="0" w:space="0" w:color="auto"/>
          </w:divBdr>
          <w:divsChild>
            <w:div w:id="531722996">
              <w:marLeft w:val="0"/>
              <w:marRight w:val="0"/>
              <w:marTop w:val="0"/>
              <w:marBottom w:val="0"/>
              <w:divBdr>
                <w:top w:val="none" w:sz="0" w:space="0" w:color="auto"/>
                <w:left w:val="none" w:sz="0" w:space="0" w:color="auto"/>
                <w:bottom w:val="none" w:sz="0" w:space="0" w:color="auto"/>
                <w:right w:val="none" w:sz="0" w:space="0" w:color="auto"/>
              </w:divBdr>
              <w:divsChild>
                <w:div w:id="174000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72954">
      <w:bodyDiv w:val="1"/>
      <w:marLeft w:val="0"/>
      <w:marRight w:val="0"/>
      <w:marTop w:val="0"/>
      <w:marBottom w:val="0"/>
      <w:divBdr>
        <w:top w:val="none" w:sz="0" w:space="0" w:color="auto"/>
        <w:left w:val="none" w:sz="0" w:space="0" w:color="auto"/>
        <w:bottom w:val="none" w:sz="0" w:space="0" w:color="auto"/>
        <w:right w:val="none" w:sz="0" w:space="0" w:color="auto"/>
      </w:divBdr>
      <w:divsChild>
        <w:div w:id="1325738552">
          <w:marLeft w:val="0"/>
          <w:marRight w:val="0"/>
          <w:marTop w:val="0"/>
          <w:marBottom w:val="0"/>
          <w:divBdr>
            <w:top w:val="none" w:sz="0" w:space="0" w:color="auto"/>
            <w:left w:val="none" w:sz="0" w:space="0" w:color="auto"/>
            <w:bottom w:val="none" w:sz="0" w:space="0" w:color="auto"/>
            <w:right w:val="none" w:sz="0" w:space="0" w:color="auto"/>
          </w:divBdr>
          <w:divsChild>
            <w:div w:id="885020450">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890457979">
      <w:bodyDiv w:val="1"/>
      <w:marLeft w:val="0"/>
      <w:marRight w:val="0"/>
      <w:marTop w:val="0"/>
      <w:marBottom w:val="0"/>
      <w:divBdr>
        <w:top w:val="none" w:sz="0" w:space="0" w:color="auto"/>
        <w:left w:val="none" w:sz="0" w:space="0" w:color="auto"/>
        <w:bottom w:val="none" w:sz="0" w:space="0" w:color="auto"/>
        <w:right w:val="none" w:sz="0" w:space="0" w:color="auto"/>
      </w:divBdr>
    </w:div>
    <w:div w:id="932936596">
      <w:bodyDiv w:val="1"/>
      <w:marLeft w:val="0"/>
      <w:marRight w:val="0"/>
      <w:marTop w:val="0"/>
      <w:marBottom w:val="0"/>
      <w:divBdr>
        <w:top w:val="none" w:sz="0" w:space="0" w:color="auto"/>
        <w:left w:val="none" w:sz="0" w:space="0" w:color="auto"/>
        <w:bottom w:val="none" w:sz="0" w:space="0" w:color="auto"/>
        <w:right w:val="none" w:sz="0" w:space="0" w:color="auto"/>
      </w:divBdr>
      <w:divsChild>
        <w:div w:id="883758767">
          <w:marLeft w:val="0"/>
          <w:marRight w:val="0"/>
          <w:marTop w:val="0"/>
          <w:marBottom w:val="0"/>
          <w:divBdr>
            <w:top w:val="none" w:sz="0" w:space="0" w:color="auto"/>
            <w:left w:val="none" w:sz="0" w:space="0" w:color="auto"/>
            <w:bottom w:val="none" w:sz="0" w:space="0" w:color="auto"/>
            <w:right w:val="none" w:sz="0" w:space="0" w:color="auto"/>
          </w:divBdr>
          <w:divsChild>
            <w:div w:id="1930845936">
              <w:marLeft w:val="0"/>
              <w:marRight w:val="0"/>
              <w:marTop w:val="109"/>
              <w:marBottom w:val="218"/>
              <w:divBdr>
                <w:top w:val="none" w:sz="0" w:space="0" w:color="auto"/>
                <w:left w:val="none" w:sz="0" w:space="0" w:color="auto"/>
                <w:bottom w:val="none" w:sz="0" w:space="0" w:color="auto"/>
                <w:right w:val="none" w:sz="0" w:space="0" w:color="auto"/>
              </w:divBdr>
            </w:div>
          </w:divsChild>
        </w:div>
      </w:divsChild>
    </w:div>
    <w:div w:id="1200626759">
      <w:bodyDiv w:val="1"/>
      <w:marLeft w:val="0"/>
      <w:marRight w:val="0"/>
      <w:marTop w:val="0"/>
      <w:marBottom w:val="0"/>
      <w:divBdr>
        <w:top w:val="none" w:sz="0" w:space="0" w:color="auto"/>
        <w:left w:val="none" w:sz="0" w:space="0" w:color="auto"/>
        <w:bottom w:val="none" w:sz="0" w:space="0" w:color="auto"/>
        <w:right w:val="none" w:sz="0" w:space="0" w:color="auto"/>
      </w:divBdr>
      <w:divsChild>
        <w:div w:id="488517901">
          <w:marLeft w:val="0"/>
          <w:marRight w:val="0"/>
          <w:marTop w:val="0"/>
          <w:marBottom w:val="0"/>
          <w:divBdr>
            <w:top w:val="none" w:sz="0" w:space="0" w:color="auto"/>
            <w:left w:val="none" w:sz="0" w:space="0" w:color="auto"/>
            <w:bottom w:val="none" w:sz="0" w:space="0" w:color="auto"/>
            <w:right w:val="none" w:sz="0" w:space="0" w:color="auto"/>
          </w:divBdr>
          <w:divsChild>
            <w:div w:id="1516572380">
              <w:marLeft w:val="0"/>
              <w:marRight w:val="0"/>
              <w:marTop w:val="0"/>
              <w:marBottom w:val="0"/>
              <w:divBdr>
                <w:top w:val="none" w:sz="0" w:space="0" w:color="auto"/>
                <w:left w:val="none" w:sz="0" w:space="0" w:color="auto"/>
                <w:bottom w:val="none" w:sz="0" w:space="0" w:color="auto"/>
                <w:right w:val="none" w:sz="0" w:space="0" w:color="auto"/>
              </w:divBdr>
              <w:divsChild>
                <w:div w:id="14688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87884">
      <w:bodyDiv w:val="1"/>
      <w:marLeft w:val="0"/>
      <w:marRight w:val="0"/>
      <w:marTop w:val="0"/>
      <w:marBottom w:val="0"/>
      <w:divBdr>
        <w:top w:val="none" w:sz="0" w:space="0" w:color="auto"/>
        <w:left w:val="none" w:sz="0" w:space="0" w:color="auto"/>
        <w:bottom w:val="none" w:sz="0" w:space="0" w:color="auto"/>
        <w:right w:val="none" w:sz="0" w:space="0" w:color="auto"/>
      </w:divBdr>
      <w:divsChild>
        <w:div w:id="998654505">
          <w:marLeft w:val="0"/>
          <w:marRight w:val="0"/>
          <w:marTop w:val="0"/>
          <w:marBottom w:val="0"/>
          <w:divBdr>
            <w:top w:val="none" w:sz="0" w:space="0" w:color="auto"/>
            <w:left w:val="none" w:sz="0" w:space="0" w:color="auto"/>
            <w:bottom w:val="none" w:sz="0" w:space="0" w:color="auto"/>
            <w:right w:val="none" w:sz="0" w:space="0" w:color="auto"/>
          </w:divBdr>
          <w:divsChild>
            <w:div w:id="2119057050">
              <w:marLeft w:val="0"/>
              <w:marRight w:val="0"/>
              <w:marTop w:val="0"/>
              <w:marBottom w:val="0"/>
              <w:divBdr>
                <w:top w:val="none" w:sz="0" w:space="0" w:color="auto"/>
                <w:left w:val="none" w:sz="0" w:space="0" w:color="auto"/>
                <w:bottom w:val="none" w:sz="0" w:space="0" w:color="auto"/>
                <w:right w:val="none" w:sz="0" w:space="0" w:color="auto"/>
              </w:divBdr>
              <w:divsChild>
                <w:div w:id="10959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74985">
      <w:bodyDiv w:val="1"/>
      <w:marLeft w:val="0"/>
      <w:marRight w:val="0"/>
      <w:marTop w:val="0"/>
      <w:marBottom w:val="0"/>
      <w:divBdr>
        <w:top w:val="none" w:sz="0" w:space="0" w:color="auto"/>
        <w:left w:val="none" w:sz="0" w:space="0" w:color="auto"/>
        <w:bottom w:val="none" w:sz="0" w:space="0" w:color="auto"/>
        <w:right w:val="none" w:sz="0" w:space="0" w:color="auto"/>
      </w:divBdr>
    </w:div>
    <w:div w:id="1299720519">
      <w:bodyDiv w:val="1"/>
      <w:marLeft w:val="0"/>
      <w:marRight w:val="0"/>
      <w:marTop w:val="0"/>
      <w:marBottom w:val="0"/>
      <w:divBdr>
        <w:top w:val="none" w:sz="0" w:space="0" w:color="auto"/>
        <w:left w:val="none" w:sz="0" w:space="0" w:color="auto"/>
        <w:bottom w:val="none" w:sz="0" w:space="0" w:color="auto"/>
        <w:right w:val="none" w:sz="0" w:space="0" w:color="auto"/>
      </w:divBdr>
      <w:divsChild>
        <w:div w:id="930622732">
          <w:marLeft w:val="0"/>
          <w:marRight w:val="0"/>
          <w:marTop w:val="0"/>
          <w:marBottom w:val="0"/>
          <w:divBdr>
            <w:top w:val="none" w:sz="0" w:space="0" w:color="auto"/>
            <w:left w:val="none" w:sz="0" w:space="0" w:color="auto"/>
            <w:bottom w:val="none" w:sz="0" w:space="0" w:color="auto"/>
            <w:right w:val="none" w:sz="0" w:space="0" w:color="auto"/>
          </w:divBdr>
          <w:divsChild>
            <w:div w:id="1641035871">
              <w:marLeft w:val="0"/>
              <w:marRight w:val="0"/>
              <w:marTop w:val="109"/>
              <w:marBottom w:val="218"/>
              <w:divBdr>
                <w:top w:val="none" w:sz="0" w:space="0" w:color="auto"/>
                <w:left w:val="none" w:sz="0" w:space="0" w:color="auto"/>
                <w:bottom w:val="none" w:sz="0" w:space="0" w:color="auto"/>
                <w:right w:val="none" w:sz="0" w:space="0" w:color="auto"/>
              </w:divBdr>
            </w:div>
          </w:divsChild>
        </w:div>
      </w:divsChild>
    </w:div>
    <w:div w:id="1325282590">
      <w:bodyDiv w:val="1"/>
      <w:marLeft w:val="0"/>
      <w:marRight w:val="0"/>
      <w:marTop w:val="0"/>
      <w:marBottom w:val="0"/>
      <w:divBdr>
        <w:top w:val="none" w:sz="0" w:space="0" w:color="auto"/>
        <w:left w:val="none" w:sz="0" w:space="0" w:color="auto"/>
        <w:bottom w:val="none" w:sz="0" w:space="0" w:color="auto"/>
        <w:right w:val="none" w:sz="0" w:space="0" w:color="auto"/>
      </w:divBdr>
    </w:div>
    <w:div w:id="1435058000">
      <w:bodyDiv w:val="1"/>
      <w:marLeft w:val="0"/>
      <w:marRight w:val="0"/>
      <w:marTop w:val="0"/>
      <w:marBottom w:val="0"/>
      <w:divBdr>
        <w:top w:val="none" w:sz="0" w:space="0" w:color="auto"/>
        <w:left w:val="none" w:sz="0" w:space="0" w:color="auto"/>
        <w:bottom w:val="none" w:sz="0" w:space="0" w:color="auto"/>
        <w:right w:val="none" w:sz="0" w:space="0" w:color="auto"/>
      </w:divBdr>
      <w:divsChild>
        <w:div w:id="554853559">
          <w:marLeft w:val="0"/>
          <w:marRight w:val="0"/>
          <w:marTop w:val="0"/>
          <w:marBottom w:val="0"/>
          <w:divBdr>
            <w:top w:val="none" w:sz="0" w:space="0" w:color="auto"/>
            <w:left w:val="none" w:sz="0" w:space="0" w:color="auto"/>
            <w:bottom w:val="none" w:sz="0" w:space="0" w:color="auto"/>
            <w:right w:val="none" w:sz="0" w:space="0" w:color="auto"/>
          </w:divBdr>
          <w:divsChild>
            <w:div w:id="1461067612">
              <w:marLeft w:val="0"/>
              <w:marRight w:val="0"/>
              <w:marTop w:val="0"/>
              <w:marBottom w:val="0"/>
              <w:divBdr>
                <w:top w:val="none" w:sz="0" w:space="0" w:color="auto"/>
                <w:left w:val="none" w:sz="0" w:space="0" w:color="auto"/>
                <w:bottom w:val="none" w:sz="0" w:space="0" w:color="auto"/>
                <w:right w:val="none" w:sz="0" w:space="0" w:color="auto"/>
              </w:divBdr>
              <w:divsChild>
                <w:div w:id="1721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4057">
      <w:bodyDiv w:val="1"/>
      <w:marLeft w:val="0"/>
      <w:marRight w:val="0"/>
      <w:marTop w:val="0"/>
      <w:marBottom w:val="0"/>
      <w:divBdr>
        <w:top w:val="none" w:sz="0" w:space="0" w:color="auto"/>
        <w:left w:val="none" w:sz="0" w:space="0" w:color="auto"/>
        <w:bottom w:val="none" w:sz="0" w:space="0" w:color="auto"/>
        <w:right w:val="none" w:sz="0" w:space="0" w:color="auto"/>
      </w:divBdr>
    </w:div>
    <w:div w:id="1567914368">
      <w:bodyDiv w:val="1"/>
      <w:marLeft w:val="0"/>
      <w:marRight w:val="0"/>
      <w:marTop w:val="0"/>
      <w:marBottom w:val="0"/>
      <w:divBdr>
        <w:top w:val="none" w:sz="0" w:space="0" w:color="auto"/>
        <w:left w:val="none" w:sz="0" w:space="0" w:color="auto"/>
        <w:bottom w:val="none" w:sz="0" w:space="0" w:color="auto"/>
        <w:right w:val="none" w:sz="0" w:space="0" w:color="auto"/>
      </w:divBdr>
      <w:divsChild>
        <w:div w:id="373503913">
          <w:marLeft w:val="0"/>
          <w:marRight w:val="0"/>
          <w:marTop w:val="0"/>
          <w:marBottom w:val="0"/>
          <w:divBdr>
            <w:top w:val="none" w:sz="0" w:space="0" w:color="auto"/>
            <w:left w:val="none" w:sz="0" w:space="0" w:color="auto"/>
            <w:bottom w:val="none" w:sz="0" w:space="0" w:color="auto"/>
            <w:right w:val="none" w:sz="0" w:space="0" w:color="auto"/>
          </w:divBdr>
          <w:divsChild>
            <w:div w:id="449395893">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867912760">
      <w:bodyDiv w:val="1"/>
      <w:marLeft w:val="0"/>
      <w:marRight w:val="0"/>
      <w:marTop w:val="0"/>
      <w:marBottom w:val="0"/>
      <w:divBdr>
        <w:top w:val="none" w:sz="0" w:space="0" w:color="auto"/>
        <w:left w:val="none" w:sz="0" w:space="0" w:color="auto"/>
        <w:bottom w:val="none" w:sz="0" w:space="0" w:color="auto"/>
        <w:right w:val="none" w:sz="0" w:space="0" w:color="auto"/>
      </w:divBdr>
    </w:div>
    <w:div w:id="1971590220">
      <w:bodyDiv w:val="1"/>
      <w:marLeft w:val="0"/>
      <w:marRight w:val="0"/>
      <w:marTop w:val="0"/>
      <w:marBottom w:val="0"/>
      <w:divBdr>
        <w:top w:val="none" w:sz="0" w:space="0" w:color="auto"/>
        <w:left w:val="none" w:sz="0" w:space="0" w:color="auto"/>
        <w:bottom w:val="none" w:sz="0" w:space="0" w:color="auto"/>
        <w:right w:val="none" w:sz="0" w:space="0" w:color="auto"/>
      </w:divBdr>
      <w:divsChild>
        <w:div w:id="367528677">
          <w:marLeft w:val="0"/>
          <w:marRight w:val="0"/>
          <w:marTop w:val="0"/>
          <w:marBottom w:val="0"/>
          <w:divBdr>
            <w:top w:val="none" w:sz="0" w:space="0" w:color="auto"/>
            <w:left w:val="none" w:sz="0" w:space="0" w:color="auto"/>
            <w:bottom w:val="none" w:sz="0" w:space="0" w:color="auto"/>
            <w:right w:val="none" w:sz="0" w:space="0" w:color="auto"/>
          </w:divBdr>
          <w:divsChild>
            <w:div w:id="1084254910">
              <w:marLeft w:val="0"/>
              <w:marRight w:val="0"/>
              <w:marTop w:val="0"/>
              <w:marBottom w:val="0"/>
              <w:divBdr>
                <w:top w:val="none" w:sz="0" w:space="0" w:color="auto"/>
                <w:left w:val="none" w:sz="0" w:space="0" w:color="auto"/>
                <w:bottom w:val="none" w:sz="0" w:space="0" w:color="auto"/>
                <w:right w:val="none" w:sz="0" w:space="0" w:color="auto"/>
              </w:divBdr>
              <w:divsChild>
                <w:div w:id="17785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6295">
      <w:bodyDiv w:val="1"/>
      <w:marLeft w:val="0"/>
      <w:marRight w:val="0"/>
      <w:marTop w:val="0"/>
      <w:marBottom w:val="0"/>
      <w:divBdr>
        <w:top w:val="none" w:sz="0" w:space="0" w:color="auto"/>
        <w:left w:val="none" w:sz="0" w:space="0" w:color="auto"/>
        <w:bottom w:val="none" w:sz="0" w:space="0" w:color="auto"/>
        <w:right w:val="none" w:sz="0" w:space="0" w:color="auto"/>
      </w:divBdr>
      <w:divsChild>
        <w:div w:id="1072236531">
          <w:marLeft w:val="0"/>
          <w:marRight w:val="0"/>
          <w:marTop w:val="0"/>
          <w:marBottom w:val="0"/>
          <w:divBdr>
            <w:top w:val="none" w:sz="0" w:space="0" w:color="auto"/>
            <w:left w:val="none" w:sz="0" w:space="0" w:color="auto"/>
            <w:bottom w:val="none" w:sz="0" w:space="0" w:color="auto"/>
            <w:right w:val="none" w:sz="0" w:space="0" w:color="auto"/>
          </w:divBdr>
          <w:divsChild>
            <w:div w:id="547376472">
              <w:marLeft w:val="0"/>
              <w:marRight w:val="0"/>
              <w:marTop w:val="0"/>
              <w:marBottom w:val="0"/>
              <w:divBdr>
                <w:top w:val="none" w:sz="0" w:space="0" w:color="auto"/>
                <w:left w:val="none" w:sz="0" w:space="0" w:color="auto"/>
                <w:bottom w:val="none" w:sz="0" w:space="0" w:color="auto"/>
                <w:right w:val="none" w:sz="0" w:space="0" w:color="auto"/>
              </w:divBdr>
              <w:divsChild>
                <w:div w:id="12462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26759">
      <w:bodyDiv w:val="1"/>
      <w:marLeft w:val="0"/>
      <w:marRight w:val="0"/>
      <w:marTop w:val="0"/>
      <w:marBottom w:val="0"/>
      <w:divBdr>
        <w:top w:val="none" w:sz="0" w:space="0" w:color="auto"/>
        <w:left w:val="none" w:sz="0" w:space="0" w:color="auto"/>
        <w:bottom w:val="none" w:sz="0" w:space="0" w:color="auto"/>
        <w:right w:val="none" w:sz="0" w:space="0" w:color="auto"/>
      </w:divBdr>
    </w:div>
    <w:div w:id="2095737369">
      <w:bodyDiv w:val="1"/>
      <w:marLeft w:val="0"/>
      <w:marRight w:val="0"/>
      <w:marTop w:val="0"/>
      <w:marBottom w:val="0"/>
      <w:divBdr>
        <w:top w:val="none" w:sz="0" w:space="0" w:color="auto"/>
        <w:left w:val="none" w:sz="0" w:space="0" w:color="auto"/>
        <w:bottom w:val="none" w:sz="0" w:space="0" w:color="auto"/>
        <w:right w:val="none" w:sz="0" w:space="0" w:color="auto"/>
      </w:divBdr>
      <w:divsChild>
        <w:div w:id="806968343">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B2355-6CD6-4A93-B253-BE302CF3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5950</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cp:lastPrinted>2013-05-15T18:58:00Z</cp:lastPrinted>
  <dcterms:created xsi:type="dcterms:W3CDTF">2013-09-13T19:12:00Z</dcterms:created>
  <dcterms:modified xsi:type="dcterms:W3CDTF">2013-09-13T19:25:00Z</dcterms:modified>
</cp:coreProperties>
</file>