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86" w:rsidRDefault="00986586">
      <w:pPr>
        <w:pStyle w:val="Titleline"/>
      </w:pPr>
      <w:r>
        <w:t>Simple</w:t>
      </w:r>
    </w:p>
    <w:p w:rsidR="00986586" w:rsidRDefault="00986586">
      <w:pPr>
        <w:pStyle w:val="Titleline"/>
      </w:pPr>
      <w:r>
        <w:t>air contaminant discharge permit</w:t>
      </w:r>
    </w:p>
    <w:p w:rsidR="00986586" w:rsidRDefault="00986586"/>
    <w:p w:rsidR="00986586" w:rsidRDefault="00986586">
      <w:pPr>
        <w:jc w:val="center"/>
      </w:pPr>
      <w:r>
        <w:t>Department of Environmental Quality</w:t>
      </w:r>
    </w:p>
    <w:p w:rsidR="00CF6723" w:rsidRDefault="00605AC6" w:rsidP="00CF6723">
      <w:pPr>
        <w:jc w:val="center"/>
      </w:pPr>
      <w:r>
        <w:fldChar w:fldCharType="begin"/>
      </w:r>
      <w:r w:rsidR="00CF6723">
        <w:instrText xml:space="preserve"> FORMDROPDOWN </w:instrText>
      </w:r>
      <w:r>
        <w:fldChar w:fldCharType="end"/>
      </w:r>
      <w:r w:rsidR="00AA2A6A">
        <w:t>Eastern Region</w:t>
      </w:r>
    </w:p>
    <w:p w:rsidR="00CF6723" w:rsidRDefault="00AA2A6A" w:rsidP="00CF6723">
      <w:pPr>
        <w:jc w:val="center"/>
      </w:pPr>
      <w:r>
        <w:t>475 NE Bellevue Dr., Suite 110</w:t>
      </w:r>
    </w:p>
    <w:p w:rsidR="00CF6723" w:rsidRDefault="00AA2A6A" w:rsidP="00CF6723">
      <w:pPr>
        <w:jc w:val="center"/>
      </w:pPr>
      <w:r>
        <w:t>Bend, Oregon 97701</w:t>
      </w:r>
    </w:p>
    <w:p w:rsidR="00CF6723" w:rsidRDefault="00AA2A6A" w:rsidP="00CF6723">
      <w:pPr>
        <w:jc w:val="center"/>
      </w:pPr>
      <w:r>
        <w:t>(541) 388-6146</w:t>
      </w:r>
    </w:p>
    <w:p w:rsidR="00986586" w:rsidRDefault="00986586">
      <w:pPr>
        <w:jc w:val="center"/>
      </w:pPr>
    </w:p>
    <w:p w:rsidR="00986586" w:rsidRDefault="00986586">
      <w:pPr>
        <w:jc w:val="center"/>
      </w:pPr>
      <w:r>
        <w:t xml:space="preserve">This permit is being issued in accordance with the provisions of ORS 468A.040 and </w:t>
      </w:r>
    </w:p>
    <w:p w:rsidR="00986586" w:rsidRDefault="00986586">
      <w:pPr>
        <w:pBdr>
          <w:bottom w:val="double" w:sz="12" w:space="1" w:color="auto"/>
        </w:pBdr>
        <w:jc w:val="center"/>
      </w:pPr>
      <w:proofErr w:type="gramStart"/>
      <w:r>
        <w:t>based</w:t>
      </w:r>
      <w:proofErr w:type="gramEnd"/>
      <w:r>
        <w:t xml:space="preserve"> on the land use compatibility findings included in the permit record.</w:t>
      </w:r>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986586">
        <w:tc>
          <w:tcPr>
            <w:tcW w:w="4788" w:type="dxa"/>
            <w:tcBorders>
              <w:top w:val="nil"/>
              <w:left w:val="nil"/>
              <w:bottom w:val="nil"/>
              <w:right w:val="nil"/>
            </w:tcBorders>
          </w:tcPr>
          <w:p w:rsidR="00986586" w:rsidRDefault="00986586">
            <w:r>
              <w:t>ISSUED TO:</w:t>
            </w:r>
          </w:p>
          <w:p w:rsidR="00986586" w:rsidRDefault="00986586"/>
          <w:p w:rsidR="00986586" w:rsidRDefault="00AA2A6A">
            <w:proofErr w:type="spellStart"/>
            <w:r>
              <w:t>ZeaChem</w:t>
            </w:r>
            <w:proofErr w:type="spellEnd"/>
            <w:r>
              <w:t xml:space="preserve"> Inc. </w:t>
            </w:r>
          </w:p>
          <w:p w:rsidR="00986586" w:rsidRDefault="005C3B44">
            <w:r>
              <w:t>165 S</w:t>
            </w:r>
            <w:r w:rsidR="00AA2A6A">
              <w:t xml:space="preserve"> Union Blvd., Suite 380</w:t>
            </w:r>
          </w:p>
          <w:p w:rsidR="00986586" w:rsidRDefault="00AA2A6A" w:rsidP="00AA2A6A">
            <w:pPr>
              <w:pStyle w:val="Header"/>
              <w:tabs>
                <w:tab w:val="clear" w:pos="4320"/>
                <w:tab w:val="clear" w:pos="8640"/>
              </w:tabs>
            </w:pPr>
            <w:r>
              <w:t>Lakewood, CO  80228</w:t>
            </w:r>
          </w:p>
        </w:tc>
        <w:tc>
          <w:tcPr>
            <w:tcW w:w="4788" w:type="dxa"/>
            <w:tcBorders>
              <w:top w:val="nil"/>
              <w:left w:val="nil"/>
              <w:bottom w:val="nil"/>
              <w:right w:val="nil"/>
            </w:tcBorders>
          </w:tcPr>
          <w:p w:rsidR="00986586" w:rsidRDefault="00986586">
            <w:r>
              <w:t>INFORMATION RELIED UPON:</w:t>
            </w:r>
          </w:p>
          <w:p w:rsidR="00986586" w:rsidRDefault="00986586"/>
          <w:p w:rsidR="00986586" w:rsidRDefault="00986586">
            <w:r>
              <w:t>Application No.:</w:t>
            </w:r>
            <w:r>
              <w:tab/>
              <w:t>0</w:t>
            </w:r>
            <w:r w:rsidR="00AA2A6A">
              <w:t>23871</w:t>
            </w:r>
          </w:p>
          <w:p w:rsidR="00986586" w:rsidRDefault="00986586">
            <w:r>
              <w:t>Date Received:</w:t>
            </w:r>
            <w:r>
              <w:tab/>
            </w:r>
            <w:r w:rsidR="00AA2A6A">
              <w:t>11/09/09</w:t>
            </w:r>
          </w:p>
          <w:p w:rsidR="00986586" w:rsidRDefault="00986586"/>
        </w:tc>
      </w:tr>
      <w:tr w:rsidR="00986586">
        <w:tc>
          <w:tcPr>
            <w:tcW w:w="4788" w:type="dxa"/>
            <w:tcBorders>
              <w:top w:val="nil"/>
              <w:left w:val="nil"/>
              <w:bottom w:val="nil"/>
              <w:right w:val="nil"/>
            </w:tcBorders>
          </w:tcPr>
          <w:p w:rsidR="00986586" w:rsidRDefault="00986586"/>
          <w:p w:rsidR="00986586" w:rsidRDefault="00986586">
            <w:r>
              <w:t>PLANT SITE LOCATION:</w:t>
            </w:r>
          </w:p>
          <w:p w:rsidR="00986586" w:rsidRDefault="00986586"/>
          <w:p w:rsidR="00986586" w:rsidRDefault="00AA2A6A">
            <w:r>
              <w:t>71099 Rail Loop Drive</w:t>
            </w:r>
          </w:p>
          <w:p w:rsidR="00986586" w:rsidRDefault="00AA2A6A" w:rsidP="00AA2A6A">
            <w:r>
              <w:t>Boardman, OR  97818</w:t>
            </w:r>
          </w:p>
        </w:tc>
        <w:tc>
          <w:tcPr>
            <w:tcW w:w="4788" w:type="dxa"/>
            <w:tcBorders>
              <w:top w:val="nil"/>
              <w:left w:val="nil"/>
              <w:bottom w:val="nil"/>
              <w:right w:val="nil"/>
            </w:tcBorders>
          </w:tcPr>
          <w:p w:rsidR="00986586" w:rsidRDefault="00986586">
            <w:pPr>
              <w:pStyle w:val="Header"/>
              <w:tabs>
                <w:tab w:val="clear" w:pos="4320"/>
                <w:tab w:val="clear" w:pos="8640"/>
              </w:tabs>
            </w:pPr>
          </w:p>
          <w:p w:rsidR="00986586" w:rsidRDefault="00986586">
            <w:pPr>
              <w:pStyle w:val="Header"/>
              <w:tabs>
                <w:tab w:val="clear" w:pos="4320"/>
                <w:tab w:val="clear" w:pos="8640"/>
              </w:tabs>
            </w:pPr>
            <w:r>
              <w:t>LAND USE COMPATIBILITY FINDING:</w:t>
            </w:r>
          </w:p>
          <w:p w:rsidR="00986586" w:rsidRDefault="00986586">
            <w:pPr>
              <w:pStyle w:val="Header"/>
              <w:tabs>
                <w:tab w:val="clear" w:pos="4320"/>
                <w:tab w:val="clear" w:pos="8640"/>
              </w:tabs>
            </w:pPr>
          </w:p>
          <w:p w:rsidR="00986586" w:rsidRDefault="00986586">
            <w:r>
              <w:t>Approving Authority:</w:t>
            </w:r>
            <w:r>
              <w:tab/>
            </w:r>
            <w:r w:rsidR="006A2636">
              <w:t>Morrow County</w:t>
            </w:r>
          </w:p>
          <w:p w:rsidR="00986586" w:rsidRDefault="00986586" w:rsidP="006A2636">
            <w:r>
              <w:t>Approval Date:</w:t>
            </w:r>
            <w:r>
              <w:tab/>
            </w:r>
            <w:r w:rsidR="006A2636">
              <w:t>10/23/09</w:t>
            </w:r>
          </w:p>
        </w:tc>
      </w:tr>
      <w:tr w:rsidR="00986586">
        <w:tc>
          <w:tcPr>
            <w:tcW w:w="4788" w:type="dxa"/>
            <w:tcBorders>
              <w:top w:val="nil"/>
              <w:left w:val="nil"/>
              <w:bottom w:val="nil"/>
              <w:right w:val="nil"/>
            </w:tcBorders>
          </w:tcPr>
          <w:p w:rsidR="00986586" w:rsidRDefault="00986586"/>
        </w:tc>
        <w:tc>
          <w:tcPr>
            <w:tcW w:w="4788" w:type="dxa"/>
            <w:tcBorders>
              <w:top w:val="nil"/>
              <w:left w:val="nil"/>
              <w:bottom w:val="nil"/>
              <w:right w:val="nil"/>
            </w:tcBorders>
          </w:tcPr>
          <w:p w:rsidR="00986586" w:rsidRDefault="00986586"/>
          <w:p w:rsidR="00986586" w:rsidRDefault="00986586"/>
        </w:tc>
      </w:tr>
    </w:tbl>
    <w:p w:rsidR="00986586" w:rsidRDefault="00986586"/>
    <w:p w:rsidR="00986586" w:rsidRDefault="00986586">
      <w:pPr>
        <w:rPr>
          <w:b/>
        </w:rPr>
      </w:pPr>
      <w:r>
        <w:rPr>
          <w:b/>
        </w:rPr>
        <w:t>ISSUED BY THE DEPARTMENT OF ENVIRONMENTAL QUALITY</w:t>
      </w:r>
    </w:p>
    <w:p w:rsidR="00986586" w:rsidRDefault="00986586">
      <w:pPr>
        <w:pStyle w:val="Header"/>
        <w:tabs>
          <w:tab w:val="clear" w:pos="4320"/>
          <w:tab w:val="clear" w:pos="8640"/>
        </w:tabs>
      </w:pPr>
    </w:p>
    <w:p w:rsidR="00986586" w:rsidRDefault="00986586"/>
    <w:p w:rsidR="00986586" w:rsidRDefault="00986586">
      <w:pPr>
        <w:tabs>
          <w:tab w:val="left" w:pos="6480"/>
        </w:tabs>
      </w:pPr>
      <w:r>
        <w:t>____________________________________________</w:t>
      </w:r>
      <w:r w:rsidR="005C3B44">
        <w:t>___</w:t>
      </w:r>
      <w:r w:rsidR="00115435">
        <w:t>_</w:t>
      </w:r>
      <w:r>
        <w:tab/>
        <w:t>_______________________</w:t>
      </w:r>
    </w:p>
    <w:p w:rsidR="00986586" w:rsidRDefault="00605AC6">
      <w:pPr>
        <w:pBdr>
          <w:bottom w:val="double" w:sz="12" w:space="1" w:color="auto"/>
        </w:pBdr>
        <w:tabs>
          <w:tab w:val="left" w:pos="6480"/>
        </w:tabs>
      </w:pPr>
      <w:r>
        <w:fldChar w:fldCharType="begin"/>
      </w:r>
      <w:r w:rsidR="00327E11">
        <w:instrText xml:space="preserve"> FORMDROPDOWN </w:instrText>
      </w:r>
      <w:r>
        <w:fldChar w:fldCharType="end"/>
      </w:r>
      <w:r>
        <w:fldChar w:fldCharType="begin">
          <w:ffData>
            <w:name w:val=""/>
            <w:enabled/>
            <w:calcOnExit w:val="0"/>
            <w:ddList>
              <w:listEntry w:val="Linda Hayes-Gorman, Eastern Region"/>
              <w:listEntry w:val="Corey-Ann Wind, Northwest Region"/>
              <w:listEntry w:val="Ed Druback, Northwest Region"/>
              <w:listEntry w:val="Cheryll Hutchens, Western Region-Salem"/>
              <w:listEntry w:val="John Becker, Western Region-Medford"/>
            </w:ddList>
          </w:ffData>
        </w:fldChar>
      </w:r>
      <w:r w:rsidR="00CF6723">
        <w:instrText xml:space="preserve"> FORMDROPDOWN </w:instrText>
      </w:r>
      <w:r>
        <w:fldChar w:fldCharType="end"/>
      </w:r>
      <w:r w:rsidR="00CF6723">
        <w:t xml:space="preserve"> </w:t>
      </w:r>
      <w:r w:rsidR="00986586">
        <w:t>Air Quality Manager</w:t>
      </w:r>
      <w:r w:rsidR="00986586">
        <w:tab/>
        <w:t>Dated</w:t>
      </w:r>
    </w:p>
    <w:p w:rsidR="00986586" w:rsidRDefault="00986586"/>
    <w:p w:rsidR="00986586" w:rsidRDefault="00986586">
      <w:pPr>
        <w:jc w:val="center"/>
      </w:pPr>
      <w:r>
        <w:t>Source(</w:t>
      </w:r>
      <w:proofErr w:type="spellStart"/>
      <w:r>
        <w:t>s</w:t>
      </w:r>
      <w:proofErr w:type="spellEnd"/>
      <w:r>
        <w:t>) Permitted to Discharge Air Contaminants (OAR 340-216-0020):</w:t>
      </w:r>
    </w:p>
    <w:p w:rsidR="00986586" w:rsidRDefault="00986586">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986586">
        <w:tc>
          <w:tcPr>
            <w:tcW w:w="2880" w:type="dxa"/>
            <w:tcBorders>
              <w:top w:val="double" w:sz="6" w:space="0" w:color="auto"/>
              <w:left w:val="double" w:sz="6" w:space="0" w:color="auto"/>
              <w:bottom w:val="nil"/>
            </w:tcBorders>
            <w:vAlign w:val="bottom"/>
          </w:tcPr>
          <w:p w:rsidR="00986586" w:rsidRDefault="00986586">
            <w:pPr>
              <w:pStyle w:val="Header"/>
              <w:tabs>
                <w:tab w:val="clear" w:pos="4320"/>
                <w:tab w:val="clear" w:pos="8640"/>
              </w:tabs>
              <w:spacing w:before="40" w:after="40"/>
              <w:jc w:val="center"/>
              <w:rPr>
                <w:b/>
              </w:rPr>
            </w:pPr>
            <w:r>
              <w:rPr>
                <w:b/>
              </w:rPr>
              <w:t>Table 1 Code</w:t>
            </w:r>
          </w:p>
        </w:tc>
        <w:tc>
          <w:tcPr>
            <w:tcW w:w="5760" w:type="dxa"/>
            <w:tcBorders>
              <w:top w:val="double" w:sz="6" w:space="0" w:color="auto"/>
              <w:bottom w:val="nil"/>
            </w:tcBorders>
            <w:vAlign w:val="bottom"/>
          </w:tcPr>
          <w:p w:rsidR="00986586" w:rsidRDefault="00986586">
            <w:pPr>
              <w:pStyle w:val="Header"/>
              <w:tabs>
                <w:tab w:val="clear" w:pos="4320"/>
                <w:tab w:val="clear" w:pos="8640"/>
              </w:tabs>
              <w:spacing w:before="40" w:after="40"/>
              <w:rPr>
                <w:b/>
              </w:rPr>
            </w:pPr>
            <w:r>
              <w:rPr>
                <w:b/>
              </w:rPr>
              <w:t>Source Description</w:t>
            </w:r>
          </w:p>
        </w:tc>
        <w:tc>
          <w:tcPr>
            <w:tcW w:w="864" w:type="dxa"/>
            <w:tcBorders>
              <w:top w:val="double" w:sz="6" w:space="0" w:color="auto"/>
              <w:bottom w:val="nil"/>
              <w:right w:val="double" w:sz="6" w:space="0" w:color="auto"/>
            </w:tcBorders>
            <w:vAlign w:val="bottom"/>
          </w:tcPr>
          <w:p w:rsidR="00986586" w:rsidRDefault="00986586">
            <w:pPr>
              <w:spacing w:before="40" w:after="40"/>
              <w:jc w:val="center"/>
              <w:rPr>
                <w:b/>
              </w:rPr>
            </w:pPr>
            <w:r>
              <w:rPr>
                <w:b/>
              </w:rPr>
              <w:t>SIC</w:t>
            </w:r>
          </w:p>
        </w:tc>
      </w:tr>
      <w:tr w:rsidR="00986586">
        <w:tc>
          <w:tcPr>
            <w:tcW w:w="2880" w:type="dxa"/>
            <w:tcBorders>
              <w:top w:val="double" w:sz="6" w:space="0" w:color="auto"/>
              <w:left w:val="double" w:sz="6" w:space="0" w:color="auto"/>
              <w:bottom w:val="single" w:sz="4" w:space="0" w:color="auto"/>
            </w:tcBorders>
          </w:tcPr>
          <w:p w:rsidR="00986586" w:rsidRDefault="00986586" w:rsidP="007D4CD3">
            <w:pPr>
              <w:pStyle w:val="Header"/>
              <w:tabs>
                <w:tab w:val="clear" w:pos="4320"/>
                <w:tab w:val="clear" w:pos="8640"/>
              </w:tabs>
              <w:spacing w:before="40" w:after="40"/>
              <w:jc w:val="center"/>
            </w:pPr>
            <w:r>
              <w:t xml:space="preserve">Part B, </w:t>
            </w:r>
            <w:r w:rsidR="006A2636">
              <w:t>1</w:t>
            </w:r>
            <w:r w:rsidR="007D4CD3">
              <w:t>3</w:t>
            </w:r>
          </w:p>
        </w:tc>
        <w:tc>
          <w:tcPr>
            <w:tcW w:w="5760" w:type="dxa"/>
            <w:tcBorders>
              <w:top w:val="double" w:sz="6" w:space="0" w:color="auto"/>
              <w:bottom w:val="single" w:sz="4" w:space="0" w:color="auto"/>
            </w:tcBorders>
          </w:tcPr>
          <w:p w:rsidR="00986586" w:rsidRDefault="006A2636">
            <w:pPr>
              <w:pStyle w:val="Header"/>
              <w:tabs>
                <w:tab w:val="clear" w:pos="4320"/>
                <w:tab w:val="clear" w:pos="8640"/>
              </w:tabs>
            </w:pPr>
            <w:r>
              <w:t>Boilers and other fuel burning equipment over 10 MMBtu/hr heat input</w:t>
            </w:r>
          </w:p>
        </w:tc>
        <w:tc>
          <w:tcPr>
            <w:tcW w:w="864" w:type="dxa"/>
            <w:tcBorders>
              <w:top w:val="double" w:sz="6" w:space="0" w:color="auto"/>
              <w:bottom w:val="single" w:sz="4" w:space="0" w:color="auto"/>
              <w:right w:val="double" w:sz="6" w:space="0" w:color="auto"/>
            </w:tcBorders>
          </w:tcPr>
          <w:p w:rsidR="00986586" w:rsidRDefault="006A2636">
            <w:pPr>
              <w:pStyle w:val="Header"/>
              <w:tabs>
                <w:tab w:val="clear" w:pos="4320"/>
                <w:tab w:val="clear" w:pos="8640"/>
              </w:tabs>
              <w:spacing w:before="40" w:after="40"/>
              <w:jc w:val="center"/>
            </w:pPr>
            <w:r>
              <w:t>4961</w:t>
            </w:r>
          </w:p>
        </w:tc>
      </w:tr>
      <w:tr w:rsidR="00986586">
        <w:tc>
          <w:tcPr>
            <w:tcW w:w="2880" w:type="dxa"/>
            <w:tcBorders>
              <w:top w:val="nil"/>
              <w:left w:val="double" w:sz="6" w:space="0" w:color="auto"/>
              <w:bottom w:val="double" w:sz="6" w:space="0" w:color="auto"/>
            </w:tcBorders>
          </w:tcPr>
          <w:p w:rsidR="00986586" w:rsidRDefault="006A2636" w:rsidP="007D4CD3">
            <w:pPr>
              <w:pStyle w:val="Header"/>
              <w:tabs>
                <w:tab w:val="clear" w:pos="4320"/>
                <w:tab w:val="clear" w:pos="8640"/>
              </w:tabs>
              <w:spacing w:before="40" w:after="40"/>
              <w:jc w:val="center"/>
            </w:pPr>
            <w:r>
              <w:t>Part B, 5</w:t>
            </w:r>
            <w:r w:rsidR="007D4CD3">
              <w:t>7</w:t>
            </w:r>
          </w:p>
        </w:tc>
        <w:tc>
          <w:tcPr>
            <w:tcW w:w="5760" w:type="dxa"/>
            <w:tcBorders>
              <w:top w:val="nil"/>
              <w:bottom w:val="double" w:sz="6" w:space="0" w:color="auto"/>
            </w:tcBorders>
          </w:tcPr>
          <w:p w:rsidR="00986586" w:rsidRDefault="006A2636" w:rsidP="007D4CD3">
            <w:pPr>
              <w:pStyle w:val="Header"/>
              <w:tabs>
                <w:tab w:val="clear" w:pos="4320"/>
                <w:tab w:val="clear" w:pos="8640"/>
              </w:tabs>
            </w:pPr>
            <w:r>
              <w:t xml:space="preserve">Organic </w:t>
            </w:r>
            <w:r w:rsidR="007D4CD3">
              <w:t xml:space="preserve">or Inorganic </w:t>
            </w:r>
            <w:r>
              <w:t>Chemical Manufacturing and Distributi</w:t>
            </w:r>
            <w:r w:rsidR="007D4CD3">
              <w:t>o</w:t>
            </w:r>
            <w:r>
              <w:t>n</w:t>
            </w:r>
          </w:p>
        </w:tc>
        <w:tc>
          <w:tcPr>
            <w:tcW w:w="864" w:type="dxa"/>
            <w:tcBorders>
              <w:top w:val="nil"/>
              <w:bottom w:val="double" w:sz="6" w:space="0" w:color="auto"/>
              <w:right w:val="double" w:sz="6" w:space="0" w:color="auto"/>
            </w:tcBorders>
          </w:tcPr>
          <w:p w:rsidR="00986586" w:rsidRDefault="006A2636">
            <w:pPr>
              <w:pStyle w:val="Header"/>
              <w:tabs>
                <w:tab w:val="clear" w:pos="4320"/>
                <w:tab w:val="clear" w:pos="8640"/>
              </w:tabs>
              <w:spacing w:before="40" w:after="40"/>
              <w:jc w:val="center"/>
            </w:pPr>
            <w:r>
              <w:t>2869</w:t>
            </w:r>
          </w:p>
        </w:tc>
      </w:tr>
    </w:tbl>
    <w:p w:rsidR="00986586" w:rsidRDefault="00986586"/>
    <w:p w:rsidR="00986586" w:rsidRDefault="00986586">
      <w:pPr>
        <w:pStyle w:val="Titleline"/>
        <w:jc w:val="left"/>
      </w:pPr>
      <w:r>
        <w:br w:type="page"/>
      </w:r>
      <w:r>
        <w:lastRenderedPageBreak/>
        <w:t>Table of Contents</w:t>
      </w:r>
    </w:p>
    <w:p w:rsidR="00986586" w:rsidRDefault="00986586"/>
    <w:p w:rsidR="00966721" w:rsidRDefault="00605AC6">
      <w:pPr>
        <w:pStyle w:val="TOC1"/>
        <w:tabs>
          <w:tab w:val="left" w:pos="660"/>
        </w:tabs>
        <w:rPr>
          <w:rFonts w:asciiTheme="minorHAnsi" w:eastAsiaTheme="minorEastAsia" w:hAnsiTheme="minorHAnsi" w:cstheme="minorBidi"/>
          <w:caps w:val="0"/>
          <w:sz w:val="22"/>
          <w:szCs w:val="22"/>
        </w:rPr>
      </w:pPr>
      <w:r w:rsidRPr="00605AC6">
        <w:fldChar w:fldCharType="begin"/>
      </w:r>
      <w:r w:rsidR="00986586">
        <w:instrText xml:space="preserve"> TOC \t "Heading 1,1" </w:instrText>
      </w:r>
      <w:r w:rsidRPr="00605AC6">
        <w:fldChar w:fldCharType="separate"/>
      </w:r>
      <w:r w:rsidR="00966721" w:rsidRPr="007C49A7">
        <w:rPr>
          <w:caps w:val="0"/>
        </w:rPr>
        <w:t>1.0</w:t>
      </w:r>
      <w:r w:rsidR="00966721">
        <w:rPr>
          <w:rFonts w:asciiTheme="minorHAnsi" w:eastAsiaTheme="minorEastAsia" w:hAnsiTheme="minorHAnsi" w:cstheme="minorBidi"/>
          <w:caps w:val="0"/>
          <w:sz w:val="22"/>
          <w:szCs w:val="22"/>
        </w:rPr>
        <w:tab/>
      </w:r>
      <w:r w:rsidR="00966721">
        <w:t>GENERAL emission standards AND LIMITS</w:t>
      </w:r>
      <w:r w:rsidR="00966721">
        <w:tab/>
      </w:r>
      <w:r>
        <w:fldChar w:fldCharType="begin"/>
      </w:r>
      <w:r w:rsidR="00966721">
        <w:instrText xml:space="preserve"> PAGEREF _Toc253664543 \h </w:instrText>
      </w:r>
      <w:r>
        <w:fldChar w:fldCharType="separate"/>
      </w:r>
      <w:r w:rsidR="00201510">
        <w:t>3</w:t>
      </w:r>
      <w:r>
        <w:fldChar w:fldCharType="end"/>
      </w:r>
    </w:p>
    <w:p w:rsidR="00966721" w:rsidRDefault="00966721">
      <w:pPr>
        <w:pStyle w:val="TOC1"/>
        <w:tabs>
          <w:tab w:val="left" w:pos="660"/>
        </w:tabs>
        <w:rPr>
          <w:rFonts w:asciiTheme="minorHAnsi" w:eastAsiaTheme="minorEastAsia" w:hAnsiTheme="minorHAnsi" w:cstheme="minorBidi"/>
          <w:caps w:val="0"/>
          <w:sz w:val="22"/>
          <w:szCs w:val="22"/>
        </w:rPr>
      </w:pPr>
      <w:r w:rsidRPr="007C49A7">
        <w:rPr>
          <w:caps w:val="0"/>
        </w:rPr>
        <w:t>2.0</w:t>
      </w:r>
      <w:r>
        <w:rPr>
          <w:rFonts w:asciiTheme="minorHAnsi" w:eastAsiaTheme="minorEastAsia" w:hAnsiTheme="minorHAnsi" w:cstheme="minorBidi"/>
          <w:caps w:val="0"/>
          <w:sz w:val="22"/>
          <w:szCs w:val="22"/>
        </w:rPr>
        <w:tab/>
      </w:r>
      <w:r>
        <w:t>specific performance and emission standards</w:t>
      </w:r>
      <w:r>
        <w:tab/>
      </w:r>
      <w:r w:rsidR="00605AC6">
        <w:fldChar w:fldCharType="begin"/>
      </w:r>
      <w:r>
        <w:instrText xml:space="preserve"> PAGEREF _Toc253664544 \h </w:instrText>
      </w:r>
      <w:r w:rsidR="00605AC6">
        <w:fldChar w:fldCharType="separate"/>
      </w:r>
      <w:r w:rsidR="00201510">
        <w:t>4</w:t>
      </w:r>
      <w:r w:rsidR="00605AC6">
        <w:fldChar w:fldCharType="end"/>
      </w:r>
    </w:p>
    <w:p w:rsidR="00966721" w:rsidRDefault="00966721">
      <w:pPr>
        <w:pStyle w:val="TOC1"/>
        <w:tabs>
          <w:tab w:val="left" w:pos="660"/>
        </w:tabs>
        <w:rPr>
          <w:rFonts w:asciiTheme="minorHAnsi" w:eastAsiaTheme="minorEastAsia" w:hAnsiTheme="minorHAnsi" w:cstheme="minorBidi"/>
          <w:caps w:val="0"/>
          <w:sz w:val="22"/>
          <w:szCs w:val="22"/>
        </w:rPr>
      </w:pPr>
      <w:r w:rsidRPr="007C49A7">
        <w:rPr>
          <w:caps w:val="0"/>
        </w:rPr>
        <w:t>3.0</w:t>
      </w:r>
      <w:r>
        <w:rPr>
          <w:rFonts w:asciiTheme="minorHAnsi" w:eastAsiaTheme="minorEastAsia" w:hAnsiTheme="minorHAnsi" w:cstheme="minorBidi"/>
          <w:caps w:val="0"/>
          <w:sz w:val="22"/>
          <w:szCs w:val="22"/>
        </w:rPr>
        <w:tab/>
      </w:r>
      <w:r>
        <w:t>plant site emission limits</w:t>
      </w:r>
      <w:r>
        <w:tab/>
      </w:r>
      <w:r w:rsidR="00605AC6">
        <w:fldChar w:fldCharType="begin"/>
      </w:r>
      <w:r>
        <w:instrText xml:space="preserve"> PAGEREF _Toc253664545 \h </w:instrText>
      </w:r>
      <w:r w:rsidR="00605AC6">
        <w:fldChar w:fldCharType="separate"/>
      </w:r>
      <w:r w:rsidR="00201510">
        <w:t>15</w:t>
      </w:r>
      <w:r w:rsidR="00605AC6">
        <w:fldChar w:fldCharType="end"/>
      </w:r>
    </w:p>
    <w:p w:rsidR="00966721" w:rsidRDefault="00966721">
      <w:pPr>
        <w:pStyle w:val="TOC1"/>
        <w:tabs>
          <w:tab w:val="left" w:pos="660"/>
        </w:tabs>
        <w:rPr>
          <w:rFonts w:asciiTheme="minorHAnsi" w:eastAsiaTheme="minorEastAsia" w:hAnsiTheme="minorHAnsi" w:cstheme="minorBidi"/>
          <w:caps w:val="0"/>
          <w:sz w:val="22"/>
          <w:szCs w:val="22"/>
        </w:rPr>
      </w:pPr>
      <w:r w:rsidRPr="007C49A7">
        <w:rPr>
          <w:caps w:val="0"/>
        </w:rPr>
        <w:t>4.0</w:t>
      </w:r>
      <w:r>
        <w:rPr>
          <w:rFonts w:asciiTheme="minorHAnsi" w:eastAsiaTheme="minorEastAsia" w:hAnsiTheme="minorHAnsi" w:cstheme="minorBidi"/>
          <w:caps w:val="0"/>
          <w:sz w:val="22"/>
          <w:szCs w:val="22"/>
        </w:rPr>
        <w:tab/>
      </w:r>
      <w:r>
        <w:t>compliance demonstration</w:t>
      </w:r>
      <w:r>
        <w:tab/>
      </w:r>
      <w:r w:rsidR="00605AC6">
        <w:fldChar w:fldCharType="begin"/>
      </w:r>
      <w:r>
        <w:instrText xml:space="preserve"> PAGEREF _Toc253664546 \h </w:instrText>
      </w:r>
      <w:r w:rsidR="00605AC6">
        <w:fldChar w:fldCharType="separate"/>
      </w:r>
      <w:r w:rsidR="00201510">
        <w:t>15</w:t>
      </w:r>
      <w:r w:rsidR="00605AC6">
        <w:fldChar w:fldCharType="end"/>
      </w:r>
    </w:p>
    <w:p w:rsidR="00966721" w:rsidRDefault="00966721">
      <w:pPr>
        <w:pStyle w:val="TOC1"/>
        <w:tabs>
          <w:tab w:val="left" w:pos="660"/>
        </w:tabs>
        <w:rPr>
          <w:rFonts w:asciiTheme="minorHAnsi" w:eastAsiaTheme="minorEastAsia" w:hAnsiTheme="minorHAnsi" w:cstheme="minorBidi"/>
          <w:caps w:val="0"/>
          <w:sz w:val="22"/>
          <w:szCs w:val="22"/>
        </w:rPr>
      </w:pPr>
      <w:r w:rsidRPr="007C49A7">
        <w:rPr>
          <w:caps w:val="0"/>
        </w:rPr>
        <w:t>5.0</w:t>
      </w:r>
      <w:r>
        <w:rPr>
          <w:rFonts w:asciiTheme="minorHAnsi" w:eastAsiaTheme="minorEastAsia" w:hAnsiTheme="minorHAnsi" w:cstheme="minorBidi"/>
          <w:caps w:val="0"/>
          <w:sz w:val="22"/>
          <w:szCs w:val="22"/>
        </w:rPr>
        <w:tab/>
      </w:r>
      <w:r>
        <w:t>recordkeeping requirements</w:t>
      </w:r>
      <w:r>
        <w:tab/>
      </w:r>
      <w:r w:rsidR="00605AC6">
        <w:fldChar w:fldCharType="begin"/>
      </w:r>
      <w:r>
        <w:instrText xml:space="preserve"> PAGEREF _Toc253664547 \h </w:instrText>
      </w:r>
      <w:r w:rsidR="00605AC6">
        <w:fldChar w:fldCharType="separate"/>
      </w:r>
      <w:r w:rsidR="00201510">
        <w:t>17</w:t>
      </w:r>
      <w:r w:rsidR="00605AC6">
        <w:fldChar w:fldCharType="end"/>
      </w:r>
    </w:p>
    <w:p w:rsidR="00966721" w:rsidRDefault="00966721">
      <w:pPr>
        <w:pStyle w:val="TOC1"/>
        <w:tabs>
          <w:tab w:val="left" w:pos="660"/>
        </w:tabs>
        <w:rPr>
          <w:rFonts w:asciiTheme="minorHAnsi" w:eastAsiaTheme="minorEastAsia" w:hAnsiTheme="minorHAnsi" w:cstheme="minorBidi"/>
          <w:caps w:val="0"/>
          <w:sz w:val="22"/>
          <w:szCs w:val="22"/>
        </w:rPr>
      </w:pPr>
      <w:r w:rsidRPr="007C49A7">
        <w:rPr>
          <w:caps w:val="0"/>
        </w:rPr>
        <w:t>6.0</w:t>
      </w:r>
      <w:r>
        <w:rPr>
          <w:rFonts w:asciiTheme="minorHAnsi" w:eastAsiaTheme="minorEastAsia" w:hAnsiTheme="minorHAnsi" w:cstheme="minorBidi"/>
          <w:caps w:val="0"/>
          <w:sz w:val="22"/>
          <w:szCs w:val="22"/>
        </w:rPr>
        <w:tab/>
      </w:r>
      <w:r>
        <w:t>reporting requirements</w:t>
      </w:r>
      <w:r>
        <w:tab/>
      </w:r>
      <w:r w:rsidR="00605AC6">
        <w:fldChar w:fldCharType="begin"/>
      </w:r>
      <w:r>
        <w:instrText xml:space="preserve"> PAGEREF _Toc253664548 \h </w:instrText>
      </w:r>
      <w:r w:rsidR="00605AC6">
        <w:fldChar w:fldCharType="separate"/>
      </w:r>
      <w:r w:rsidR="00201510">
        <w:t>22</w:t>
      </w:r>
      <w:r w:rsidR="00605AC6">
        <w:fldChar w:fldCharType="end"/>
      </w:r>
    </w:p>
    <w:p w:rsidR="00966721" w:rsidRDefault="00966721">
      <w:pPr>
        <w:pStyle w:val="TOC1"/>
        <w:tabs>
          <w:tab w:val="left" w:pos="660"/>
        </w:tabs>
        <w:rPr>
          <w:rFonts w:asciiTheme="minorHAnsi" w:eastAsiaTheme="minorEastAsia" w:hAnsiTheme="minorHAnsi" w:cstheme="minorBidi"/>
          <w:caps w:val="0"/>
          <w:sz w:val="22"/>
          <w:szCs w:val="22"/>
        </w:rPr>
      </w:pPr>
      <w:r w:rsidRPr="007C49A7">
        <w:rPr>
          <w:caps w:val="0"/>
        </w:rPr>
        <w:t>7.0</w:t>
      </w:r>
      <w:r>
        <w:rPr>
          <w:rFonts w:asciiTheme="minorHAnsi" w:eastAsiaTheme="minorEastAsia" w:hAnsiTheme="minorHAnsi" w:cstheme="minorBidi"/>
          <w:caps w:val="0"/>
          <w:sz w:val="22"/>
          <w:szCs w:val="22"/>
        </w:rPr>
        <w:tab/>
      </w:r>
      <w:r>
        <w:t>Administrative requirements</w:t>
      </w:r>
      <w:r>
        <w:tab/>
      </w:r>
      <w:r w:rsidR="00605AC6">
        <w:fldChar w:fldCharType="begin"/>
      </w:r>
      <w:r>
        <w:instrText xml:space="preserve"> PAGEREF _Toc253664549 \h </w:instrText>
      </w:r>
      <w:r w:rsidR="00605AC6">
        <w:fldChar w:fldCharType="separate"/>
      </w:r>
      <w:r w:rsidR="00201510">
        <w:t>25</w:t>
      </w:r>
      <w:r w:rsidR="00605AC6">
        <w:fldChar w:fldCharType="end"/>
      </w:r>
    </w:p>
    <w:p w:rsidR="00966721" w:rsidRDefault="00966721">
      <w:pPr>
        <w:pStyle w:val="TOC1"/>
        <w:tabs>
          <w:tab w:val="left" w:pos="660"/>
        </w:tabs>
        <w:rPr>
          <w:rFonts w:asciiTheme="minorHAnsi" w:eastAsiaTheme="minorEastAsia" w:hAnsiTheme="minorHAnsi" w:cstheme="minorBidi"/>
          <w:caps w:val="0"/>
          <w:sz w:val="22"/>
          <w:szCs w:val="22"/>
        </w:rPr>
      </w:pPr>
      <w:r w:rsidRPr="007C49A7">
        <w:rPr>
          <w:caps w:val="0"/>
        </w:rPr>
        <w:t>8.0</w:t>
      </w:r>
      <w:r>
        <w:rPr>
          <w:rFonts w:asciiTheme="minorHAnsi" w:eastAsiaTheme="minorEastAsia" w:hAnsiTheme="minorHAnsi" w:cstheme="minorBidi"/>
          <w:caps w:val="0"/>
          <w:sz w:val="22"/>
          <w:szCs w:val="22"/>
        </w:rPr>
        <w:tab/>
      </w:r>
      <w:r>
        <w:t>fees</w:t>
      </w:r>
      <w:r>
        <w:tab/>
      </w:r>
      <w:r w:rsidR="00605AC6">
        <w:fldChar w:fldCharType="begin"/>
      </w:r>
      <w:r>
        <w:instrText xml:space="preserve"> PAGEREF _Toc253664550 \h </w:instrText>
      </w:r>
      <w:r w:rsidR="00605AC6">
        <w:fldChar w:fldCharType="separate"/>
      </w:r>
      <w:r w:rsidR="00201510">
        <w:t>26</w:t>
      </w:r>
      <w:r w:rsidR="00605AC6">
        <w:fldChar w:fldCharType="end"/>
      </w:r>
    </w:p>
    <w:p w:rsidR="00966721" w:rsidRDefault="00966721">
      <w:pPr>
        <w:pStyle w:val="TOC1"/>
        <w:tabs>
          <w:tab w:val="left" w:pos="660"/>
        </w:tabs>
        <w:rPr>
          <w:rFonts w:asciiTheme="minorHAnsi" w:eastAsiaTheme="minorEastAsia" w:hAnsiTheme="minorHAnsi" w:cstheme="minorBidi"/>
          <w:caps w:val="0"/>
          <w:sz w:val="22"/>
          <w:szCs w:val="22"/>
        </w:rPr>
      </w:pPr>
      <w:r w:rsidRPr="007C49A7">
        <w:rPr>
          <w:caps w:val="0"/>
        </w:rPr>
        <w:t>9.0</w:t>
      </w:r>
      <w:r>
        <w:rPr>
          <w:rFonts w:asciiTheme="minorHAnsi" w:eastAsiaTheme="minorEastAsia" w:hAnsiTheme="minorHAnsi" w:cstheme="minorBidi"/>
          <w:caps w:val="0"/>
          <w:sz w:val="22"/>
          <w:szCs w:val="22"/>
        </w:rPr>
        <w:tab/>
      </w:r>
      <w:r>
        <w:t>general conditions and disclaimers</w:t>
      </w:r>
      <w:r>
        <w:tab/>
      </w:r>
      <w:r w:rsidR="00605AC6">
        <w:fldChar w:fldCharType="begin"/>
      </w:r>
      <w:r>
        <w:instrText xml:space="preserve"> PAGEREF _Toc253664551 \h </w:instrText>
      </w:r>
      <w:r w:rsidR="00605AC6">
        <w:fldChar w:fldCharType="separate"/>
      </w:r>
      <w:r w:rsidR="00201510">
        <w:t>27</w:t>
      </w:r>
      <w:r w:rsidR="00605AC6">
        <w:fldChar w:fldCharType="end"/>
      </w:r>
    </w:p>
    <w:p w:rsidR="00966721" w:rsidRDefault="00966721">
      <w:pPr>
        <w:pStyle w:val="TOC1"/>
        <w:tabs>
          <w:tab w:val="left" w:pos="660"/>
        </w:tabs>
        <w:rPr>
          <w:rFonts w:asciiTheme="minorHAnsi" w:eastAsiaTheme="minorEastAsia" w:hAnsiTheme="minorHAnsi" w:cstheme="minorBidi"/>
          <w:caps w:val="0"/>
          <w:sz w:val="22"/>
          <w:szCs w:val="22"/>
        </w:rPr>
      </w:pPr>
      <w:r w:rsidRPr="007C49A7">
        <w:rPr>
          <w:caps w:val="0"/>
        </w:rPr>
        <w:t>10.0</w:t>
      </w:r>
      <w:r>
        <w:rPr>
          <w:rFonts w:asciiTheme="minorHAnsi" w:eastAsiaTheme="minorEastAsia" w:hAnsiTheme="minorHAnsi" w:cstheme="minorBidi"/>
          <w:caps w:val="0"/>
          <w:sz w:val="22"/>
          <w:szCs w:val="22"/>
        </w:rPr>
        <w:tab/>
      </w:r>
      <w:r>
        <w:t>Emission Factors</w:t>
      </w:r>
      <w:r>
        <w:tab/>
      </w:r>
      <w:r w:rsidR="00605AC6">
        <w:fldChar w:fldCharType="begin"/>
      </w:r>
      <w:r>
        <w:instrText xml:space="preserve"> PAGEREF _Toc253664552 \h </w:instrText>
      </w:r>
      <w:r w:rsidR="00605AC6">
        <w:fldChar w:fldCharType="separate"/>
      </w:r>
      <w:r w:rsidR="00201510">
        <w:t>29</w:t>
      </w:r>
      <w:r w:rsidR="00605AC6">
        <w:fldChar w:fldCharType="end"/>
      </w:r>
    </w:p>
    <w:p w:rsidR="00966721" w:rsidRDefault="00966721">
      <w:pPr>
        <w:pStyle w:val="TOC1"/>
        <w:tabs>
          <w:tab w:val="left" w:pos="660"/>
        </w:tabs>
        <w:rPr>
          <w:rFonts w:asciiTheme="minorHAnsi" w:eastAsiaTheme="minorEastAsia" w:hAnsiTheme="minorHAnsi" w:cstheme="minorBidi"/>
          <w:caps w:val="0"/>
          <w:sz w:val="22"/>
          <w:szCs w:val="22"/>
        </w:rPr>
      </w:pPr>
      <w:r w:rsidRPr="007C49A7">
        <w:rPr>
          <w:caps w:val="0"/>
        </w:rPr>
        <w:t>11.0</w:t>
      </w:r>
      <w:r>
        <w:rPr>
          <w:rFonts w:asciiTheme="minorHAnsi" w:eastAsiaTheme="minorEastAsia" w:hAnsiTheme="minorHAnsi" w:cstheme="minorBidi"/>
          <w:caps w:val="0"/>
          <w:sz w:val="22"/>
          <w:szCs w:val="22"/>
        </w:rPr>
        <w:tab/>
      </w:r>
      <w:r>
        <w:t>Process/Production Records</w:t>
      </w:r>
      <w:r>
        <w:tab/>
      </w:r>
      <w:r w:rsidR="00605AC6">
        <w:fldChar w:fldCharType="begin"/>
      </w:r>
      <w:r>
        <w:instrText xml:space="preserve"> PAGEREF _Toc253664553 \h </w:instrText>
      </w:r>
      <w:r w:rsidR="00605AC6">
        <w:fldChar w:fldCharType="separate"/>
      </w:r>
      <w:r w:rsidR="00201510">
        <w:t>30</w:t>
      </w:r>
      <w:r w:rsidR="00605AC6">
        <w:fldChar w:fldCharType="end"/>
      </w:r>
    </w:p>
    <w:p w:rsidR="00966721" w:rsidRDefault="00966721">
      <w:pPr>
        <w:pStyle w:val="TOC1"/>
        <w:tabs>
          <w:tab w:val="left" w:pos="660"/>
        </w:tabs>
        <w:rPr>
          <w:rFonts w:asciiTheme="minorHAnsi" w:eastAsiaTheme="minorEastAsia" w:hAnsiTheme="minorHAnsi" w:cstheme="minorBidi"/>
          <w:caps w:val="0"/>
          <w:sz w:val="22"/>
          <w:szCs w:val="22"/>
        </w:rPr>
      </w:pPr>
      <w:r w:rsidRPr="007C49A7">
        <w:rPr>
          <w:caps w:val="0"/>
        </w:rPr>
        <w:t>12.0</w:t>
      </w:r>
      <w:r>
        <w:rPr>
          <w:rFonts w:asciiTheme="minorHAnsi" w:eastAsiaTheme="minorEastAsia" w:hAnsiTheme="minorHAnsi" w:cstheme="minorBidi"/>
          <w:caps w:val="0"/>
          <w:sz w:val="22"/>
          <w:szCs w:val="22"/>
        </w:rPr>
        <w:tab/>
      </w:r>
      <w:r>
        <w:t>Abbreviations, acronyms, and definitions</w:t>
      </w:r>
      <w:r>
        <w:tab/>
      </w:r>
      <w:r w:rsidR="00605AC6">
        <w:fldChar w:fldCharType="begin"/>
      </w:r>
      <w:r>
        <w:instrText xml:space="preserve"> PAGEREF _Toc253664554 \h </w:instrText>
      </w:r>
      <w:r w:rsidR="00605AC6">
        <w:fldChar w:fldCharType="separate"/>
      </w:r>
      <w:r w:rsidR="00201510">
        <w:t>31</w:t>
      </w:r>
      <w:r w:rsidR="00605AC6">
        <w:fldChar w:fldCharType="end"/>
      </w:r>
    </w:p>
    <w:p w:rsidR="00986586" w:rsidRDefault="00605AC6">
      <w:r>
        <w:fldChar w:fldCharType="end"/>
      </w:r>
    </w:p>
    <w:p w:rsidR="00986586" w:rsidRDefault="00986586">
      <w:pPr>
        <w:pStyle w:val="Heading1"/>
      </w:pPr>
      <w:r>
        <w:br w:type="page"/>
      </w:r>
      <w:bookmarkStart w:id="0" w:name="_Toc253664543"/>
      <w:bookmarkStart w:id="1" w:name="_Toc481295397"/>
      <w:r>
        <w:lastRenderedPageBreak/>
        <w:t>GENERAL emission standards AND LIMITS</w:t>
      </w:r>
      <w:bookmarkEnd w:id="0"/>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pPr>
              <w:pStyle w:val="Heading2"/>
            </w:pPr>
            <w:r>
              <w:t>Visible Emissions</w:t>
            </w:r>
          </w:p>
        </w:tc>
        <w:tc>
          <w:tcPr>
            <w:tcW w:w="6624" w:type="dxa"/>
            <w:tcBorders>
              <w:top w:val="nil"/>
              <w:left w:val="nil"/>
              <w:bottom w:val="nil"/>
              <w:right w:val="nil"/>
            </w:tcBorders>
          </w:tcPr>
          <w:p w:rsidR="00986586" w:rsidRDefault="0062162C" w:rsidP="0062162C">
            <w:pPr>
              <w:pStyle w:val="Bodytext"/>
            </w:pPr>
            <w:bookmarkStart w:id="2" w:name="_Toc463428214"/>
            <w:r>
              <w:t>Emissions from any air contaminant source must not equal or exceed 20% opacity for a period aggregating more than 3 minutes in any one hour.</w:t>
            </w:r>
            <w:bookmarkEnd w:id="2"/>
          </w:p>
        </w:tc>
      </w:tr>
      <w:tr w:rsidR="00986586">
        <w:tc>
          <w:tcPr>
            <w:tcW w:w="2880" w:type="dxa"/>
            <w:tcBorders>
              <w:top w:val="nil"/>
              <w:left w:val="nil"/>
              <w:bottom w:val="nil"/>
              <w:right w:val="nil"/>
            </w:tcBorders>
          </w:tcPr>
          <w:p w:rsidR="00986586" w:rsidRDefault="00986586">
            <w:pPr>
              <w:pStyle w:val="Heading2"/>
            </w:pPr>
            <w:r>
              <w:t>Particulate Matter Emissions</w:t>
            </w:r>
          </w:p>
        </w:tc>
        <w:tc>
          <w:tcPr>
            <w:tcW w:w="6624" w:type="dxa"/>
            <w:tcBorders>
              <w:top w:val="nil"/>
              <w:left w:val="nil"/>
              <w:bottom w:val="nil"/>
              <w:right w:val="nil"/>
            </w:tcBorders>
          </w:tcPr>
          <w:p w:rsidR="00986586" w:rsidRDefault="00986586">
            <w:pPr>
              <w:pStyle w:val="Bodytext"/>
            </w:pPr>
            <w:r>
              <w:t>The permittee must comply with the following particulate matter emission limits, as applicable:</w:t>
            </w:r>
          </w:p>
        </w:tc>
      </w:tr>
      <w:tr w:rsidR="00986586">
        <w:tc>
          <w:tcPr>
            <w:tcW w:w="2880" w:type="dxa"/>
            <w:tcBorders>
              <w:top w:val="nil"/>
              <w:left w:val="nil"/>
              <w:bottom w:val="nil"/>
              <w:right w:val="nil"/>
            </w:tcBorders>
          </w:tcPr>
          <w:p w:rsidR="00986586" w:rsidRDefault="00986586">
            <w:pPr>
              <w:rPr>
                <w:b/>
              </w:rPr>
            </w:pPr>
          </w:p>
        </w:tc>
        <w:tc>
          <w:tcPr>
            <w:tcW w:w="6624" w:type="dxa"/>
            <w:tcBorders>
              <w:top w:val="nil"/>
              <w:left w:val="nil"/>
              <w:bottom w:val="nil"/>
              <w:right w:val="nil"/>
            </w:tcBorders>
          </w:tcPr>
          <w:p w:rsidR="00986586" w:rsidRDefault="00986586" w:rsidP="0062162C">
            <w:pPr>
              <w:pStyle w:val="Heading3"/>
            </w:pPr>
            <w:bookmarkStart w:id="3" w:name="_Toc463428217"/>
            <w:r>
              <w:t>Particulate matter emissions from any</w:t>
            </w:r>
            <w:r w:rsidR="00F13306">
              <w:t xml:space="preserve"> fuel </w:t>
            </w:r>
            <w:r>
              <w:t>burning equipment must not exceed 0.1 grains per standard cubic foot, corrected to 12% CO</w:t>
            </w:r>
            <w:r>
              <w:rPr>
                <w:vertAlign w:val="subscript"/>
              </w:rPr>
              <w:t>2</w:t>
            </w:r>
            <w:r>
              <w:t xml:space="preserve"> or 50% excess air.</w:t>
            </w:r>
            <w:bookmarkEnd w:id="3"/>
          </w:p>
        </w:tc>
      </w:tr>
      <w:tr w:rsidR="00986586">
        <w:tc>
          <w:tcPr>
            <w:tcW w:w="2880" w:type="dxa"/>
            <w:tcBorders>
              <w:top w:val="nil"/>
              <w:left w:val="nil"/>
              <w:bottom w:val="nil"/>
              <w:right w:val="nil"/>
            </w:tcBorders>
          </w:tcPr>
          <w:p w:rsidR="00986586" w:rsidRDefault="00986586">
            <w:pPr>
              <w:rPr>
                <w:b/>
              </w:rPr>
            </w:pPr>
          </w:p>
        </w:tc>
        <w:tc>
          <w:tcPr>
            <w:tcW w:w="6624" w:type="dxa"/>
            <w:tcBorders>
              <w:top w:val="nil"/>
              <w:left w:val="nil"/>
              <w:bottom w:val="nil"/>
              <w:right w:val="nil"/>
            </w:tcBorders>
          </w:tcPr>
          <w:p w:rsidR="00986586" w:rsidRDefault="00986586" w:rsidP="0062162C">
            <w:pPr>
              <w:pStyle w:val="Heading3"/>
            </w:pPr>
            <w:bookmarkStart w:id="4" w:name="_Toc463428220"/>
            <w:r>
              <w:t>Particulate matter emissions from any air contaminant source other than fuel burning equipment and fugitive emission sources must not exceed 0.1 grains per standard cubic foot.</w:t>
            </w:r>
            <w:bookmarkEnd w:id="4"/>
          </w:p>
        </w:tc>
      </w:tr>
      <w:tr w:rsidR="00986586">
        <w:tc>
          <w:tcPr>
            <w:tcW w:w="2880" w:type="dxa"/>
            <w:tcBorders>
              <w:top w:val="nil"/>
              <w:left w:val="nil"/>
              <w:bottom w:val="nil"/>
              <w:right w:val="nil"/>
            </w:tcBorders>
          </w:tcPr>
          <w:p w:rsidR="00986586" w:rsidRDefault="00986586">
            <w:pPr>
              <w:rPr>
                <w:b/>
              </w:rPr>
            </w:pPr>
          </w:p>
        </w:tc>
        <w:tc>
          <w:tcPr>
            <w:tcW w:w="6624" w:type="dxa"/>
            <w:tcBorders>
              <w:top w:val="nil"/>
              <w:left w:val="nil"/>
              <w:bottom w:val="nil"/>
              <w:right w:val="nil"/>
            </w:tcBorders>
          </w:tcPr>
          <w:p w:rsidR="00986586" w:rsidRDefault="00986586">
            <w:pPr>
              <w:pStyle w:val="Heading3"/>
            </w:pPr>
            <w:bookmarkStart w:id="5" w:name="_Toc463428221"/>
            <w:r>
              <w:t>Non-fugitive particulate matter emissions from any process must not exceed the amount shown in Table 1 of OAR 340-226-0310 for the process weight allocated to such a process.</w:t>
            </w:r>
            <w:bookmarkEnd w:id="5"/>
          </w:p>
        </w:tc>
      </w:tr>
      <w:tr w:rsidR="00986586">
        <w:tc>
          <w:tcPr>
            <w:tcW w:w="2880" w:type="dxa"/>
            <w:tcBorders>
              <w:top w:val="nil"/>
              <w:left w:val="nil"/>
              <w:bottom w:val="nil"/>
              <w:right w:val="nil"/>
            </w:tcBorders>
          </w:tcPr>
          <w:p w:rsidR="00986586" w:rsidRDefault="00986586">
            <w:pPr>
              <w:pStyle w:val="Heading2"/>
            </w:pPr>
            <w:r>
              <w:t>Fugitive Emissions</w:t>
            </w:r>
          </w:p>
        </w:tc>
        <w:tc>
          <w:tcPr>
            <w:tcW w:w="6624" w:type="dxa"/>
            <w:tcBorders>
              <w:top w:val="nil"/>
              <w:left w:val="nil"/>
              <w:bottom w:val="nil"/>
              <w:right w:val="nil"/>
            </w:tcBorders>
          </w:tcPr>
          <w:p w:rsidR="00986586" w:rsidRDefault="00986586">
            <w:pPr>
              <w:pStyle w:val="Bodytext"/>
            </w:pPr>
            <w:bookmarkStart w:id="6" w:name="_Toc463428222"/>
            <w:r>
              <w:t>The permittee must take reasonable precautions to prevent fugitive dust emissions by:</w:t>
            </w:r>
            <w:bookmarkEnd w:id="6"/>
          </w:p>
        </w:tc>
      </w:tr>
      <w:tr w:rsidR="00986586">
        <w:tc>
          <w:tcPr>
            <w:tcW w:w="2880" w:type="dxa"/>
            <w:tcBorders>
              <w:top w:val="nil"/>
              <w:left w:val="nil"/>
              <w:bottom w:val="nil"/>
              <w:right w:val="nil"/>
            </w:tcBorders>
          </w:tcPr>
          <w:p w:rsidR="00986586" w:rsidRDefault="00986586"/>
        </w:tc>
        <w:tc>
          <w:tcPr>
            <w:tcW w:w="6624" w:type="dxa"/>
            <w:tcBorders>
              <w:top w:val="nil"/>
              <w:left w:val="nil"/>
              <w:bottom w:val="nil"/>
              <w:right w:val="nil"/>
            </w:tcBorders>
          </w:tcPr>
          <w:p w:rsidR="00986586" w:rsidRDefault="00986586">
            <w:pPr>
              <w:pStyle w:val="Heading3"/>
            </w:pPr>
            <w:proofErr w:type="gramStart"/>
            <w:r>
              <w:t>Treating vehicular traffic areas of the plant site under the control of the permittee.</w:t>
            </w:r>
            <w:proofErr w:type="gramEnd"/>
          </w:p>
        </w:tc>
      </w:tr>
      <w:tr w:rsidR="00986586">
        <w:tc>
          <w:tcPr>
            <w:tcW w:w="2880" w:type="dxa"/>
            <w:tcBorders>
              <w:top w:val="nil"/>
              <w:left w:val="nil"/>
              <w:bottom w:val="nil"/>
              <w:right w:val="nil"/>
            </w:tcBorders>
          </w:tcPr>
          <w:p w:rsidR="00986586" w:rsidRDefault="00986586"/>
        </w:tc>
        <w:tc>
          <w:tcPr>
            <w:tcW w:w="6624" w:type="dxa"/>
            <w:tcBorders>
              <w:top w:val="nil"/>
              <w:left w:val="nil"/>
              <w:bottom w:val="nil"/>
              <w:right w:val="nil"/>
            </w:tcBorders>
          </w:tcPr>
          <w:p w:rsidR="00986586" w:rsidRDefault="00986586">
            <w:pPr>
              <w:pStyle w:val="Heading3"/>
            </w:pPr>
            <w:r>
              <w:t>Operating all air contaminant-generating processes so that fugitive type dust associated with the operation will be adequately controlled at all times.</w:t>
            </w:r>
          </w:p>
        </w:tc>
      </w:tr>
      <w:tr w:rsidR="00986586">
        <w:tc>
          <w:tcPr>
            <w:tcW w:w="2880" w:type="dxa"/>
            <w:tcBorders>
              <w:top w:val="nil"/>
              <w:left w:val="nil"/>
              <w:bottom w:val="nil"/>
              <w:right w:val="nil"/>
            </w:tcBorders>
          </w:tcPr>
          <w:p w:rsidR="00986586" w:rsidRDefault="00986586"/>
        </w:tc>
        <w:tc>
          <w:tcPr>
            <w:tcW w:w="6624" w:type="dxa"/>
            <w:tcBorders>
              <w:top w:val="nil"/>
              <w:left w:val="nil"/>
              <w:bottom w:val="nil"/>
              <w:right w:val="nil"/>
            </w:tcBorders>
          </w:tcPr>
          <w:p w:rsidR="00986586" w:rsidRDefault="00986586">
            <w:pPr>
              <w:pStyle w:val="Heading3"/>
            </w:pPr>
            <w:proofErr w:type="gramStart"/>
            <w:r>
              <w:t>Storing collected materials from air pollution control equipment in a covered container or other method equally effective in preventing the material from becoming airborne during storage and transfer.</w:t>
            </w:r>
            <w:proofErr w:type="gramEnd"/>
          </w:p>
        </w:tc>
      </w:tr>
      <w:tr w:rsidR="00986586">
        <w:tc>
          <w:tcPr>
            <w:tcW w:w="2880" w:type="dxa"/>
            <w:tcBorders>
              <w:top w:val="nil"/>
              <w:left w:val="nil"/>
              <w:bottom w:val="nil"/>
              <w:right w:val="nil"/>
            </w:tcBorders>
          </w:tcPr>
          <w:p w:rsidR="00986586" w:rsidRDefault="00986586">
            <w:pPr>
              <w:pStyle w:val="Heading2"/>
            </w:pPr>
            <w:r>
              <w:t>Particulate Matter Fallout</w:t>
            </w:r>
          </w:p>
        </w:tc>
        <w:tc>
          <w:tcPr>
            <w:tcW w:w="6624" w:type="dxa"/>
            <w:tcBorders>
              <w:top w:val="nil"/>
              <w:left w:val="nil"/>
              <w:bottom w:val="nil"/>
              <w:right w:val="nil"/>
            </w:tcBorders>
          </w:tcPr>
          <w:p w:rsidR="00986586" w:rsidRDefault="00986586">
            <w:pPr>
              <w:pStyle w:val="Bodytext"/>
            </w:pPr>
            <w:r>
              <w:t>The permittee must not cause or permit the emission of any particulate matter larger than 250 microns in size at sufficient duration or quantity, as to create an observable deposition upon the real property of another person.  The Department will verify that the deposition exists and will notify the permittee that the deposition must be controlled.</w:t>
            </w:r>
          </w:p>
        </w:tc>
      </w:tr>
      <w:tr w:rsidR="00986586">
        <w:tc>
          <w:tcPr>
            <w:tcW w:w="2880" w:type="dxa"/>
            <w:tcBorders>
              <w:top w:val="nil"/>
              <w:left w:val="nil"/>
              <w:bottom w:val="nil"/>
              <w:right w:val="nil"/>
            </w:tcBorders>
          </w:tcPr>
          <w:p w:rsidR="00986586" w:rsidRDefault="00986586">
            <w:pPr>
              <w:pStyle w:val="Heading2"/>
            </w:pPr>
            <w:r>
              <w:t>Nuisance and Odors</w:t>
            </w:r>
          </w:p>
        </w:tc>
        <w:tc>
          <w:tcPr>
            <w:tcW w:w="6624" w:type="dxa"/>
            <w:tcBorders>
              <w:top w:val="nil"/>
              <w:left w:val="nil"/>
              <w:bottom w:val="nil"/>
              <w:right w:val="nil"/>
            </w:tcBorders>
          </w:tcPr>
          <w:p w:rsidR="00986586" w:rsidRDefault="00986586">
            <w:pPr>
              <w:pStyle w:val="Bodytext"/>
            </w:pPr>
            <w:r>
              <w:t>The permittee must not cause or allow air contaminants from any source to cause a nuisance.  Nuisance conditions will be verified by Department personnel.</w:t>
            </w:r>
          </w:p>
        </w:tc>
      </w:tr>
      <w:tr w:rsidR="00986586">
        <w:trPr>
          <w:cantSplit/>
        </w:trPr>
        <w:tc>
          <w:tcPr>
            <w:tcW w:w="2880" w:type="dxa"/>
            <w:tcBorders>
              <w:top w:val="nil"/>
              <w:left w:val="nil"/>
              <w:bottom w:val="nil"/>
              <w:right w:val="nil"/>
            </w:tcBorders>
          </w:tcPr>
          <w:p w:rsidR="00986586" w:rsidRDefault="00986586" w:rsidP="00A64BDC">
            <w:pPr>
              <w:pStyle w:val="Heading2"/>
            </w:pPr>
            <w:r>
              <w:t>Fuels</w:t>
            </w:r>
          </w:p>
        </w:tc>
        <w:tc>
          <w:tcPr>
            <w:tcW w:w="6624" w:type="dxa"/>
            <w:tcBorders>
              <w:top w:val="nil"/>
              <w:left w:val="nil"/>
              <w:bottom w:val="nil"/>
              <w:right w:val="nil"/>
            </w:tcBorders>
          </w:tcPr>
          <w:p w:rsidR="00986586" w:rsidRDefault="00986586" w:rsidP="00A64BDC">
            <w:pPr>
              <w:pStyle w:val="Bodytext"/>
            </w:pPr>
            <w:r>
              <w:t>The permittee must not use any fuel other than natural</w:t>
            </w:r>
            <w:r w:rsidR="00A64BDC">
              <w:t xml:space="preserve"> gas</w:t>
            </w:r>
            <w:r>
              <w:t>.</w:t>
            </w:r>
          </w:p>
        </w:tc>
      </w:tr>
      <w:bookmarkEnd w:id="1"/>
    </w:tbl>
    <w:p w:rsidR="00986586" w:rsidRDefault="00986586"/>
    <w:p w:rsidR="00986586" w:rsidRDefault="00986586"/>
    <w:p w:rsidR="00986586" w:rsidRDefault="00986586">
      <w:pPr>
        <w:pStyle w:val="Heading1"/>
      </w:pPr>
      <w:bookmarkStart w:id="7" w:name="_Toc481295398"/>
      <w:bookmarkStart w:id="8" w:name="_Toc253664544"/>
      <w:r>
        <w:t>specific performance and emission standards</w:t>
      </w:r>
      <w:bookmarkEnd w:id="7"/>
      <w:bookmarkEnd w:id="8"/>
    </w:p>
    <w:p w:rsidR="00986586" w:rsidRDefault="00986586"/>
    <w:tbl>
      <w:tblPr>
        <w:tblW w:w="0" w:type="auto"/>
        <w:tblLayout w:type="fixed"/>
        <w:tblLook w:val="0000"/>
      </w:tblPr>
      <w:tblGrid>
        <w:gridCol w:w="2880"/>
        <w:gridCol w:w="6624"/>
      </w:tblGrid>
      <w:tr w:rsidR="00986586">
        <w:tc>
          <w:tcPr>
            <w:tcW w:w="2880" w:type="dxa"/>
          </w:tcPr>
          <w:p w:rsidR="00986586" w:rsidRDefault="00A64BDC">
            <w:pPr>
              <w:pStyle w:val="Heading2"/>
              <w:rPr>
                <w:b w:val="0"/>
              </w:rPr>
            </w:pPr>
            <w:r>
              <w:t>General Provision Requirements – NSPS Subpart A</w:t>
            </w:r>
          </w:p>
        </w:tc>
        <w:tc>
          <w:tcPr>
            <w:tcW w:w="6624" w:type="dxa"/>
          </w:tcPr>
          <w:p w:rsidR="00986586" w:rsidRDefault="00A64BDC">
            <w:r>
              <w:t xml:space="preserve">The permittee must comply with all applicable provisions of 40 CFR Subpart A, including but not limited to the following, (the following summarizes applicable requirements of Subpart A, but is not intended to </w:t>
            </w:r>
            <w:r w:rsidR="00F16072">
              <w:t>supersede</w:t>
            </w:r>
            <w:r>
              <w:t xml:space="preserve"> the subpart):</w:t>
            </w:r>
          </w:p>
        </w:tc>
      </w:tr>
      <w:tr w:rsidR="00A64BDC">
        <w:tc>
          <w:tcPr>
            <w:tcW w:w="2880" w:type="dxa"/>
          </w:tcPr>
          <w:p w:rsidR="00A64BDC" w:rsidRDefault="00A64BDC"/>
        </w:tc>
        <w:tc>
          <w:tcPr>
            <w:tcW w:w="6624" w:type="dxa"/>
          </w:tcPr>
          <w:p w:rsidR="00A64BDC" w:rsidRDefault="00A64BDC" w:rsidP="00A64BDC">
            <w:pPr>
              <w:pStyle w:val="Heading3"/>
            </w:pPr>
            <w:bookmarkStart w:id="9" w:name="_Ref250729193"/>
            <w:r>
              <w:t>Notification and recordkeeping [40 CFR 60.7]</w:t>
            </w:r>
            <w:bookmarkEnd w:id="9"/>
          </w:p>
        </w:tc>
      </w:tr>
      <w:tr w:rsidR="00A64BDC">
        <w:tc>
          <w:tcPr>
            <w:tcW w:w="2880" w:type="dxa"/>
          </w:tcPr>
          <w:p w:rsidR="00A64BDC" w:rsidRDefault="00A64BDC"/>
        </w:tc>
        <w:tc>
          <w:tcPr>
            <w:tcW w:w="6624" w:type="dxa"/>
          </w:tcPr>
          <w:p w:rsidR="00A64BDC" w:rsidRDefault="00A64BDC" w:rsidP="00A64BDC">
            <w:pPr>
              <w:pStyle w:val="Heading4"/>
            </w:pPr>
            <w:r>
              <w:t>Notification of the date construction commences for the affected facility</w:t>
            </w:r>
            <w:r w:rsidR="00C537C9">
              <w:t>, postmarked no later than 30 days after such date.  [40 CFR 60.7(a</w:t>
            </w:r>
            <w:proofErr w:type="gramStart"/>
            <w:r w:rsidR="00C537C9">
              <w:t>)(</w:t>
            </w:r>
            <w:proofErr w:type="gramEnd"/>
            <w:r w:rsidR="00C537C9">
              <w:t>1)]</w:t>
            </w:r>
          </w:p>
        </w:tc>
      </w:tr>
      <w:tr w:rsidR="00A64BDC">
        <w:tc>
          <w:tcPr>
            <w:tcW w:w="2880" w:type="dxa"/>
          </w:tcPr>
          <w:p w:rsidR="00A64BDC" w:rsidRDefault="00A64BDC"/>
        </w:tc>
        <w:tc>
          <w:tcPr>
            <w:tcW w:w="6624" w:type="dxa"/>
          </w:tcPr>
          <w:p w:rsidR="00A64BDC" w:rsidRDefault="00C537C9" w:rsidP="00C537C9">
            <w:pPr>
              <w:pStyle w:val="Heading4"/>
            </w:pPr>
            <w:r>
              <w:t>Notification of the anticipated date of initial startup, postmarked not more than 60 days nor less than 30 days prior to such date.  [40 CFR 60.7(a</w:t>
            </w:r>
            <w:proofErr w:type="gramStart"/>
            <w:r>
              <w:t>)(</w:t>
            </w:r>
            <w:proofErr w:type="gramEnd"/>
            <w:r>
              <w:t>2)]</w:t>
            </w:r>
          </w:p>
        </w:tc>
      </w:tr>
      <w:tr w:rsidR="00A64BDC">
        <w:tc>
          <w:tcPr>
            <w:tcW w:w="2880" w:type="dxa"/>
          </w:tcPr>
          <w:p w:rsidR="00A64BDC" w:rsidRDefault="00A64BDC"/>
        </w:tc>
        <w:tc>
          <w:tcPr>
            <w:tcW w:w="6624" w:type="dxa"/>
          </w:tcPr>
          <w:p w:rsidR="00A64BDC" w:rsidRDefault="00C537C9" w:rsidP="00C537C9">
            <w:pPr>
              <w:pStyle w:val="Heading4"/>
            </w:pPr>
            <w:r>
              <w:t>Notification of the actual date of initial startup, postmarked within 15 days after such date.  [40 CFR 60.7(a</w:t>
            </w:r>
            <w:proofErr w:type="gramStart"/>
            <w:r>
              <w:t>)(</w:t>
            </w:r>
            <w:proofErr w:type="gramEnd"/>
            <w:r>
              <w:t>3)]</w:t>
            </w:r>
          </w:p>
        </w:tc>
      </w:tr>
      <w:tr w:rsidR="00A64BDC">
        <w:tc>
          <w:tcPr>
            <w:tcW w:w="2880" w:type="dxa"/>
          </w:tcPr>
          <w:p w:rsidR="00A64BDC" w:rsidRDefault="00A64BDC"/>
        </w:tc>
        <w:tc>
          <w:tcPr>
            <w:tcW w:w="6624" w:type="dxa"/>
          </w:tcPr>
          <w:p w:rsidR="00A64BDC" w:rsidRDefault="00C537C9" w:rsidP="00C537C9">
            <w:pPr>
              <w:pStyle w:val="Heading4"/>
            </w:pPr>
            <w:r>
              <w:t>The permittee must maintain records of the occurrence and duration of any startup, shutdown, or malfunction in the operation of an affected facility; any malfunction of the air pollution control equipment; or any periods during which a continuous monitoring system or monitoring device is inoperative.  [40 CFR 60.7(</w:t>
            </w:r>
            <w:proofErr w:type="spellStart"/>
            <w:r>
              <w:t>b</w:t>
            </w:r>
            <w:proofErr w:type="spellEnd"/>
            <w:r>
              <w:t>)]</w:t>
            </w:r>
          </w:p>
        </w:tc>
      </w:tr>
      <w:tr w:rsidR="00A64BDC">
        <w:tc>
          <w:tcPr>
            <w:tcW w:w="2880" w:type="dxa"/>
          </w:tcPr>
          <w:p w:rsidR="00A64BDC" w:rsidRDefault="00A64BDC"/>
        </w:tc>
        <w:tc>
          <w:tcPr>
            <w:tcW w:w="6624" w:type="dxa"/>
          </w:tcPr>
          <w:p w:rsidR="00A64BDC" w:rsidRDefault="00C537C9" w:rsidP="00C537C9">
            <w:pPr>
              <w:pStyle w:val="Heading4"/>
            </w:pPr>
            <w:r>
              <w:t>The permittee must maintain a file of all measurements, including continuous monitoring system, monitoring device, and performance testing measurements; all continuous monitoring system or monitoring device calibration checks; adjustment or maintenance performed</w:t>
            </w:r>
            <w:r w:rsidR="003F1C0C">
              <w:t xml:space="preserve"> on these systems or devices; all other information required by 40 CFR Part 60, recorded in a permanent form, suitable for inspection.  [40 CFR 60.7(f)]</w:t>
            </w:r>
          </w:p>
        </w:tc>
      </w:tr>
      <w:tr w:rsidR="00A64BDC">
        <w:tc>
          <w:tcPr>
            <w:tcW w:w="2880" w:type="dxa"/>
          </w:tcPr>
          <w:p w:rsidR="00A64BDC" w:rsidRDefault="00A64BDC"/>
        </w:tc>
        <w:tc>
          <w:tcPr>
            <w:tcW w:w="6624" w:type="dxa"/>
          </w:tcPr>
          <w:p w:rsidR="00A64BDC" w:rsidRDefault="00F16072" w:rsidP="00F16072">
            <w:pPr>
              <w:pStyle w:val="Heading3"/>
              <w:widowControl/>
            </w:pPr>
            <w:r>
              <w:t>The permittee must not</w:t>
            </w:r>
            <w:r w:rsidR="003F1C0C">
              <w:t xml:space="preserve"> build, erect, install or use any article machine, equipment, or process, the use of which conceals an emission which would otherwise constitute a violation of an applicable standard.  Such concealment includes, but is not limited to, the use of gaseous diluents to achieve compliance with an opacity standard or with a standard which is based on the concentration of a pollutant in the gases discharged to the atmosphere.</w:t>
            </w:r>
            <w:r>
              <w:t xml:space="preserve"> </w:t>
            </w:r>
            <w:r w:rsidR="00C656DD">
              <w:t xml:space="preserve"> [</w:t>
            </w:r>
            <w:r>
              <w:t>40 CFR 60.12</w:t>
            </w:r>
            <w:r w:rsidR="00C656DD">
              <w:t>]</w:t>
            </w:r>
          </w:p>
        </w:tc>
      </w:tr>
      <w:tr w:rsidR="00A64BDC">
        <w:tc>
          <w:tcPr>
            <w:tcW w:w="2880" w:type="dxa"/>
          </w:tcPr>
          <w:p w:rsidR="00A64BDC" w:rsidRDefault="00A64BDC"/>
        </w:tc>
        <w:tc>
          <w:tcPr>
            <w:tcW w:w="6624" w:type="dxa"/>
          </w:tcPr>
          <w:p w:rsidR="00A64BDC" w:rsidRDefault="003F1C0C" w:rsidP="00C656DD">
            <w:pPr>
              <w:pStyle w:val="Heading3"/>
            </w:pPr>
            <w:r>
              <w:t xml:space="preserve">At all times including periods of startup, shutdown, and malfunction, </w:t>
            </w:r>
            <w:r w:rsidR="00C656DD">
              <w:t>the permittee</w:t>
            </w:r>
            <w:r>
              <w:t xml:space="preserve"> shall, to the extent practicable, maintain and operate any affected facility, including associated air pollution control equipment in a manner consistent with good air pollution control practice for minimizing emissions.  Determination of whether acceptable operating and maintenance procedures are being used will be based on information available to the Department which may include, but is not limited to, monitoring results</w:t>
            </w:r>
            <w:r w:rsidR="002D2E15">
              <w:t>, opacity observations, review of operating and maintenance procedures, and inspections of the source.  [40 CFR 60.11]</w:t>
            </w:r>
          </w:p>
        </w:tc>
      </w:tr>
      <w:tr w:rsidR="00A64BDC">
        <w:tc>
          <w:tcPr>
            <w:tcW w:w="2880" w:type="dxa"/>
          </w:tcPr>
          <w:p w:rsidR="00A64BDC" w:rsidRDefault="002D2E15" w:rsidP="002D2E15">
            <w:pPr>
              <w:pStyle w:val="Heading2"/>
            </w:pPr>
            <w:r>
              <w:t>Boiler – NSPS Subpart Dc</w:t>
            </w:r>
          </w:p>
        </w:tc>
        <w:tc>
          <w:tcPr>
            <w:tcW w:w="6624" w:type="dxa"/>
          </w:tcPr>
          <w:p w:rsidR="00A64BDC" w:rsidRDefault="008824B8" w:rsidP="00E9387F">
            <w:r>
              <w:t>The permittee must comply with all applicable provisions of 40 CFR Subpart Dc</w:t>
            </w:r>
            <w:r w:rsidR="00E9387F">
              <w:t xml:space="preserve"> for the boiler (B9110).</w:t>
            </w:r>
            <w:r>
              <w:t xml:space="preserve"> </w:t>
            </w:r>
            <w:r w:rsidR="00E9387F">
              <w:t xml:space="preserve"> These provisions </w:t>
            </w:r>
            <w:r>
              <w:t>includ</w:t>
            </w:r>
            <w:r w:rsidR="00E9387F">
              <w:t>e</w:t>
            </w:r>
            <w:r>
              <w:t xml:space="preserve"> but</w:t>
            </w:r>
            <w:r w:rsidR="00E9387F">
              <w:t xml:space="preserve"> are</w:t>
            </w:r>
            <w:r>
              <w:t xml:space="preserve"> not limited to the following</w:t>
            </w:r>
            <w:r w:rsidR="00E9387F">
              <w:t xml:space="preserve">.  (Refer to 40 CFR Part 60, Subpart Dc and/or Subpart A for definitions of terminology.  This condition summarizes the applicable requirements of Subpart Dc, but is not intended to </w:t>
            </w:r>
            <w:r w:rsidR="00C656DD">
              <w:t>supersede</w:t>
            </w:r>
            <w:r w:rsidR="00E9387F">
              <w:t xml:space="preserve"> the subpart.)</w:t>
            </w:r>
          </w:p>
        </w:tc>
      </w:tr>
      <w:tr w:rsidR="00A64BDC">
        <w:tc>
          <w:tcPr>
            <w:tcW w:w="2880" w:type="dxa"/>
          </w:tcPr>
          <w:p w:rsidR="00A64BDC" w:rsidRDefault="00A64BDC"/>
        </w:tc>
        <w:tc>
          <w:tcPr>
            <w:tcW w:w="6624" w:type="dxa"/>
          </w:tcPr>
          <w:p w:rsidR="00A64BDC" w:rsidRDefault="00A71B03" w:rsidP="00C656DD">
            <w:pPr>
              <w:pStyle w:val="Heading3"/>
            </w:pPr>
            <w:bookmarkStart w:id="10" w:name="_Ref250973607"/>
            <w:r>
              <w:t xml:space="preserve">The permittee must submit notification of the date of construction, anticipated startup, and actual startup of the boiler, as provided by </w:t>
            </w:r>
            <w:r w:rsidR="00C656DD">
              <w:t xml:space="preserve">Condition </w:t>
            </w:r>
            <w:r w:rsidR="00605AC6">
              <w:fldChar w:fldCharType="begin"/>
            </w:r>
            <w:r w:rsidR="00C656DD">
              <w:instrText xml:space="preserve"> REF _Ref250729193 \r \h </w:instrText>
            </w:r>
            <w:r w:rsidR="00605AC6">
              <w:fldChar w:fldCharType="separate"/>
            </w:r>
            <w:r w:rsidR="00201510">
              <w:t>2.1.a</w:t>
            </w:r>
            <w:r w:rsidR="00605AC6">
              <w:fldChar w:fldCharType="end"/>
            </w:r>
            <w:r w:rsidR="000B7D39">
              <w:t xml:space="preserve">.  [40 CFR </w:t>
            </w:r>
            <w:proofErr w:type="gramStart"/>
            <w:r w:rsidR="000B7D39">
              <w:t>60.48c(</w:t>
            </w:r>
            <w:proofErr w:type="gramEnd"/>
            <w:r w:rsidR="000B7D39">
              <w:t>a)]  This notification must include:</w:t>
            </w:r>
            <w:bookmarkEnd w:id="10"/>
          </w:p>
        </w:tc>
      </w:tr>
      <w:tr w:rsidR="000B7D39">
        <w:tc>
          <w:tcPr>
            <w:tcW w:w="2880" w:type="dxa"/>
          </w:tcPr>
          <w:p w:rsidR="000B7D39" w:rsidRDefault="000B7D39"/>
        </w:tc>
        <w:tc>
          <w:tcPr>
            <w:tcW w:w="6624" w:type="dxa"/>
          </w:tcPr>
          <w:p w:rsidR="000B7D39" w:rsidRDefault="00DA2F76" w:rsidP="000B7D39">
            <w:pPr>
              <w:pStyle w:val="Heading4"/>
            </w:pPr>
            <w:r>
              <w:t xml:space="preserve">The design heat input capacity of the boiler and identification of fuels to be combusted.  [40 CFR </w:t>
            </w:r>
            <w:proofErr w:type="gramStart"/>
            <w:r>
              <w:t>60.48c(</w:t>
            </w:r>
            <w:proofErr w:type="gramEnd"/>
            <w:r>
              <w:t>a)(1)]</w:t>
            </w:r>
          </w:p>
        </w:tc>
      </w:tr>
      <w:tr w:rsidR="000B7D39">
        <w:tc>
          <w:tcPr>
            <w:tcW w:w="2880" w:type="dxa"/>
          </w:tcPr>
          <w:p w:rsidR="000B7D39" w:rsidRDefault="000B7D39"/>
        </w:tc>
        <w:tc>
          <w:tcPr>
            <w:tcW w:w="6624" w:type="dxa"/>
          </w:tcPr>
          <w:p w:rsidR="000B7D39" w:rsidRDefault="00DA2F76" w:rsidP="00DA2F76">
            <w:pPr>
              <w:pStyle w:val="Heading4"/>
            </w:pPr>
            <w:r>
              <w:t xml:space="preserve">The annual capacity factor at which the permittee anticipates operating the boiler based on all fuels fired and based on each individual fuel fired.  [40 CFR </w:t>
            </w:r>
            <w:proofErr w:type="gramStart"/>
            <w:r>
              <w:t>60.48c(</w:t>
            </w:r>
            <w:proofErr w:type="gramEnd"/>
            <w:r>
              <w:t>a)(3)</w:t>
            </w:r>
          </w:p>
        </w:tc>
      </w:tr>
      <w:tr w:rsidR="000B7D39">
        <w:tc>
          <w:tcPr>
            <w:tcW w:w="2880" w:type="dxa"/>
          </w:tcPr>
          <w:p w:rsidR="000B7D39" w:rsidRDefault="00B869DE" w:rsidP="00B869DE">
            <w:pPr>
              <w:pStyle w:val="Heading2"/>
            </w:pPr>
            <w:bookmarkStart w:id="11" w:name="_Ref250538433"/>
            <w:r>
              <w:t>Equipment Leaks of VOC</w:t>
            </w:r>
            <w:r w:rsidR="00DE189C">
              <w:t xml:space="preserve"> – NSPS Subpart </w:t>
            </w:r>
            <w:proofErr w:type="spellStart"/>
            <w:r>
              <w:t>VVa</w:t>
            </w:r>
            <w:bookmarkEnd w:id="11"/>
            <w:proofErr w:type="spellEnd"/>
          </w:p>
        </w:tc>
        <w:tc>
          <w:tcPr>
            <w:tcW w:w="6624" w:type="dxa"/>
          </w:tcPr>
          <w:p w:rsidR="000B7D39" w:rsidRDefault="00DE189C" w:rsidP="00B34EFE">
            <w:r>
              <w:t>The permittee must comply with all applicable provisions</w:t>
            </w:r>
            <w:r w:rsidR="00B869DE">
              <w:t xml:space="preserve"> and standards</w:t>
            </w:r>
            <w:r>
              <w:t xml:space="preserve"> of 40 CFR 60, Subpart </w:t>
            </w:r>
            <w:proofErr w:type="spellStart"/>
            <w:r w:rsidR="00B869DE">
              <w:t>VVa</w:t>
            </w:r>
            <w:proofErr w:type="spellEnd"/>
            <w:r>
              <w:t xml:space="preserve">.  (Refer to 40 CFR Part 60, Subpart </w:t>
            </w:r>
            <w:proofErr w:type="spellStart"/>
            <w:r w:rsidR="000D505C">
              <w:t>VVa</w:t>
            </w:r>
            <w:proofErr w:type="spellEnd"/>
            <w:r>
              <w:t xml:space="preserve"> and/or Subpart A for definitions of terminology.  This condition summarizes the applicable requirements of Subpart </w:t>
            </w:r>
            <w:proofErr w:type="spellStart"/>
            <w:r w:rsidR="000D505C">
              <w:t>VVa</w:t>
            </w:r>
            <w:proofErr w:type="spellEnd"/>
            <w:r>
              <w:t xml:space="preserve">, but is not intended to </w:t>
            </w:r>
            <w:r w:rsidR="00C656DD">
              <w:t>supersede</w:t>
            </w:r>
            <w:r>
              <w:t xml:space="preserve"> the subpart.)</w:t>
            </w:r>
          </w:p>
        </w:tc>
      </w:tr>
      <w:tr w:rsidR="000B7D39">
        <w:tc>
          <w:tcPr>
            <w:tcW w:w="2880" w:type="dxa"/>
          </w:tcPr>
          <w:p w:rsidR="000B7D39" w:rsidRDefault="000B7D39"/>
        </w:tc>
        <w:tc>
          <w:tcPr>
            <w:tcW w:w="6624" w:type="dxa"/>
          </w:tcPr>
          <w:p w:rsidR="000B7D39" w:rsidRDefault="003274BF" w:rsidP="003274BF">
            <w:pPr>
              <w:pStyle w:val="Heading3"/>
            </w:pPr>
            <w:bookmarkStart w:id="12" w:name="_Ref250538642"/>
            <w:r>
              <w:t>Standard for pumps</w:t>
            </w:r>
            <w:bookmarkEnd w:id="12"/>
          </w:p>
        </w:tc>
      </w:tr>
      <w:tr w:rsidR="003274BF">
        <w:tc>
          <w:tcPr>
            <w:tcW w:w="2880" w:type="dxa"/>
          </w:tcPr>
          <w:p w:rsidR="003274BF" w:rsidRDefault="003274BF"/>
        </w:tc>
        <w:tc>
          <w:tcPr>
            <w:tcW w:w="6624" w:type="dxa"/>
          </w:tcPr>
          <w:p w:rsidR="003274BF" w:rsidRDefault="003274BF" w:rsidP="003274BF">
            <w:pPr>
              <w:pStyle w:val="Heading4"/>
            </w:pPr>
            <w:r>
              <w:t xml:space="preserve">Each pump in light liquid service must be monitored monthly to detect leaks by the methods specified in 40 CFR </w:t>
            </w:r>
            <w:proofErr w:type="gramStart"/>
            <w:r>
              <w:t>60.485a(</w:t>
            </w:r>
            <w:proofErr w:type="spellStart"/>
            <w:proofErr w:type="gramEnd"/>
            <w:r>
              <w:t>b</w:t>
            </w:r>
            <w:proofErr w:type="spellEnd"/>
            <w:r>
              <w:t>), except as provided in 40 CFR 60.</w:t>
            </w:r>
            <w:r w:rsidR="00ED3200">
              <w:t>482-1a(</w:t>
            </w:r>
            <w:proofErr w:type="spellStart"/>
            <w:r w:rsidR="00ED3200">
              <w:t>c</w:t>
            </w:r>
            <w:proofErr w:type="spellEnd"/>
            <w:r w:rsidR="00ED3200">
              <w:t>) and (f) and 40 CFR 60.482-2a(</w:t>
            </w:r>
            <w:proofErr w:type="spellStart"/>
            <w:r w:rsidR="00ED3200">
              <w:t>d</w:t>
            </w:r>
            <w:proofErr w:type="spellEnd"/>
            <w:r w:rsidR="00ED3200">
              <w:t>), (</w:t>
            </w:r>
            <w:proofErr w:type="spellStart"/>
            <w:r w:rsidR="00ED3200">
              <w:t>e</w:t>
            </w:r>
            <w:proofErr w:type="spellEnd"/>
            <w:r w:rsidR="00ED3200">
              <w:t>), and (f).  [40 CFR 60.482-</w:t>
            </w:r>
            <w:proofErr w:type="gramStart"/>
            <w:r w:rsidR="00ED3200">
              <w:t>2a(</w:t>
            </w:r>
            <w:proofErr w:type="gramEnd"/>
            <w:r w:rsidR="00ED3200">
              <w:t>a)(1)]</w:t>
            </w:r>
          </w:p>
        </w:tc>
      </w:tr>
      <w:tr w:rsidR="003274BF" w:rsidTr="00C656DD">
        <w:trPr>
          <w:cantSplit/>
        </w:trPr>
        <w:tc>
          <w:tcPr>
            <w:tcW w:w="2880" w:type="dxa"/>
          </w:tcPr>
          <w:p w:rsidR="003274BF" w:rsidRDefault="003274BF"/>
        </w:tc>
        <w:tc>
          <w:tcPr>
            <w:tcW w:w="6624" w:type="dxa"/>
          </w:tcPr>
          <w:p w:rsidR="003274BF" w:rsidRDefault="00ED3200" w:rsidP="00ED3200">
            <w:pPr>
              <w:pStyle w:val="Heading4"/>
            </w:pPr>
            <w:r>
              <w:t>Each pump in light liquid service must be check</w:t>
            </w:r>
            <w:r w:rsidR="002269C1">
              <w:t>ed</w:t>
            </w:r>
            <w:r>
              <w:t xml:space="preserve"> by visual inspection each calendar week for indications of liquids dripping from the pump seal</w:t>
            </w:r>
            <w:r w:rsidR="00A226C0">
              <w:t>.  [40 CFR 60.482-</w:t>
            </w:r>
            <w:proofErr w:type="gramStart"/>
            <w:r w:rsidR="00A226C0">
              <w:t>2a(</w:t>
            </w:r>
            <w:proofErr w:type="gramEnd"/>
            <w:r w:rsidR="00A226C0">
              <w:t>a)(2)]</w:t>
            </w:r>
          </w:p>
        </w:tc>
      </w:tr>
      <w:tr w:rsidR="003274BF">
        <w:tc>
          <w:tcPr>
            <w:tcW w:w="2880" w:type="dxa"/>
          </w:tcPr>
          <w:p w:rsidR="003274BF" w:rsidRDefault="003274BF"/>
        </w:tc>
        <w:tc>
          <w:tcPr>
            <w:tcW w:w="6624" w:type="dxa"/>
          </w:tcPr>
          <w:p w:rsidR="003274BF" w:rsidRDefault="00A226C0" w:rsidP="00A226C0">
            <w:pPr>
              <w:pStyle w:val="Heading4"/>
            </w:pPr>
            <w:bookmarkStart w:id="13" w:name="_Ref250729559"/>
            <w:r>
              <w:t xml:space="preserve">If an instrument reading of 2,000 </w:t>
            </w:r>
            <w:proofErr w:type="spellStart"/>
            <w:r>
              <w:t>ppm</w:t>
            </w:r>
            <w:proofErr w:type="spellEnd"/>
            <w:r>
              <w:t xml:space="preserve"> or greater is measured, a leak has been detected.  [40 CFR 60.482-</w:t>
            </w:r>
            <w:proofErr w:type="gramStart"/>
            <w:r>
              <w:t>2a(</w:t>
            </w:r>
            <w:proofErr w:type="spellStart"/>
            <w:proofErr w:type="gramEnd"/>
            <w:r>
              <w:t>b</w:t>
            </w:r>
            <w:proofErr w:type="spellEnd"/>
            <w:r>
              <w:t>)(1)]</w:t>
            </w:r>
            <w:bookmarkEnd w:id="13"/>
          </w:p>
        </w:tc>
      </w:tr>
      <w:tr w:rsidR="003274BF">
        <w:tc>
          <w:tcPr>
            <w:tcW w:w="2880" w:type="dxa"/>
          </w:tcPr>
          <w:p w:rsidR="003274BF" w:rsidRDefault="003274BF"/>
        </w:tc>
        <w:tc>
          <w:tcPr>
            <w:tcW w:w="6624" w:type="dxa"/>
          </w:tcPr>
          <w:p w:rsidR="003274BF" w:rsidRDefault="00A226C0" w:rsidP="00C656DD">
            <w:pPr>
              <w:pStyle w:val="Heading4"/>
            </w:pPr>
            <w:r>
              <w:t>If there are indications of liquid dripping from a pump seal</w:t>
            </w:r>
            <w:r w:rsidR="003E3D9D">
              <w:t>, the permittee can either designate it as a leak, or monitor the pump within 5 days as specified in 40 CFR 60.485a(</w:t>
            </w:r>
            <w:proofErr w:type="spellStart"/>
            <w:r w:rsidR="003E3D9D">
              <w:t>b</w:t>
            </w:r>
            <w:proofErr w:type="spellEnd"/>
            <w:r w:rsidR="003E3D9D">
              <w:t xml:space="preserve">) and use the criteria in permit Condition </w:t>
            </w:r>
            <w:r w:rsidR="00605AC6">
              <w:fldChar w:fldCharType="begin"/>
            </w:r>
            <w:r w:rsidR="00C656DD">
              <w:instrText xml:space="preserve"> REF _Ref250538433 \r \h </w:instrText>
            </w:r>
            <w:r w:rsidR="00605AC6">
              <w:fldChar w:fldCharType="separate"/>
            </w:r>
            <w:r w:rsidR="00201510">
              <w:t>2.3</w:t>
            </w:r>
            <w:r w:rsidR="00605AC6">
              <w:fldChar w:fldCharType="end"/>
            </w:r>
            <w:r w:rsidR="00C656DD">
              <w:t>.</w:t>
            </w:r>
            <w:r w:rsidR="00605AC6">
              <w:fldChar w:fldCharType="begin"/>
            </w:r>
            <w:r w:rsidR="00C656DD">
              <w:instrText xml:space="preserve"> REF _Ref250538642 \r \h </w:instrText>
            </w:r>
            <w:r w:rsidR="00605AC6">
              <w:fldChar w:fldCharType="separate"/>
            </w:r>
            <w:proofErr w:type="gramStart"/>
            <w:r w:rsidR="00201510">
              <w:t>a</w:t>
            </w:r>
            <w:proofErr w:type="gramEnd"/>
            <w:r w:rsidR="00605AC6">
              <w:fldChar w:fldCharType="end"/>
            </w:r>
            <w:r w:rsidR="00C656DD">
              <w:t>.</w:t>
            </w:r>
            <w:r w:rsidR="00605AC6">
              <w:fldChar w:fldCharType="begin"/>
            </w:r>
            <w:r w:rsidR="00C656DD">
              <w:instrText xml:space="preserve"> REF _Ref250729559 \r \h </w:instrText>
            </w:r>
            <w:r w:rsidR="00605AC6">
              <w:fldChar w:fldCharType="separate"/>
            </w:r>
            <w:proofErr w:type="gramStart"/>
            <w:r w:rsidR="00201510">
              <w:t>iii</w:t>
            </w:r>
            <w:proofErr w:type="gramEnd"/>
            <w:r w:rsidR="00605AC6">
              <w:fldChar w:fldCharType="end"/>
            </w:r>
            <w:r w:rsidR="00C656DD">
              <w:t xml:space="preserve"> </w:t>
            </w:r>
            <w:r w:rsidR="003E3D9D">
              <w:t>to determine whether the pump is leaking.  [40 CFR 60.482-</w:t>
            </w:r>
            <w:proofErr w:type="gramStart"/>
            <w:r w:rsidR="003E3D9D">
              <w:t>2a(</w:t>
            </w:r>
            <w:proofErr w:type="spellStart"/>
            <w:proofErr w:type="gramEnd"/>
            <w:r w:rsidR="003E3D9D">
              <w:t>b</w:t>
            </w:r>
            <w:proofErr w:type="spellEnd"/>
            <w:r w:rsidR="003E3D9D">
              <w:t>)(2)]</w:t>
            </w:r>
          </w:p>
        </w:tc>
      </w:tr>
      <w:tr w:rsidR="003274BF">
        <w:tc>
          <w:tcPr>
            <w:tcW w:w="2880" w:type="dxa"/>
          </w:tcPr>
          <w:p w:rsidR="003274BF" w:rsidRDefault="003274BF"/>
        </w:tc>
        <w:tc>
          <w:tcPr>
            <w:tcW w:w="6624" w:type="dxa"/>
          </w:tcPr>
          <w:p w:rsidR="003274BF" w:rsidRDefault="003E3D9D" w:rsidP="008E2498">
            <w:pPr>
              <w:pStyle w:val="Heading4"/>
            </w:pPr>
            <w:bookmarkStart w:id="14" w:name="_Ref250541691"/>
            <w:r>
              <w:t xml:space="preserve">When a leak is detected is must be repaired as soon as practicable, but not later than 15 calendar days after it is detected, except as provided in </w:t>
            </w:r>
            <w:r w:rsidR="00365581">
              <w:t xml:space="preserve">Condition </w:t>
            </w:r>
            <w:r w:rsidR="00605AC6">
              <w:fldChar w:fldCharType="begin"/>
            </w:r>
            <w:r w:rsidR="008E2498">
              <w:instrText xml:space="preserve"> REF _Ref250538433 \r \h </w:instrText>
            </w:r>
            <w:r w:rsidR="00605AC6">
              <w:fldChar w:fldCharType="separate"/>
            </w:r>
            <w:r w:rsidR="00201510">
              <w:t>2.3</w:t>
            </w:r>
            <w:r w:rsidR="00605AC6">
              <w:fldChar w:fldCharType="end"/>
            </w:r>
            <w:r w:rsidR="008E2498">
              <w:t>.</w:t>
            </w:r>
            <w:r w:rsidR="00605AC6">
              <w:fldChar w:fldCharType="begin"/>
            </w:r>
            <w:r w:rsidR="008E2498">
              <w:instrText xml:space="preserve"> REF _Ref250729641 \r \h </w:instrText>
            </w:r>
            <w:r w:rsidR="00605AC6">
              <w:fldChar w:fldCharType="separate"/>
            </w:r>
            <w:proofErr w:type="gramStart"/>
            <w:r w:rsidR="00201510">
              <w:t>g</w:t>
            </w:r>
            <w:proofErr w:type="gramEnd"/>
            <w:r w:rsidR="00605AC6">
              <w:fldChar w:fldCharType="end"/>
            </w:r>
            <w:r>
              <w:t>.  [40 CFR 60.482-2a(</w:t>
            </w:r>
            <w:proofErr w:type="spellStart"/>
            <w:r>
              <w:t>c</w:t>
            </w:r>
            <w:proofErr w:type="spellEnd"/>
            <w:proofErr w:type="gramStart"/>
            <w:r>
              <w:t>)(</w:t>
            </w:r>
            <w:proofErr w:type="gramEnd"/>
            <w:r>
              <w:t>1)]</w:t>
            </w:r>
            <w:bookmarkEnd w:id="14"/>
          </w:p>
        </w:tc>
      </w:tr>
      <w:tr w:rsidR="003274BF">
        <w:tc>
          <w:tcPr>
            <w:tcW w:w="2880" w:type="dxa"/>
          </w:tcPr>
          <w:p w:rsidR="003274BF" w:rsidRDefault="003274BF"/>
        </w:tc>
        <w:tc>
          <w:tcPr>
            <w:tcW w:w="6624" w:type="dxa"/>
          </w:tcPr>
          <w:p w:rsidR="003274BF" w:rsidRDefault="003E3D9D" w:rsidP="003E3D9D">
            <w:pPr>
              <w:pStyle w:val="Heading4"/>
            </w:pPr>
            <w:r>
              <w:t>A first attempt at repair must be made no later than 5 calendar days after each leak is detected.  [40 CFR 60.482-2a(</w:t>
            </w:r>
            <w:proofErr w:type="spellStart"/>
            <w:r>
              <w:t>c</w:t>
            </w:r>
            <w:proofErr w:type="spellEnd"/>
            <w:proofErr w:type="gramStart"/>
            <w:r>
              <w:t>)(</w:t>
            </w:r>
            <w:proofErr w:type="gramEnd"/>
            <w:r>
              <w:t>2)]</w:t>
            </w:r>
          </w:p>
        </w:tc>
      </w:tr>
      <w:tr w:rsidR="003274BF">
        <w:tc>
          <w:tcPr>
            <w:tcW w:w="2880" w:type="dxa"/>
          </w:tcPr>
          <w:p w:rsidR="003274BF" w:rsidRDefault="003274BF"/>
        </w:tc>
        <w:tc>
          <w:tcPr>
            <w:tcW w:w="6624" w:type="dxa"/>
          </w:tcPr>
          <w:p w:rsidR="003274BF" w:rsidRDefault="009E5D13" w:rsidP="007D1B8B">
            <w:pPr>
              <w:pStyle w:val="Heading3"/>
            </w:pPr>
            <w:bookmarkStart w:id="15" w:name="_Ref250729885"/>
            <w:r>
              <w:t>Standard for pressure relief devices in gas/vapor service</w:t>
            </w:r>
            <w:bookmarkEnd w:id="15"/>
            <w:r w:rsidR="002269C1">
              <w:t>:</w:t>
            </w:r>
          </w:p>
        </w:tc>
      </w:tr>
      <w:tr w:rsidR="003274BF">
        <w:tc>
          <w:tcPr>
            <w:tcW w:w="2880" w:type="dxa"/>
          </w:tcPr>
          <w:p w:rsidR="003274BF" w:rsidRDefault="003274BF"/>
        </w:tc>
        <w:tc>
          <w:tcPr>
            <w:tcW w:w="6624" w:type="dxa"/>
          </w:tcPr>
          <w:p w:rsidR="003274BF" w:rsidRDefault="00575898" w:rsidP="009E5D13">
            <w:pPr>
              <w:pStyle w:val="Heading4"/>
            </w:pPr>
            <w:bookmarkStart w:id="16" w:name="_Ref250729890"/>
            <w:r>
              <w:t xml:space="preserve">Except during pressure releases, each pressure relief device in gas/vapor service must be operated with no detectable emissions, as indicated by an instrument reading of less than 500 </w:t>
            </w:r>
            <w:proofErr w:type="spellStart"/>
            <w:r>
              <w:t>ppm</w:t>
            </w:r>
            <w:proofErr w:type="spellEnd"/>
            <w:r>
              <w:t xml:space="preserve"> above background as determined by the methods specified in 40 CFR 60.485a(</w:t>
            </w:r>
            <w:proofErr w:type="spellStart"/>
            <w:r>
              <w:t>c</w:t>
            </w:r>
            <w:proofErr w:type="spellEnd"/>
            <w:r>
              <w:t>).  [40 CFR 60.482-</w:t>
            </w:r>
            <w:proofErr w:type="gramStart"/>
            <w:r>
              <w:t>4a(</w:t>
            </w:r>
            <w:proofErr w:type="gramEnd"/>
            <w:r>
              <w:t>a)]</w:t>
            </w:r>
            <w:bookmarkEnd w:id="16"/>
          </w:p>
        </w:tc>
      </w:tr>
      <w:tr w:rsidR="003274BF">
        <w:tc>
          <w:tcPr>
            <w:tcW w:w="2880" w:type="dxa"/>
          </w:tcPr>
          <w:p w:rsidR="003274BF" w:rsidRDefault="003274BF"/>
        </w:tc>
        <w:tc>
          <w:tcPr>
            <w:tcW w:w="6624" w:type="dxa"/>
          </w:tcPr>
          <w:p w:rsidR="003274BF" w:rsidRDefault="00575898" w:rsidP="008E2498">
            <w:pPr>
              <w:pStyle w:val="Heading4"/>
            </w:pPr>
            <w:r>
              <w:t xml:space="preserve">After each pressure release, the pressure relief device must be returned to a condition of no detectable emissions, as indicated by an instrument reading of less than 500 </w:t>
            </w:r>
            <w:proofErr w:type="spellStart"/>
            <w:r>
              <w:t>ppm</w:t>
            </w:r>
            <w:proofErr w:type="spellEnd"/>
            <w:r>
              <w:t xml:space="preserve"> above background as soon as practicable, but no later than 5 calendar days after the pressure release, except as provided in </w:t>
            </w:r>
            <w:r w:rsidR="00365581">
              <w:t xml:space="preserve">Condition </w:t>
            </w:r>
            <w:r w:rsidR="00605AC6">
              <w:fldChar w:fldCharType="begin"/>
            </w:r>
            <w:r w:rsidR="008E2498">
              <w:instrText xml:space="preserve"> REF _Ref250538433 \r \h </w:instrText>
            </w:r>
            <w:r w:rsidR="00605AC6">
              <w:fldChar w:fldCharType="separate"/>
            </w:r>
            <w:r w:rsidR="00201510">
              <w:t>2.3</w:t>
            </w:r>
            <w:r w:rsidR="00605AC6">
              <w:fldChar w:fldCharType="end"/>
            </w:r>
            <w:r w:rsidR="008E2498">
              <w:t>.</w:t>
            </w:r>
            <w:r w:rsidR="00605AC6">
              <w:fldChar w:fldCharType="begin"/>
            </w:r>
            <w:r w:rsidR="008E2498">
              <w:instrText xml:space="preserve"> REF _Ref250729641 \r \h </w:instrText>
            </w:r>
            <w:r w:rsidR="00605AC6">
              <w:fldChar w:fldCharType="separate"/>
            </w:r>
            <w:proofErr w:type="gramStart"/>
            <w:r w:rsidR="00201510">
              <w:t>g</w:t>
            </w:r>
            <w:proofErr w:type="gramEnd"/>
            <w:r w:rsidR="00605AC6">
              <w:fldChar w:fldCharType="end"/>
            </w:r>
            <w:r>
              <w:t>.  [40 CFR 60.482-</w:t>
            </w:r>
            <w:proofErr w:type="gramStart"/>
            <w:r>
              <w:t>4a(</w:t>
            </w:r>
            <w:proofErr w:type="spellStart"/>
            <w:proofErr w:type="gramEnd"/>
            <w:r>
              <w:t>b</w:t>
            </w:r>
            <w:proofErr w:type="spellEnd"/>
            <w:r>
              <w:t>)(1)]</w:t>
            </w:r>
          </w:p>
        </w:tc>
      </w:tr>
      <w:tr w:rsidR="003274BF" w:rsidTr="008E2498">
        <w:trPr>
          <w:cantSplit/>
        </w:trPr>
        <w:tc>
          <w:tcPr>
            <w:tcW w:w="2880" w:type="dxa"/>
          </w:tcPr>
          <w:p w:rsidR="003274BF" w:rsidRDefault="003274BF"/>
        </w:tc>
        <w:tc>
          <w:tcPr>
            <w:tcW w:w="6624" w:type="dxa"/>
          </w:tcPr>
          <w:p w:rsidR="003274BF" w:rsidRDefault="00471E39" w:rsidP="00E376E0">
            <w:pPr>
              <w:pStyle w:val="Heading4"/>
              <w:spacing w:before="0"/>
            </w:pPr>
            <w:bookmarkStart w:id="17" w:name="_Ref250729906"/>
            <w:r>
              <w:t xml:space="preserve">No later than 5 calendar days after the pressure release, the pressure relief device must be monitored to confirm the condition of no detectable emissions, as indicated by an instrument reading of less than 500 </w:t>
            </w:r>
            <w:proofErr w:type="spellStart"/>
            <w:r>
              <w:t>ppm</w:t>
            </w:r>
            <w:proofErr w:type="spellEnd"/>
            <w:r>
              <w:t xml:space="preserve"> above background, by the methods specified in 40 CFR 60.485a(</w:t>
            </w:r>
            <w:proofErr w:type="spellStart"/>
            <w:r>
              <w:t>c</w:t>
            </w:r>
            <w:proofErr w:type="spellEnd"/>
            <w:r>
              <w:t>).  [40 CFR 60.483-</w:t>
            </w:r>
            <w:proofErr w:type="gramStart"/>
            <w:r>
              <w:t>4a(</w:t>
            </w:r>
            <w:proofErr w:type="spellStart"/>
            <w:proofErr w:type="gramEnd"/>
            <w:r>
              <w:t>b</w:t>
            </w:r>
            <w:proofErr w:type="spellEnd"/>
            <w:r>
              <w:t>)(2)]</w:t>
            </w:r>
            <w:bookmarkEnd w:id="17"/>
          </w:p>
        </w:tc>
      </w:tr>
      <w:tr w:rsidR="000B7D39">
        <w:tc>
          <w:tcPr>
            <w:tcW w:w="2880" w:type="dxa"/>
          </w:tcPr>
          <w:p w:rsidR="000B7D39" w:rsidRDefault="000B7D39"/>
        </w:tc>
        <w:tc>
          <w:tcPr>
            <w:tcW w:w="6624" w:type="dxa"/>
          </w:tcPr>
          <w:p w:rsidR="000B7D39" w:rsidRDefault="00220AD1" w:rsidP="00E376E0">
            <w:pPr>
              <w:pStyle w:val="Heading4"/>
              <w:spacing w:before="0"/>
            </w:pPr>
            <w:r>
              <w:t>Any pressure relief device that is equipped with a closed vent system capable of capturing and transporting leakage through the pressure relief device to a control device is exempted from the requirements of Condition</w:t>
            </w:r>
            <w:r w:rsidR="000E3F7B">
              <w:t>s</w:t>
            </w:r>
            <w:r>
              <w:t xml:space="preserve"> </w:t>
            </w:r>
            <w:r w:rsidR="00605AC6">
              <w:fldChar w:fldCharType="begin"/>
            </w:r>
            <w:r w:rsidR="008E2498">
              <w:instrText xml:space="preserve"> REF _Ref250538433 \r \h </w:instrText>
            </w:r>
            <w:r w:rsidR="00605AC6">
              <w:fldChar w:fldCharType="separate"/>
            </w:r>
            <w:r w:rsidR="00201510">
              <w:t>2.3</w:t>
            </w:r>
            <w:r w:rsidR="00605AC6">
              <w:fldChar w:fldCharType="end"/>
            </w:r>
            <w:r w:rsidR="008E2498">
              <w:t>.</w:t>
            </w:r>
            <w:r w:rsidR="00605AC6">
              <w:fldChar w:fldCharType="begin"/>
            </w:r>
            <w:r w:rsidR="008E2498">
              <w:instrText xml:space="preserve"> REF _Ref250729885 \r \h </w:instrText>
            </w:r>
            <w:r w:rsidR="00605AC6">
              <w:fldChar w:fldCharType="separate"/>
            </w:r>
            <w:proofErr w:type="gramStart"/>
            <w:r w:rsidR="00201510">
              <w:t>b</w:t>
            </w:r>
            <w:proofErr w:type="gramEnd"/>
            <w:r w:rsidR="00605AC6">
              <w:fldChar w:fldCharType="end"/>
            </w:r>
            <w:r w:rsidR="008E2498">
              <w:t>.</w:t>
            </w:r>
            <w:r w:rsidR="00605AC6">
              <w:fldChar w:fldCharType="begin"/>
            </w:r>
            <w:r w:rsidR="008E2498">
              <w:instrText xml:space="preserve"> REF _Ref250729890 \r \h </w:instrText>
            </w:r>
            <w:r w:rsidR="00605AC6">
              <w:fldChar w:fldCharType="separate"/>
            </w:r>
            <w:proofErr w:type="gramStart"/>
            <w:r w:rsidR="00201510">
              <w:t>i</w:t>
            </w:r>
            <w:proofErr w:type="gramEnd"/>
            <w:r w:rsidR="00605AC6">
              <w:fldChar w:fldCharType="end"/>
            </w:r>
            <w:r w:rsidR="008E2498">
              <w:t xml:space="preserve"> through </w:t>
            </w:r>
            <w:r w:rsidR="00605AC6">
              <w:fldChar w:fldCharType="begin"/>
            </w:r>
            <w:r w:rsidR="008E2498">
              <w:instrText xml:space="preserve"> REF _Ref250538433 \r \h </w:instrText>
            </w:r>
            <w:r w:rsidR="00605AC6">
              <w:fldChar w:fldCharType="separate"/>
            </w:r>
            <w:r w:rsidR="00201510">
              <w:t>2.3</w:t>
            </w:r>
            <w:r w:rsidR="00605AC6">
              <w:fldChar w:fldCharType="end"/>
            </w:r>
            <w:r w:rsidR="008E2498">
              <w:t>.</w:t>
            </w:r>
            <w:r w:rsidR="00605AC6">
              <w:fldChar w:fldCharType="begin"/>
            </w:r>
            <w:r w:rsidR="008E2498">
              <w:instrText xml:space="preserve"> REF _Ref250729885 \r \h </w:instrText>
            </w:r>
            <w:r w:rsidR="00605AC6">
              <w:fldChar w:fldCharType="separate"/>
            </w:r>
            <w:proofErr w:type="gramStart"/>
            <w:r w:rsidR="00201510">
              <w:t>b</w:t>
            </w:r>
            <w:proofErr w:type="gramEnd"/>
            <w:r w:rsidR="00605AC6">
              <w:fldChar w:fldCharType="end"/>
            </w:r>
            <w:r w:rsidR="008E2498">
              <w:t>.</w:t>
            </w:r>
            <w:r w:rsidR="00605AC6">
              <w:fldChar w:fldCharType="begin"/>
            </w:r>
            <w:r w:rsidR="008E2498">
              <w:instrText xml:space="preserve"> REF _Ref250729906 \r \h </w:instrText>
            </w:r>
            <w:r w:rsidR="00605AC6">
              <w:fldChar w:fldCharType="separate"/>
            </w:r>
            <w:proofErr w:type="gramStart"/>
            <w:r w:rsidR="00201510">
              <w:t>iii</w:t>
            </w:r>
            <w:proofErr w:type="gramEnd"/>
            <w:r w:rsidR="00605AC6">
              <w:fldChar w:fldCharType="end"/>
            </w:r>
            <w:r>
              <w:t>.  [40 CFR 60.482-4a(</w:t>
            </w:r>
            <w:proofErr w:type="spellStart"/>
            <w:r>
              <w:t>c</w:t>
            </w:r>
            <w:proofErr w:type="spellEnd"/>
            <w:r>
              <w:t>)]</w:t>
            </w:r>
          </w:p>
        </w:tc>
      </w:tr>
      <w:tr w:rsidR="000B7D39">
        <w:tc>
          <w:tcPr>
            <w:tcW w:w="2880" w:type="dxa"/>
          </w:tcPr>
          <w:p w:rsidR="000B7D39" w:rsidRDefault="000B7D39"/>
        </w:tc>
        <w:tc>
          <w:tcPr>
            <w:tcW w:w="6624" w:type="dxa"/>
          </w:tcPr>
          <w:p w:rsidR="000B7D39" w:rsidRDefault="00220AD1" w:rsidP="00E376E0">
            <w:pPr>
              <w:pStyle w:val="Heading4"/>
              <w:spacing w:before="0"/>
            </w:pPr>
            <w:r>
              <w:t xml:space="preserve">Any pressure relief device </w:t>
            </w:r>
            <w:r w:rsidR="000E3F7B">
              <w:t xml:space="preserve">that is equipped with a rupture disk upstream of the pressure relief device is exempt from the requirements of Conditions </w:t>
            </w:r>
            <w:r w:rsidR="00605AC6">
              <w:fldChar w:fldCharType="begin"/>
            </w:r>
            <w:r w:rsidR="008E2498">
              <w:instrText xml:space="preserve"> REF _Ref250538433 \r \h </w:instrText>
            </w:r>
            <w:r w:rsidR="00605AC6">
              <w:fldChar w:fldCharType="separate"/>
            </w:r>
            <w:r w:rsidR="00201510">
              <w:t>2.3</w:t>
            </w:r>
            <w:r w:rsidR="00605AC6">
              <w:fldChar w:fldCharType="end"/>
            </w:r>
            <w:r w:rsidR="008E2498">
              <w:t>.</w:t>
            </w:r>
            <w:r w:rsidR="00605AC6">
              <w:fldChar w:fldCharType="begin"/>
            </w:r>
            <w:r w:rsidR="008E2498">
              <w:instrText xml:space="preserve"> REF _Ref250729885 \r \h </w:instrText>
            </w:r>
            <w:r w:rsidR="00605AC6">
              <w:fldChar w:fldCharType="separate"/>
            </w:r>
            <w:proofErr w:type="gramStart"/>
            <w:r w:rsidR="00201510">
              <w:t>b</w:t>
            </w:r>
            <w:proofErr w:type="gramEnd"/>
            <w:r w:rsidR="00605AC6">
              <w:fldChar w:fldCharType="end"/>
            </w:r>
            <w:r w:rsidR="008E2498">
              <w:t>.</w:t>
            </w:r>
            <w:r w:rsidR="00605AC6">
              <w:fldChar w:fldCharType="begin"/>
            </w:r>
            <w:r w:rsidR="008E2498">
              <w:instrText xml:space="preserve"> REF _Ref250729890 \r \h </w:instrText>
            </w:r>
            <w:r w:rsidR="00605AC6">
              <w:fldChar w:fldCharType="separate"/>
            </w:r>
            <w:proofErr w:type="gramStart"/>
            <w:r w:rsidR="00201510">
              <w:t>i</w:t>
            </w:r>
            <w:proofErr w:type="gramEnd"/>
            <w:r w:rsidR="00605AC6">
              <w:fldChar w:fldCharType="end"/>
            </w:r>
            <w:r w:rsidR="008E2498">
              <w:t xml:space="preserve"> through </w:t>
            </w:r>
            <w:r w:rsidR="00605AC6">
              <w:fldChar w:fldCharType="begin"/>
            </w:r>
            <w:r w:rsidR="008E2498">
              <w:instrText xml:space="preserve"> REF _Ref250538433 \r \h </w:instrText>
            </w:r>
            <w:r w:rsidR="00605AC6">
              <w:fldChar w:fldCharType="separate"/>
            </w:r>
            <w:r w:rsidR="00201510">
              <w:t>2.3</w:t>
            </w:r>
            <w:r w:rsidR="00605AC6">
              <w:fldChar w:fldCharType="end"/>
            </w:r>
            <w:r w:rsidR="008E2498">
              <w:t>.</w:t>
            </w:r>
            <w:r w:rsidR="00605AC6">
              <w:fldChar w:fldCharType="begin"/>
            </w:r>
            <w:r w:rsidR="008E2498">
              <w:instrText xml:space="preserve"> REF _Ref250729885 \r \h </w:instrText>
            </w:r>
            <w:r w:rsidR="00605AC6">
              <w:fldChar w:fldCharType="separate"/>
            </w:r>
            <w:proofErr w:type="gramStart"/>
            <w:r w:rsidR="00201510">
              <w:t>b</w:t>
            </w:r>
            <w:proofErr w:type="gramEnd"/>
            <w:r w:rsidR="00605AC6">
              <w:fldChar w:fldCharType="end"/>
            </w:r>
            <w:r w:rsidR="008E2498">
              <w:t>.</w:t>
            </w:r>
            <w:r w:rsidR="00605AC6">
              <w:fldChar w:fldCharType="begin"/>
            </w:r>
            <w:r w:rsidR="008E2498">
              <w:instrText xml:space="preserve"> REF _Ref250729906 \r \h </w:instrText>
            </w:r>
            <w:r w:rsidR="00605AC6">
              <w:fldChar w:fldCharType="separate"/>
            </w:r>
            <w:proofErr w:type="gramStart"/>
            <w:r w:rsidR="00201510">
              <w:t>iii</w:t>
            </w:r>
            <w:proofErr w:type="gramEnd"/>
            <w:r w:rsidR="00605AC6">
              <w:fldChar w:fldCharType="end"/>
            </w:r>
            <w:r w:rsidR="000E3F7B">
              <w:t xml:space="preserve">, provided a new rupture disk is installed as soon as practicable after each pressure release, but no later than 5 days after each pressure relief, except as provided in </w:t>
            </w:r>
            <w:r w:rsidR="00365581">
              <w:t xml:space="preserve">Condition </w:t>
            </w:r>
            <w:r w:rsidR="00605AC6">
              <w:fldChar w:fldCharType="begin"/>
            </w:r>
            <w:r w:rsidR="008E2498">
              <w:instrText xml:space="preserve"> REF _Ref250538433 \r \h </w:instrText>
            </w:r>
            <w:r w:rsidR="00605AC6">
              <w:fldChar w:fldCharType="separate"/>
            </w:r>
            <w:r w:rsidR="00201510">
              <w:t>2.3</w:t>
            </w:r>
            <w:r w:rsidR="00605AC6">
              <w:fldChar w:fldCharType="end"/>
            </w:r>
            <w:r w:rsidR="008E2498">
              <w:t>.</w:t>
            </w:r>
            <w:r w:rsidR="00605AC6">
              <w:fldChar w:fldCharType="begin"/>
            </w:r>
            <w:r w:rsidR="008E2498">
              <w:instrText xml:space="preserve"> REF _Ref250729641 \r \h </w:instrText>
            </w:r>
            <w:r w:rsidR="00605AC6">
              <w:fldChar w:fldCharType="separate"/>
            </w:r>
            <w:proofErr w:type="gramStart"/>
            <w:r w:rsidR="00201510">
              <w:t>g</w:t>
            </w:r>
            <w:proofErr w:type="gramEnd"/>
            <w:r w:rsidR="00605AC6">
              <w:fldChar w:fldCharType="end"/>
            </w:r>
            <w:r w:rsidR="000E3F7B">
              <w:t>.  [40 CFR 60.482-</w:t>
            </w:r>
            <w:proofErr w:type="gramStart"/>
            <w:r w:rsidR="000E3F7B">
              <w:t>4a(</w:t>
            </w:r>
            <w:proofErr w:type="spellStart"/>
            <w:proofErr w:type="gramEnd"/>
            <w:r w:rsidR="000E3F7B">
              <w:t>d</w:t>
            </w:r>
            <w:proofErr w:type="spellEnd"/>
            <w:r w:rsidR="000E3F7B">
              <w:t>)]</w:t>
            </w:r>
          </w:p>
        </w:tc>
      </w:tr>
      <w:tr w:rsidR="000B7D39">
        <w:tc>
          <w:tcPr>
            <w:tcW w:w="2880" w:type="dxa"/>
          </w:tcPr>
          <w:p w:rsidR="000B7D39" w:rsidRDefault="000B7D39"/>
        </w:tc>
        <w:tc>
          <w:tcPr>
            <w:tcW w:w="6624" w:type="dxa"/>
          </w:tcPr>
          <w:p w:rsidR="000B7D39" w:rsidRDefault="00BF78A9" w:rsidP="00660E4E">
            <w:pPr>
              <w:pStyle w:val="Heading3"/>
            </w:pPr>
            <w:bookmarkStart w:id="18" w:name="_Ref250969914"/>
            <w:r>
              <w:t xml:space="preserve">Standard for </w:t>
            </w:r>
            <w:r w:rsidR="00660E4E">
              <w:t>sampling connection systems</w:t>
            </w:r>
            <w:bookmarkEnd w:id="18"/>
            <w:r w:rsidR="00E376E0">
              <w:t>:</w:t>
            </w:r>
          </w:p>
        </w:tc>
      </w:tr>
      <w:tr w:rsidR="000B7D39">
        <w:tc>
          <w:tcPr>
            <w:tcW w:w="2880" w:type="dxa"/>
          </w:tcPr>
          <w:p w:rsidR="000B7D39" w:rsidRDefault="000B7D39"/>
        </w:tc>
        <w:tc>
          <w:tcPr>
            <w:tcW w:w="6624" w:type="dxa"/>
          </w:tcPr>
          <w:p w:rsidR="000B7D39" w:rsidRDefault="00660E4E" w:rsidP="00E376E0">
            <w:pPr>
              <w:pStyle w:val="Heading4"/>
              <w:spacing w:before="0"/>
            </w:pPr>
            <w:r>
              <w:t>Each sampling connection system must be equipped with a closed-purge, closed-loop, or closed-vent system, except as provided in 40 CFR 60.482-1a(</w:t>
            </w:r>
            <w:proofErr w:type="spellStart"/>
            <w:r>
              <w:t>c</w:t>
            </w:r>
            <w:proofErr w:type="spellEnd"/>
            <w:r>
              <w:t>).  [40 CFR 60.482-</w:t>
            </w:r>
            <w:proofErr w:type="gramStart"/>
            <w:r>
              <w:t>5a(</w:t>
            </w:r>
            <w:proofErr w:type="gramEnd"/>
            <w:r>
              <w:t>a)]</w:t>
            </w:r>
          </w:p>
        </w:tc>
      </w:tr>
      <w:tr w:rsidR="000B7D39">
        <w:tc>
          <w:tcPr>
            <w:tcW w:w="2880" w:type="dxa"/>
          </w:tcPr>
          <w:p w:rsidR="000B7D39" w:rsidRDefault="000B7D39"/>
        </w:tc>
        <w:tc>
          <w:tcPr>
            <w:tcW w:w="6624" w:type="dxa"/>
          </w:tcPr>
          <w:p w:rsidR="006A240D" w:rsidRDefault="00376AA3" w:rsidP="00E376E0">
            <w:pPr>
              <w:pStyle w:val="Heading4"/>
              <w:spacing w:before="0"/>
            </w:pPr>
            <w:r>
              <w:t>Each closed-purge, closed-loop, or closed-vent system shall comply with the following requirements:  [40 CFR 60.482-</w:t>
            </w:r>
            <w:proofErr w:type="gramStart"/>
            <w:r>
              <w:t>5a(</w:t>
            </w:r>
            <w:proofErr w:type="spellStart"/>
            <w:proofErr w:type="gramEnd"/>
            <w:r>
              <w:t>b</w:t>
            </w:r>
            <w:proofErr w:type="spellEnd"/>
            <w:r>
              <w:t>)]</w:t>
            </w:r>
          </w:p>
        </w:tc>
      </w:tr>
      <w:tr w:rsidR="00A64BDC">
        <w:tc>
          <w:tcPr>
            <w:tcW w:w="2880" w:type="dxa"/>
          </w:tcPr>
          <w:p w:rsidR="00A64BDC" w:rsidRDefault="00A64BDC"/>
        </w:tc>
        <w:tc>
          <w:tcPr>
            <w:tcW w:w="6624" w:type="dxa"/>
          </w:tcPr>
          <w:p w:rsidR="006A240D" w:rsidRDefault="00376AA3" w:rsidP="00E376E0">
            <w:pPr>
              <w:pStyle w:val="ListParagraph"/>
              <w:numPr>
                <w:ilvl w:val="0"/>
                <w:numId w:val="32"/>
              </w:numPr>
              <w:tabs>
                <w:tab w:val="left" w:pos="1890"/>
              </w:tabs>
            </w:pPr>
            <w:r>
              <w:t>Gases displaced during filling of the sample container are not required to be collected or captured;</w:t>
            </w:r>
          </w:p>
          <w:p w:rsidR="00376AA3" w:rsidRDefault="00376AA3" w:rsidP="00E376E0">
            <w:pPr>
              <w:pStyle w:val="ListParagraph"/>
              <w:numPr>
                <w:ilvl w:val="0"/>
                <w:numId w:val="32"/>
              </w:numPr>
              <w:tabs>
                <w:tab w:val="left" w:pos="1890"/>
              </w:tabs>
            </w:pPr>
            <w:r>
              <w:t>Containers that are part of a closed purge system must be covered or closed when not being filled or emptied;</w:t>
            </w:r>
          </w:p>
          <w:p w:rsidR="00376AA3" w:rsidRDefault="00376AA3" w:rsidP="00E376E0">
            <w:pPr>
              <w:pStyle w:val="ListParagraph"/>
              <w:numPr>
                <w:ilvl w:val="0"/>
                <w:numId w:val="32"/>
              </w:numPr>
              <w:tabs>
                <w:tab w:val="left" w:pos="1890"/>
              </w:tabs>
            </w:pPr>
            <w:r>
              <w:t>Gases remaining in the tubing or piping between the closed-purge system valves</w:t>
            </w:r>
            <w:r w:rsidR="00240538">
              <w:t xml:space="preserve"> and sample container valves after the valves are closed and the sample container is disconnected are not required to be collected or captured;</w:t>
            </w:r>
          </w:p>
          <w:p w:rsidR="00240538" w:rsidRDefault="00240538" w:rsidP="00E376E0">
            <w:pPr>
              <w:pStyle w:val="ListParagraph"/>
              <w:keepLines/>
              <w:numPr>
                <w:ilvl w:val="0"/>
                <w:numId w:val="32"/>
              </w:numPr>
              <w:tabs>
                <w:tab w:val="left" w:pos="1890"/>
              </w:tabs>
            </w:pPr>
            <w:r>
              <w:t>Each closed-purge, closed-loop, or closed-vent system must be designed and operated to meet one of the requirements in 40 CFR 60.482-</w:t>
            </w:r>
            <w:proofErr w:type="gramStart"/>
            <w:r>
              <w:t>5a(</w:t>
            </w:r>
            <w:proofErr w:type="spellStart"/>
            <w:proofErr w:type="gramEnd"/>
            <w:r>
              <w:t>b</w:t>
            </w:r>
            <w:proofErr w:type="spellEnd"/>
            <w:r>
              <w:t>)(4).</w:t>
            </w:r>
          </w:p>
        </w:tc>
      </w:tr>
      <w:tr w:rsidR="00A64BDC">
        <w:tc>
          <w:tcPr>
            <w:tcW w:w="2880" w:type="dxa"/>
          </w:tcPr>
          <w:p w:rsidR="00A64BDC" w:rsidRDefault="00A64BDC"/>
        </w:tc>
        <w:tc>
          <w:tcPr>
            <w:tcW w:w="6624" w:type="dxa"/>
          </w:tcPr>
          <w:p w:rsidR="00A64BDC" w:rsidRDefault="00240538" w:rsidP="00AF7996">
            <w:pPr>
              <w:pStyle w:val="Heading4"/>
            </w:pPr>
            <w:r>
              <w:t xml:space="preserve">In-situ sampling systems and sampling systems without purges are exempt from Condition </w:t>
            </w:r>
            <w:r w:rsidR="00605AC6">
              <w:fldChar w:fldCharType="begin"/>
            </w:r>
            <w:r w:rsidR="00AF7996">
              <w:instrText xml:space="preserve"> REF _Ref250538433 \r \h </w:instrText>
            </w:r>
            <w:r w:rsidR="00605AC6">
              <w:fldChar w:fldCharType="separate"/>
            </w:r>
            <w:r w:rsidR="00201510">
              <w:t>2.3</w:t>
            </w:r>
            <w:r w:rsidR="00605AC6">
              <w:fldChar w:fldCharType="end"/>
            </w:r>
            <w:r w:rsidR="00AF7996">
              <w:t>.</w:t>
            </w:r>
            <w:r w:rsidR="00605AC6">
              <w:fldChar w:fldCharType="begin"/>
            </w:r>
            <w:r w:rsidR="00AF7996">
              <w:instrText xml:space="preserve"> REF _Ref250969914 \r \h </w:instrText>
            </w:r>
            <w:r w:rsidR="00605AC6">
              <w:fldChar w:fldCharType="separate"/>
            </w:r>
            <w:proofErr w:type="gramStart"/>
            <w:r w:rsidR="00201510">
              <w:t>c</w:t>
            </w:r>
            <w:proofErr w:type="gramEnd"/>
            <w:r w:rsidR="00605AC6">
              <w:fldChar w:fldCharType="end"/>
            </w:r>
            <w:r>
              <w:t>.  [40 CFR 60.482-5a(</w:t>
            </w:r>
            <w:proofErr w:type="spellStart"/>
            <w:r>
              <w:t>c</w:t>
            </w:r>
            <w:proofErr w:type="spellEnd"/>
            <w:r>
              <w:t>)]</w:t>
            </w:r>
          </w:p>
        </w:tc>
      </w:tr>
      <w:tr w:rsidR="00240538">
        <w:tc>
          <w:tcPr>
            <w:tcW w:w="2880" w:type="dxa"/>
          </w:tcPr>
          <w:p w:rsidR="00240538" w:rsidRDefault="00240538"/>
        </w:tc>
        <w:tc>
          <w:tcPr>
            <w:tcW w:w="6624" w:type="dxa"/>
          </w:tcPr>
          <w:p w:rsidR="00240538" w:rsidRDefault="00240538" w:rsidP="00240538">
            <w:pPr>
              <w:pStyle w:val="Heading3"/>
            </w:pPr>
            <w:bookmarkStart w:id="19" w:name="_Ref250970116"/>
            <w:r>
              <w:t>Standard for open-ended valves or lines</w:t>
            </w:r>
            <w:bookmarkEnd w:id="19"/>
            <w:r w:rsidR="00B53748">
              <w:t>:</w:t>
            </w:r>
          </w:p>
        </w:tc>
      </w:tr>
      <w:tr w:rsidR="00240538">
        <w:tc>
          <w:tcPr>
            <w:tcW w:w="2880" w:type="dxa"/>
          </w:tcPr>
          <w:p w:rsidR="00240538" w:rsidRDefault="00240538"/>
        </w:tc>
        <w:tc>
          <w:tcPr>
            <w:tcW w:w="6624" w:type="dxa"/>
          </w:tcPr>
          <w:p w:rsidR="00240538" w:rsidRDefault="00240538" w:rsidP="00240538">
            <w:pPr>
              <w:pStyle w:val="Heading4"/>
            </w:pPr>
            <w:r>
              <w:t>Each open-ended valve or line must be equipped with a cap, blind flange, plug, or a second valve, except as provided in 40 CFR 60.482-1a(</w:t>
            </w:r>
            <w:proofErr w:type="spellStart"/>
            <w:r>
              <w:t>c</w:t>
            </w:r>
            <w:proofErr w:type="spellEnd"/>
            <w:r>
              <w:t>)</w:t>
            </w:r>
            <w:r w:rsidR="00D560D9">
              <w:t>.  [40 CFR 60.482-</w:t>
            </w:r>
            <w:proofErr w:type="gramStart"/>
            <w:r w:rsidR="00D560D9">
              <w:t>6a(</w:t>
            </w:r>
            <w:proofErr w:type="gramEnd"/>
            <w:r w:rsidR="00D560D9">
              <w:t>a)(1)]</w:t>
            </w:r>
          </w:p>
        </w:tc>
      </w:tr>
      <w:tr w:rsidR="00240538">
        <w:tc>
          <w:tcPr>
            <w:tcW w:w="2880" w:type="dxa"/>
          </w:tcPr>
          <w:p w:rsidR="00240538" w:rsidRDefault="00240538"/>
        </w:tc>
        <w:tc>
          <w:tcPr>
            <w:tcW w:w="6624" w:type="dxa"/>
          </w:tcPr>
          <w:p w:rsidR="00240538" w:rsidRDefault="00D560D9" w:rsidP="00D560D9">
            <w:pPr>
              <w:pStyle w:val="Heading4"/>
            </w:pPr>
            <w:r>
              <w:t>The cap, blind flange, plug, or second valve must seal the open end at all times except during operations requiring process fluid flow through the open-ended valve or line.  [40 CFR 60.482-</w:t>
            </w:r>
            <w:proofErr w:type="gramStart"/>
            <w:r>
              <w:t>6a(</w:t>
            </w:r>
            <w:proofErr w:type="gramEnd"/>
            <w:r>
              <w:t>a)(2)]</w:t>
            </w:r>
          </w:p>
        </w:tc>
      </w:tr>
      <w:tr w:rsidR="00240538">
        <w:tc>
          <w:tcPr>
            <w:tcW w:w="2880" w:type="dxa"/>
          </w:tcPr>
          <w:p w:rsidR="00240538" w:rsidRDefault="00240538"/>
        </w:tc>
        <w:tc>
          <w:tcPr>
            <w:tcW w:w="6624" w:type="dxa"/>
          </w:tcPr>
          <w:p w:rsidR="00240538" w:rsidRDefault="00D560D9" w:rsidP="00D560D9">
            <w:pPr>
              <w:pStyle w:val="Heading4"/>
            </w:pPr>
            <w:bookmarkStart w:id="20" w:name="_Ref250970119"/>
            <w:r>
              <w:t>Each open-ended valve or line equipped with a second valve must be operated in a manner such that the valve on the process fluid end is closed before the second valve is closed.  [40 CFR 60.482-</w:t>
            </w:r>
            <w:proofErr w:type="gramStart"/>
            <w:r>
              <w:t>6a(</w:t>
            </w:r>
            <w:proofErr w:type="spellStart"/>
            <w:proofErr w:type="gramEnd"/>
            <w:r>
              <w:t>b</w:t>
            </w:r>
            <w:proofErr w:type="spellEnd"/>
            <w:r>
              <w:t>)]</w:t>
            </w:r>
            <w:bookmarkEnd w:id="20"/>
          </w:p>
        </w:tc>
      </w:tr>
      <w:tr w:rsidR="00240538">
        <w:tc>
          <w:tcPr>
            <w:tcW w:w="2880" w:type="dxa"/>
          </w:tcPr>
          <w:p w:rsidR="00240538" w:rsidRDefault="00240538"/>
        </w:tc>
        <w:tc>
          <w:tcPr>
            <w:tcW w:w="6624" w:type="dxa"/>
          </w:tcPr>
          <w:p w:rsidR="00240538" w:rsidRDefault="00D560D9" w:rsidP="00AF7996">
            <w:pPr>
              <w:pStyle w:val="Heading4"/>
            </w:pPr>
            <w:r>
              <w:t xml:space="preserve">When a double block-and-bleed system is being used, the bleed valve or line may remain open during operations that require venting the line between the block valves, but must comply with Condition </w:t>
            </w:r>
            <w:r w:rsidR="00605AC6">
              <w:fldChar w:fldCharType="begin"/>
            </w:r>
            <w:r w:rsidR="00AF7996">
              <w:instrText xml:space="preserve"> REF _Ref250538433 \r \h </w:instrText>
            </w:r>
            <w:r w:rsidR="00605AC6">
              <w:fldChar w:fldCharType="separate"/>
            </w:r>
            <w:r w:rsidR="00201510">
              <w:t>2.3</w:t>
            </w:r>
            <w:r w:rsidR="00605AC6">
              <w:fldChar w:fldCharType="end"/>
            </w:r>
            <w:r w:rsidR="00AF7996">
              <w:t>.</w:t>
            </w:r>
            <w:r w:rsidR="00605AC6">
              <w:fldChar w:fldCharType="begin"/>
            </w:r>
            <w:r w:rsidR="00AF7996">
              <w:instrText xml:space="preserve"> REF _Ref250970116 \r \h </w:instrText>
            </w:r>
            <w:r w:rsidR="00605AC6">
              <w:fldChar w:fldCharType="separate"/>
            </w:r>
            <w:proofErr w:type="gramStart"/>
            <w:r w:rsidR="00201510">
              <w:t>d</w:t>
            </w:r>
            <w:proofErr w:type="gramEnd"/>
            <w:r w:rsidR="00605AC6">
              <w:fldChar w:fldCharType="end"/>
            </w:r>
            <w:r w:rsidR="00AF7996">
              <w:t>.</w:t>
            </w:r>
            <w:r w:rsidR="00605AC6">
              <w:fldChar w:fldCharType="begin"/>
            </w:r>
            <w:r w:rsidR="00AF7996">
              <w:instrText xml:space="preserve"> REF _Ref250970119 \r \h </w:instrText>
            </w:r>
            <w:r w:rsidR="00605AC6">
              <w:fldChar w:fldCharType="separate"/>
            </w:r>
            <w:proofErr w:type="gramStart"/>
            <w:r w:rsidR="00201510">
              <w:t>iii</w:t>
            </w:r>
            <w:proofErr w:type="gramEnd"/>
            <w:r w:rsidR="00605AC6">
              <w:fldChar w:fldCharType="end"/>
            </w:r>
            <w:r w:rsidR="00AF7996">
              <w:t xml:space="preserve"> </w:t>
            </w:r>
            <w:r>
              <w:t>at all other times.  [40 CFR 60.482-6a(</w:t>
            </w:r>
            <w:proofErr w:type="spellStart"/>
            <w:r>
              <w:t>c</w:t>
            </w:r>
            <w:proofErr w:type="spellEnd"/>
            <w:r>
              <w:t>)]</w:t>
            </w:r>
          </w:p>
        </w:tc>
      </w:tr>
      <w:tr w:rsidR="00240538">
        <w:tc>
          <w:tcPr>
            <w:tcW w:w="2880" w:type="dxa"/>
          </w:tcPr>
          <w:p w:rsidR="00240538" w:rsidRDefault="00240538"/>
        </w:tc>
        <w:tc>
          <w:tcPr>
            <w:tcW w:w="6624" w:type="dxa"/>
          </w:tcPr>
          <w:p w:rsidR="00240538" w:rsidRDefault="00D560D9" w:rsidP="00AF7996">
            <w:pPr>
              <w:pStyle w:val="Heading4"/>
            </w:pPr>
            <w:r>
              <w:t xml:space="preserve">Open-ended valves or lines in an emergency shutdown system which are designed to open automatically in the event of a process upset are exempt from Condition </w:t>
            </w:r>
            <w:r w:rsidR="00605AC6">
              <w:fldChar w:fldCharType="begin"/>
            </w:r>
            <w:r w:rsidR="00AF7996">
              <w:instrText xml:space="preserve"> REF _Ref250538433 \r \h </w:instrText>
            </w:r>
            <w:r w:rsidR="00605AC6">
              <w:fldChar w:fldCharType="separate"/>
            </w:r>
            <w:r w:rsidR="00201510">
              <w:t>2.3</w:t>
            </w:r>
            <w:r w:rsidR="00605AC6">
              <w:fldChar w:fldCharType="end"/>
            </w:r>
            <w:r w:rsidR="00AF7996">
              <w:t>.</w:t>
            </w:r>
            <w:r w:rsidR="00605AC6">
              <w:fldChar w:fldCharType="begin"/>
            </w:r>
            <w:r w:rsidR="00AF7996">
              <w:instrText xml:space="preserve"> REF _Ref250970116 \r \h </w:instrText>
            </w:r>
            <w:r w:rsidR="00605AC6">
              <w:fldChar w:fldCharType="separate"/>
            </w:r>
            <w:proofErr w:type="gramStart"/>
            <w:r w:rsidR="00201510">
              <w:t>d</w:t>
            </w:r>
            <w:proofErr w:type="gramEnd"/>
            <w:r w:rsidR="00605AC6">
              <w:fldChar w:fldCharType="end"/>
            </w:r>
            <w:r>
              <w:t>.  [40 CFR 60.482-</w:t>
            </w:r>
            <w:proofErr w:type="gramStart"/>
            <w:r>
              <w:t>6a(</w:t>
            </w:r>
            <w:proofErr w:type="spellStart"/>
            <w:proofErr w:type="gramEnd"/>
            <w:r>
              <w:t>d</w:t>
            </w:r>
            <w:proofErr w:type="spellEnd"/>
            <w:r>
              <w:t>)]</w:t>
            </w:r>
          </w:p>
        </w:tc>
      </w:tr>
      <w:tr w:rsidR="00240538">
        <w:tc>
          <w:tcPr>
            <w:tcW w:w="2880" w:type="dxa"/>
          </w:tcPr>
          <w:p w:rsidR="00240538" w:rsidRDefault="00240538"/>
        </w:tc>
        <w:tc>
          <w:tcPr>
            <w:tcW w:w="6624" w:type="dxa"/>
          </w:tcPr>
          <w:p w:rsidR="00240538" w:rsidRDefault="00D560D9" w:rsidP="00AF7996">
            <w:pPr>
              <w:pStyle w:val="Heading4"/>
            </w:pPr>
            <w:r>
              <w:t xml:space="preserve">Open-ended valves or lines containing materials which would </w:t>
            </w:r>
            <w:proofErr w:type="spellStart"/>
            <w:r>
              <w:t>autocatalytically</w:t>
            </w:r>
            <w:proofErr w:type="spellEnd"/>
            <w:r>
              <w:t xml:space="preserve"> polymerize or would present an explosion, serious overpressure, or other safety hazard if capped or equipped with a double block-and-bleed system are exempt from the requirements of Condition </w:t>
            </w:r>
            <w:r w:rsidR="00605AC6">
              <w:fldChar w:fldCharType="begin"/>
            </w:r>
            <w:r w:rsidR="00AF7996">
              <w:instrText xml:space="preserve"> REF _Ref250538433 \r \h </w:instrText>
            </w:r>
            <w:r w:rsidR="00605AC6">
              <w:fldChar w:fldCharType="separate"/>
            </w:r>
            <w:r w:rsidR="00201510">
              <w:t>2.3</w:t>
            </w:r>
            <w:r w:rsidR="00605AC6">
              <w:fldChar w:fldCharType="end"/>
            </w:r>
            <w:r w:rsidR="00AF7996">
              <w:t>.</w:t>
            </w:r>
            <w:r w:rsidR="00605AC6">
              <w:fldChar w:fldCharType="begin"/>
            </w:r>
            <w:r w:rsidR="00AF7996">
              <w:instrText xml:space="preserve"> REF _Ref250970116 \r \h </w:instrText>
            </w:r>
            <w:r w:rsidR="00605AC6">
              <w:fldChar w:fldCharType="separate"/>
            </w:r>
            <w:proofErr w:type="gramStart"/>
            <w:r w:rsidR="00201510">
              <w:t>d</w:t>
            </w:r>
            <w:proofErr w:type="gramEnd"/>
            <w:r w:rsidR="00605AC6">
              <w:fldChar w:fldCharType="end"/>
            </w:r>
            <w:r>
              <w:t>.  [40 CFR 60.482-</w:t>
            </w:r>
            <w:proofErr w:type="gramStart"/>
            <w:r>
              <w:t>6a(</w:t>
            </w:r>
            <w:proofErr w:type="spellStart"/>
            <w:proofErr w:type="gramEnd"/>
            <w:r>
              <w:t>e</w:t>
            </w:r>
            <w:proofErr w:type="spellEnd"/>
            <w:r>
              <w:t>)]</w:t>
            </w:r>
          </w:p>
          <w:p w:rsidR="00B53748" w:rsidRDefault="00B53748" w:rsidP="00B53748"/>
          <w:p w:rsidR="00B53748" w:rsidRDefault="00B53748" w:rsidP="00B53748"/>
          <w:p w:rsidR="00B53748" w:rsidRDefault="00B53748" w:rsidP="00B53748"/>
          <w:p w:rsidR="00B53748" w:rsidRDefault="00B53748" w:rsidP="00B53748"/>
          <w:p w:rsidR="00B53748" w:rsidRPr="00B53748" w:rsidRDefault="00B53748" w:rsidP="00B53748"/>
        </w:tc>
      </w:tr>
      <w:tr w:rsidR="00240538">
        <w:tc>
          <w:tcPr>
            <w:tcW w:w="2880" w:type="dxa"/>
          </w:tcPr>
          <w:p w:rsidR="00240538" w:rsidRDefault="00240538"/>
        </w:tc>
        <w:tc>
          <w:tcPr>
            <w:tcW w:w="6624" w:type="dxa"/>
          </w:tcPr>
          <w:p w:rsidR="00240538" w:rsidRDefault="00D560D9" w:rsidP="00D560D9">
            <w:pPr>
              <w:pStyle w:val="Heading3"/>
            </w:pPr>
            <w:bookmarkStart w:id="21" w:name="_Ref250538441"/>
            <w:r>
              <w:t>Standards for valves in gas/vapor service and light liquid service</w:t>
            </w:r>
            <w:bookmarkEnd w:id="21"/>
            <w:r w:rsidR="00B53748">
              <w:t>:</w:t>
            </w:r>
          </w:p>
        </w:tc>
      </w:tr>
      <w:tr w:rsidR="00240538">
        <w:tc>
          <w:tcPr>
            <w:tcW w:w="2880" w:type="dxa"/>
          </w:tcPr>
          <w:p w:rsidR="00240538" w:rsidRDefault="00240538"/>
        </w:tc>
        <w:tc>
          <w:tcPr>
            <w:tcW w:w="6624" w:type="dxa"/>
          </w:tcPr>
          <w:p w:rsidR="00240538" w:rsidRDefault="001F4C7C" w:rsidP="00D560D9">
            <w:pPr>
              <w:pStyle w:val="Heading4"/>
            </w:pPr>
            <w:r>
              <w:t xml:space="preserve">Each valve must be monitored monthly to detect leaks by the methods specified in 40 CFR </w:t>
            </w:r>
            <w:proofErr w:type="gramStart"/>
            <w:r>
              <w:t>60.485a</w:t>
            </w:r>
            <w:r w:rsidR="00322DE9">
              <w:t>(</w:t>
            </w:r>
            <w:proofErr w:type="spellStart"/>
            <w:proofErr w:type="gramEnd"/>
            <w:r w:rsidR="00322DE9">
              <w:t>b</w:t>
            </w:r>
            <w:proofErr w:type="spellEnd"/>
            <w:r w:rsidR="00322DE9">
              <w:t>), except as provided in 40 CFR 60.482-1a(</w:t>
            </w:r>
            <w:proofErr w:type="spellStart"/>
            <w:r w:rsidR="00322DE9">
              <w:t>c</w:t>
            </w:r>
            <w:proofErr w:type="spellEnd"/>
            <w:r w:rsidR="00322DE9">
              <w:t>) and (f), 60.483-1a, and 60.483-2a</w:t>
            </w:r>
            <w:r>
              <w:t>.</w:t>
            </w:r>
            <w:r w:rsidR="00322DE9">
              <w:t xml:space="preserve">  [40 CFR 60.482-</w:t>
            </w:r>
            <w:proofErr w:type="gramStart"/>
            <w:r w:rsidR="00322DE9">
              <w:t>7a(</w:t>
            </w:r>
            <w:proofErr w:type="gramEnd"/>
            <w:r w:rsidR="00322DE9">
              <w:t>a)(1)]</w:t>
            </w:r>
          </w:p>
        </w:tc>
      </w:tr>
      <w:tr w:rsidR="00240538">
        <w:tc>
          <w:tcPr>
            <w:tcW w:w="2880" w:type="dxa"/>
          </w:tcPr>
          <w:p w:rsidR="00240538" w:rsidRDefault="00240538"/>
        </w:tc>
        <w:tc>
          <w:tcPr>
            <w:tcW w:w="6624" w:type="dxa"/>
          </w:tcPr>
          <w:p w:rsidR="00240538" w:rsidRDefault="00854E3B" w:rsidP="00854E3B">
            <w:pPr>
              <w:pStyle w:val="Heading4"/>
            </w:pPr>
            <w:r>
              <w:t xml:space="preserve">If an instrument reading of 500 </w:t>
            </w:r>
            <w:proofErr w:type="spellStart"/>
            <w:r>
              <w:t>ppm</w:t>
            </w:r>
            <w:proofErr w:type="spellEnd"/>
            <w:r>
              <w:t xml:space="preserve"> or greater is measured, a leak is detected.  [40 CFR 60.482-</w:t>
            </w:r>
            <w:proofErr w:type="gramStart"/>
            <w:r>
              <w:t>7a(</w:t>
            </w:r>
            <w:proofErr w:type="spellStart"/>
            <w:proofErr w:type="gramEnd"/>
            <w:r>
              <w:t>b</w:t>
            </w:r>
            <w:proofErr w:type="spellEnd"/>
            <w:r>
              <w:t>)]</w:t>
            </w:r>
          </w:p>
        </w:tc>
      </w:tr>
      <w:tr w:rsidR="00240538">
        <w:tc>
          <w:tcPr>
            <w:tcW w:w="2880" w:type="dxa"/>
          </w:tcPr>
          <w:p w:rsidR="00240538" w:rsidRDefault="00240538"/>
        </w:tc>
        <w:tc>
          <w:tcPr>
            <w:tcW w:w="6624" w:type="dxa"/>
          </w:tcPr>
          <w:p w:rsidR="00240538" w:rsidRDefault="00854E3B" w:rsidP="00854E3B">
            <w:pPr>
              <w:pStyle w:val="Heading4"/>
            </w:pPr>
            <w:r>
              <w:t xml:space="preserve">Any valve for which a leak is not detected for 2 successive months may be monitored the first month of every quarter, beginning with the next quarter, until a leak is detected.  </w:t>
            </w:r>
            <w:r w:rsidR="00617F6A">
              <w:t xml:space="preserve">The permittee may elect to subdivide the valves into two or three subgroups and monitor each subgroup in a different month during the quarter.  </w:t>
            </w:r>
            <w:r>
              <w:t>[40 CFR 60.482-7a(</w:t>
            </w:r>
            <w:proofErr w:type="spellStart"/>
            <w:r>
              <w:t>c</w:t>
            </w:r>
            <w:proofErr w:type="spellEnd"/>
            <w:proofErr w:type="gramStart"/>
            <w:r>
              <w:t>)(</w:t>
            </w:r>
            <w:proofErr w:type="gramEnd"/>
            <w:r>
              <w:t>1)]</w:t>
            </w:r>
          </w:p>
        </w:tc>
      </w:tr>
      <w:tr w:rsidR="00240538">
        <w:tc>
          <w:tcPr>
            <w:tcW w:w="2880" w:type="dxa"/>
          </w:tcPr>
          <w:p w:rsidR="00240538" w:rsidRDefault="00240538"/>
        </w:tc>
        <w:tc>
          <w:tcPr>
            <w:tcW w:w="6624" w:type="dxa"/>
          </w:tcPr>
          <w:p w:rsidR="00240538" w:rsidRDefault="00617F6A" w:rsidP="00854E3B">
            <w:pPr>
              <w:pStyle w:val="Heading4"/>
            </w:pPr>
            <w:r>
              <w:t>If a leak is detected, the valve must be monitored monthly until a leak is not detected for two successive months.  [40 CFR 60.482-7a(</w:t>
            </w:r>
            <w:proofErr w:type="spellStart"/>
            <w:r>
              <w:t>c</w:t>
            </w:r>
            <w:proofErr w:type="spellEnd"/>
            <w:proofErr w:type="gramStart"/>
            <w:r>
              <w:t>)(</w:t>
            </w:r>
            <w:proofErr w:type="gramEnd"/>
            <w:r>
              <w:t>2)]</w:t>
            </w:r>
          </w:p>
        </w:tc>
      </w:tr>
      <w:tr w:rsidR="00240538">
        <w:tc>
          <w:tcPr>
            <w:tcW w:w="2880" w:type="dxa"/>
          </w:tcPr>
          <w:p w:rsidR="00240538" w:rsidRDefault="00240538"/>
        </w:tc>
        <w:tc>
          <w:tcPr>
            <w:tcW w:w="6624" w:type="dxa"/>
          </w:tcPr>
          <w:p w:rsidR="00240538" w:rsidRDefault="00617F6A" w:rsidP="00AF7996">
            <w:pPr>
              <w:pStyle w:val="Heading4"/>
            </w:pPr>
            <w:bookmarkStart w:id="22" w:name="_Ref250541497"/>
            <w:r>
              <w:t xml:space="preserve">When a leak is detected, it shall be repaired as soon as practicable, but no later than 15 calendar days after the leak is detected, except as provided in </w:t>
            </w:r>
            <w:r w:rsidR="00365581">
              <w:t xml:space="preserve">Condition </w:t>
            </w:r>
            <w:r w:rsidR="00605AC6">
              <w:fldChar w:fldCharType="begin"/>
            </w:r>
            <w:r w:rsidR="00AF7996">
              <w:instrText xml:space="preserve"> REF _Ref250538433 \r \h </w:instrText>
            </w:r>
            <w:r w:rsidR="00605AC6">
              <w:fldChar w:fldCharType="separate"/>
            </w:r>
            <w:r w:rsidR="00201510">
              <w:t>2.3</w:t>
            </w:r>
            <w:r w:rsidR="00605AC6">
              <w:fldChar w:fldCharType="end"/>
            </w:r>
            <w:r w:rsidR="00AF7996">
              <w:t>.</w:t>
            </w:r>
            <w:r w:rsidR="00605AC6">
              <w:fldChar w:fldCharType="begin"/>
            </w:r>
            <w:r w:rsidR="00AF7996">
              <w:instrText xml:space="preserve"> REF _Ref250729641 \r \h </w:instrText>
            </w:r>
            <w:r w:rsidR="00605AC6">
              <w:fldChar w:fldCharType="separate"/>
            </w:r>
            <w:proofErr w:type="gramStart"/>
            <w:r w:rsidR="00201510">
              <w:t>g</w:t>
            </w:r>
            <w:proofErr w:type="gramEnd"/>
            <w:r w:rsidR="00605AC6">
              <w:fldChar w:fldCharType="end"/>
            </w:r>
            <w:r>
              <w:t>.  A first attempt at repair must be made no later than 5 calendar days after each leak is detected.  [40 CFR 60.482-</w:t>
            </w:r>
            <w:proofErr w:type="gramStart"/>
            <w:r>
              <w:t>7a(</w:t>
            </w:r>
            <w:proofErr w:type="spellStart"/>
            <w:proofErr w:type="gramEnd"/>
            <w:r>
              <w:t>d</w:t>
            </w:r>
            <w:proofErr w:type="spellEnd"/>
            <w:r>
              <w:t>)]</w:t>
            </w:r>
            <w:bookmarkEnd w:id="22"/>
          </w:p>
        </w:tc>
      </w:tr>
      <w:tr w:rsidR="00240538">
        <w:tc>
          <w:tcPr>
            <w:tcW w:w="2880" w:type="dxa"/>
          </w:tcPr>
          <w:p w:rsidR="00240538" w:rsidRDefault="00240538"/>
        </w:tc>
        <w:tc>
          <w:tcPr>
            <w:tcW w:w="6624" w:type="dxa"/>
          </w:tcPr>
          <w:p w:rsidR="00240538" w:rsidRDefault="001C3A50" w:rsidP="00AF7996">
            <w:pPr>
              <w:pStyle w:val="Heading4"/>
            </w:pPr>
            <w:r>
              <w:t>Valves that have no detectable emissions (as determined by 40 CFR 60.482-</w:t>
            </w:r>
            <w:proofErr w:type="gramStart"/>
            <w:r>
              <w:t>7a(</w:t>
            </w:r>
            <w:proofErr w:type="gramEnd"/>
            <w:r>
              <w:t xml:space="preserve">f)), </w:t>
            </w:r>
            <w:r w:rsidR="00AF7996">
              <w:t>are</w:t>
            </w:r>
            <w:r>
              <w:t xml:space="preserve"> unsafe to monitor (as determined by 40 CFR 60.482-7a(g)), or </w:t>
            </w:r>
            <w:r w:rsidR="00AF7996">
              <w:t>are</w:t>
            </w:r>
            <w:r>
              <w:t xml:space="preserve"> difficult to monitor (as determined by 40 CFR 60.482-7a(h)</w:t>
            </w:r>
            <w:r w:rsidR="00915255">
              <w:t>)</w:t>
            </w:r>
            <w:r>
              <w:t xml:space="preserve"> is exempt from the requirements of this condition.</w:t>
            </w:r>
          </w:p>
        </w:tc>
      </w:tr>
      <w:tr w:rsidR="00240538">
        <w:tc>
          <w:tcPr>
            <w:tcW w:w="2880" w:type="dxa"/>
          </w:tcPr>
          <w:p w:rsidR="00240538" w:rsidRDefault="00240538"/>
        </w:tc>
        <w:tc>
          <w:tcPr>
            <w:tcW w:w="6624" w:type="dxa"/>
          </w:tcPr>
          <w:p w:rsidR="00240538" w:rsidRDefault="00874DD1" w:rsidP="00874DD1">
            <w:pPr>
              <w:pStyle w:val="Heading3"/>
            </w:pPr>
            <w:r>
              <w:t>Standard for pressure relief devices in light liquid service</w:t>
            </w:r>
            <w:r w:rsidR="00915255">
              <w:t>:</w:t>
            </w:r>
            <w:r w:rsidR="00EE5229">
              <w:t xml:space="preserve">  [40 CFR 60.482-8a]</w:t>
            </w:r>
          </w:p>
        </w:tc>
      </w:tr>
      <w:tr w:rsidR="00240538">
        <w:tc>
          <w:tcPr>
            <w:tcW w:w="2880" w:type="dxa"/>
          </w:tcPr>
          <w:p w:rsidR="00240538" w:rsidRDefault="00240538"/>
        </w:tc>
        <w:tc>
          <w:tcPr>
            <w:tcW w:w="6624" w:type="dxa"/>
          </w:tcPr>
          <w:p w:rsidR="00240538" w:rsidRDefault="00874DD1" w:rsidP="00CF4620">
            <w:pPr>
              <w:pStyle w:val="Heading4"/>
            </w:pPr>
            <w:r>
              <w:t>If evidence of a potential leak is found by visual, audible, olfactory or any other detection method</w:t>
            </w:r>
            <w:r w:rsidR="00CB36DB">
              <w:t xml:space="preserve">, the permittee shall either </w:t>
            </w:r>
            <w:r w:rsidR="00CF4620">
              <w:t xml:space="preserve">eliminate the visual, audible, olfactory or other indication of potential leak within 5 calendar days of detection; or </w:t>
            </w:r>
          </w:p>
          <w:p w:rsidR="00B53748" w:rsidRPr="00B53748" w:rsidRDefault="00B53748" w:rsidP="00B53748"/>
        </w:tc>
      </w:tr>
      <w:tr w:rsidR="00240538">
        <w:tc>
          <w:tcPr>
            <w:tcW w:w="2880" w:type="dxa"/>
          </w:tcPr>
          <w:p w:rsidR="00240538" w:rsidRDefault="00240538"/>
        </w:tc>
        <w:tc>
          <w:tcPr>
            <w:tcW w:w="6624" w:type="dxa"/>
          </w:tcPr>
          <w:p w:rsidR="00240538" w:rsidRDefault="00CF4620" w:rsidP="00AF7996">
            <w:pPr>
              <w:pStyle w:val="Heading4"/>
            </w:pPr>
            <w:r>
              <w:t xml:space="preserve">Monitor the equipment within 5 days by the methods specified in 40 CFR </w:t>
            </w:r>
            <w:proofErr w:type="gramStart"/>
            <w:r>
              <w:t>60.485a(</w:t>
            </w:r>
            <w:proofErr w:type="spellStart"/>
            <w:proofErr w:type="gramEnd"/>
            <w:r>
              <w:t>b</w:t>
            </w:r>
            <w:proofErr w:type="spellEnd"/>
            <w:r>
              <w:t xml:space="preserve">).  When monitoring the equipment an instrument reading of 10,000 </w:t>
            </w:r>
            <w:proofErr w:type="spellStart"/>
            <w:r>
              <w:t>ppm</w:t>
            </w:r>
            <w:proofErr w:type="spellEnd"/>
            <w:r>
              <w:t xml:space="preserve"> or greater is considered detection of a leak.  When a leak is detected it must be repaired as soon as practicable, but not later than 15 calendar days after it is detected, except as provided in </w:t>
            </w:r>
            <w:r w:rsidR="00365581">
              <w:t xml:space="preserve">Condition </w:t>
            </w:r>
            <w:r w:rsidR="00605AC6">
              <w:fldChar w:fldCharType="begin"/>
            </w:r>
            <w:r w:rsidR="00AF7996">
              <w:instrText xml:space="preserve"> REF _Ref250538433 \r \h </w:instrText>
            </w:r>
            <w:r w:rsidR="00605AC6">
              <w:fldChar w:fldCharType="separate"/>
            </w:r>
            <w:r w:rsidR="00201510">
              <w:t>2.3</w:t>
            </w:r>
            <w:r w:rsidR="00605AC6">
              <w:fldChar w:fldCharType="end"/>
            </w:r>
            <w:r w:rsidR="00AF7996">
              <w:t>.</w:t>
            </w:r>
            <w:r w:rsidR="00605AC6">
              <w:fldChar w:fldCharType="begin"/>
            </w:r>
            <w:r w:rsidR="00AF7996">
              <w:instrText xml:space="preserve"> REF _Ref250729641 \r \h </w:instrText>
            </w:r>
            <w:r w:rsidR="00605AC6">
              <w:fldChar w:fldCharType="separate"/>
            </w:r>
            <w:proofErr w:type="gramStart"/>
            <w:r w:rsidR="00201510">
              <w:t>g</w:t>
            </w:r>
            <w:proofErr w:type="gramEnd"/>
            <w:r w:rsidR="00605AC6">
              <w:fldChar w:fldCharType="end"/>
            </w:r>
            <w:r>
              <w:t>.</w:t>
            </w:r>
          </w:p>
        </w:tc>
      </w:tr>
      <w:tr w:rsidR="00240538">
        <w:tc>
          <w:tcPr>
            <w:tcW w:w="2880" w:type="dxa"/>
          </w:tcPr>
          <w:p w:rsidR="00240538" w:rsidRDefault="00240538"/>
        </w:tc>
        <w:tc>
          <w:tcPr>
            <w:tcW w:w="6624" w:type="dxa"/>
          </w:tcPr>
          <w:p w:rsidR="00240538" w:rsidRDefault="00CF4620" w:rsidP="00CF4620">
            <w:pPr>
              <w:pStyle w:val="Heading3"/>
            </w:pPr>
            <w:bookmarkStart w:id="23" w:name="_Ref250729641"/>
            <w:r>
              <w:t>Delay of repair</w:t>
            </w:r>
            <w:bookmarkEnd w:id="23"/>
            <w:r w:rsidR="00915255">
              <w:t>:</w:t>
            </w:r>
          </w:p>
        </w:tc>
      </w:tr>
      <w:tr w:rsidR="00240538">
        <w:tc>
          <w:tcPr>
            <w:tcW w:w="2880" w:type="dxa"/>
          </w:tcPr>
          <w:p w:rsidR="00240538" w:rsidRDefault="00240538"/>
        </w:tc>
        <w:tc>
          <w:tcPr>
            <w:tcW w:w="6624" w:type="dxa"/>
          </w:tcPr>
          <w:p w:rsidR="00240538" w:rsidRDefault="00402226" w:rsidP="00DD1A6B">
            <w:pPr>
              <w:pStyle w:val="Heading4"/>
            </w:pPr>
            <w:r>
              <w:t>Delay of repair of equipment for which leaks have been detected</w:t>
            </w:r>
            <w:r w:rsidR="00DD1A6B">
              <w:t xml:space="preserve"> will be allowed</w:t>
            </w:r>
            <w:r>
              <w:t xml:space="preserve"> if repair within 15 days is technically infeasible without a process unit shutdown.  Repair of this equipment must occur before the end of the next process unit shutdown.  Monitoring to verify repair must occur within 15 days after startup of the process unit.  [40 CFR 60.482-</w:t>
            </w:r>
            <w:proofErr w:type="gramStart"/>
            <w:r>
              <w:t>9a(</w:t>
            </w:r>
            <w:proofErr w:type="gramEnd"/>
            <w:r>
              <w:t>a)]</w:t>
            </w:r>
          </w:p>
        </w:tc>
      </w:tr>
      <w:tr w:rsidR="00240538">
        <w:tc>
          <w:tcPr>
            <w:tcW w:w="2880" w:type="dxa"/>
          </w:tcPr>
          <w:p w:rsidR="00240538" w:rsidRDefault="00240538"/>
        </w:tc>
        <w:tc>
          <w:tcPr>
            <w:tcW w:w="6624" w:type="dxa"/>
          </w:tcPr>
          <w:p w:rsidR="00240538" w:rsidRDefault="00402226" w:rsidP="00402226">
            <w:pPr>
              <w:pStyle w:val="Heading4"/>
            </w:pPr>
            <w:r>
              <w:t>Delay of repair of equipment will be allowed for equipment which is isolated from the process and which does not remain in VOC service.  [40 CFR 60.482-</w:t>
            </w:r>
            <w:proofErr w:type="gramStart"/>
            <w:r>
              <w:t>9a(</w:t>
            </w:r>
            <w:proofErr w:type="spellStart"/>
            <w:proofErr w:type="gramEnd"/>
            <w:r>
              <w:t>b</w:t>
            </w:r>
            <w:proofErr w:type="spellEnd"/>
            <w:r>
              <w:t>)]</w:t>
            </w:r>
          </w:p>
        </w:tc>
      </w:tr>
      <w:tr w:rsidR="00240538">
        <w:tc>
          <w:tcPr>
            <w:tcW w:w="2880" w:type="dxa"/>
          </w:tcPr>
          <w:p w:rsidR="00240538" w:rsidRDefault="00240538"/>
        </w:tc>
        <w:tc>
          <w:tcPr>
            <w:tcW w:w="6624" w:type="dxa"/>
          </w:tcPr>
          <w:p w:rsidR="00240538" w:rsidRDefault="00402226" w:rsidP="00577949">
            <w:pPr>
              <w:pStyle w:val="Heading4"/>
              <w:spacing w:before="0"/>
            </w:pPr>
            <w:r>
              <w:t>Delay of repairs of valves and connectors will be allowed if</w:t>
            </w:r>
            <w:r w:rsidR="00365581">
              <w:t>:  [40 CFR 60.482-9a(</w:t>
            </w:r>
            <w:proofErr w:type="spellStart"/>
            <w:r w:rsidR="00365581">
              <w:t>c</w:t>
            </w:r>
            <w:proofErr w:type="spellEnd"/>
            <w:r w:rsidR="00365581">
              <w:t>)]</w:t>
            </w:r>
          </w:p>
          <w:p w:rsidR="00402226" w:rsidRDefault="00402226" w:rsidP="00577949">
            <w:pPr>
              <w:pStyle w:val="ListParagraph"/>
              <w:numPr>
                <w:ilvl w:val="0"/>
                <w:numId w:val="33"/>
              </w:numPr>
              <w:tabs>
                <w:tab w:val="left" w:pos="1890"/>
              </w:tabs>
            </w:pPr>
            <w:r>
              <w:t>The permittee demonstrates that emissions of purged material resulting from immediate repair are greater than the fugitive emissions likely to result from delay or repair; and</w:t>
            </w:r>
          </w:p>
          <w:p w:rsidR="00402226" w:rsidRDefault="00402226" w:rsidP="00577949">
            <w:pPr>
              <w:pStyle w:val="ListParagraph"/>
              <w:numPr>
                <w:ilvl w:val="0"/>
                <w:numId w:val="33"/>
              </w:numPr>
              <w:tabs>
                <w:tab w:val="left" w:pos="1890"/>
              </w:tabs>
            </w:pPr>
            <w:r>
              <w:t>When repair procedures are effected, the purged material is collected and destroyed or recovered in a control device complying with 40 CFR 60.482-10a.</w:t>
            </w:r>
          </w:p>
          <w:p w:rsidR="00402226" w:rsidRDefault="00402226" w:rsidP="00577949">
            <w:pPr>
              <w:pStyle w:val="Heading4"/>
              <w:spacing w:before="0"/>
            </w:pPr>
            <w:r>
              <w:t>Delay of repair for pumps will be allowed if:</w:t>
            </w:r>
            <w:r w:rsidR="00365581">
              <w:t xml:space="preserve">  [40 CFR 60.482-</w:t>
            </w:r>
            <w:proofErr w:type="gramStart"/>
            <w:r w:rsidR="00365581">
              <w:t>9a(</w:t>
            </w:r>
            <w:proofErr w:type="spellStart"/>
            <w:proofErr w:type="gramEnd"/>
            <w:r w:rsidR="00365581">
              <w:t>d</w:t>
            </w:r>
            <w:proofErr w:type="spellEnd"/>
            <w:r w:rsidR="00365581">
              <w:t>)]</w:t>
            </w:r>
          </w:p>
          <w:p w:rsidR="00402226" w:rsidRDefault="00365581" w:rsidP="00577949">
            <w:pPr>
              <w:pStyle w:val="ListParagraph"/>
              <w:numPr>
                <w:ilvl w:val="0"/>
                <w:numId w:val="34"/>
              </w:numPr>
              <w:tabs>
                <w:tab w:val="left" w:pos="1890"/>
              </w:tabs>
              <w:ind w:left="1890" w:hanging="450"/>
            </w:pPr>
            <w:r>
              <w:t>Repair requires the use of a dual mechanical seal system that includes a barrier fluid system</w:t>
            </w:r>
            <w:r w:rsidR="00402226">
              <w:t>; and</w:t>
            </w:r>
          </w:p>
          <w:p w:rsidR="00365581" w:rsidRDefault="00365581" w:rsidP="00577949">
            <w:pPr>
              <w:pStyle w:val="ListParagraph"/>
              <w:numPr>
                <w:ilvl w:val="0"/>
                <w:numId w:val="34"/>
              </w:numPr>
              <w:tabs>
                <w:tab w:val="left" w:pos="1890"/>
              </w:tabs>
              <w:ind w:left="1890" w:hanging="450"/>
            </w:pPr>
            <w:r>
              <w:t>Repair is completed as soon as practicable, but not later than 6 months after the leak was detected.</w:t>
            </w:r>
          </w:p>
          <w:p w:rsidR="00915255" w:rsidRDefault="00915255" w:rsidP="00577949">
            <w:pPr>
              <w:tabs>
                <w:tab w:val="left" w:pos="1890"/>
              </w:tabs>
            </w:pPr>
          </w:p>
          <w:p w:rsidR="00915255" w:rsidRDefault="00915255" w:rsidP="00577949">
            <w:pPr>
              <w:tabs>
                <w:tab w:val="left" w:pos="1890"/>
              </w:tabs>
            </w:pPr>
          </w:p>
          <w:p w:rsidR="00E01023" w:rsidRDefault="00E01023" w:rsidP="00577949">
            <w:pPr>
              <w:tabs>
                <w:tab w:val="left" w:pos="1890"/>
              </w:tabs>
            </w:pPr>
          </w:p>
          <w:p w:rsidR="00915255" w:rsidRDefault="00915255" w:rsidP="00577949">
            <w:pPr>
              <w:tabs>
                <w:tab w:val="left" w:pos="1890"/>
              </w:tabs>
            </w:pPr>
          </w:p>
          <w:p w:rsidR="00402226" w:rsidRPr="00402226" w:rsidRDefault="00365581" w:rsidP="00577949">
            <w:pPr>
              <w:pStyle w:val="Heading4"/>
              <w:keepNext w:val="0"/>
              <w:spacing w:before="0"/>
            </w:pPr>
            <w:r>
              <w:t>Delay of repair beyond a process unit shutdown will be allowed for a valve, if valve assembly replacement is necessary during the process unit shutdown, valve assembly supplies have been depleted, and valve assembly supplies had been sufficiently stocked before the supplies were depleted.  Delay of repair beyond the next process unit shutdown will not be allowed unless the next process unit shutdown occurs sooner than 6 months after the first process unit shutdown.  [40 CFR 60.482-</w:t>
            </w:r>
            <w:proofErr w:type="gramStart"/>
            <w:r>
              <w:t>9a(</w:t>
            </w:r>
            <w:proofErr w:type="spellStart"/>
            <w:proofErr w:type="gramEnd"/>
            <w:r>
              <w:t>e</w:t>
            </w:r>
            <w:proofErr w:type="spellEnd"/>
            <w:r>
              <w:t>)]</w:t>
            </w:r>
          </w:p>
        </w:tc>
      </w:tr>
      <w:tr w:rsidR="00240538">
        <w:tc>
          <w:tcPr>
            <w:tcW w:w="2880" w:type="dxa"/>
          </w:tcPr>
          <w:p w:rsidR="00240538" w:rsidRDefault="00240538"/>
        </w:tc>
        <w:tc>
          <w:tcPr>
            <w:tcW w:w="6624" w:type="dxa"/>
          </w:tcPr>
          <w:p w:rsidR="00240538" w:rsidRDefault="00365581" w:rsidP="00577949">
            <w:pPr>
              <w:pStyle w:val="Heading4"/>
              <w:spacing w:before="0"/>
            </w:pPr>
            <w:r>
              <w:t>When delay of repair is allowed for a leaking pump, valve, or connector that remains in service, the pump valve or connector may be considered to be repaired and no longer subject to delay of repair requirements if two consecutive monthly monitoring instrument readings are below the leak definition.  [40 CFR 60.482-</w:t>
            </w:r>
            <w:proofErr w:type="gramStart"/>
            <w:r>
              <w:t>9a(</w:t>
            </w:r>
            <w:proofErr w:type="gramEnd"/>
            <w:r>
              <w:t>f)]</w:t>
            </w:r>
          </w:p>
        </w:tc>
      </w:tr>
      <w:tr w:rsidR="00240538">
        <w:tc>
          <w:tcPr>
            <w:tcW w:w="2880" w:type="dxa"/>
          </w:tcPr>
          <w:p w:rsidR="00240538" w:rsidRDefault="00240538"/>
        </w:tc>
        <w:tc>
          <w:tcPr>
            <w:tcW w:w="6624" w:type="dxa"/>
          </w:tcPr>
          <w:p w:rsidR="00240538" w:rsidRDefault="00EE5229" w:rsidP="00577949">
            <w:pPr>
              <w:pStyle w:val="Heading3"/>
              <w:spacing w:before="0"/>
            </w:pPr>
            <w:bookmarkStart w:id="24" w:name="_Ref250540280"/>
            <w:r>
              <w:t xml:space="preserve">Standards for </w:t>
            </w:r>
            <w:r w:rsidR="000A2758">
              <w:t>connectors in gas/vapor service and in light liquid service</w:t>
            </w:r>
            <w:bookmarkEnd w:id="24"/>
            <w:r w:rsidR="00577949">
              <w:t>:</w:t>
            </w:r>
          </w:p>
        </w:tc>
      </w:tr>
      <w:tr w:rsidR="00240538">
        <w:tc>
          <w:tcPr>
            <w:tcW w:w="2880" w:type="dxa"/>
          </w:tcPr>
          <w:p w:rsidR="00240538" w:rsidRDefault="00240538"/>
        </w:tc>
        <w:tc>
          <w:tcPr>
            <w:tcW w:w="6624" w:type="dxa"/>
          </w:tcPr>
          <w:p w:rsidR="00240538" w:rsidRDefault="001619DE" w:rsidP="00577949">
            <w:pPr>
              <w:pStyle w:val="Heading4"/>
              <w:spacing w:before="0"/>
            </w:pPr>
            <w:r>
              <w:t>The permittee must initially monitor all connectors in the process unit for leaks within 12 months of initial startup.  [40 CFR 60.482-</w:t>
            </w:r>
            <w:proofErr w:type="gramStart"/>
            <w:r>
              <w:t>11a(</w:t>
            </w:r>
            <w:proofErr w:type="gramEnd"/>
            <w:r>
              <w:t>a)]</w:t>
            </w:r>
          </w:p>
        </w:tc>
      </w:tr>
      <w:tr w:rsidR="00986586">
        <w:tc>
          <w:tcPr>
            <w:tcW w:w="2880" w:type="dxa"/>
          </w:tcPr>
          <w:p w:rsidR="00986586" w:rsidRDefault="00986586"/>
        </w:tc>
        <w:tc>
          <w:tcPr>
            <w:tcW w:w="6624" w:type="dxa"/>
          </w:tcPr>
          <w:p w:rsidR="00986586" w:rsidRDefault="001B64DD" w:rsidP="00577949">
            <w:pPr>
              <w:pStyle w:val="Heading4"/>
              <w:spacing w:before="0"/>
            </w:pPr>
            <w:r>
              <w:t>Except as allowed in 40 CFR 60.482-1a(</w:t>
            </w:r>
            <w:proofErr w:type="spellStart"/>
            <w:r>
              <w:t>c</w:t>
            </w:r>
            <w:proofErr w:type="spellEnd"/>
            <w:r>
              <w:t>), all connectors in gas and vapor and light liquid service must be monitored to detect leaks by the method specified in 40 CFR 60.485a(</w:t>
            </w:r>
            <w:proofErr w:type="spellStart"/>
            <w:r>
              <w:t>b</w:t>
            </w:r>
            <w:proofErr w:type="spellEnd"/>
            <w:r>
              <w:t>)</w:t>
            </w:r>
            <w:r w:rsidR="00137A70">
              <w:t xml:space="preserve"> and as applicable, 40 CFR 60.485a(</w:t>
            </w:r>
            <w:proofErr w:type="spellStart"/>
            <w:r w:rsidR="00137A70">
              <w:t>c</w:t>
            </w:r>
            <w:proofErr w:type="spellEnd"/>
            <w:r w:rsidR="00137A70">
              <w:t xml:space="preserve">).  If an instrument reading greater than or equal to 500 </w:t>
            </w:r>
            <w:proofErr w:type="spellStart"/>
            <w:r w:rsidR="00137A70">
              <w:t>ppm</w:t>
            </w:r>
            <w:proofErr w:type="spellEnd"/>
            <w:r w:rsidR="00137A70">
              <w:t xml:space="preserve"> is measured, a leak is detected.  [40 CFR 60.482-</w:t>
            </w:r>
            <w:proofErr w:type="gramStart"/>
            <w:r w:rsidR="00137A70">
              <w:t>11a(</w:t>
            </w:r>
            <w:proofErr w:type="spellStart"/>
            <w:proofErr w:type="gramEnd"/>
            <w:r w:rsidR="00137A70">
              <w:t>b</w:t>
            </w:r>
            <w:proofErr w:type="spellEnd"/>
            <w:r w:rsidR="00137A70">
              <w:t>)(1) and (2)]</w:t>
            </w:r>
          </w:p>
        </w:tc>
      </w:tr>
      <w:tr w:rsidR="001619DE">
        <w:tc>
          <w:tcPr>
            <w:tcW w:w="2880" w:type="dxa"/>
          </w:tcPr>
          <w:p w:rsidR="001619DE" w:rsidRDefault="001619DE"/>
        </w:tc>
        <w:tc>
          <w:tcPr>
            <w:tcW w:w="6624" w:type="dxa"/>
          </w:tcPr>
          <w:p w:rsidR="001619DE" w:rsidRDefault="00137A70" w:rsidP="00577949">
            <w:pPr>
              <w:pStyle w:val="Heading4"/>
              <w:spacing w:before="0"/>
            </w:pPr>
            <w:r>
              <w:t>If 0</w:t>
            </w:r>
            <w:r w:rsidR="0027515B">
              <w:t>.</w:t>
            </w:r>
            <w:r>
              <w:t>5%</w:t>
            </w:r>
            <w:r w:rsidR="0027515B">
              <w:t xml:space="preserve"> or more of the connectors in the process unit were leaking during the previous monitoring, subsequent monitoring must occur within 12 months.  [40 CFR 60.482-</w:t>
            </w:r>
            <w:proofErr w:type="gramStart"/>
            <w:r w:rsidR="0027515B">
              <w:t>11a(</w:t>
            </w:r>
            <w:proofErr w:type="spellStart"/>
            <w:proofErr w:type="gramEnd"/>
            <w:r w:rsidR="0027515B">
              <w:t>b</w:t>
            </w:r>
            <w:proofErr w:type="spellEnd"/>
            <w:r w:rsidR="0027515B">
              <w:t>)(3)(</w:t>
            </w:r>
            <w:proofErr w:type="spellStart"/>
            <w:r w:rsidR="0027515B">
              <w:t>i</w:t>
            </w:r>
            <w:proofErr w:type="spellEnd"/>
            <w:r w:rsidR="0027515B">
              <w:t>)]</w:t>
            </w:r>
          </w:p>
        </w:tc>
      </w:tr>
      <w:tr w:rsidR="001619DE">
        <w:tc>
          <w:tcPr>
            <w:tcW w:w="2880" w:type="dxa"/>
          </w:tcPr>
          <w:p w:rsidR="001619DE" w:rsidRDefault="001619DE"/>
        </w:tc>
        <w:tc>
          <w:tcPr>
            <w:tcW w:w="6624" w:type="dxa"/>
          </w:tcPr>
          <w:p w:rsidR="001619DE" w:rsidRDefault="0027515B" w:rsidP="00577949">
            <w:pPr>
              <w:pStyle w:val="Heading4"/>
              <w:spacing w:before="0"/>
            </w:pPr>
            <w:r>
              <w:t>If less than 0.5% but greater than or equal to 0.25% of the connectors in the process unit were leaking during the previous monitoring, subsequent monitoring must occur within 4 years.  The permittee may comply with this monitoring schedule by monitoring at least 40% of the connectors within 2 years, providing all connectors have been monitored by the end of the 4-year monitoring period.  [40 CFR 60.482-</w:t>
            </w:r>
            <w:proofErr w:type="gramStart"/>
            <w:r>
              <w:t>11a(</w:t>
            </w:r>
            <w:proofErr w:type="spellStart"/>
            <w:proofErr w:type="gramEnd"/>
            <w:r>
              <w:t>b</w:t>
            </w:r>
            <w:proofErr w:type="spellEnd"/>
            <w:r>
              <w:t>)(3)(ii)]</w:t>
            </w:r>
          </w:p>
        </w:tc>
      </w:tr>
      <w:tr w:rsidR="001619DE">
        <w:tc>
          <w:tcPr>
            <w:tcW w:w="2880" w:type="dxa"/>
          </w:tcPr>
          <w:p w:rsidR="001619DE" w:rsidRDefault="001619DE"/>
        </w:tc>
        <w:tc>
          <w:tcPr>
            <w:tcW w:w="6624" w:type="dxa"/>
          </w:tcPr>
          <w:p w:rsidR="0027515B" w:rsidRPr="0027515B" w:rsidRDefault="0027515B" w:rsidP="00DD1A6B">
            <w:pPr>
              <w:pStyle w:val="Heading4"/>
            </w:pPr>
            <w:r>
              <w:t>If less than 0.25% of the connectors in the process unit were leaking during the previous monitoring, the permittee must monitor at least 50% of the connectors within 4 years of the start of the monitoring period.</w:t>
            </w:r>
            <w:r w:rsidR="00BF22D4">
              <w:t xml:space="preserve">  If 0.35% or more of the connectors monitored during the 4-year period are found to leak, the permittee must monitor all connectors that have not yet been monitored as soon as practical, but within the next 6 months.  At the conclusion of the monitoring, a new monitoring period shall be started pursuant to Condition </w:t>
            </w:r>
            <w:r w:rsidR="00605AC6">
              <w:fldChar w:fldCharType="begin"/>
            </w:r>
            <w:r w:rsidR="00DD1A6B">
              <w:instrText xml:space="preserve"> REF _Ref250538433 \r \h </w:instrText>
            </w:r>
            <w:r w:rsidR="00605AC6">
              <w:fldChar w:fldCharType="separate"/>
            </w:r>
            <w:r w:rsidR="00201510">
              <w:t>2.3</w:t>
            </w:r>
            <w:r w:rsidR="00605AC6">
              <w:fldChar w:fldCharType="end"/>
            </w:r>
            <w:r w:rsidR="00DD1A6B">
              <w:t>.</w:t>
            </w:r>
            <w:r w:rsidR="00605AC6">
              <w:fldChar w:fldCharType="begin"/>
            </w:r>
            <w:r w:rsidR="00DD1A6B">
              <w:instrText xml:space="preserve"> REF _Ref250540280 \r \h </w:instrText>
            </w:r>
            <w:r w:rsidR="00605AC6">
              <w:fldChar w:fldCharType="separate"/>
            </w:r>
            <w:proofErr w:type="gramStart"/>
            <w:r w:rsidR="00201510">
              <w:t>h</w:t>
            </w:r>
            <w:proofErr w:type="gramEnd"/>
            <w:r w:rsidR="00605AC6">
              <w:fldChar w:fldCharType="end"/>
            </w:r>
            <w:r w:rsidR="00BF22D4">
              <w:t>, based on the percent of leaking connectors.  If less than 0.35% of the connectors monitored during the 4-year period are found to leak, the permittee must monitor all connectors that have not yet been monitored within 8-years of the start of the monitoring period.  [40 CFR 60.482-</w:t>
            </w:r>
            <w:proofErr w:type="gramStart"/>
            <w:r w:rsidR="00BF22D4">
              <w:t>11a(</w:t>
            </w:r>
            <w:proofErr w:type="spellStart"/>
            <w:proofErr w:type="gramEnd"/>
            <w:r w:rsidR="00BF22D4">
              <w:t>b</w:t>
            </w:r>
            <w:proofErr w:type="spellEnd"/>
            <w:r w:rsidR="00BF22D4">
              <w:t>)(3)(iii)]</w:t>
            </w:r>
          </w:p>
        </w:tc>
      </w:tr>
      <w:tr w:rsidR="001619DE">
        <w:tc>
          <w:tcPr>
            <w:tcW w:w="2880" w:type="dxa"/>
          </w:tcPr>
          <w:p w:rsidR="001619DE" w:rsidRDefault="001619DE"/>
        </w:tc>
        <w:tc>
          <w:tcPr>
            <w:tcW w:w="6624" w:type="dxa"/>
          </w:tcPr>
          <w:p w:rsidR="001619DE" w:rsidRDefault="00D17199" w:rsidP="00D17199">
            <w:pPr>
              <w:pStyle w:val="Heading4"/>
            </w:pPr>
            <w:r>
              <w:t>If, during monitoring, a connector is found to be leaking, it must be monitored once within 90 days of repair to confirm that it is not leaking.  [40 CFR 60.482-</w:t>
            </w:r>
            <w:proofErr w:type="gramStart"/>
            <w:r>
              <w:t>11a(</w:t>
            </w:r>
            <w:proofErr w:type="spellStart"/>
            <w:proofErr w:type="gramEnd"/>
            <w:r>
              <w:t>b</w:t>
            </w:r>
            <w:proofErr w:type="spellEnd"/>
            <w:r>
              <w:t>)(3)(iv)]</w:t>
            </w:r>
          </w:p>
        </w:tc>
      </w:tr>
      <w:tr w:rsidR="001619DE">
        <w:tc>
          <w:tcPr>
            <w:tcW w:w="2880" w:type="dxa"/>
          </w:tcPr>
          <w:p w:rsidR="001619DE" w:rsidRDefault="001619DE"/>
        </w:tc>
        <w:tc>
          <w:tcPr>
            <w:tcW w:w="6624" w:type="dxa"/>
          </w:tcPr>
          <w:p w:rsidR="001619DE" w:rsidRDefault="00D17199" w:rsidP="00D17199">
            <w:pPr>
              <w:pStyle w:val="Heading4"/>
            </w:pPr>
            <w:bookmarkStart w:id="25" w:name="_Ref250973310"/>
            <w:r>
              <w:t>The permittee must keep a record of the start date and end date of each monitoring period.  [40 CFR 60.482-</w:t>
            </w:r>
            <w:proofErr w:type="gramStart"/>
            <w:r>
              <w:t>11a(</w:t>
            </w:r>
            <w:proofErr w:type="spellStart"/>
            <w:proofErr w:type="gramEnd"/>
            <w:r>
              <w:t>b</w:t>
            </w:r>
            <w:proofErr w:type="spellEnd"/>
            <w:r>
              <w:t>)(3)(v)]</w:t>
            </w:r>
            <w:bookmarkEnd w:id="25"/>
          </w:p>
        </w:tc>
      </w:tr>
      <w:tr w:rsidR="001619DE">
        <w:tc>
          <w:tcPr>
            <w:tcW w:w="2880" w:type="dxa"/>
          </w:tcPr>
          <w:p w:rsidR="001619DE" w:rsidRDefault="001619DE"/>
        </w:tc>
        <w:tc>
          <w:tcPr>
            <w:tcW w:w="6624" w:type="dxa"/>
          </w:tcPr>
          <w:p w:rsidR="001619DE" w:rsidRDefault="00D17199" w:rsidP="00DD1A6B">
            <w:pPr>
              <w:pStyle w:val="Heading4"/>
            </w:pPr>
            <w:bookmarkStart w:id="26" w:name="_Ref250541859"/>
            <w:r>
              <w:t xml:space="preserve">When a leak is detected it must be repaired as soon as practicable, but not later than 15 calendar days after it is detected, except as provided in Condition </w:t>
            </w:r>
            <w:r w:rsidR="00605AC6">
              <w:fldChar w:fldCharType="begin"/>
            </w:r>
            <w:r w:rsidR="00DD1A6B">
              <w:instrText xml:space="preserve"> REF _Ref250538433 \r \h </w:instrText>
            </w:r>
            <w:r w:rsidR="00605AC6">
              <w:fldChar w:fldCharType="separate"/>
            </w:r>
            <w:r w:rsidR="00201510">
              <w:t>2.3</w:t>
            </w:r>
            <w:r w:rsidR="00605AC6">
              <w:fldChar w:fldCharType="end"/>
            </w:r>
            <w:r w:rsidR="00605AC6">
              <w:fldChar w:fldCharType="begin"/>
            </w:r>
            <w:r w:rsidR="00DD1A6B">
              <w:instrText xml:space="preserve"> REF _Ref250729641 \r \h </w:instrText>
            </w:r>
            <w:r w:rsidR="00605AC6">
              <w:fldChar w:fldCharType="separate"/>
            </w:r>
            <w:r w:rsidR="00201510">
              <w:t>g</w:t>
            </w:r>
            <w:r w:rsidR="00605AC6">
              <w:fldChar w:fldCharType="end"/>
            </w:r>
            <w:r>
              <w:t>.  A first attempt at repair must be made no later than 5 calendar days after detection.  [40 CFR 60.482-11a(</w:t>
            </w:r>
            <w:proofErr w:type="spellStart"/>
            <w:r>
              <w:t>c</w:t>
            </w:r>
            <w:proofErr w:type="spellEnd"/>
            <w:r>
              <w:t>)]</w:t>
            </w:r>
            <w:bookmarkEnd w:id="26"/>
          </w:p>
        </w:tc>
      </w:tr>
      <w:tr w:rsidR="001619DE">
        <w:tc>
          <w:tcPr>
            <w:tcW w:w="2880" w:type="dxa"/>
          </w:tcPr>
          <w:p w:rsidR="001619DE" w:rsidRDefault="001619DE"/>
        </w:tc>
        <w:tc>
          <w:tcPr>
            <w:tcW w:w="6624" w:type="dxa"/>
          </w:tcPr>
          <w:p w:rsidR="001619DE" w:rsidRDefault="00D17199" w:rsidP="00D17199">
            <w:pPr>
              <w:pStyle w:val="Heading4"/>
            </w:pPr>
            <w:r>
              <w:t>Any connector that is designated unsafe to monitor is exempt from the requirements of this Condition if the permittee demonstrates that the connector is unsafe to monitor because monitoring personnel would be exposed to an immediate danger as a consequence of monitoring, and the permittee has a written plan that requires monitoring of the connector as frequently as practicable during safe to monitor times, but not more frequently than the periodic monitoring schedule otherwise applicable</w:t>
            </w:r>
            <w:r w:rsidR="00AF367E">
              <w:t>, and repair of the connector as required in this condition</w:t>
            </w:r>
            <w:r>
              <w:t>.</w:t>
            </w:r>
            <w:r w:rsidR="00AF367E">
              <w:t xml:space="preserve">  [40 CFR 60.482-</w:t>
            </w:r>
            <w:proofErr w:type="gramStart"/>
            <w:r w:rsidR="00AF367E">
              <w:t>11a(</w:t>
            </w:r>
            <w:proofErr w:type="spellStart"/>
            <w:proofErr w:type="gramEnd"/>
            <w:r w:rsidR="00AF367E">
              <w:t>e</w:t>
            </w:r>
            <w:proofErr w:type="spellEnd"/>
            <w:r w:rsidR="00AF367E">
              <w:t>)]</w:t>
            </w:r>
          </w:p>
          <w:p w:rsidR="005C7A7F" w:rsidRPr="005C7A7F" w:rsidRDefault="005C7A7F" w:rsidP="005C7A7F"/>
        </w:tc>
      </w:tr>
      <w:tr w:rsidR="001619DE">
        <w:tc>
          <w:tcPr>
            <w:tcW w:w="2880" w:type="dxa"/>
          </w:tcPr>
          <w:p w:rsidR="001619DE" w:rsidRDefault="001619DE"/>
        </w:tc>
        <w:tc>
          <w:tcPr>
            <w:tcW w:w="6624" w:type="dxa"/>
          </w:tcPr>
          <w:p w:rsidR="001619DE" w:rsidRDefault="00AF367E" w:rsidP="00AF367E">
            <w:pPr>
              <w:pStyle w:val="Heading4"/>
            </w:pPr>
            <w:r>
              <w:t>Any connector that is inaccessible or is ceramic or ceramic lined is exempt from the monitoring, leak repair, recordkeeping and reporting requirements of this condition.  However, if any inaccessible, ceramic, or ceramic lined connector is observed by visual, audible, olfactory, or other means to be leaking, the indications of leak shall be eliminated as soon as practicable.  [40 CFR 60.482-</w:t>
            </w:r>
            <w:proofErr w:type="gramStart"/>
            <w:r>
              <w:t>11a(</w:t>
            </w:r>
            <w:proofErr w:type="gramEnd"/>
            <w:r>
              <w:t>f)]</w:t>
            </w:r>
          </w:p>
        </w:tc>
      </w:tr>
      <w:tr w:rsidR="001619DE" w:rsidTr="00922930">
        <w:trPr>
          <w:cantSplit/>
        </w:trPr>
        <w:tc>
          <w:tcPr>
            <w:tcW w:w="2880" w:type="dxa"/>
          </w:tcPr>
          <w:p w:rsidR="001619DE" w:rsidRDefault="001619DE" w:rsidP="00812640"/>
        </w:tc>
        <w:tc>
          <w:tcPr>
            <w:tcW w:w="6624" w:type="dxa"/>
          </w:tcPr>
          <w:p w:rsidR="001619DE" w:rsidRDefault="00007CE6" w:rsidP="00812640">
            <w:pPr>
              <w:pStyle w:val="Heading3"/>
              <w:spacing w:before="0"/>
            </w:pPr>
            <w:r>
              <w:t>Test methods and procedures are specified in 40 CFR 60.485a.</w:t>
            </w:r>
          </w:p>
        </w:tc>
      </w:tr>
      <w:tr w:rsidR="001619DE">
        <w:tc>
          <w:tcPr>
            <w:tcW w:w="2880" w:type="dxa"/>
          </w:tcPr>
          <w:p w:rsidR="001619DE" w:rsidRDefault="004219C5" w:rsidP="00812640">
            <w:pPr>
              <w:pStyle w:val="Heading2"/>
              <w:spacing w:before="0"/>
            </w:pPr>
            <w:r>
              <w:t>VOC Emissions from Distillation Operations – NSPS Subpart NNN</w:t>
            </w:r>
          </w:p>
        </w:tc>
        <w:tc>
          <w:tcPr>
            <w:tcW w:w="6624" w:type="dxa"/>
          </w:tcPr>
          <w:p w:rsidR="001619DE" w:rsidRDefault="004219C5" w:rsidP="00812640">
            <w:r>
              <w:t xml:space="preserve">The permittee must comply with all applicable provisions and standards of 40 CFR 60, Subpart NNN.  (Refer to 40 CFR Part 60, Subpart NNN and/or Subpart A for definitions of terminology.  This condition summarizes the applicable requirements of Subpart NNN, but is not intended to </w:t>
            </w:r>
            <w:r w:rsidR="00922930">
              <w:t>supersede</w:t>
            </w:r>
            <w:r>
              <w:t xml:space="preserve"> the subpart.)</w:t>
            </w:r>
          </w:p>
        </w:tc>
      </w:tr>
      <w:tr w:rsidR="001619DE">
        <w:tc>
          <w:tcPr>
            <w:tcW w:w="2880" w:type="dxa"/>
          </w:tcPr>
          <w:p w:rsidR="001619DE" w:rsidRDefault="001619DE" w:rsidP="00812640"/>
        </w:tc>
        <w:tc>
          <w:tcPr>
            <w:tcW w:w="6624" w:type="dxa"/>
          </w:tcPr>
          <w:p w:rsidR="001619DE" w:rsidRDefault="00D729D6" w:rsidP="00812640">
            <w:pPr>
              <w:pStyle w:val="Heading3"/>
              <w:spacing w:before="0"/>
            </w:pPr>
            <w:r>
              <w:t xml:space="preserve">Within 60 days of achieving the maximum production rate, but no later than 180 days after initial startup the permittee must </w:t>
            </w:r>
            <w:r w:rsidR="00D561B6">
              <w:t>combust all emissions from distillation vent streams in a flare that meets the requirements of 40 CFR 60.18.  [40 CFR 60.662(</w:t>
            </w:r>
            <w:proofErr w:type="spellStart"/>
            <w:r w:rsidR="00D561B6">
              <w:t>b</w:t>
            </w:r>
            <w:proofErr w:type="spellEnd"/>
            <w:r w:rsidR="00D561B6">
              <w:t>)]</w:t>
            </w:r>
          </w:p>
        </w:tc>
      </w:tr>
      <w:tr w:rsidR="001619DE">
        <w:tc>
          <w:tcPr>
            <w:tcW w:w="2880" w:type="dxa"/>
          </w:tcPr>
          <w:p w:rsidR="001619DE" w:rsidRDefault="001619DE" w:rsidP="00812640"/>
        </w:tc>
        <w:tc>
          <w:tcPr>
            <w:tcW w:w="6624" w:type="dxa"/>
          </w:tcPr>
          <w:p w:rsidR="001619DE" w:rsidRDefault="00D561B6" w:rsidP="00812640">
            <w:pPr>
              <w:pStyle w:val="Heading3"/>
              <w:spacing w:before="0"/>
            </w:pPr>
            <w:r>
              <w:t>The permittee must install, calibrate, maintain and operate according to manufacturer’s specifications the following equipment:  [40 CFR 60.663(</w:t>
            </w:r>
            <w:proofErr w:type="spellStart"/>
            <w:r>
              <w:t>b</w:t>
            </w:r>
            <w:proofErr w:type="spellEnd"/>
            <w:r>
              <w:t>)]</w:t>
            </w:r>
          </w:p>
        </w:tc>
      </w:tr>
      <w:tr w:rsidR="001619DE">
        <w:tc>
          <w:tcPr>
            <w:tcW w:w="2880" w:type="dxa"/>
          </w:tcPr>
          <w:p w:rsidR="001619DE" w:rsidRDefault="001619DE" w:rsidP="00812640"/>
        </w:tc>
        <w:tc>
          <w:tcPr>
            <w:tcW w:w="6624" w:type="dxa"/>
          </w:tcPr>
          <w:p w:rsidR="001619DE" w:rsidRDefault="00D561B6" w:rsidP="00812640">
            <w:pPr>
              <w:pStyle w:val="Heading4"/>
              <w:spacing w:before="0"/>
            </w:pPr>
            <w:bookmarkStart w:id="27" w:name="_Ref250973412"/>
            <w:r>
              <w:t>A heat sensing device at the pilot light to indicate the continuous presence of a flame;</w:t>
            </w:r>
            <w:bookmarkEnd w:id="27"/>
          </w:p>
        </w:tc>
      </w:tr>
      <w:tr w:rsidR="001619DE">
        <w:tc>
          <w:tcPr>
            <w:tcW w:w="2880" w:type="dxa"/>
          </w:tcPr>
          <w:p w:rsidR="001619DE" w:rsidRDefault="001619DE" w:rsidP="00812640"/>
        </w:tc>
        <w:tc>
          <w:tcPr>
            <w:tcW w:w="6624" w:type="dxa"/>
          </w:tcPr>
          <w:p w:rsidR="001619DE" w:rsidRDefault="00D561B6" w:rsidP="00812640">
            <w:pPr>
              <w:pStyle w:val="Heading4"/>
              <w:spacing w:before="0"/>
            </w:pPr>
            <w:bookmarkStart w:id="28" w:name="_Ref250973391"/>
            <w:proofErr w:type="gramStart"/>
            <w:r>
              <w:t>A flow indicator that provides a record of vent stream flow to the flare at least once every hour</w:t>
            </w:r>
            <w:r w:rsidR="00353D4D">
              <w:t>.</w:t>
            </w:r>
            <w:proofErr w:type="gramEnd"/>
            <w:r w:rsidR="00353D4D">
              <w:t xml:space="preserve">  The flow indicator shall be installed in the vent stream at a point closest to the flare and before being joined with any other vent stream.</w:t>
            </w:r>
            <w:bookmarkEnd w:id="28"/>
          </w:p>
        </w:tc>
      </w:tr>
      <w:tr w:rsidR="001619DE">
        <w:tc>
          <w:tcPr>
            <w:tcW w:w="2880" w:type="dxa"/>
          </w:tcPr>
          <w:p w:rsidR="001619DE" w:rsidRDefault="001619DE" w:rsidP="00812640"/>
        </w:tc>
        <w:tc>
          <w:tcPr>
            <w:tcW w:w="6624" w:type="dxa"/>
          </w:tcPr>
          <w:p w:rsidR="001619DE" w:rsidRDefault="00F103D2" w:rsidP="00812640">
            <w:pPr>
              <w:pStyle w:val="Heading3"/>
              <w:spacing w:before="0"/>
            </w:pPr>
            <w:r>
              <w:t xml:space="preserve">The test methods listed in </w:t>
            </w:r>
            <w:r w:rsidR="00353D4D">
              <w:t>40 CFR 664(</w:t>
            </w:r>
            <w:proofErr w:type="spellStart"/>
            <w:r>
              <w:t>e</w:t>
            </w:r>
            <w:proofErr w:type="spellEnd"/>
            <w:r w:rsidR="00353D4D">
              <w:t>)</w:t>
            </w:r>
            <w:r>
              <w:t xml:space="preserve"> must be used to determine the net heating value of the gas combusted in the flare.</w:t>
            </w:r>
          </w:p>
        </w:tc>
      </w:tr>
      <w:tr w:rsidR="001619DE">
        <w:tc>
          <w:tcPr>
            <w:tcW w:w="2880" w:type="dxa"/>
          </w:tcPr>
          <w:p w:rsidR="001619DE" w:rsidRDefault="001619DE" w:rsidP="00812640"/>
        </w:tc>
        <w:tc>
          <w:tcPr>
            <w:tcW w:w="6624" w:type="dxa"/>
          </w:tcPr>
          <w:p w:rsidR="001619DE" w:rsidRDefault="0038537B" w:rsidP="00812640">
            <w:pPr>
              <w:pStyle w:val="Heading3"/>
              <w:spacing w:before="0"/>
            </w:pPr>
            <w:bookmarkStart w:id="29" w:name="_Ref250542858"/>
            <w:r>
              <w:t>The permittee must notify the Department of the specific provisions of 40 CFR 60.662 with which the permittee has elected to comply.  Notification must be submitted with the notification of initial startup required by 40 CFR 60.7(a</w:t>
            </w:r>
            <w:proofErr w:type="gramStart"/>
            <w:r>
              <w:t>)(</w:t>
            </w:r>
            <w:proofErr w:type="gramEnd"/>
            <w:r>
              <w:t>3).  If the permittee elects at a later date to use an alternate provision of 40 CFR 60.662, then the permittee must notify the Department 90 days before implementing the change.  A performance test must be performed as specified by 40 CFR 60.664 within 180 days of making the change.  [40 CFR 60.665(a)]</w:t>
            </w:r>
            <w:bookmarkEnd w:id="29"/>
          </w:p>
        </w:tc>
      </w:tr>
      <w:tr w:rsidR="001619DE">
        <w:tc>
          <w:tcPr>
            <w:tcW w:w="2880" w:type="dxa"/>
          </w:tcPr>
          <w:p w:rsidR="001619DE" w:rsidRDefault="001619DE"/>
        </w:tc>
        <w:tc>
          <w:tcPr>
            <w:tcW w:w="6624" w:type="dxa"/>
          </w:tcPr>
          <w:p w:rsidR="001619DE" w:rsidRDefault="00E9216B" w:rsidP="00E9216B">
            <w:pPr>
              <w:pStyle w:val="Heading3"/>
            </w:pPr>
            <w:r>
              <w:t>The permittee is exempt from the quarterly reporting requirements in 40 CFR 60.7 for the distillation column vents.  [40 CFR 60.665(k)]</w:t>
            </w:r>
          </w:p>
        </w:tc>
      </w:tr>
      <w:tr w:rsidR="00E9216B" w:rsidTr="00922930">
        <w:trPr>
          <w:cantSplit/>
        </w:trPr>
        <w:tc>
          <w:tcPr>
            <w:tcW w:w="2880" w:type="dxa"/>
          </w:tcPr>
          <w:p w:rsidR="00E9216B" w:rsidRDefault="005A20A7" w:rsidP="005A20A7">
            <w:pPr>
              <w:pStyle w:val="Heading2"/>
            </w:pPr>
            <w:r>
              <w:t>VOC Emissions from Reactor Processes – NSPS Subpart RRR</w:t>
            </w:r>
          </w:p>
        </w:tc>
        <w:tc>
          <w:tcPr>
            <w:tcW w:w="6624" w:type="dxa"/>
          </w:tcPr>
          <w:p w:rsidR="00E9216B" w:rsidRDefault="005A20A7" w:rsidP="005A20A7">
            <w:r>
              <w:t xml:space="preserve">The permittee must comply with all applicable provisions and standards of 40 CFR 60, Subpart RRR.  (Refer to 40 CFR Part 60, Subpart RRR and/or Subpart A for definitions of terminology.  This condition summarizes the applicable requirements of Subpart RRR, but is not intended to </w:t>
            </w:r>
            <w:r w:rsidR="00922930">
              <w:t>supersede</w:t>
            </w:r>
            <w:r>
              <w:t xml:space="preserve"> the subpart.)</w:t>
            </w:r>
          </w:p>
        </w:tc>
      </w:tr>
      <w:tr w:rsidR="00E9216B">
        <w:tc>
          <w:tcPr>
            <w:tcW w:w="2880" w:type="dxa"/>
          </w:tcPr>
          <w:p w:rsidR="00E9216B" w:rsidRDefault="00E9216B"/>
        </w:tc>
        <w:tc>
          <w:tcPr>
            <w:tcW w:w="6624" w:type="dxa"/>
          </w:tcPr>
          <w:p w:rsidR="00E9216B" w:rsidRDefault="005A20A7" w:rsidP="005A20A7">
            <w:pPr>
              <w:pStyle w:val="Heading3"/>
            </w:pPr>
            <w:r>
              <w:t>Within 60 days of achieving the maximum production rate, but no later than 180 days after initial startup the permittee must combust all emissions from reactor process vent streams in a flare that meets the requirements of 40 CFR 60.18.  [40 CFR 60.702(</w:t>
            </w:r>
            <w:proofErr w:type="spellStart"/>
            <w:r>
              <w:t>b</w:t>
            </w:r>
            <w:proofErr w:type="spellEnd"/>
            <w:r>
              <w:t>)]</w:t>
            </w:r>
          </w:p>
        </w:tc>
      </w:tr>
      <w:tr w:rsidR="00E9216B">
        <w:tc>
          <w:tcPr>
            <w:tcW w:w="2880" w:type="dxa"/>
          </w:tcPr>
          <w:p w:rsidR="00E9216B" w:rsidRDefault="00E9216B"/>
        </w:tc>
        <w:tc>
          <w:tcPr>
            <w:tcW w:w="6624" w:type="dxa"/>
          </w:tcPr>
          <w:p w:rsidR="00E9216B" w:rsidRDefault="005A20A7" w:rsidP="005A20A7">
            <w:pPr>
              <w:pStyle w:val="Heading3"/>
            </w:pPr>
            <w:r>
              <w:t>The permittee must install, calibrate, maintain and operate according to manufacturer’s specifications the following equipment:  [40 CFR 60.703(</w:t>
            </w:r>
            <w:proofErr w:type="spellStart"/>
            <w:r>
              <w:t>b</w:t>
            </w:r>
            <w:proofErr w:type="spellEnd"/>
            <w:r>
              <w:t>)]</w:t>
            </w:r>
          </w:p>
        </w:tc>
      </w:tr>
      <w:tr w:rsidR="00E9216B">
        <w:tc>
          <w:tcPr>
            <w:tcW w:w="2880" w:type="dxa"/>
          </w:tcPr>
          <w:p w:rsidR="00E9216B" w:rsidRDefault="00E9216B"/>
        </w:tc>
        <w:tc>
          <w:tcPr>
            <w:tcW w:w="6624" w:type="dxa"/>
          </w:tcPr>
          <w:p w:rsidR="00E9216B" w:rsidRDefault="005A20A7" w:rsidP="005A20A7">
            <w:pPr>
              <w:pStyle w:val="Heading4"/>
            </w:pPr>
            <w:bookmarkStart w:id="30" w:name="_Ref250973458"/>
            <w:r>
              <w:t>A heat sensing device at the pilot light to indicate the continuous presence of a flame;</w:t>
            </w:r>
            <w:bookmarkEnd w:id="30"/>
          </w:p>
        </w:tc>
      </w:tr>
      <w:tr w:rsidR="00E9216B">
        <w:tc>
          <w:tcPr>
            <w:tcW w:w="2880" w:type="dxa"/>
          </w:tcPr>
          <w:p w:rsidR="00E9216B" w:rsidRDefault="00E9216B"/>
        </w:tc>
        <w:tc>
          <w:tcPr>
            <w:tcW w:w="6624" w:type="dxa"/>
          </w:tcPr>
          <w:p w:rsidR="00E9216B" w:rsidRDefault="00CD0D78" w:rsidP="00CD0D78">
            <w:pPr>
              <w:pStyle w:val="Heading4"/>
            </w:pPr>
            <w:bookmarkStart w:id="31" w:name="_Ref250973440"/>
            <w:r>
              <w:t>A flow indicator that provides a record of vent stream flow diverted from the flare at least once every 15 minutes.  The flow indicator shall be installed at the entrance to any bypass line that could divert the vent stream from being routed to the flare, resulting in emissions to the atmosphere.  Where the bypass line is secured in the closed position with a car-seal or lock-and-key type configuration, a flow indicator is not required.  A visual inspection of the seal or closure mechanism must be performed at least once every month to ensure the valve is maintained in the closed position and the vent stream is not diverted through the bypass line.</w:t>
            </w:r>
            <w:bookmarkEnd w:id="31"/>
          </w:p>
        </w:tc>
      </w:tr>
      <w:tr w:rsidR="00E9216B">
        <w:tc>
          <w:tcPr>
            <w:tcW w:w="2880" w:type="dxa"/>
          </w:tcPr>
          <w:p w:rsidR="00E9216B" w:rsidRDefault="00E9216B"/>
        </w:tc>
        <w:tc>
          <w:tcPr>
            <w:tcW w:w="6624" w:type="dxa"/>
          </w:tcPr>
          <w:p w:rsidR="00E9216B" w:rsidRDefault="00CD0D78" w:rsidP="00257E77">
            <w:pPr>
              <w:pStyle w:val="Heading3"/>
            </w:pPr>
            <w:r>
              <w:t xml:space="preserve">The test methods listed in 40 CFR </w:t>
            </w:r>
            <w:r w:rsidR="00257E77">
              <w:t>70</w:t>
            </w:r>
            <w:r>
              <w:t>4(</w:t>
            </w:r>
            <w:proofErr w:type="spellStart"/>
            <w:r w:rsidR="00257E77">
              <w:t>d</w:t>
            </w:r>
            <w:proofErr w:type="spellEnd"/>
            <w:r>
              <w:t>) must be used to determine the net heating value of the gas combusted in the flare.</w:t>
            </w:r>
          </w:p>
        </w:tc>
      </w:tr>
      <w:tr w:rsidR="00E9216B">
        <w:tc>
          <w:tcPr>
            <w:tcW w:w="2880" w:type="dxa"/>
          </w:tcPr>
          <w:p w:rsidR="00E9216B" w:rsidRDefault="00E9216B"/>
        </w:tc>
        <w:tc>
          <w:tcPr>
            <w:tcW w:w="6624" w:type="dxa"/>
          </w:tcPr>
          <w:p w:rsidR="00E9216B" w:rsidRDefault="00257E77" w:rsidP="00257E77">
            <w:pPr>
              <w:pStyle w:val="Heading3"/>
            </w:pPr>
            <w:bookmarkStart w:id="32" w:name="_Ref250547334"/>
            <w:r>
              <w:t>The permittee must notify the Department of the specific provisions of 40 CFR 60.702 with which the permittee has elected to comply.  Notification must be submitted with the notification of initial startup required by 40 CFR 60.7(a</w:t>
            </w:r>
            <w:proofErr w:type="gramStart"/>
            <w:r>
              <w:t>)(</w:t>
            </w:r>
            <w:proofErr w:type="gramEnd"/>
            <w:r>
              <w:t>3).  If the permittee elects at a later date to use an alternate provision of 40 CFR 60.702, then the permittee must notify the Department 90 days before implementing the change.  A performance test must be performed as specified by 40 CFR 60.664 within 180 days of making the change.  [40 CFR 60.705(a)]</w:t>
            </w:r>
            <w:bookmarkEnd w:id="32"/>
          </w:p>
        </w:tc>
      </w:tr>
      <w:tr w:rsidR="00E9216B">
        <w:tc>
          <w:tcPr>
            <w:tcW w:w="2880" w:type="dxa"/>
          </w:tcPr>
          <w:p w:rsidR="00E9216B" w:rsidRDefault="00E9216B"/>
        </w:tc>
        <w:tc>
          <w:tcPr>
            <w:tcW w:w="6624" w:type="dxa"/>
          </w:tcPr>
          <w:p w:rsidR="00E9216B" w:rsidRDefault="00A47669" w:rsidP="00A47669">
            <w:pPr>
              <w:pStyle w:val="Heading3"/>
            </w:pPr>
            <w:r>
              <w:t>The permittee is exempt from the quarterly reporting requirements in 40 CFR 60.7(</w:t>
            </w:r>
            <w:proofErr w:type="spellStart"/>
            <w:r>
              <w:t>c</w:t>
            </w:r>
            <w:proofErr w:type="spellEnd"/>
            <w:r>
              <w:t>) for the reactor process vents.  [40 CFR 60.705(k)]</w:t>
            </w:r>
          </w:p>
        </w:tc>
      </w:tr>
    </w:tbl>
    <w:p w:rsidR="00986586" w:rsidRDefault="00986586"/>
    <w:p w:rsidR="00986586" w:rsidRDefault="00986586"/>
    <w:p w:rsidR="00986586" w:rsidRDefault="00986586">
      <w:pPr>
        <w:pStyle w:val="Heading1"/>
      </w:pPr>
      <w:bookmarkStart w:id="33" w:name="_Toc481295399"/>
      <w:bookmarkStart w:id="34" w:name="_Toc253664545"/>
      <w:r>
        <w:t>plant site emission limits</w:t>
      </w:r>
      <w:bookmarkEnd w:id="33"/>
      <w:bookmarkEnd w:id="34"/>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160"/>
        <w:gridCol w:w="2160"/>
        <w:gridCol w:w="2304"/>
      </w:tblGrid>
      <w:tr w:rsidR="00986586">
        <w:trPr>
          <w:cantSplit/>
        </w:trPr>
        <w:tc>
          <w:tcPr>
            <w:tcW w:w="2880" w:type="dxa"/>
            <w:vMerge w:val="restart"/>
            <w:tcBorders>
              <w:top w:val="nil"/>
              <w:left w:val="nil"/>
              <w:bottom w:val="nil"/>
              <w:right w:val="nil"/>
            </w:tcBorders>
          </w:tcPr>
          <w:p w:rsidR="00986586" w:rsidRDefault="00986586">
            <w:pPr>
              <w:pStyle w:val="Heading2"/>
            </w:pPr>
            <w:r>
              <w:t>Plant Site Emission Limits (PSEL)</w:t>
            </w:r>
          </w:p>
        </w:tc>
        <w:tc>
          <w:tcPr>
            <w:tcW w:w="6624" w:type="dxa"/>
            <w:gridSpan w:val="3"/>
            <w:tcBorders>
              <w:top w:val="nil"/>
              <w:left w:val="nil"/>
              <w:bottom w:val="nil"/>
              <w:right w:val="nil"/>
            </w:tcBorders>
          </w:tcPr>
          <w:p w:rsidR="00986586" w:rsidRDefault="00986586">
            <w:pPr>
              <w:pStyle w:val="Bodytext"/>
            </w:pPr>
            <w:r>
              <w:t>Plant site emissions must not exceed the following:</w:t>
            </w:r>
          </w:p>
        </w:tc>
      </w:tr>
      <w:tr w:rsidR="00986586" w:rsidTr="004F588A">
        <w:trPr>
          <w:cantSplit/>
        </w:trPr>
        <w:tc>
          <w:tcPr>
            <w:tcW w:w="2880" w:type="dxa"/>
            <w:vMerge/>
            <w:tcBorders>
              <w:left w:val="nil"/>
              <w:bottom w:val="nil"/>
              <w:right w:val="single" w:sz="4" w:space="0" w:color="auto"/>
            </w:tcBorders>
          </w:tcPr>
          <w:p w:rsidR="00986586" w:rsidRDefault="00986586"/>
        </w:tc>
        <w:tc>
          <w:tcPr>
            <w:tcW w:w="2160" w:type="dxa"/>
            <w:tcBorders>
              <w:top w:val="single" w:sz="4" w:space="0" w:color="auto"/>
              <w:left w:val="nil"/>
              <w:bottom w:val="single" w:sz="4" w:space="0" w:color="auto"/>
            </w:tcBorders>
            <w:vAlign w:val="center"/>
          </w:tcPr>
          <w:p w:rsidR="00986586" w:rsidRDefault="00986586" w:rsidP="004F588A">
            <w:pPr>
              <w:spacing w:before="60" w:after="60"/>
              <w:jc w:val="center"/>
              <w:rPr>
                <w:b/>
              </w:rPr>
            </w:pPr>
            <w:r>
              <w:rPr>
                <w:b/>
              </w:rPr>
              <w:t>Pollutant</w:t>
            </w:r>
          </w:p>
        </w:tc>
        <w:tc>
          <w:tcPr>
            <w:tcW w:w="2160" w:type="dxa"/>
            <w:tcBorders>
              <w:top w:val="single" w:sz="4" w:space="0" w:color="auto"/>
              <w:bottom w:val="single" w:sz="4" w:space="0" w:color="auto"/>
            </w:tcBorders>
            <w:vAlign w:val="center"/>
          </w:tcPr>
          <w:p w:rsidR="00986586" w:rsidRDefault="00986586" w:rsidP="004F588A">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vAlign w:val="center"/>
          </w:tcPr>
          <w:p w:rsidR="00986586" w:rsidRDefault="00986586" w:rsidP="004F588A">
            <w:pPr>
              <w:pStyle w:val="Header"/>
              <w:tabs>
                <w:tab w:val="clear" w:pos="4320"/>
                <w:tab w:val="clear" w:pos="8640"/>
              </w:tabs>
              <w:spacing w:before="60" w:after="60"/>
              <w:jc w:val="center"/>
              <w:rPr>
                <w:b/>
              </w:rPr>
            </w:pPr>
            <w:r>
              <w:rPr>
                <w:b/>
              </w:rPr>
              <w:t>Units</w:t>
            </w:r>
          </w:p>
        </w:tc>
      </w:tr>
      <w:tr w:rsidR="00986586" w:rsidTr="006A4A4B">
        <w:trPr>
          <w:cantSplit/>
        </w:trPr>
        <w:tc>
          <w:tcPr>
            <w:tcW w:w="2880" w:type="dxa"/>
            <w:vMerge/>
            <w:tcBorders>
              <w:left w:val="nil"/>
              <w:bottom w:val="nil"/>
              <w:right w:val="single" w:sz="4" w:space="0" w:color="auto"/>
            </w:tcBorders>
          </w:tcPr>
          <w:p w:rsidR="00986586" w:rsidRDefault="00986586"/>
        </w:tc>
        <w:tc>
          <w:tcPr>
            <w:tcW w:w="2160" w:type="dxa"/>
            <w:tcBorders>
              <w:top w:val="nil"/>
              <w:left w:val="nil"/>
            </w:tcBorders>
            <w:vAlign w:val="center"/>
          </w:tcPr>
          <w:p w:rsidR="00986586" w:rsidRDefault="00986586" w:rsidP="004F588A">
            <w:pPr>
              <w:spacing w:before="60" w:after="60"/>
              <w:jc w:val="center"/>
            </w:pPr>
            <w:r>
              <w:t>PM</w:t>
            </w:r>
          </w:p>
        </w:tc>
        <w:tc>
          <w:tcPr>
            <w:tcW w:w="2160" w:type="dxa"/>
            <w:tcBorders>
              <w:top w:val="nil"/>
            </w:tcBorders>
            <w:vAlign w:val="center"/>
          </w:tcPr>
          <w:p w:rsidR="00986586" w:rsidRDefault="00986586" w:rsidP="006A4A4B">
            <w:pPr>
              <w:pStyle w:val="Header"/>
              <w:tabs>
                <w:tab w:val="clear" w:pos="4320"/>
                <w:tab w:val="clear" w:pos="8640"/>
                <w:tab w:val="decimal" w:pos="0"/>
              </w:tabs>
              <w:spacing w:before="60" w:after="60"/>
              <w:jc w:val="center"/>
            </w:pPr>
            <w:r>
              <w:t>24</w:t>
            </w:r>
          </w:p>
        </w:tc>
        <w:tc>
          <w:tcPr>
            <w:tcW w:w="2304" w:type="dxa"/>
            <w:tcBorders>
              <w:top w:val="single" w:sz="4" w:space="0" w:color="auto"/>
              <w:right w:val="single" w:sz="4" w:space="0" w:color="auto"/>
            </w:tcBorders>
            <w:vAlign w:val="center"/>
          </w:tcPr>
          <w:p w:rsidR="00986586" w:rsidRDefault="00986586" w:rsidP="004F588A">
            <w:pPr>
              <w:pStyle w:val="Header"/>
              <w:tabs>
                <w:tab w:val="clear" w:pos="4320"/>
                <w:tab w:val="clear" w:pos="8640"/>
              </w:tabs>
              <w:spacing w:before="60" w:after="60"/>
              <w:jc w:val="center"/>
            </w:pPr>
            <w:r>
              <w:t>tons per year</w:t>
            </w:r>
          </w:p>
        </w:tc>
      </w:tr>
      <w:tr w:rsidR="00986586" w:rsidTr="006A4A4B">
        <w:trPr>
          <w:cantSplit/>
        </w:trPr>
        <w:tc>
          <w:tcPr>
            <w:tcW w:w="2880" w:type="dxa"/>
            <w:vMerge/>
            <w:tcBorders>
              <w:left w:val="nil"/>
              <w:bottom w:val="nil"/>
              <w:right w:val="single" w:sz="4" w:space="0" w:color="auto"/>
            </w:tcBorders>
          </w:tcPr>
          <w:p w:rsidR="00986586" w:rsidRDefault="00986586"/>
        </w:tc>
        <w:tc>
          <w:tcPr>
            <w:tcW w:w="2160" w:type="dxa"/>
            <w:tcBorders>
              <w:left w:val="nil"/>
            </w:tcBorders>
            <w:vAlign w:val="center"/>
          </w:tcPr>
          <w:p w:rsidR="00986586" w:rsidRDefault="00986586" w:rsidP="004F588A">
            <w:pPr>
              <w:spacing w:before="60" w:after="60"/>
              <w:jc w:val="center"/>
              <w:rPr>
                <w:vertAlign w:val="subscript"/>
              </w:rPr>
            </w:pPr>
            <w:r>
              <w:t>PM</w:t>
            </w:r>
            <w:r>
              <w:rPr>
                <w:vertAlign w:val="subscript"/>
              </w:rPr>
              <w:t>10</w:t>
            </w:r>
          </w:p>
        </w:tc>
        <w:tc>
          <w:tcPr>
            <w:tcW w:w="2160" w:type="dxa"/>
            <w:vAlign w:val="center"/>
          </w:tcPr>
          <w:p w:rsidR="00986586" w:rsidRDefault="00986586" w:rsidP="006A4A4B">
            <w:pPr>
              <w:tabs>
                <w:tab w:val="decimal" w:pos="0"/>
              </w:tabs>
              <w:spacing w:before="60" w:after="60"/>
              <w:jc w:val="center"/>
            </w:pPr>
            <w:r>
              <w:t>14</w:t>
            </w:r>
          </w:p>
        </w:tc>
        <w:tc>
          <w:tcPr>
            <w:tcW w:w="2304" w:type="dxa"/>
            <w:tcBorders>
              <w:right w:val="single" w:sz="4" w:space="0" w:color="auto"/>
            </w:tcBorders>
            <w:vAlign w:val="center"/>
          </w:tcPr>
          <w:p w:rsidR="00986586" w:rsidRDefault="00986586" w:rsidP="004F588A">
            <w:pPr>
              <w:pStyle w:val="Header"/>
              <w:tabs>
                <w:tab w:val="clear" w:pos="4320"/>
                <w:tab w:val="clear" w:pos="8640"/>
              </w:tabs>
              <w:spacing w:before="60" w:after="60"/>
              <w:jc w:val="center"/>
            </w:pPr>
            <w:r>
              <w:t>tons per year</w:t>
            </w:r>
          </w:p>
        </w:tc>
      </w:tr>
      <w:tr w:rsidR="00986586" w:rsidTr="006A4A4B">
        <w:trPr>
          <w:cantSplit/>
        </w:trPr>
        <w:tc>
          <w:tcPr>
            <w:tcW w:w="2880" w:type="dxa"/>
            <w:vMerge/>
            <w:tcBorders>
              <w:left w:val="nil"/>
              <w:bottom w:val="nil"/>
              <w:right w:val="single" w:sz="4" w:space="0" w:color="auto"/>
            </w:tcBorders>
          </w:tcPr>
          <w:p w:rsidR="00986586" w:rsidRDefault="00986586"/>
        </w:tc>
        <w:tc>
          <w:tcPr>
            <w:tcW w:w="2160" w:type="dxa"/>
            <w:tcBorders>
              <w:left w:val="nil"/>
            </w:tcBorders>
            <w:vAlign w:val="center"/>
          </w:tcPr>
          <w:p w:rsidR="00986586" w:rsidRDefault="00986586" w:rsidP="004F588A">
            <w:pPr>
              <w:spacing w:before="60" w:after="60"/>
              <w:jc w:val="center"/>
              <w:rPr>
                <w:vertAlign w:val="subscript"/>
              </w:rPr>
            </w:pPr>
            <w:r>
              <w:t>SO</w:t>
            </w:r>
            <w:r>
              <w:rPr>
                <w:vertAlign w:val="subscript"/>
              </w:rPr>
              <w:t>2</w:t>
            </w:r>
          </w:p>
        </w:tc>
        <w:tc>
          <w:tcPr>
            <w:tcW w:w="2160" w:type="dxa"/>
            <w:vAlign w:val="center"/>
          </w:tcPr>
          <w:p w:rsidR="00986586" w:rsidRDefault="00986586" w:rsidP="006A4A4B">
            <w:pPr>
              <w:pStyle w:val="Header"/>
              <w:tabs>
                <w:tab w:val="clear" w:pos="4320"/>
                <w:tab w:val="clear" w:pos="8640"/>
                <w:tab w:val="decimal" w:pos="0"/>
              </w:tabs>
              <w:spacing w:before="60" w:after="60"/>
              <w:jc w:val="center"/>
            </w:pPr>
            <w:r>
              <w:t>39</w:t>
            </w:r>
          </w:p>
        </w:tc>
        <w:tc>
          <w:tcPr>
            <w:tcW w:w="2304" w:type="dxa"/>
            <w:tcBorders>
              <w:right w:val="single" w:sz="4" w:space="0" w:color="auto"/>
            </w:tcBorders>
            <w:vAlign w:val="center"/>
          </w:tcPr>
          <w:p w:rsidR="00986586" w:rsidRDefault="00986586" w:rsidP="004F588A">
            <w:pPr>
              <w:pStyle w:val="Header"/>
              <w:tabs>
                <w:tab w:val="clear" w:pos="4320"/>
                <w:tab w:val="clear" w:pos="8640"/>
              </w:tabs>
              <w:spacing w:before="60" w:after="60"/>
              <w:jc w:val="center"/>
            </w:pPr>
            <w:r>
              <w:t>tons per year</w:t>
            </w:r>
          </w:p>
        </w:tc>
      </w:tr>
      <w:tr w:rsidR="00986586" w:rsidTr="006A4A4B">
        <w:trPr>
          <w:cantSplit/>
        </w:trPr>
        <w:tc>
          <w:tcPr>
            <w:tcW w:w="2880" w:type="dxa"/>
            <w:vMerge/>
            <w:tcBorders>
              <w:left w:val="nil"/>
              <w:bottom w:val="nil"/>
              <w:right w:val="single" w:sz="4" w:space="0" w:color="auto"/>
            </w:tcBorders>
          </w:tcPr>
          <w:p w:rsidR="00986586" w:rsidRDefault="00986586"/>
        </w:tc>
        <w:tc>
          <w:tcPr>
            <w:tcW w:w="2160" w:type="dxa"/>
            <w:tcBorders>
              <w:left w:val="nil"/>
            </w:tcBorders>
            <w:vAlign w:val="center"/>
          </w:tcPr>
          <w:p w:rsidR="00986586" w:rsidRDefault="00986586" w:rsidP="004F588A">
            <w:pPr>
              <w:spacing w:before="60" w:after="60"/>
              <w:jc w:val="center"/>
            </w:pPr>
            <w:r>
              <w:t>NO</w:t>
            </w:r>
            <w:r>
              <w:rPr>
                <w:vertAlign w:val="subscript"/>
              </w:rPr>
              <w:t>X</w:t>
            </w:r>
          </w:p>
        </w:tc>
        <w:tc>
          <w:tcPr>
            <w:tcW w:w="2160" w:type="dxa"/>
            <w:vAlign w:val="center"/>
          </w:tcPr>
          <w:p w:rsidR="00986586" w:rsidRDefault="00986586" w:rsidP="006A4A4B">
            <w:pPr>
              <w:tabs>
                <w:tab w:val="decimal" w:pos="0"/>
              </w:tabs>
              <w:spacing w:before="60" w:after="60"/>
              <w:jc w:val="center"/>
            </w:pPr>
            <w:r>
              <w:t>39</w:t>
            </w:r>
          </w:p>
        </w:tc>
        <w:tc>
          <w:tcPr>
            <w:tcW w:w="2304" w:type="dxa"/>
            <w:tcBorders>
              <w:right w:val="single" w:sz="4" w:space="0" w:color="auto"/>
            </w:tcBorders>
            <w:vAlign w:val="center"/>
          </w:tcPr>
          <w:p w:rsidR="00986586" w:rsidRDefault="00986586" w:rsidP="004F588A">
            <w:pPr>
              <w:pStyle w:val="Header"/>
              <w:tabs>
                <w:tab w:val="clear" w:pos="4320"/>
                <w:tab w:val="clear" w:pos="8640"/>
              </w:tabs>
              <w:spacing w:before="60" w:after="60"/>
              <w:jc w:val="center"/>
            </w:pPr>
            <w:r>
              <w:t>tons per year</w:t>
            </w:r>
          </w:p>
        </w:tc>
      </w:tr>
      <w:tr w:rsidR="00986586" w:rsidTr="006A4A4B">
        <w:trPr>
          <w:cantSplit/>
        </w:trPr>
        <w:tc>
          <w:tcPr>
            <w:tcW w:w="2880" w:type="dxa"/>
            <w:vMerge/>
            <w:tcBorders>
              <w:left w:val="nil"/>
              <w:bottom w:val="nil"/>
              <w:right w:val="single" w:sz="4" w:space="0" w:color="auto"/>
            </w:tcBorders>
          </w:tcPr>
          <w:p w:rsidR="00986586" w:rsidRDefault="00986586"/>
        </w:tc>
        <w:tc>
          <w:tcPr>
            <w:tcW w:w="2160" w:type="dxa"/>
            <w:tcBorders>
              <w:left w:val="nil"/>
              <w:bottom w:val="nil"/>
            </w:tcBorders>
            <w:vAlign w:val="center"/>
          </w:tcPr>
          <w:p w:rsidR="00986586" w:rsidRDefault="00986586" w:rsidP="004F588A">
            <w:pPr>
              <w:spacing w:before="60" w:after="60"/>
              <w:jc w:val="center"/>
            </w:pPr>
            <w:r>
              <w:t>CO</w:t>
            </w:r>
          </w:p>
        </w:tc>
        <w:tc>
          <w:tcPr>
            <w:tcW w:w="2160" w:type="dxa"/>
            <w:tcBorders>
              <w:bottom w:val="nil"/>
            </w:tcBorders>
            <w:vAlign w:val="center"/>
          </w:tcPr>
          <w:p w:rsidR="00986586" w:rsidRDefault="00986586" w:rsidP="006A4A4B">
            <w:pPr>
              <w:tabs>
                <w:tab w:val="decimal" w:pos="0"/>
              </w:tabs>
              <w:spacing w:before="60" w:after="60"/>
              <w:jc w:val="center"/>
            </w:pPr>
            <w:r>
              <w:t>99</w:t>
            </w:r>
          </w:p>
        </w:tc>
        <w:tc>
          <w:tcPr>
            <w:tcW w:w="2304" w:type="dxa"/>
            <w:tcBorders>
              <w:bottom w:val="nil"/>
              <w:right w:val="single" w:sz="4" w:space="0" w:color="auto"/>
            </w:tcBorders>
            <w:vAlign w:val="center"/>
          </w:tcPr>
          <w:p w:rsidR="00986586" w:rsidRDefault="00986586" w:rsidP="004F588A">
            <w:pPr>
              <w:pStyle w:val="Header"/>
              <w:tabs>
                <w:tab w:val="clear" w:pos="4320"/>
                <w:tab w:val="clear" w:pos="8640"/>
              </w:tabs>
              <w:spacing w:before="60" w:after="60"/>
              <w:jc w:val="center"/>
            </w:pPr>
            <w:r>
              <w:t>tons per year</w:t>
            </w:r>
          </w:p>
        </w:tc>
      </w:tr>
      <w:tr w:rsidR="00986586" w:rsidTr="006A4A4B">
        <w:trPr>
          <w:cantSplit/>
        </w:trPr>
        <w:tc>
          <w:tcPr>
            <w:tcW w:w="2880" w:type="dxa"/>
            <w:vMerge/>
            <w:tcBorders>
              <w:left w:val="nil"/>
              <w:bottom w:val="nil"/>
              <w:right w:val="nil"/>
            </w:tcBorders>
          </w:tcPr>
          <w:p w:rsidR="00986586" w:rsidRDefault="00986586"/>
        </w:tc>
        <w:tc>
          <w:tcPr>
            <w:tcW w:w="2160" w:type="dxa"/>
            <w:tcBorders>
              <w:left w:val="single" w:sz="4" w:space="0" w:color="auto"/>
              <w:bottom w:val="single" w:sz="4" w:space="0" w:color="auto"/>
            </w:tcBorders>
            <w:vAlign w:val="center"/>
          </w:tcPr>
          <w:p w:rsidR="00986586" w:rsidRDefault="00986586" w:rsidP="004F588A">
            <w:pPr>
              <w:spacing w:before="60" w:after="60"/>
              <w:jc w:val="center"/>
            </w:pPr>
            <w:r>
              <w:t>VOC</w:t>
            </w:r>
          </w:p>
        </w:tc>
        <w:tc>
          <w:tcPr>
            <w:tcW w:w="2160" w:type="dxa"/>
            <w:tcBorders>
              <w:bottom w:val="single" w:sz="4" w:space="0" w:color="auto"/>
            </w:tcBorders>
            <w:vAlign w:val="center"/>
          </w:tcPr>
          <w:p w:rsidR="00986586" w:rsidRDefault="00986586" w:rsidP="006A4A4B">
            <w:pPr>
              <w:tabs>
                <w:tab w:val="decimal" w:pos="0"/>
              </w:tabs>
              <w:spacing w:before="60" w:after="60"/>
              <w:jc w:val="center"/>
            </w:pPr>
            <w:r>
              <w:t>39</w:t>
            </w:r>
          </w:p>
        </w:tc>
        <w:tc>
          <w:tcPr>
            <w:tcW w:w="2304" w:type="dxa"/>
            <w:tcBorders>
              <w:bottom w:val="single" w:sz="4" w:space="0" w:color="auto"/>
              <w:right w:val="single" w:sz="4" w:space="0" w:color="auto"/>
            </w:tcBorders>
            <w:vAlign w:val="center"/>
          </w:tcPr>
          <w:p w:rsidR="00986586" w:rsidRDefault="00986586" w:rsidP="004F588A">
            <w:pPr>
              <w:pStyle w:val="Header"/>
              <w:tabs>
                <w:tab w:val="clear" w:pos="4320"/>
                <w:tab w:val="clear" w:pos="8640"/>
              </w:tabs>
              <w:spacing w:before="60" w:after="60"/>
              <w:jc w:val="center"/>
            </w:pPr>
            <w:r>
              <w:t>tons per year</w:t>
            </w:r>
          </w:p>
        </w:tc>
      </w:tr>
      <w:tr w:rsidR="00986586" w:rsidTr="006A4A4B">
        <w:trPr>
          <w:cantSplit/>
        </w:trPr>
        <w:tc>
          <w:tcPr>
            <w:tcW w:w="2880" w:type="dxa"/>
            <w:vMerge/>
            <w:tcBorders>
              <w:left w:val="nil"/>
              <w:bottom w:val="nil"/>
              <w:right w:val="nil"/>
            </w:tcBorders>
          </w:tcPr>
          <w:p w:rsidR="00986586" w:rsidRDefault="00986586"/>
        </w:tc>
        <w:tc>
          <w:tcPr>
            <w:tcW w:w="2160" w:type="dxa"/>
            <w:tcBorders>
              <w:left w:val="single" w:sz="4" w:space="0" w:color="auto"/>
              <w:bottom w:val="single" w:sz="4" w:space="0" w:color="auto"/>
            </w:tcBorders>
            <w:vAlign w:val="center"/>
          </w:tcPr>
          <w:p w:rsidR="00986586" w:rsidRDefault="00986586" w:rsidP="004F588A">
            <w:pPr>
              <w:spacing w:before="60" w:after="60"/>
              <w:jc w:val="center"/>
            </w:pPr>
            <w:r>
              <w:t>Single HAP</w:t>
            </w:r>
          </w:p>
        </w:tc>
        <w:tc>
          <w:tcPr>
            <w:tcW w:w="2160" w:type="dxa"/>
            <w:tcBorders>
              <w:bottom w:val="single" w:sz="4" w:space="0" w:color="auto"/>
            </w:tcBorders>
            <w:vAlign w:val="center"/>
          </w:tcPr>
          <w:p w:rsidR="00986586" w:rsidRDefault="00986586" w:rsidP="006A4A4B">
            <w:pPr>
              <w:tabs>
                <w:tab w:val="decimal" w:pos="0"/>
              </w:tabs>
              <w:spacing w:before="60" w:after="60"/>
              <w:jc w:val="center"/>
            </w:pPr>
            <w:r>
              <w:t>9</w:t>
            </w:r>
          </w:p>
        </w:tc>
        <w:tc>
          <w:tcPr>
            <w:tcW w:w="2304" w:type="dxa"/>
            <w:tcBorders>
              <w:bottom w:val="single" w:sz="4" w:space="0" w:color="auto"/>
              <w:right w:val="single" w:sz="4" w:space="0" w:color="auto"/>
            </w:tcBorders>
            <w:vAlign w:val="center"/>
          </w:tcPr>
          <w:p w:rsidR="00986586" w:rsidRDefault="00986586" w:rsidP="004F588A">
            <w:pPr>
              <w:pStyle w:val="Header"/>
              <w:tabs>
                <w:tab w:val="clear" w:pos="4320"/>
                <w:tab w:val="clear" w:pos="8640"/>
              </w:tabs>
              <w:spacing w:before="60" w:after="60"/>
              <w:jc w:val="center"/>
            </w:pPr>
            <w:r>
              <w:t>tons per year</w:t>
            </w:r>
          </w:p>
        </w:tc>
      </w:tr>
      <w:tr w:rsidR="00986586" w:rsidTr="006A4A4B">
        <w:trPr>
          <w:cantSplit/>
        </w:trPr>
        <w:tc>
          <w:tcPr>
            <w:tcW w:w="2880" w:type="dxa"/>
            <w:vMerge/>
            <w:tcBorders>
              <w:left w:val="nil"/>
              <w:bottom w:val="nil"/>
              <w:right w:val="nil"/>
            </w:tcBorders>
          </w:tcPr>
          <w:p w:rsidR="00986586" w:rsidRDefault="00986586"/>
        </w:tc>
        <w:tc>
          <w:tcPr>
            <w:tcW w:w="2160" w:type="dxa"/>
            <w:tcBorders>
              <w:left w:val="single" w:sz="4" w:space="0" w:color="auto"/>
              <w:bottom w:val="single" w:sz="4" w:space="0" w:color="auto"/>
            </w:tcBorders>
            <w:vAlign w:val="center"/>
          </w:tcPr>
          <w:p w:rsidR="00986586" w:rsidRDefault="00986586" w:rsidP="004F588A">
            <w:pPr>
              <w:spacing w:before="60" w:after="60"/>
              <w:jc w:val="center"/>
            </w:pPr>
            <w:r>
              <w:t>Combined HAPs</w:t>
            </w:r>
          </w:p>
        </w:tc>
        <w:tc>
          <w:tcPr>
            <w:tcW w:w="2160" w:type="dxa"/>
            <w:tcBorders>
              <w:bottom w:val="single" w:sz="4" w:space="0" w:color="auto"/>
            </w:tcBorders>
            <w:vAlign w:val="center"/>
          </w:tcPr>
          <w:p w:rsidR="00986586" w:rsidRDefault="00986586" w:rsidP="006A4A4B">
            <w:pPr>
              <w:tabs>
                <w:tab w:val="decimal" w:pos="0"/>
              </w:tabs>
              <w:spacing w:before="60" w:after="60"/>
              <w:jc w:val="center"/>
            </w:pPr>
            <w:r>
              <w:t>24</w:t>
            </w:r>
          </w:p>
        </w:tc>
        <w:tc>
          <w:tcPr>
            <w:tcW w:w="2304" w:type="dxa"/>
            <w:tcBorders>
              <w:bottom w:val="single" w:sz="4" w:space="0" w:color="auto"/>
              <w:right w:val="single" w:sz="4" w:space="0" w:color="auto"/>
            </w:tcBorders>
            <w:vAlign w:val="center"/>
          </w:tcPr>
          <w:p w:rsidR="00986586" w:rsidRDefault="00986586" w:rsidP="004F588A">
            <w:pPr>
              <w:pStyle w:val="Header"/>
              <w:tabs>
                <w:tab w:val="clear" w:pos="4320"/>
                <w:tab w:val="clear" w:pos="8640"/>
              </w:tabs>
              <w:spacing w:before="60" w:after="60"/>
              <w:jc w:val="center"/>
            </w:pPr>
            <w:r>
              <w:t>tons per year</w:t>
            </w:r>
          </w:p>
        </w:tc>
      </w:tr>
      <w:tr w:rsidR="00986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986586" w:rsidRDefault="00986586"/>
        </w:tc>
        <w:tc>
          <w:tcPr>
            <w:tcW w:w="6624" w:type="dxa"/>
            <w:gridSpan w:val="3"/>
          </w:tcPr>
          <w:p w:rsidR="00986586" w:rsidRDefault="00986586">
            <w:pPr>
              <w:pStyle w:val="Bodytext"/>
            </w:pPr>
          </w:p>
        </w:tc>
      </w:tr>
      <w:tr w:rsidR="00986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986586" w:rsidRDefault="00986586">
            <w:pPr>
              <w:pStyle w:val="Heading2"/>
            </w:pPr>
            <w:r>
              <w:t>Annual Period</w:t>
            </w:r>
          </w:p>
        </w:tc>
        <w:tc>
          <w:tcPr>
            <w:tcW w:w="6624" w:type="dxa"/>
            <w:gridSpan w:val="3"/>
          </w:tcPr>
          <w:p w:rsidR="00986586" w:rsidRDefault="00986586">
            <w:pPr>
              <w:pStyle w:val="Bodytext"/>
            </w:pPr>
            <w:r>
              <w:t>The annual plant site emissions limits apply to any 12-consecutive calendar month period.</w:t>
            </w:r>
          </w:p>
        </w:tc>
      </w:tr>
    </w:tbl>
    <w:p w:rsidR="00986586" w:rsidRPr="00312461" w:rsidRDefault="00986586">
      <w:pPr>
        <w:rPr>
          <w:sz w:val="20"/>
        </w:rPr>
      </w:pPr>
    </w:p>
    <w:p w:rsidR="00986586" w:rsidRPr="00312461" w:rsidRDefault="00986586">
      <w:pPr>
        <w:rPr>
          <w:sz w:val="20"/>
        </w:rPr>
      </w:pPr>
    </w:p>
    <w:p w:rsidR="00986586" w:rsidRDefault="00986586">
      <w:pPr>
        <w:pStyle w:val="Heading1"/>
      </w:pPr>
      <w:bookmarkStart w:id="35" w:name="_Ref61428436"/>
      <w:bookmarkStart w:id="36" w:name="_Toc253664546"/>
      <w:r>
        <w:t>compliance demonstration</w:t>
      </w:r>
      <w:bookmarkEnd w:id="35"/>
      <w:bookmarkEnd w:id="36"/>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pPr>
              <w:pStyle w:val="Heading2"/>
            </w:pPr>
            <w:r>
              <w:t>Testing Requirements</w:t>
            </w:r>
          </w:p>
        </w:tc>
        <w:tc>
          <w:tcPr>
            <w:tcW w:w="6624" w:type="dxa"/>
            <w:tcBorders>
              <w:top w:val="nil"/>
              <w:left w:val="nil"/>
              <w:bottom w:val="nil"/>
              <w:right w:val="nil"/>
            </w:tcBorders>
          </w:tcPr>
          <w:p w:rsidR="00986586" w:rsidRDefault="00986586" w:rsidP="00C21F92">
            <w:pPr>
              <w:pStyle w:val="Bodytext"/>
            </w:pPr>
            <w:r>
              <w:t xml:space="preserve">By no later than 18 months after startup, the permittee must </w:t>
            </w:r>
            <w:r w:rsidR="00C21F92">
              <w:t>co</w:t>
            </w:r>
            <w:r>
              <w:t xml:space="preserve">nduct a source test </w:t>
            </w:r>
            <w:r w:rsidR="00C21F92">
              <w:t>of the CO</w:t>
            </w:r>
            <w:r w:rsidR="00C21F92">
              <w:rPr>
                <w:vertAlign w:val="subscript"/>
              </w:rPr>
              <w:t>2</w:t>
            </w:r>
            <w:r w:rsidR="00C21F92">
              <w:t xml:space="preserve"> vent to verify emission factors used to determine compliance with the PSEL in Condition 3.1. </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C21F92" w:rsidP="00C21F92">
            <w:pPr>
              <w:pStyle w:val="Heading3"/>
            </w:pPr>
            <w:r>
              <w:t>Non-water soluble VOC emissions must be measured using EPA Method 18;</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F8038B" w:rsidP="00F8038B">
            <w:pPr>
              <w:pStyle w:val="Heading3"/>
            </w:pPr>
            <w:r>
              <w:t xml:space="preserve">Water soluble VOC emissions must be measured by an approved </w:t>
            </w:r>
            <w:proofErr w:type="spellStart"/>
            <w:r>
              <w:t>isokinetic</w:t>
            </w:r>
            <w:proofErr w:type="spellEnd"/>
            <w:r>
              <w:t xml:space="preserve"> method (i.e. </w:t>
            </w:r>
            <w:proofErr w:type="spellStart"/>
            <w:r>
              <w:t>aldehydes</w:t>
            </w:r>
            <w:proofErr w:type="spellEnd"/>
            <w:r>
              <w:t xml:space="preserve"> with SW-846 Method 0010);</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F8038B" w:rsidP="00F8038B">
            <w:pPr>
              <w:pStyle w:val="Heading3"/>
            </w:pPr>
            <w:r>
              <w:t xml:space="preserve">EPA Methods 1-4 must be used for gas </w:t>
            </w:r>
            <w:proofErr w:type="spellStart"/>
            <w:r>
              <w:t>flowrate</w:t>
            </w:r>
            <w:proofErr w:type="spellEnd"/>
            <w:r>
              <w:t xml:space="preserve"> measurements;</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AA251F">
            <w:pPr>
              <w:pStyle w:val="Heading3"/>
              <w:widowControl/>
              <w:spacing w:before="0"/>
            </w:pPr>
            <w:r>
              <w:t xml:space="preserve">The </w:t>
            </w:r>
            <w:r w:rsidR="00A17BD7">
              <w:t>process operating</w:t>
            </w:r>
            <w:r>
              <w:t xml:space="preserve"> parameters</w:t>
            </w:r>
            <w:r w:rsidR="00A17BD7">
              <w:t xml:space="preserve"> (syrup feed rate, ethanol production rate, etc.)</w:t>
            </w:r>
            <w:r>
              <w:t xml:space="preserve"> must be monitored and recorded during the source test</w:t>
            </w:r>
            <w:r w:rsidR="00A17BD7">
              <w:t>.</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AA251F">
            <w:pPr>
              <w:pStyle w:val="Heading3"/>
              <w:spacing w:before="0"/>
            </w:pPr>
            <w:r>
              <w:t>All tests must be conducted in accordance with the Department’s Source Sampling Manual and the approved pretest plan.  The pretest plan must be submitted at least 15 days in advance and approved by the Regional Source Test Coordinator.  Test data and results must be submitted for review to the Regional Source Test Coordinator within 30 days unless otherwise approved in the pretest plan.</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AA251F">
            <w:pPr>
              <w:pStyle w:val="Heading3"/>
              <w:spacing w:before="0"/>
            </w:pPr>
            <w:r>
              <w:t>Only regular operating staff may adjust the combustion system or production processes and emission control parameters during the source test and within two hours prior to the source test.  Any operating adjustments made during the source test, which are a result of consultation with source testing personnel, equipment vendors or consultants, may render the source test invalid.</w:t>
            </w:r>
          </w:p>
        </w:tc>
      </w:tr>
      <w:tr w:rsidR="00986586">
        <w:tc>
          <w:tcPr>
            <w:tcW w:w="2880" w:type="dxa"/>
            <w:tcBorders>
              <w:top w:val="nil"/>
              <w:left w:val="nil"/>
              <w:bottom w:val="nil"/>
              <w:right w:val="nil"/>
            </w:tcBorders>
          </w:tcPr>
          <w:p w:rsidR="00986586" w:rsidRDefault="00986586">
            <w:pPr>
              <w:pStyle w:val="Heading2"/>
            </w:pPr>
            <w:bookmarkStart w:id="37" w:name="_Ref250548445"/>
            <w:r>
              <w:t>PSEL Compliance Monitoring</w:t>
            </w:r>
            <w:bookmarkEnd w:id="37"/>
          </w:p>
        </w:tc>
        <w:tc>
          <w:tcPr>
            <w:tcW w:w="6624" w:type="dxa"/>
            <w:tcBorders>
              <w:top w:val="nil"/>
              <w:left w:val="nil"/>
              <w:bottom w:val="nil"/>
              <w:right w:val="nil"/>
            </w:tcBorders>
          </w:tcPr>
          <w:p w:rsidR="00986586" w:rsidRDefault="00986586">
            <w:pPr>
              <w:pStyle w:val="Bodytext"/>
            </w:pPr>
            <w:r>
              <w:t>Compliance with the PSEL is determined for each 12-consecutive calendar month period based on the following calculation for each pollutant:</w:t>
            </w:r>
          </w:p>
          <w:p w:rsidR="00986586" w:rsidRDefault="00986586">
            <w:pPr>
              <w:spacing w:before="60" w:after="60"/>
              <w:ind w:left="720"/>
            </w:pPr>
            <w:r>
              <w:t>E</w:t>
            </w:r>
            <w:r>
              <w:tab/>
              <w:t>=</w:t>
            </w:r>
            <w:r>
              <w:tab/>
            </w:r>
            <w:r>
              <w:sym w:font="Symbol" w:char="F053"/>
            </w:r>
            <w:r>
              <w:t>(EF x P)</w:t>
            </w:r>
            <w:r w:rsidR="00E449FB">
              <w:t xml:space="preserve"> + AI</w:t>
            </w:r>
            <w:r>
              <w:t>/2000 lbs</w:t>
            </w:r>
          </w:p>
          <w:p w:rsidR="00986586" w:rsidRDefault="006A4A4B">
            <w:pPr>
              <w:spacing w:before="60" w:after="60"/>
              <w:jc w:val="both"/>
            </w:pPr>
            <w:r>
              <w:t>W</w:t>
            </w:r>
            <w:r w:rsidR="00986586">
              <w:t>here,</w:t>
            </w:r>
          </w:p>
          <w:p w:rsidR="00986586" w:rsidRDefault="00986586">
            <w:pPr>
              <w:ind w:left="720"/>
            </w:pPr>
            <w:r>
              <w:t>E</w:t>
            </w:r>
            <w:r>
              <w:tab/>
              <w:t>=</w:t>
            </w:r>
            <w:r>
              <w:tab/>
              <w:t>pollutant emissions (ton/yr);</w:t>
            </w:r>
          </w:p>
          <w:p w:rsidR="00986586" w:rsidRDefault="00986586">
            <w:pPr>
              <w:tabs>
                <w:tab w:val="left" w:pos="1440"/>
              </w:tabs>
              <w:ind w:left="2160" w:hanging="1440"/>
            </w:pPr>
            <w:r>
              <w:t>EF</w:t>
            </w:r>
            <w:r>
              <w:tab/>
              <w:t>=</w:t>
            </w:r>
            <w:r>
              <w:tab/>
              <w:t xml:space="preserve">pollutant emission factor (see condition </w:t>
            </w:r>
            <w:r w:rsidR="00605AC6">
              <w:fldChar w:fldCharType="begin"/>
            </w:r>
            <w:r w:rsidR="00BB5B39">
              <w:instrText xml:space="preserve"> REF _Ref252350437 \r \h </w:instrText>
            </w:r>
            <w:r w:rsidR="00605AC6">
              <w:fldChar w:fldCharType="separate"/>
            </w:r>
            <w:r w:rsidR="00201510">
              <w:t>10.0</w:t>
            </w:r>
            <w:r w:rsidR="00605AC6">
              <w:fldChar w:fldCharType="end"/>
            </w:r>
            <w:r>
              <w:t>);</w:t>
            </w:r>
          </w:p>
          <w:p w:rsidR="00986586" w:rsidRDefault="00986586">
            <w:pPr>
              <w:tabs>
                <w:tab w:val="left" w:pos="1422"/>
              </w:tabs>
              <w:ind w:left="2160" w:hanging="1440"/>
            </w:pPr>
            <w:r>
              <w:t>P</w:t>
            </w:r>
            <w:r>
              <w:tab/>
              <w:t>=</w:t>
            </w:r>
            <w:r>
              <w:tab/>
              <w:t xml:space="preserve">process production (see condition </w:t>
            </w:r>
            <w:r w:rsidR="00605AC6">
              <w:fldChar w:fldCharType="begin"/>
            </w:r>
            <w:r w:rsidR="00BB5B39">
              <w:instrText xml:space="preserve"> REF _Ref252350621 \r \h </w:instrText>
            </w:r>
            <w:r w:rsidR="00605AC6">
              <w:fldChar w:fldCharType="separate"/>
            </w:r>
            <w:r w:rsidR="00201510">
              <w:t>11.0</w:t>
            </w:r>
            <w:r w:rsidR="00605AC6">
              <w:fldChar w:fldCharType="end"/>
            </w:r>
            <w:r>
              <w:t>)</w:t>
            </w:r>
          </w:p>
          <w:p w:rsidR="00E449FB" w:rsidRDefault="00E449FB" w:rsidP="00E449FB">
            <w:pPr>
              <w:tabs>
                <w:tab w:val="left" w:pos="1422"/>
              </w:tabs>
              <w:ind w:left="2160" w:hanging="1440"/>
            </w:pPr>
            <w:r>
              <w:t>AI</w:t>
            </w:r>
            <w:r>
              <w:tab/>
              <w:t>=</w:t>
            </w:r>
            <w:r>
              <w:tab/>
              <w:t>Aggregate Insignificant Emissions (1.0 ton/yr)</w:t>
            </w:r>
          </w:p>
        </w:tc>
      </w:tr>
      <w:tr w:rsidR="00986586">
        <w:tc>
          <w:tcPr>
            <w:tcW w:w="2880" w:type="dxa"/>
            <w:tcBorders>
              <w:top w:val="nil"/>
              <w:left w:val="nil"/>
              <w:bottom w:val="nil"/>
              <w:right w:val="nil"/>
            </w:tcBorders>
          </w:tcPr>
          <w:p w:rsidR="00986586" w:rsidRDefault="00986586">
            <w:pPr>
              <w:pStyle w:val="Heading2"/>
            </w:pPr>
            <w:r>
              <w:t>Emission Factors</w:t>
            </w:r>
          </w:p>
        </w:tc>
        <w:tc>
          <w:tcPr>
            <w:tcW w:w="6624" w:type="dxa"/>
            <w:tcBorders>
              <w:top w:val="nil"/>
              <w:left w:val="nil"/>
              <w:bottom w:val="nil"/>
              <w:right w:val="nil"/>
            </w:tcBorders>
          </w:tcPr>
          <w:p w:rsidR="00986586" w:rsidRDefault="00986586" w:rsidP="00BB5B39">
            <w:pPr>
              <w:pStyle w:val="Bodytext"/>
            </w:pPr>
            <w:r>
              <w:t xml:space="preserve">The permittee must use the default emission factors provided in condition </w:t>
            </w:r>
            <w:r w:rsidR="00605AC6">
              <w:fldChar w:fldCharType="begin"/>
            </w:r>
            <w:r w:rsidR="00BB5B39">
              <w:instrText xml:space="preserve"> REF _Ref252350437 \r \h </w:instrText>
            </w:r>
            <w:r w:rsidR="00605AC6">
              <w:fldChar w:fldCharType="separate"/>
            </w:r>
            <w:r w:rsidR="00201510">
              <w:t>10.0</w:t>
            </w:r>
            <w:r w:rsidR="00605AC6">
              <w:fldChar w:fldCharType="end"/>
            </w:r>
            <w:r>
              <w:t xml:space="preserve"> for calculating pollutant emissions, unless alternative emission factors are approved by the Department.  The permittee may request or the Department may require using alternative emission factors provided they are based on actual test data or other documentation (e.g., AP-42 compilation of emission factors) that has been reviewed and approved by the Department.</w:t>
            </w:r>
          </w:p>
        </w:tc>
      </w:tr>
      <w:tr w:rsidR="00986586">
        <w:tc>
          <w:tcPr>
            <w:tcW w:w="2880" w:type="dxa"/>
            <w:tcBorders>
              <w:top w:val="nil"/>
              <w:left w:val="nil"/>
              <w:bottom w:val="nil"/>
              <w:right w:val="nil"/>
            </w:tcBorders>
          </w:tcPr>
          <w:p w:rsidR="00986586" w:rsidRDefault="00A17BD7">
            <w:pPr>
              <w:pStyle w:val="Heading2"/>
            </w:pPr>
            <w:bookmarkStart w:id="38" w:name="_Ref250548322"/>
            <w:r>
              <w:t>Tank Emissions</w:t>
            </w:r>
            <w:bookmarkEnd w:id="38"/>
          </w:p>
        </w:tc>
        <w:tc>
          <w:tcPr>
            <w:tcW w:w="6624" w:type="dxa"/>
            <w:tcBorders>
              <w:top w:val="nil"/>
              <w:left w:val="nil"/>
              <w:bottom w:val="nil"/>
              <w:right w:val="nil"/>
            </w:tcBorders>
          </w:tcPr>
          <w:p w:rsidR="00986586" w:rsidRDefault="005D0E1A" w:rsidP="00AA251F">
            <w:pPr>
              <w:tabs>
                <w:tab w:val="left" w:pos="1440"/>
              </w:tabs>
            </w:pPr>
            <w:r>
              <w:t xml:space="preserve">The permittee must use the most recent version of EPA </w:t>
            </w:r>
            <w:proofErr w:type="spellStart"/>
            <w:r>
              <w:t>TANKs</w:t>
            </w:r>
            <w:proofErr w:type="spellEnd"/>
            <w:r w:rsidR="00007379">
              <w:t xml:space="preserve"> or equivalent AP-42 algorithm</w:t>
            </w:r>
            <w:r>
              <w:t xml:space="preserve"> to calculate monthly emissions from the </w:t>
            </w:r>
            <w:r w:rsidR="00D4750A">
              <w:t xml:space="preserve">Combined </w:t>
            </w:r>
            <w:proofErr w:type="spellStart"/>
            <w:r w:rsidR="00D4750A">
              <w:t>Hydrolyzate</w:t>
            </w:r>
            <w:proofErr w:type="spellEnd"/>
            <w:r w:rsidR="00D4750A">
              <w:t xml:space="preserve"> Tank (T1040, Emission Point #4)</w:t>
            </w:r>
            <w:r w:rsidR="003F2EED">
              <w:t>,</w:t>
            </w:r>
            <w:r w:rsidR="007B2AA7">
              <w:t xml:space="preserve"> </w:t>
            </w:r>
            <w:r w:rsidR="00D4750A">
              <w:t>Dilute Acetic Acid Day Tank (T4010, Emission Point #16)</w:t>
            </w:r>
            <w:r w:rsidR="003F2EED">
              <w:t xml:space="preserve"> and Gasoline Storage Tank (T9960, Emission Point #27)</w:t>
            </w:r>
            <w:r w:rsidR="00D4750A">
              <w:t>.  The permittee must use the most recent version of EPA WATER9 or other appropriate method to calculate monthly emissions from the Wastewater Treatment Facility (X9510, Emission Point #26).</w:t>
            </w:r>
          </w:p>
        </w:tc>
      </w:tr>
      <w:tr w:rsidR="00986586">
        <w:tc>
          <w:tcPr>
            <w:tcW w:w="2880" w:type="dxa"/>
            <w:tcBorders>
              <w:top w:val="nil"/>
              <w:left w:val="nil"/>
              <w:bottom w:val="nil"/>
              <w:right w:val="nil"/>
            </w:tcBorders>
          </w:tcPr>
          <w:p w:rsidR="00986586" w:rsidRDefault="00D4750A">
            <w:pPr>
              <w:pStyle w:val="Heading2"/>
            </w:pPr>
            <w:bookmarkStart w:id="39" w:name="_Ref250548330"/>
            <w:r>
              <w:t>Equipment Leak Fugitives</w:t>
            </w:r>
            <w:bookmarkEnd w:id="39"/>
          </w:p>
        </w:tc>
        <w:tc>
          <w:tcPr>
            <w:tcW w:w="6624" w:type="dxa"/>
            <w:tcBorders>
              <w:top w:val="nil"/>
              <w:left w:val="nil"/>
              <w:bottom w:val="nil"/>
              <w:right w:val="nil"/>
            </w:tcBorders>
          </w:tcPr>
          <w:p w:rsidR="00986586" w:rsidRDefault="00913FF5">
            <w:r>
              <w:t>The permittee must use the procedures outlined in EPA’s Protocol for Equipment Emissions Estimates, Synthetic Organic Manufacturing Industry (SOCMI) – EPA document 453/R-95-017.  If the Average Emission Factor Approach is used to estimate equipment leak emissions then the following equation and assumptions shall be used to calculate equipment leak fugitives:</w:t>
            </w:r>
          </w:p>
          <w:p w:rsidR="00986586" w:rsidRDefault="00986586"/>
          <w:p w:rsidR="00986586" w:rsidRDefault="00986586" w:rsidP="00325D00">
            <w:pPr>
              <w:tabs>
                <w:tab w:val="left" w:pos="720"/>
              </w:tabs>
              <w:ind w:left="1440" w:hanging="720"/>
            </w:pPr>
            <w:r>
              <w:t>E</w:t>
            </w:r>
            <w:r>
              <w:rPr>
                <w:vertAlign w:val="subscript"/>
              </w:rPr>
              <w:t>VOC</w:t>
            </w:r>
            <w:r>
              <w:rPr>
                <w:vertAlign w:val="subscript"/>
              </w:rPr>
              <w:tab/>
            </w:r>
            <w:r>
              <w:t>=</w:t>
            </w:r>
            <w:r>
              <w:tab/>
            </w:r>
            <w:r w:rsidR="001A003E">
              <w:rPr>
                <w:rFonts w:ascii="Symbol" w:hAnsi="Symbol" w:cs="Symbol"/>
                <w:szCs w:val="24"/>
              </w:rPr>
              <w:t></w:t>
            </w:r>
            <w:r w:rsidR="001A003E">
              <w:rPr>
                <w:szCs w:val="24"/>
              </w:rPr>
              <w:t>(</w:t>
            </w:r>
            <w:r w:rsidR="00913FF5">
              <w:rPr>
                <w:szCs w:val="24"/>
              </w:rPr>
              <w:t>F</w:t>
            </w:r>
            <w:r w:rsidR="00913FF5">
              <w:rPr>
                <w:szCs w:val="24"/>
                <w:vertAlign w:val="subscript"/>
              </w:rPr>
              <w:t>A</w:t>
            </w:r>
            <w:r w:rsidR="001A003E">
              <w:rPr>
                <w:szCs w:val="24"/>
              </w:rPr>
              <w:t xml:space="preserve"> * </w:t>
            </w:r>
            <w:r w:rsidR="00913FF5">
              <w:rPr>
                <w:szCs w:val="24"/>
              </w:rPr>
              <w:t>WF</w:t>
            </w:r>
            <w:r w:rsidR="00913FF5">
              <w:rPr>
                <w:szCs w:val="24"/>
                <w:vertAlign w:val="subscript"/>
              </w:rPr>
              <w:t>VOC</w:t>
            </w:r>
            <w:r w:rsidR="001A003E">
              <w:rPr>
                <w:szCs w:val="24"/>
              </w:rPr>
              <w:t xml:space="preserve"> * </w:t>
            </w:r>
            <w:r w:rsidR="00913FF5">
              <w:rPr>
                <w:szCs w:val="24"/>
              </w:rPr>
              <w:t>N</w:t>
            </w:r>
            <w:r w:rsidR="001A003E">
              <w:rPr>
                <w:szCs w:val="24"/>
              </w:rPr>
              <w:t xml:space="preserve">) </w:t>
            </w:r>
            <w:r w:rsidR="00913FF5">
              <w:rPr>
                <w:szCs w:val="24"/>
              </w:rPr>
              <w:t xml:space="preserve">* </w:t>
            </w:r>
            <w:r w:rsidR="001A003E">
              <w:rPr>
                <w:szCs w:val="24"/>
              </w:rPr>
              <w:t xml:space="preserve">(1 – </w:t>
            </w:r>
            <w:r w:rsidR="001A003E" w:rsidRPr="00913FF5">
              <w:rPr>
                <w:szCs w:val="24"/>
              </w:rPr>
              <w:t>C</w:t>
            </w:r>
            <w:r w:rsidR="00913FF5">
              <w:rPr>
                <w:szCs w:val="24"/>
                <w:vertAlign w:val="subscript"/>
              </w:rPr>
              <w:t>EF</w:t>
            </w:r>
            <w:r w:rsidR="00913FF5">
              <w:rPr>
                <w:szCs w:val="24"/>
              </w:rPr>
              <w:t>)</w:t>
            </w:r>
          </w:p>
          <w:p w:rsidR="00986586" w:rsidRDefault="00986586"/>
          <w:p w:rsidR="00986586" w:rsidRDefault="00986586">
            <w:pPr>
              <w:pStyle w:val="Header"/>
              <w:tabs>
                <w:tab w:val="clear" w:pos="4320"/>
                <w:tab w:val="clear" w:pos="8640"/>
              </w:tabs>
            </w:pPr>
            <w:r>
              <w:t>Where,</w:t>
            </w:r>
          </w:p>
          <w:p w:rsidR="00986586" w:rsidRDefault="00986586">
            <w:pPr>
              <w:ind w:left="720"/>
            </w:pPr>
          </w:p>
          <w:p w:rsidR="00986586" w:rsidRDefault="00986586" w:rsidP="00C558C0">
            <w:pPr>
              <w:tabs>
                <w:tab w:val="left" w:pos="1440"/>
              </w:tabs>
              <w:ind w:left="2160" w:hanging="1440"/>
            </w:pPr>
            <w:r>
              <w:t>E</w:t>
            </w:r>
            <w:r>
              <w:rPr>
                <w:vertAlign w:val="subscript"/>
              </w:rPr>
              <w:t>VOC</w:t>
            </w:r>
            <w:r>
              <w:rPr>
                <w:vertAlign w:val="subscript"/>
              </w:rPr>
              <w:tab/>
            </w:r>
            <w:r>
              <w:t>=</w:t>
            </w:r>
            <w:r>
              <w:tab/>
            </w:r>
            <w:r w:rsidR="00913FF5">
              <w:t>Emission Rate of VOC from all equipment in the stream of a given type (lb/hr)</w:t>
            </w:r>
          </w:p>
          <w:p w:rsidR="00986586" w:rsidRDefault="00C558C0" w:rsidP="00C558C0">
            <w:pPr>
              <w:pStyle w:val="Sectionsub-header"/>
              <w:tabs>
                <w:tab w:val="left" w:pos="1440"/>
              </w:tabs>
              <w:ind w:left="2160" w:hanging="1440"/>
              <w:rPr>
                <w:rFonts w:ascii="Times New Roman" w:hAnsi="Times New Roman"/>
              </w:rPr>
            </w:pPr>
            <w:r>
              <w:rPr>
                <w:rFonts w:ascii="Times New Roman" w:hAnsi="Times New Roman"/>
              </w:rPr>
              <w:t>F</w:t>
            </w:r>
            <w:r>
              <w:rPr>
                <w:rFonts w:ascii="Times New Roman" w:hAnsi="Times New Roman"/>
                <w:vertAlign w:val="subscript"/>
              </w:rPr>
              <w:t>A</w:t>
            </w:r>
            <w:r w:rsidR="00986586">
              <w:rPr>
                <w:rFonts w:ascii="Times New Roman" w:hAnsi="Times New Roman"/>
              </w:rPr>
              <w:tab/>
              <w:t>=</w:t>
            </w:r>
            <w:r w:rsidR="00986586">
              <w:rPr>
                <w:rFonts w:ascii="Times New Roman" w:hAnsi="Times New Roman"/>
              </w:rPr>
              <w:tab/>
            </w:r>
            <w:r>
              <w:rPr>
                <w:rFonts w:ascii="Times New Roman" w:hAnsi="Times New Roman"/>
              </w:rPr>
              <w:t xml:space="preserve">Applicable average emission factor for the equipment type from </w:t>
            </w:r>
            <w:r w:rsidR="0094731D">
              <w:rPr>
                <w:rFonts w:ascii="Times New Roman" w:hAnsi="Times New Roman"/>
              </w:rPr>
              <w:t xml:space="preserve">Condition </w:t>
            </w:r>
            <w:r w:rsidR="00605AC6">
              <w:rPr>
                <w:rFonts w:ascii="Times New Roman" w:hAnsi="Times New Roman"/>
              </w:rPr>
              <w:fldChar w:fldCharType="begin"/>
            </w:r>
            <w:r w:rsidR="00BB5B39">
              <w:rPr>
                <w:rFonts w:ascii="Times New Roman" w:hAnsi="Times New Roman"/>
              </w:rPr>
              <w:instrText xml:space="preserve"> REF _Ref252350437 \r \h </w:instrText>
            </w:r>
            <w:r w:rsidR="00605AC6">
              <w:rPr>
                <w:rFonts w:ascii="Times New Roman" w:hAnsi="Times New Roman"/>
              </w:rPr>
            </w:r>
            <w:r w:rsidR="00605AC6">
              <w:rPr>
                <w:rFonts w:ascii="Times New Roman" w:hAnsi="Times New Roman"/>
              </w:rPr>
              <w:fldChar w:fldCharType="separate"/>
            </w:r>
            <w:r w:rsidR="00201510">
              <w:rPr>
                <w:rFonts w:ascii="Times New Roman" w:hAnsi="Times New Roman"/>
              </w:rPr>
              <w:t>10.0</w:t>
            </w:r>
            <w:r w:rsidR="00605AC6">
              <w:rPr>
                <w:rFonts w:ascii="Times New Roman" w:hAnsi="Times New Roman"/>
              </w:rPr>
              <w:fldChar w:fldCharType="end"/>
            </w:r>
            <w:r>
              <w:rPr>
                <w:rFonts w:ascii="Times New Roman" w:hAnsi="Times New Roman"/>
              </w:rPr>
              <w:t xml:space="preserve"> (lb/hr/source)</w:t>
            </w:r>
          </w:p>
          <w:p w:rsidR="00986586" w:rsidRDefault="00C558C0" w:rsidP="00C558C0">
            <w:pPr>
              <w:tabs>
                <w:tab w:val="left" w:pos="1440"/>
              </w:tabs>
              <w:ind w:left="2160" w:hanging="1440"/>
            </w:pPr>
            <w:r>
              <w:t>WF</w:t>
            </w:r>
            <w:r>
              <w:rPr>
                <w:vertAlign w:val="subscript"/>
              </w:rPr>
              <w:t>VOC</w:t>
            </w:r>
            <w:r w:rsidR="00986586">
              <w:tab/>
              <w:t>=</w:t>
            </w:r>
            <w:r w:rsidR="00986586">
              <w:tab/>
            </w:r>
            <w:r>
              <w:t>Average weight fraction of VOC in the stream</w:t>
            </w:r>
          </w:p>
          <w:p w:rsidR="00986586" w:rsidRDefault="00C558C0" w:rsidP="00C558C0">
            <w:pPr>
              <w:tabs>
                <w:tab w:val="left" w:pos="1440"/>
              </w:tabs>
              <w:ind w:left="2160" w:hanging="1440"/>
            </w:pPr>
            <w:r>
              <w:t>N</w:t>
            </w:r>
            <w:r w:rsidR="00986586">
              <w:tab/>
              <w:t>=</w:t>
            </w:r>
            <w:r w:rsidR="00986586">
              <w:tab/>
            </w:r>
            <w:r>
              <w:t>Number of pieces of equipment of the applicable equipment type in the stream</w:t>
            </w:r>
          </w:p>
          <w:p w:rsidR="00986586" w:rsidRDefault="00C558C0" w:rsidP="00C558C0">
            <w:pPr>
              <w:tabs>
                <w:tab w:val="left" w:pos="1440"/>
              </w:tabs>
              <w:ind w:left="2160" w:hanging="1440"/>
            </w:pPr>
            <w:r>
              <w:t>C</w:t>
            </w:r>
            <w:r>
              <w:rPr>
                <w:vertAlign w:val="subscript"/>
              </w:rPr>
              <w:t>EF</w:t>
            </w:r>
            <w:r w:rsidR="00986586">
              <w:tab/>
              <w:t>=</w:t>
            </w:r>
            <w:r w:rsidR="00986586">
              <w:tab/>
            </w:r>
            <w:r>
              <w:t>LDAR control efficiency for the equipment type (0.87 for gas valves, 0.84 for light liquid valves, 0.69 for light liquid pumps, 0.93 for connectors, 0 for all other equipment).</w:t>
            </w:r>
          </w:p>
        </w:tc>
      </w:tr>
    </w:tbl>
    <w:p w:rsidR="00986586" w:rsidRDefault="00986586"/>
    <w:p w:rsidR="00986586" w:rsidRDefault="00986586"/>
    <w:p w:rsidR="00986586" w:rsidRDefault="00986586">
      <w:pPr>
        <w:pStyle w:val="Heading1"/>
      </w:pPr>
      <w:bookmarkStart w:id="40" w:name="_Toc481295406"/>
      <w:bookmarkStart w:id="41" w:name="_Toc253664547"/>
      <w:r>
        <w:t>recordkeeping requirements</w:t>
      </w:r>
      <w:bookmarkEnd w:id="40"/>
      <w:bookmarkEnd w:id="41"/>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pPr>
              <w:pStyle w:val="Heading2"/>
            </w:pPr>
            <w:r>
              <w:t>Operation and Maintenance</w:t>
            </w:r>
          </w:p>
        </w:tc>
        <w:tc>
          <w:tcPr>
            <w:tcW w:w="6624" w:type="dxa"/>
            <w:tcBorders>
              <w:top w:val="nil"/>
              <w:left w:val="nil"/>
              <w:bottom w:val="nil"/>
              <w:right w:val="nil"/>
            </w:tcBorders>
          </w:tcPr>
          <w:p w:rsidR="00986586" w:rsidRDefault="00986586">
            <w:pPr>
              <w:pStyle w:val="Bodytext"/>
            </w:pPr>
            <w:r>
              <w:t>The permittee must maintain the following records related to the operation and maintenance of the plant and associated air contaminant control devices:</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5D1B04" w:rsidP="00BB5B39">
            <w:pPr>
              <w:pStyle w:val="Heading3"/>
            </w:pPr>
            <w:r>
              <w:t xml:space="preserve">All process and production records as required in Condition </w:t>
            </w:r>
            <w:r w:rsidR="00605AC6">
              <w:fldChar w:fldCharType="begin"/>
            </w:r>
            <w:r w:rsidR="00BB5B39">
              <w:instrText xml:space="preserve"> REF _Ref252350679 \r \h </w:instrText>
            </w:r>
            <w:r w:rsidR="00605AC6">
              <w:fldChar w:fldCharType="separate"/>
            </w:r>
            <w:r w:rsidR="00201510">
              <w:t>11.0</w:t>
            </w:r>
            <w:r w:rsidR="00605AC6">
              <w:fldChar w:fldCharType="end"/>
            </w:r>
            <w:r>
              <w:t>;</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5D1B04" w:rsidP="00BB5B39">
            <w:pPr>
              <w:pStyle w:val="Heading3"/>
            </w:pPr>
            <w:r>
              <w:t>Throughput and fuel usage data as required in Condition</w:t>
            </w:r>
            <w:r w:rsidR="0094731D">
              <w:t xml:space="preserve"> </w:t>
            </w:r>
            <w:r w:rsidR="00605AC6">
              <w:fldChar w:fldCharType="begin"/>
            </w:r>
            <w:r w:rsidR="00BB5B39">
              <w:instrText xml:space="preserve"> REF _Ref252350704 \r \h </w:instrText>
            </w:r>
            <w:r w:rsidR="00605AC6">
              <w:fldChar w:fldCharType="separate"/>
            </w:r>
            <w:r w:rsidR="00201510">
              <w:t>11.0</w:t>
            </w:r>
            <w:r w:rsidR="00605AC6">
              <w:fldChar w:fldCharType="end"/>
            </w:r>
            <w:r>
              <w:t>;</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5D1B04" w:rsidP="005D1B04">
            <w:pPr>
              <w:pStyle w:val="Heading3"/>
            </w:pPr>
            <w:r>
              <w:t>Monthly calculated criteria pollutant emissions;</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5D1B04">
            <w:pPr>
              <w:pStyle w:val="Heading3"/>
            </w:pPr>
            <w:r>
              <w:t xml:space="preserve">NSPS Subpart Dc – Records of the amount of natural gas combusted during each day.  [40 CFR </w:t>
            </w:r>
            <w:proofErr w:type="gramStart"/>
            <w:r>
              <w:t>60.48c(</w:t>
            </w:r>
            <w:proofErr w:type="gramEnd"/>
            <w:r>
              <w:t>g)]</w:t>
            </w:r>
          </w:p>
          <w:p w:rsidR="00025A88" w:rsidRDefault="00025A88" w:rsidP="00025A88"/>
          <w:p w:rsidR="00025A88" w:rsidRDefault="00025A88" w:rsidP="00025A88"/>
          <w:p w:rsidR="00025A88" w:rsidRPr="00025A88" w:rsidRDefault="00025A88" w:rsidP="00025A88"/>
        </w:tc>
      </w:tr>
      <w:tr w:rsidR="005D1B04">
        <w:tc>
          <w:tcPr>
            <w:tcW w:w="2880" w:type="dxa"/>
            <w:tcBorders>
              <w:top w:val="nil"/>
              <w:left w:val="nil"/>
              <w:bottom w:val="nil"/>
              <w:right w:val="nil"/>
            </w:tcBorders>
          </w:tcPr>
          <w:p w:rsidR="005D1B04" w:rsidRDefault="005D1B04" w:rsidP="005D1B04">
            <w:pPr>
              <w:pStyle w:val="Heading2"/>
              <w:numPr>
                <w:ilvl w:val="0"/>
                <w:numId w:val="0"/>
              </w:numPr>
            </w:pPr>
          </w:p>
        </w:tc>
        <w:tc>
          <w:tcPr>
            <w:tcW w:w="6624" w:type="dxa"/>
            <w:tcBorders>
              <w:top w:val="nil"/>
              <w:left w:val="nil"/>
              <w:bottom w:val="nil"/>
              <w:right w:val="nil"/>
            </w:tcBorders>
          </w:tcPr>
          <w:p w:rsidR="005D1B04" w:rsidRDefault="005D1B04" w:rsidP="005D1B04">
            <w:pPr>
              <w:pStyle w:val="Heading3"/>
            </w:pPr>
            <w:r>
              <w:t xml:space="preserve">NSPS Subpart </w:t>
            </w:r>
            <w:proofErr w:type="spellStart"/>
            <w:r w:rsidR="00B34EFE">
              <w:t>VVa</w:t>
            </w:r>
            <w:proofErr w:type="spellEnd"/>
            <w:r w:rsidR="00B34EFE">
              <w:t xml:space="preserve"> - </w:t>
            </w:r>
          </w:p>
        </w:tc>
      </w:tr>
      <w:tr w:rsidR="005D1B04">
        <w:tc>
          <w:tcPr>
            <w:tcW w:w="2880" w:type="dxa"/>
            <w:tcBorders>
              <w:top w:val="nil"/>
              <w:left w:val="nil"/>
              <w:bottom w:val="nil"/>
              <w:right w:val="nil"/>
            </w:tcBorders>
          </w:tcPr>
          <w:p w:rsidR="005D1B04" w:rsidRDefault="005D1B04" w:rsidP="005D1B04">
            <w:pPr>
              <w:pStyle w:val="Heading2"/>
              <w:numPr>
                <w:ilvl w:val="0"/>
                <w:numId w:val="0"/>
              </w:numPr>
            </w:pPr>
          </w:p>
        </w:tc>
        <w:tc>
          <w:tcPr>
            <w:tcW w:w="6624" w:type="dxa"/>
            <w:tcBorders>
              <w:top w:val="nil"/>
              <w:left w:val="nil"/>
              <w:bottom w:val="nil"/>
              <w:right w:val="nil"/>
            </w:tcBorders>
          </w:tcPr>
          <w:p w:rsidR="005D1B04" w:rsidRDefault="00B34EFE" w:rsidP="00B34EFE">
            <w:pPr>
              <w:pStyle w:val="Heading4"/>
            </w:pPr>
            <w:r>
              <w:t xml:space="preserve">For each monitoring event the permittee must record the monitoring instrument identification, operator identification, equipment identification, date of monitoring, and instrument reading.  [40 CFR </w:t>
            </w:r>
            <w:proofErr w:type="gramStart"/>
            <w:r>
              <w:t>60.486a(</w:t>
            </w:r>
            <w:proofErr w:type="gramEnd"/>
            <w:r>
              <w:t>a)(3)]</w:t>
            </w:r>
          </w:p>
        </w:tc>
      </w:tr>
      <w:tr w:rsidR="005D1B04">
        <w:tc>
          <w:tcPr>
            <w:tcW w:w="2880" w:type="dxa"/>
            <w:tcBorders>
              <w:top w:val="nil"/>
              <w:left w:val="nil"/>
              <w:bottom w:val="nil"/>
              <w:right w:val="nil"/>
            </w:tcBorders>
          </w:tcPr>
          <w:p w:rsidR="005D1B04" w:rsidRDefault="005D1B04" w:rsidP="005D1B04">
            <w:pPr>
              <w:pStyle w:val="Heading2"/>
              <w:numPr>
                <w:ilvl w:val="0"/>
                <w:numId w:val="0"/>
              </w:numPr>
            </w:pPr>
          </w:p>
        </w:tc>
        <w:tc>
          <w:tcPr>
            <w:tcW w:w="6624" w:type="dxa"/>
            <w:tcBorders>
              <w:top w:val="nil"/>
              <w:left w:val="nil"/>
              <w:bottom w:val="nil"/>
              <w:right w:val="nil"/>
            </w:tcBorders>
          </w:tcPr>
          <w:p w:rsidR="005D1B04" w:rsidRDefault="00B34EFE" w:rsidP="00D76D57">
            <w:pPr>
              <w:pStyle w:val="Heading4"/>
            </w:pPr>
            <w:r>
              <w:t xml:space="preserve">When each leak is detected, the permittee must attach a weatherproof and readily visible identification tag to the leaking equipment.  The tag must be marked with the equipment identification number.  The tag on a leaking valve may be removed after it has been monitored for 2 successive months as specified in Condition </w:t>
            </w:r>
            <w:r w:rsidR="00605AC6">
              <w:fldChar w:fldCharType="begin"/>
            </w:r>
            <w:r w:rsidR="0094731D">
              <w:instrText xml:space="preserve"> REF _Ref250538441 \r \h </w:instrText>
            </w:r>
            <w:r w:rsidR="00605AC6">
              <w:fldChar w:fldCharType="separate"/>
            </w:r>
            <w:r w:rsidR="00201510">
              <w:t>2.3.e</w:t>
            </w:r>
            <w:r w:rsidR="00605AC6">
              <w:fldChar w:fldCharType="end"/>
            </w:r>
            <w:r>
              <w:t xml:space="preserve"> and no leak has been detected during those 2 months.  The tag on a connector may be removed after it has been monitored as specified in Condition </w:t>
            </w:r>
            <w:r w:rsidR="00605AC6">
              <w:fldChar w:fldCharType="begin"/>
            </w:r>
            <w:r w:rsidR="00D76D57">
              <w:instrText xml:space="preserve"> REF _Ref250540280 \r \h </w:instrText>
            </w:r>
            <w:r w:rsidR="00605AC6">
              <w:fldChar w:fldCharType="separate"/>
            </w:r>
            <w:r w:rsidR="00201510">
              <w:t>2.3.h</w:t>
            </w:r>
            <w:r w:rsidR="00605AC6">
              <w:fldChar w:fldCharType="end"/>
            </w:r>
            <w:r>
              <w:t xml:space="preserve"> and no leak has been detected during that monitoring.  The tag on all other leaking equipment may be removed after it has been repaired.  [40 CFR </w:t>
            </w:r>
            <w:proofErr w:type="gramStart"/>
            <w:r>
              <w:t>60.486a(</w:t>
            </w:r>
            <w:proofErr w:type="spellStart"/>
            <w:proofErr w:type="gramEnd"/>
            <w:r>
              <w:t>b</w:t>
            </w:r>
            <w:proofErr w:type="spellEnd"/>
            <w:r>
              <w:t>)]</w:t>
            </w:r>
          </w:p>
        </w:tc>
      </w:tr>
      <w:tr w:rsidR="005D1B04">
        <w:tc>
          <w:tcPr>
            <w:tcW w:w="2880" w:type="dxa"/>
            <w:tcBorders>
              <w:top w:val="nil"/>
              <w:left w:val="nil"/>
              <w:bottom w:val="nil"/>
              <w:right w:val="nil"/>
            </w:tcBorders>
          </w:tcPr>
          <w:p w:rsidR="005D1B04" w:rsidRDefault="005D1B04" w:rsidP="005D1B04">
            <w:pPr>
              <w:pStyle w:val="Heading2"/>
              <w:numPr>
                <w:ilvl w:val="0"/>
                <w:numId w:val="0"/>
              </w:numPr>
            </w:pPr>
          </w:p>
        </w:tc>
        <w:tc>
          <w:tcPr>
            <w:tcW w:w="6624" w:type="dxa"/>
            <w:tcBorders>
              <w:top w:val="nil"/>
              <w:left w:val="nil"/>
              <w:bottom w:val="nil"/>
              <w:right w:val="nil"/>
            </w:tcBorders>
          </w:tcPr>
          <w:p w:rsidR="00B34EFE" w:rsidRDefault="00B34EFE" w:rsidP="00B34EFE">
            <w:pPr>
              <w:pStyle w:val="Heading4"/>
            </w:pPr>
            <w:r>
              <w:t>When each leak is detected, the following information must be recorded in a log and kept for 2 years in a readily accessible location:</w:t>
            </w:r>
          </w:p>
          <w:p w:rsidR="00B34EFE" w:rsidRDefault="00B34EFE" w:rsidP="00B34EFE">
            <w:pPr>
              <w:pStyle w:val="ListParagraph"/>
              <w:numPr>
                <w:ilvl w:val="0"/>
                <w:numId w:val="38"/>
              </w:numPr>
              <w:tabs>
                <w:tab w:val="left" w:pos="1890"/>
              </w:tabs>
            </w:pPr>
            <w:r>
              <w:t>Instrument and operator identification numbers and the equipment identification number, except when indications of liquid dripping from a pump are designated as a leak;</w:t>
            </w:r>
          </w:p>
          <w:p w:rsidR="00B34EFE" w:rsidRDefault="00B34EFE" w:rsidP="00B34EFE">
            <w:pPr>
              <w:pStyle w:val="ListParagraph"/>
              <w:numPr>
                <w:ilvl w:val="0"/>
                <w:numId w:val="38"/>
              </w:numPr>
              <w:tabs>
                <w:tab w:val="left" w:pos="1890"/>
              </w:tabs>
            </w:pPr>
            <w:r>
              <w:t>The date the leak was detected and the dates of each attempt to repair the leak;</w:t>
            </w:r>
          </w:p>
          <w:p w:rsidR="00B34EFE" w:rsidRDefault="00B34EFE" w:rsidP="00B34EFE">
            <w:pPr>
              <w:pStyle w:val="ListParagraph"/>
              <w:numPr>
                <w:ilvl w:val="0"/>
                <w:numId w:val="38"/>
              </w:numPr>
              <w:tabs>
                <w:tab w:val="left" w:pos="1890"/>
              </w:tabs>
            </w:pPr>
            <w:r>
              <w:t>Repair methods applied in each attempt to repair the leak;</w:t>
            </w:r>
          </w:p>
          <w:p w:rsidR="00B34EFE" w:rsidRDefault="00B34EFE" w:rsidP="00B34EFE">
            <w:pPr>
              <w:pStyle w:val="ListParagraph"/>
              <w:numPr>
                <w:ilvl w:val="0"/>
                <w:numId w:val="38"/>
              </w:numPr>
              <w:tabs>
                <w:tab w:val="left" w:pos="1890"/>
              </w:tabs>
            </w:pPr>
            <w:r>
              <w:t>Maximum instrument reading at the time the leak is successfully repaired or determined to be non-repairable, except when a pump is repaired by eliminating the indications of liquid dripping;</w:t>
            </w:r>
          </w:p>
          <w:p w:rsidR="00B34EFE" w:rsidRDefault="00B34EFE" w:rsidP="00B34EFE">
            <w:pPr>
              <w:pStyle w:val="ListParagraph"/>
              <w:numPr>
                <w:ilvl w:val="0"/>
                <w:numId w:val="38"/>
              </w:numPr>
              <w:tabs>
                <w:tab w:val="left" w:pos="1890"/>
              </w:tabs>
            </w:pPr>
            <w:r>
              <w:t>“Repair delayed” and reason for the delay if the leak is not repaired within 15 calendar days after discovery of the leak;</w:t>
            </w:r>
          </w:p>
          <w:p w:rsidR="00B34EFE" w:rsidRDefault="00B34EFE" w:rsidP="00B34EFE">
            <w:pPr>
              <w:pStyle w:val="ListParagraph"/>
              <w:numPr>
                <w:ilvl w:val="0"/>
                <w:numId w:val="38"/>
              </w:numPr>
              <w:tabs>
                <w:tab w:val="left" w:pos="1890"/>
              </w:tabs>
            </w:pPr>
            <w:r>
              <w:t>The signature of the owner or operator whose decision it was that repair could not be effected without a process shutdown;</w:t>
            </w:r>
          </w:p>
          <w:p w:rsidR="00025A88" w:rsidRDefault="00025A88" w:rsidP="00025A88">
            <w:pPr>
              <w:tabs>
                <w:tab w:val="left" w:pos="1890"/>
              </w:tabs>
            </w:pPr>
          </w:p>
          <w:p w:rsidR="00B34EFE" w:rsidRDefault="00B34EFE" w:rsidP="00B34EFE">
            <w:pPr>
              <w:pStyle w:val="ListParagraph"/>
              <w:numPr>
                <w:ilvl w:val="0"/>
                <w:numId w:val="38"/>
              </w:numPr>
              <w:tabs>
                <w:tab w:val="left" w:pos="1890"/>
              </w:tabs>
            </w:pPr>
            <w:r>
              <w:t>The expected date of successful repair if the leak is not repaired within 15 days;</w:t>
            </w:r>
          </w:p>
          <w:p w:rsidR="00B34EFE" w:rsidRDefault="00B34EFE" w:rsidP="00025A88">
            <w:pPr>
              <w:pStyle w:val="ListParagraph"/>
              <w:numPr>
                <w:ilvl w:val="0"/>
                <w:numId w:val="38"/>
              </w:numPr>
              <w:tabs>
                <w:tab w:val="left" w:pos="1890"/>
              </w:tabs>
            </w:pPr>
            <w:r>
              <w:t xml:space="preserve">Dates of process unit shutdowns that occur while the equipment is </w:t>
            </w:r>
            <w:proofErr w:type="spellStart"/>
            <w:r>
              <w:t>unrepaired</w:t>
            </w:r>
            <w:proofErr w:type="spellEnd"/>
            <w:r>
              <w:t>; and</w:t>
            </w:r>
          </w:p>
          <w:p w:rsidR="005D1B04" w:rsidRDefault="00B34EFE" w:rsidP="00025A88">
            <w:pPr>
              <w:pStyle w:val="Heading4"/>
              <w:numPr>
                <w:ilvl w:val="0"/>
                <w:numId w:val="38"/>
              </w:numPr>
              <w:spacing w:before="0"/>
            </w:pPr>
            <w:r>
              <w:t>Date of successful repair of the leak.  [40 CFR 60.486a(</w:t>
            </w:r>
            <w:proofErr w:type="spellStart"/>
            <w:r>
              <w:t>c</w:t>
            </w:r>
            <w:proofErr w:type="spellEnd"/>
            <w:r>
              <w:t>)]</w:t>
            </w:r>
          </w:p>
        </w:tc>
      </w:tr>
      <w:tr w:rsidR="005D1B04" w:rsidTr="00D76D57">
        <w:trPr>
          <w:cantSplit/>
        </w:trPr>
        <w:tc>
          <w:tcPr>
            <w:tcW w:w="2880" w:type="dxa"/>
            <w:tcBorders>
              <w:top w:val="nil"/>
              <w:left w:val="nil"/>
              <w:bottom w:val="nil"/>
              <w:right w:val="nil"/>
            </w:tcBorders>
          </w:tcPr>
          <w:p w:rsidR="005D1B04" w:rsidRDefault="005D1B04" w:rsidP="005D1B04">
            <w:pPr>
              <w:pStyle w:val="Heading2"/>
              <w:numPr>
                <w:ilvl w:val="0"/>
                <w:numId w:val="0"/>
              </w:numPr>
            </w:pPr>
          </w:p>
        </w:tc>
        <w:tc>
          <w:tcPr>
            <w:tcW w:w="6624" w:type="dxa"/>
            <w:tcBorders>
              <w:top w:val="nil"/>
              <w:left w:val="nil"/>
              <w:bottom w:val="nil"/>
              <w:right w:val="nil"/>
            </w:tcBorders>
          </w:tcPr>
          <w:p w:rsidR="00661B74" w:rsidRDefault="00661B74" w:rsidP="00661B74">
            <w:pPr>
              <w:pStyle w:val="Heading4"/>
            </w:pPr>
            <w:r>
              <w:t xml:space="preserve">The permittee must maintain the following information pertaining to all equipment subject to Condition </w:t>
            </w:r>
            <w:r w:rsidR="00605AC6">
              <w:fldChar w:fldCharType="begin"/>
            </w:r>
            <w:r w:rsidR="00D76D57">
              <w:instrText xml:space="preserve"> REF _Ref250538433 \r \h </w:instrText>
            </w:r>
            <w:r w:rsidR="00605AC6">
              <w:fldChar w:fldCharType="separate"/>
            </w:r>
            <w:r w:rsidR="00201510">
              <w:t>2.3</w:t>
            </w:r>
            <w:r w:rsidR="00605AC6">
              <w:fldChar w:fldCharType="end"/>
            </w:r>
            <w:r>
              <w:t xml:space="preserve"> in a log that is kept in a readily accessible location:</w:t>
            </w:r>
          </w:p>
          <w:p w:rsidR="00661B74" w:rsidRDefault="00661B74" w:rsidP="003223BA">
            <w:pPr>
              <w:pStyle w:val="ListParagraph"/>
              <w:numPr>
                <w:ilvl w:val="0"/>
                <w:numId w:val="39"/>
              </w:numPr>
              <w:tabs>
                <w:tab w:val="left" w:pos="1890"/>
              </w:tabs>
              <w:ind w:left="1890" w:hanging="450"/>
            </w:pPr>
            <w:r>
              <w:t xml:space="preserve">A list of identification numbers for equipment subject to Condition </w:t>
            </w:r>
            <w:r w:rsidR="00605AC6">
              <w:fldChar w:fldCharType="begin"/>
            </w:r>
            <w:r w:rsidR="00D76D57">
              <w:instrText xml:space="preserve"> REF _Ref250538433 \r \h </w:instrText>
            </w:r>
            <w:r w:rsidR="00605AC6">
              <w:fldChar w:fldCharType="separate"/>
            </w:r>
            <w:r w:rsidR="00201510">
              <w:t>2.3</w:t>
            </w:r>
            <w:r w:rsidR="00605AC6">
              <w:fldChar w:fldCharType="end"/>
            </w:r>
            <w:r>
              <w:t>;</w:t>
            </w:r>
          </w:p>
          <w:p w:rsidR="00661B74" w:rsidRDefault="00661B74" w:rsidP="003223BA">
            <w:pPr>
              <w:pStyle w:val="ListParagraph"/>
              <w:numPr>
                <w:ilvl w:val="0"/>
                <w:numId w:val="39"/>
              </w:numPr>
              <w:tabs>
                <w:tab w:val="left" w:pos="1890"/>
              </w:tabs>
              <w:ind w:left="1890" w:hanging="450"/>
            </w:pPr>
            <w:r>
              <w:t>A list of identification numbers for equipment that are designated for no detectible emissions under 40 CFR 60.482-2a(</w:t>
            </w:r>
            <w:proofErr w:type="spellStart"/>
            <w:r>
              <w:t>e</w:t>
            </w:r>
            <w:proofErr w:type="spellEnd"/>
            <w:r>
              <w:t>), 60 482-3a(</w:t>
            </w:r>
            <w:proofErr w:type="spellStart"/>
            <w:r>
              <w:t>i</w:t>
            </w:r>
            <w:proofErr w:type="spellEnd"/>
            <w:r>
              <w:t>), or 60.482-7a(f).  The designation must be signed by the permittee;</w:t>
            </w:r>
          </w:p>
          <w:p w:rsidR="00661B74" w:rsidRDefault="00661B74" w:rsidP="003223BA">
            <w:pPr>
              <w:pStyle w:val="ListParagraph"/>
              <w:numPr>
                <w:ilvl w:val="0"/>
                <w:numId w:val="39"/>
              </w:numPr>
              <w:tabs>
                <w:tab w:val="left" w:pos="1890"/>
              </w:tabs>
              <w:ind w:left="1890" w:hanging="450"/>
            </w:pPr>
            <w:r>
              <w:t xml:space="preserve">A list of equipment identification numbers for pressure relief valves required to comply with Condition </w:t>
            </w:r>
            <w:r w:rsidR="00605AC6">
              <w:fldChar w:fldCharType="begin"/>
            </w:r>
            <w:r w:rsidR="00D76D57">
              <w:instrText xml:space="preserve"> REF _Ref250729885 \r \h </w:instrText>
            </w:r>
            <w:r w:rsidR="00605AC6">
              <w:fldChar w:fldCharType="separate"/>
            </w:r>
            <w:r w:rsidR="00201510">
              <w:t>2.3.b</w:t>
            </w:r>
            <w:r w:rsidR="00605AC6">
              <w:fldChar w:fldCharType="end"/>
            </w:r>
            <w:r>
              <w:t>;</w:t>
            </w:r>
          </w:p>
          <w:p w:rsidR="00661B74" w:rsidRDefault="00661B74" w:rsidP="003223BA">
            <w:pPr>
              <w:pStyle w:val="ListParagraph"/>
              <w:numPr>
                <w:ilvl w:val="0"/>
                <w:numId w:val="39"/>
              </w:numPr>
              <w:tabs>
                <w:tab w:val="left" w:pos="1890"/>
              </w:tabs>
              <w:ind w:left="1890" w:hanging="450"/>
            </w:pPr>
            <w:r>
              <w:t>The dates, background level, and maximum instrument reading of each compliance test as required in 40 CFR 60.482-2a(</w:t>
            </w:r>
            <w:proofErr w:type="spellStart"/>
            <w:r>
              <w:t>e</w:t>
            </w:r>
            <w:proofErr w:type="spellEnd"/>
            <w:r>
              <w:t>), 60.482-3a(</w:t>
            </w:r>
            <w:proofErr w:type="spellStart"/>
            <w:r>
              <w:t>i</w:t>
            </w:r>
            <w:proofErr w:type="spellEnd"/>
            <w:r>
              <w:t>), 60 482-4a, and 60.482-7a(f);</w:t>
            </w:r>
          </w:p>
          <w:p w:rsidR="00661B74" w:rsidRDefault="00661B74" w:rsidP="003223BA">
            <w:pPr>
              <w:pStyle w:val="ListParagraph"/>
              <w:numPr>
                <w:ilvl w:val="0"/>
                <w:numId w:val="39"/>
              </w:numPr>
              <w:tabs>
                <w:tab w:val="left" w:pos="1890"/>
              </w:tabs>
              <w:ind w:left="1890" w:hanging="450"/>
            </w:pPr>
            <w:r>
              <w:t>The date and results of the weekly visual inspection for indications of liquids dripping from pumps in light liquid service;</w:t>
            </w:r>
          </w:p>
          <w:p w:rsidR="00661B74" w:rsidRDefault="00661B74" w:rsidP="003223BA">
            <w:pPr>
              <w:pStyle w:val="ListParagraph"/>
              <w:numPr>
                <w:ilvl w:val="0"/>
                <w:numId w:val="39"/>
              </w:numPr>
              <w:tabs>
                <w:tab w:val="left" w:pos="1890"/>
              </w:tabs>
              <w:ind w:left="1890" w:hanging="450"/>
            </w:pPr>
            <w:r>
              <w:t>Records of monitoring instrument calibrations including date of calibration, initials of operator performing the calibration, calibration gas cylinder identification, certification date, certified concentration, instrument scale(</w:t>
            </w:r>
            <w:proofErr w:type="spellStart"/>
            <w:r>
              <w:t>s</w:t>
            </w:r>
            <w:proofErr w:type="spellEnd"/>
            <w:r>
              <w:t>) used, description of any corrective action taken if the meter readout could not be adjusted to correspond with the calibration gas values, results of each calibration drift assessment, and description of procedures used if the permittee makes its own calibration gas;</w:t>
            </w:r>
          </w:p>
          <w:p w:rsidR="00661B74" w:rsidRDefault="00661B74" w:rsidP="003223BA">
            <w:pPr>
              <w:pStyle w:val="ListParagraph"/>
              <w:numPr>
                <w:ilvl w:val="0"/>
                <w:numId w:val="39"/>
              </w:numPr>
              <w:tabs>
                <w:tab w:val="left" w:pos="1890"/>
              </w:tabs>
              <w:ind w:left="1890" w:hanging="450"/>
            </w:pPr>
            <w:r>
              <w:t xml:space="preserve">The connector monitoring schedule for each process unit as specified in Condition </w:t>
            </w:r>
            <w:r w:rsidR="00605AC6">
              <w:fldChar w:fldCharType="begin"/>
            </w:r>
            <w:r w:rsidR="00D76D57">
              <w:instrText xml:space="preserve"> REF _Ref250973310 \r \h </w:instrText>
            </w:r>
            <w:r w:rsidR="00605AC6">
              <w:fldChar w:fldCharType="separate"/>
            </w:r>
            <w:r w:rsidR="00201510">
              <w:t>2.3.h.vii</w:t>
            </w:r>
            <w:r w:rsidR="00605AC6">
              <w:fldChar w:fldCharType="end"/>
            </w:r>
            <w:r>
              <w:t>;</w:t>
            </w:r>
          </w:p>
          <w:p w:rsidR="005D1B04" w:rsidRDefault="00661B74" w:rsidP="003223BA">
            <w:pPr>
              <w:pStyle w:val="ListParagraph"/>
              <w:numPr>
                <w:ilvl w:val="0"/>
                <w:numId w:val="39"/>
              </w:numPr>
              <w:tabs>
                <w:tab w:val="left" w:pos="1890"/>
              </w:tabs>
              <w:ind w:left="1890" w:hanging="450"/>
            </w:pPr>
            <w:r>
              <w:t xml:space="preserve">Records of each release from a pressure relief valve subject to Condition </w:t>
            </w:r>
            <w:r w:rsidR="00605AC6">
              <w:fldChar w:fldCharType="begin"/>
            </w:r>
            <w:r w:rsidR="00D76D57">
              <w:instrText xml:space="preserve"> REF _Ref250729885 \r \h </w:instrText>
            </w:r>
            <w:r w:rsidR="00605AC6">
              <w:fldChar w:fldCharType="separate"/>
            </w:r>
            <w:r w:rsidR="00201510">
              <w:t>2.3.b</w:t>
            </w:r>
            <w:r w:rsidR="00605AC6">
              <w:fldChar w:fldCharType="end"/>
            </w:r>
            <w:r>
              <w:t>.</w:t>
            </w:r>
          </w:p>
        </w:tc>
      </w:tr>
      <w:tr w:rsidR="005D1B04">
        <w:tc>
          <w:tcPr>
            <w:tcW w:w="2880" w:type="dxa"/>
            <w:tcBorders>
              <w:top w:val="nil"/>
              <w:left w:val="nil"/>
              <w:bottom w:val="nil"/>
              <w:right w:val="nil"/>
            </w:tcBorders>
          </w:tcPr>
          <w:p w:rsidR="005D1B04" w:rsidRDefault="005D1B04" w:rsidP="005D1B04">
            <w:pPr>
              <w:pStyle w:val="Heading2"/>
              <w:numPr>
                <w:ilvl w:val="0"/>
                <w:numId w:val="0"/>
              </w:numPr>
            </w:pPr>
          </w:p>
        </w:tc>
        <w:tc>
          <w:tcPr>
            <w:tcW w:w="6624" w:type="dxa"/>
            <w:tcBorders>
              <w:top w:val="nil"/>
              <w:left w:val="nil"/>
              <w:bottom w:val="nil"/>
              <w:right w:val="nil"/>
            </w:tcBorders>
          </w:tcPr>
          <w:p w:rsidR="00661B74" w:rsidRDefault="00661B74" w:rsidP="00661B74">
            <w:pPr>
              <w:pStyle w:val="Heading4"/>
            </w:pPr>
            <w:r>
              <w:t>The following information for all valves subject to 40 CFR 60.482-</w:t>
            </w:r>
            <w:proofErr w:type="gramStart"/>
            <w:r>
              <w:t>7a(</w:t>
            </w:r>
            <w:proofErr w:type="gramEnd"/>
            <w:r>
              <w:t>g) and (h), all pumps subject to 40 CFR 60.482-2a(g), and all connectors subject to 40 CFR 60.482-11a(</w:t>
            </w:r>
            <w:proofErr w:type="spellStart"/>
            <w:r>
              <w:t>e</w:t>
            </w:r>
            <w:proofErr w:type="spellEnd"/>
            <w:r>
              <w:t>) shall be recorded in a log that is kept in a readily accessible location:</w:t>
            </w:r>
          </w:p>
          <w:p w:rsidR="00661B74" w:rsidRDefault="00661B74" w:rsidP="00661B74">
            <w:pPr>
              <w:pStyle w:val="ListParagraph"/>
              <w:numPr>
                <w:ilvl w:val="0"/>
                <w:numId w:val="40"/>
              </w:numPr>
              <w:tabs>
                <w:tab w:val="left" w:pos="1890"/>
              </w:tabs>
              <w:ind w:left="1890" w:hanging="450"/>
            </w:pPr>
            <w:r>
              <w:t>A list of identification numbers for valves, pumps, and connectors that are designated as unsafe to monitor, an explanation for each valve, pump, and connector stating why it is unsafe to monitor, and the plan for monitoring each valve, pump, or connector;</w:t>
            </w:r>
          </w:p>
          <w:p w:rsidR="005D1B04" w:rsidRDefault="00661B74" w:rsidP="00661B74">
            <w:pPr>
              <w:pStyle w:val="Heading4"/>
              <w:numPr>
                <w:ilvl w:val="0"/>
                <w:numId w:val="40"/>
              </w:numPr>
              <w:ind w:left="1890" w:hanging="450"/>
            </w:pPr>
            <w:r>
              <w:t>A list of identification numbers for valves that are designated as difficult to monitor, an explanation of why the valve is difficult to monitor, and the schedule for monitoring each valve.</w:t>
            </w:r>
          </w:p>
        </w:tc>
      </w:tr>
      <w:tr w:rsidR="005D1B04">
        <w:tc>
          <w:tcPr>
            <w:tcW w:w="2880" w:type="dxa"/>
            <w:tcBorders>
              <w:top w:val="nil"/>
              <w:left w:val="nil"/>
              <w:bottom w:val="nil"/>
              <w:right w:val="nil"/>
            </w:tcBorders>
          </w:tcPr>
          <w:p w:rsidR="005D1B04" w:rsidRDefault="005D1B04" w:rsidP="005D1B04">
            <w:pPr>
              <w:pStyle w:val="Heading2"/>
              <w:numPr>
                <w:ilvl w:val="0"/>
                <w:numId w:val="0"/>
              </w:numPr>
            </w:pPr>
          </w:p>
        </w:tc>
        <w:tc>
          <w:tcPr>
            <w:tcW w:w="6624" w:type="dxa"/>
            <w:tcBorders>
              <w:top w:val="nil"/>
              <w:left w:val="nil"/>
              <w:bottom w:val="nil"/>
              <w:right w:val="nil"/>
            </w:tcBorders>
          </w:tcPr>
          <w:p w:rsidR="005D1B04" w:rsidRDefault="00661B74" w:rsidP="00661B74">
            <w:pPr>
              <w:pStyle w:val="Heading3"/>
            </w:pPr>
            <w:r>
              <w:t xml:space="preserve">NSPS Subpart NNN - </w:t>
            </w:r>
          </w:p>
        </w:tc>
      </w:tr>
      <w:tr w:rsidR="005D1B04">
        <w:tc>
          <w:tcPr>
            <w:tcW w:w="2880" w:type="dxa"/>
            <w:tcBorders>
              <w:top w:val="nil"/>
              <w:left w:val="nil"/>
              <w:bottom w:val="nil"/>
              <w:right w:val="nil"/>
            </w:tcBorders>
          </w:tcPr>
          <w:p w:rsidR="005D1B04" w:rsidRDefault="005D1B04" w:rsidP="00661B74">
            <w:pPr>
              <w:pStyle w:val="Heading2"/>
              <w:numPr>
                <w:ilvl w:val="0"/>
                <w:numId w:val="0"/>
              </w:numPr>
            </w:pPr>
          </w:p>
        </w:tc>
        <w:tc>
          <w:tcPr>
            <w:tcW w:w="6624" w:type="dxa"/>
            <w:tcBorders>
              <w:top w:val="nil"/>
              <w:left w:val="nil"/>
              <w:bottom w:val="nil"/>
              <w:right w:val="nil"/>
            </w:tcBorders>
          </w:tcPr>
          <w:p w:rsidR="005D1B04" w:rsidRDefault="00661B74" w:rsidP="00661B74">
            <w:pPr>
              <w:pStyle w:val="Heading4"/>
            </w:pPr>
            <w:r>
              <w:t>The permittee must keep an up-to-date, readily accessible record of the following data measured during each performance test and also include the following data in the report of the initial performance test required under 40 CFR 60.8:  flare design, all visible emission readings, heat content determinations, flow rate measurements, exit velocity determinations made during the performance test, continuous records of the flare pilot flame monitoring, and records of all periods of operations during which the pilot flame is absent.  [40 CFRR 60.665(</w:t>
            </w:r>
            <w:proofErr w:type="spellStart"/>
            <w:r>
              <w:t>b</w:t>
            </w:r>
            <w:proofErr w:type="spellEnd"/>
            <w:r>
              <w:t>)]</w:t>
            </w:r>
          </w:p>
        </w:tc>
      </w:tr>
      <w:tr w:rsidR="005D1B04">
        <w:tc>
          <w:tcPr>
            <w:tcW w:w="2880" w:type="dxa"/>
            <w:tcBorders>
              <w:top w:val="nil"/>
              <w:left w:val="nil"/>
              <w:bottom w:val="nil"/>
              <w:right w:val="nil"/>
            </w:tcBorders>
          </w:tcPr>
          <w:p w:rsidR="005D1B04" w:rsidRDefault="005D1B04" w:rsidP="00661B74">
            <w:pPr>
              <w:pStyle w:val="Heading2"/>
              <w:numPr>
                <w:ilvl w:val="0"/>
                <w:numId w:val="0"/>
              </w:numPr>
            </w:pPr>
          </w:p>
        </w:tc>
        <w:tc>
          <w:tcPr>
            <w:tcW w:w="6624" w:type="dxa"/>
            <w:tcBorders>
              <w:top w:val="nil"/>
              <w:left w:val="nil"/>
              <w:bottom w:val="nil"/>
              <w:right w:val="nil"/>
            </w:tcBorders>
          </w:tcPr>
          <w:p w:rsidR="005D1B04" w:rsidRDefault="00661B74" w:rsidP="00BE3FDE">
            <w:pPr>
              <w:pStyle w:val="Heading4"/>
            </w:pPr>
            <w:bookmarkStart w:id="42" w:name="_Ref250978871"/>
            <w:r>
              <w:t>The permittee must keep up</w:t>
            </w:r>
            <w:r w:rsidR="00BE3FDE">
              <w:t>-</w:t>
            </w:r>
            <w:r>
              <w:t>to</w:t>
            </w:r>
            <w:r w:rsidR="00BE3FDE">
              <w:t>-</w:t>
            </w:r>
            <w:r>
              <w:t xml:space="preserve">date, readily accessible continuous records of the flow indication specified in Condition </w:t>
            </w:r>
            <w:r w:rsidR="00605AC6">
              <w:fldChar w:fldCharType="begin"/>
            </w:r>
            <w:r w:rsidR="00D76D57">
              <w:instrText xml:space="preserve"> REF _Ref250973391 \r \h </w:instrText>
            </w:r>
            <w:r w:rsidR="00605AC6">
              <w:fldChar w:fldCharType="separate"/>
            </w:r>
            <w:r w:rsidR="00201510">
              <w:t>2.4.b.ii</w:t>
            </w:r>
            <w:r w:rsidR="00605AC6">
              <w:fldChar w:fldCharType="end"/>
            </w:r>
            <w:r>
              <w:t>, as well as up</w:t>
            </w:r>
            <w:r w:rsidR="00BE3FDE">
              <w:t>-</w:t>
            </w:r>
            <w:r>
              <w:t>to</w:t>
            </w:r>
            <w:r w:rsidR="00BE3FDE">
              <w:t>-</w:t>
            </w:r>
            <w:r>
              <w:t>date, readily accessible records of all periods when the vent stream is diverted from the flare or has no flow rate.  [40 CFR 60.665(</w:t>
            </w:r>
            <w:proofErr w:type="spellStart"/>
            <w:r>
              <w:t>d</w:t>
            </w:r>
            <w:proofErr w:type="spellEnd"/>
            <w:r>
              <w:t>)]</w:t>
            </w:r>
            <w:bookmarkEnd w:id="42"/>
          </w:p>
        </w:tc>
      </w:tr>
      <w:tr w:rsidR="005D1B04">
        <w:tc>
          <w:tcPr>
            <w:tcW w:w="2880" w:type="dxa"/>
            <w:tcBorders>
              <w:top w:val="nil"/>
              <w:left w:val="nil"/>
              <w:bottom w:val="nil"/>
              <w:right w:val="nil"/>
            </w:tcBorders>
          </w:tcPr>
          <w:p w:rsidR="005D1B04" w:rsidRDefault="005D1B04" w:rsidP="00661B74">
            <w:pPr>
              <w:pStyle w:val="Heading2"/>
              <w:numPr>
                <w:ilvl w:val="0"/>
                <w:numId w:val="0"/>
              </w:numPr>
            </w:pPr>
          </w:p>
        </w:tc>
        <w:tc>
          <w:tcPr>
            <w:tcW w:w="6624" w:type="dxa"/>
            <w:tcBorders>
              <w:top w:val="nil"/>
              <w:left w:val="nil"/>
              <w:bottom w:val="nil"/>
              <w:right w:val="nil"/>
            </w:tcBorders>
          </w:tcPr>
          <w:p w:rsidR="005D1B04" w:rsidRDefault="00661B74" w:rsidP="00BE3FDE">
            <w:pPr>
              <w:pStyle w:val="Heading4"/>
            </w:pPr>
            <w:bookmarkStart w:id="43" w:name="_Ref250978914"/>
            <w:r>
              <w:t>The permittee must keep up</w:t>
            </w:r>
            <w:r w:rsidR="00BE3FDE">
              <w:t>-</w:t>
            </w:r>
            <w:r>
              <w:t>to</w:t>
            </w:r>
            <w:r w:rsidR="00BE3FDE">
              <w:t>-</w:t>
            </w:r>
            <w:r>
              <w:t xml:space="preserve">date, readily accessible continuous records of the flare pilot flame monitoring specified in Condition </w:t>
            </w:r>
            <w:r w:rsidR="00605AC6">
              <w:fldChar w:fldCharType="begin"/>
            </w:r>
            <w:r w:rsidR="00D76D57">
              <w:instrText xml:space="preserve"> REF _Ref250973412 \r \h </w:instrText>
            </w:r>
            <w:r w:rsidR="00605AC6">
              <w:fldChar w:fldCharType="separate"/>
            </w:r>
            <w:r w:rsidR="00201510">
              <w:t>2.4.b.i</w:t>
            </w:r>
            <w:r w:rsidR="00605AC6">
              <w:fldChar w:fldCharType="end"/>
            </w:r>
            <w:r>
              <w:t>, as well as up</w:t>
            </w:r>
            <w:r w:rsidR="00BE3FDE">
              <w:t>-</w:t>
            </w:r>
            <w:r>
              <w:t>to</w:t>
            </w:r>
            <w:r w:rsidR="00BE3FDE">
              <w:t>-</w:t>
            </w:r>
            <w:r>
              <w:t>date, readily accessible records of all periods when the pilot flame is absent.  [40 CFR 60.665(f)]</w:t>
            </w:r>
            <w:bookmarkEnd w:id="43"/>
          </w:p>
          <w:p w:rsidR="00BE3FDE" w:rsidRPr="00BE3FDE" w:rsidRDefault="00BE3FDE" w:rsidP="00BE3FDE"/>
        </w:tc>
      </w:tr>
      <w:tr w:rsidR="005D1B04">
        <w:tc>
          <w:tcPr>
            <w:tcW w:w="2880" w:type="dxa"/>
            <w:tcBorders>
              <w:top w:val="nil"/>
              <w:left w:val="nil"/>
              <w:bottom w:val="nil"/>
              <w:right w:val="nil"/>
            </w:tcBorders>
          </w:tcPr>
          <w:p w:rsidR="005D1B04" w:rsidRDefault="005D1B04" w:rsidP="00661B74">
            <w:pPr>
              <w:pStyle w:val="Heading2"/>
              <w:numPr>
                <w:ilvl w:val="0"/>
                <w:numId w:val="0"/>
              </w:numPr>
            </w:pPr>
          </w:p>
        </w:tc>
        <w:tc>
          <w:tcPr>
            <w:tcW w:w="6624" w:type="dxa"/>
            <w:tcBorders>
              <w:top w:val="nil"/>
              <w:left w:val="nil"/>
              <w:bottom w:val="nil"/>
              <w:right w:val="nil"/>
            </w:tcBorders>
          </w:tcPr>
          <w:p w:rsidR="005D1B04" w:rsidRDefault="00297D33" w:rsidP="00297D33">
            <w:pPr>
              <w:pStyle w:val="Heading3"/>
            </w:pPr>
            <w:r>
              <w:t xml:space="preserve">NSPS Subpart RRR - </w:t>
            </w:r>
          </w:p>
        </w:tc>
      </w:tr>
      <w:tr w:rsidR="005D1B04">
        <w:tc>
          <w:tcPr>
            <w:tcW w:w="2880" w:type="dxa"/>
            <w:tcBorders>
              <w:top w:val="nil"/>
              <w:left w:val="nil"/>
              <w:bottom w:val="nil"/>
              <w:right w:val="nil"/>
            </w:tcBorders>
          </w:tcPr>
          <w:p w:rsidR="005D1B04" w:rsidRDefault="005D1B04" w:rsidP="00661B74">
            <w:pPr>
              <w:pStyle w:val="Heading2"/>
              <w:numPr>
                <w:ilvl w:val="0"/>
                <w:numId w:val="0"/>
              </w:numPr>
            </w:pPr>
          </w:p>
        </w:tc>
        <w:tc>
          <w:tcPr>
            <w:tcW w:w="6624" w:type="dxa"/>
            <w:tcBorders>
              <w:top w:val="nil"/>
              <w:left w:val="nil"/>
              <w:bottom w:val="nil"/>
              <w:right w:val="nil"/>
            </w:tcBorders>
          </w:tcPr>
          <w:p w:rsidR="005D1B04" w:rsidRDefault="00297D33" w:rsidP="00297D33">
            <w:pPr>
              <w:pStyle w:val="Heading4"/>
            </w:pPr>
            <w:r>
              <w:t>The permittee must keep an up-to-date, readily accessible record of the following data measured during each performance test and also include the following data in the report of the initial performance test required under 40 CFR 60.8:  flare design, all visible emission readings, heat content determinations, flow rate measurements, exit velocity determinations made during the performance test, continuous records of the flare pilot flame monitoring, and records of all periods of operations during which the pilot flame is absent.  [40 CFRR 60.705(</w:t>
            </w:r>
            <w:proofErr w:type="spellStart"/>
            <w:r>
              <w:t>b</w:t>
            </w:r>
            <w:proofErr w:type="spellEnd"/>
            <w:r>
              <w:t>)]</w:t>
            </w:r>
          </w:p>
        </w:tc>
      </w:tr>
      <w:tr w:rsidR="005D1B04">
        <w:tc>
          <w:tcPr>
            <w:tcW w:w="2880" w:type="dxa"/>
            <w:tcBorders>
              <w:top w:val="nil"/>
              <w:left w:val="nil"/>
              <w:bottom w:val="nil"/>
              <w:right w:val="nil"/>
            </w:tcBorders>
          </w:tcPr>
          <w:p w:rsidR="005D1B04" w:rsidRDefault="005D1B04" w:rsidP="00661B74">
            <w:pPr>
              <w:pStyle w:val="Heading2"/>
              <w:numPr>
                <w:ilvl w:val="0"/>
                <w:numId w:val="0"/>
              </w:numPr>
            </w:pPr>
          </w:p>
        </w:tc>
        <w:tc>
          <w:tcPr>
            <w:tcW w:w="6624" w:type="dxa"/>
            <w:tcBorders>
              <w:top w:val="nil"/>
              <w:left w:val="nil"/>
              <w:bottom w:val="nil"/>
              <w:right w:val="nil"/>
            </w:tcBorders>
          </w:tcPr>
          <w:p w:rsidR="005D1B04" w:rsidRDefault="00297D33" w:rsidP="0059639D">
            <w:pPr>
              <w:pStyle w:val="Heading4"/>
            </w:pPr>
            <w:bookmarkStart w:id="44" w:name="_Ref250979092"/>
            <w:r>
              <w:t>The permittee must keep up</w:t>
            </w:r>
            <w:r w:rsidR="0059639D">
              <w:t>-</w:t>
            </w:r>
            <w:r>
              <w:t>to</w:t>
            </w:r>
            <w:r w:rsidR="0059639D">
              <w:t>-</w:t>
            </w:r>
            <w:r>
              <w:t xml:space="preserve">date, readily accessible continuous records of the flow indication specified in Condition </w:t>
            </w:r>
            <w:r w:rsidR="00605AC6">
              <w:fldChar w:fldCharType="begin"/>
            </w:r>
            <w:r w:rsidR="00D76D57">
              <w:instrText xml:space="preserve"> REF _Ref250973440 \r \h </w:instrText>
            </w:r>
            <w:r w:rsidR="00605AC6">
              <w:fldChar w:fldCharType="separate"/>
            </w:r>
            <w:r w:rsidR="00201510">
              <w:t>2.5.b.ii</w:t>
            </w:r>
            <w:r w:rsidR="00605AC6">
              <w:fldChar w:fldCharType="end"/>
            </w:r>
            <w:r>
              <w:t>, as well as up</w:t>
            </w:r>
            <w:r w:rsidR="0059639D">
              <w:t>-</w:t>
            </w:r>
            <w:r>
              <w:t>to</w:t>
            </w:r>
            <w:r w:rsidR="0059639D">
              <w:t>-</w:t>
            </w:r>
            <w:r>
              <w:t>date, readily accessible records of all periods when the vent stream is diverted from the flare.  [40 CFR 60.705(</w:t>
            </w:r>
            <w:proofErr w:type="spellStart"/>
            <w:r>
              <w:t>d</w:t>
            </w:r>
            <w:proofErr w:type="spellEnd"/>
            <w:r>
              <w:t>)]</w:t>
            </w:r>
            <w:bookmarkEnd w:id="44"/>
          </w:p>
        </w:tc>
      </w:tr>
      <w:tr w:rsidR="005D1B04">
        <w:tc>
          <w:tcPr>
            <w:tcW w:w="2880" w:type="dxa"/>
            <w:tcBorders>
              <w:top w:val="nil"/>
              <w:left w:val="nil"/>
              <w:bottom w:val="nil"/>
              <w:right w:val="nil"/>
            </w:tcBorders>
          </w:tcPr>
          <w:p w:rsidR="005D1B04" w:rsidRDefault="005D1B04" w:rsidP="00661B74">
            <w:pPr>
              <w:pStyle w:val="Heading2"/>
              <w:numPr>
                <w:ilvl w:val="0"/>
                <w:numId w:val="0"/>
              </w:numPr>
            </w:pPr>
          </w:p>
        </w:tc>
        <w:tc>
          <w:tcPr>
            <w:tcW w:w="6624" w:type="dxa"/>
            <w:tcBorders>
              <w:top w:val="nil"/>
              <w:left w:val="nil"/>
              <w:bottom w:val="nil"/>
              <w:right w:val="nil"/>
            </w:tcBorders>
          </w:tcPr>
          <w:p w:rsidR="005D1B04" w:rsidRDefault="00297D33" w:rsidP="0059639D">
            <w:pPr>
              <w:pStyle w:val="Heading4"/>
            </w:pPr>
            <w:bookmarkStart w:id="45" w:name="_Ref250979122"/>
            <w:r>
              <w:t>The permittee must keep up</w:t>
            </w:r>
            <w:r w:rsidR="0059639D">
              <w:t>-</w:t>
            </w:r>
            <w:r>
              <w:t>to</w:t>
            </w:r>
            <w:r w:rsidR="0059639D">
              <w:t>-</w:t>
            </w:r>
            <w:r>
              <w:t xml:space="preserve">date, readily accessible continuous records of the flare pilot flame monitoring specified in Condition </w:t>
            </w:r>
            <w:r w:rsidR="00605AC6">
              <w:fldChar w:fldCharType="begin"/>
            </w:r>
            <w:r w:rsidR="00D76D57">
              <w:instrText xml:space="preserve"> REF _Ref250973458 \r \h </w:instrText>
            </w:r>
            <w:r w:rsidR="00605AC6">
              <w:fldChar w:fldCharType="separate"/>
            </w:r>
            <w:r w:rsidR="00201510">
              <w:t>2.5.b.i</w:t>
            </w:r>
            <w:r w:rsidR="00605AC6">
              <w:fldChar w:fldCharType="end"/>
            </w:r>
            <w:r>
              <w:t>, as well as up</w:t>
            </w:r>
            <w:r w:rsidR="0059639D">
              <w:t>-</w:t>
            </w:r>
            <w:r>
              <w:t>to</w:t>
            </w:r>
            <w:r w:rsidR="0059639D">
              <w:t>-</w:t>
            </w:r>
            <w:r>
              <w:t>date, readily accessible records of all periods when the pilot flame is absent.  [40 CFR 60.705(f)]</w:t>
            </w:r>
            <w:bookmarkEnd w:id="45"/>
          </w:p>
        </w:tc>
      </w:tr>
      <w:tr w:rsidR="007D0D4F">
        <w:tc>
          <w:tcPr>
            <w:tcW w:w="2880" w:type="dxa"/>
            <w:tcBorders>
              <w:top w:val="nil"/>
              <w:left w:val="nil"/>
              <w:bottom w:val="nil"/>
              <w:right w:val="nil"/>
            </w:tcBorders>
          </w:tcPr>
          <w:p w:rsidR="007D0D4F" w:rsidRDefault="007D0D4F" w:rsidP="00297D33">
            <w:pPr>
              <w:pStyle w:val="Heading2"/>
            </w:pPr>
            <w:r>
              <w:t>Excess Emissions</w:t>
            </w:r>
          </w:p>
        </w:tc>
        <w:tc>
          <w:tcPr>
            <w:tcW w:w="6624" w:type="dxa"/>
            <w:tcBorders>
              <w:top w:val="nil"/>
              <w:left w:val="nil"/>
              <w:bottom w:val="nil"/>
              <w:right w:val="nil"/>
            </w:tcBorders>
          </w:tcPr>
          <w:p w:rsidR="007D0D4F" w:rsidRDefault="007D0D4F" w:rsidP="007D0D4F">
            <w:pPr>
              <w:pStyle w:val="Bodytext"/>
            </w:pPr>
            <w:r>
              <w:t>The permittee must maintain records of excess emissions as defined in OAR 340-214-0300 through 340-214-0340 (recorded on occurrence).  Typically, excess emissions are caused by process upsets, startups, shutdowns, or scheduled maintenance.  In many cases, excess emissions are evident when visible emissions are greater than 20% opacity for 3 minutes or more in any 60-minute period.  If there is an ongoing excess emission caused by an upset or breakdown, the permittee must cease operation of the equipment or facility no later than 48 hours after the beginning of the excess emissions, unless continued operation is approved by the Department in accordance with OAR 340-214-0330(4).</w:t>
            </w:r>
          </w:p>
        </w:tc>
      </w:tr>
      <w:tr w:rsidR="00986586">
        <w:trPr>
          <w:trHeight w:val="1098"/>
        </w:trPr>
        <w:tc>
          <w:tcPr>
            <w:tcW w:w="2880" w:type="dxa"/>
            <w:tcBorders>
              <w:top w:val="nil"/>
              <w:left w:val="nil"/>
              <w:bottom w:val="nil"/>
              <w:right w:val="nil"/>
            </w:tcBorders>
          </w:tcPr>
          <w:p w:rsidR="00986586" w:rsidRDefault="00986586" w:rsidP="00297D33">
            <w:pPr>
              <w:pStyle w:val="Heading2"/>
            </w:pPr>
            <w:r>
              <w:t>Complaint Log</w:t>
            </w:r>
          </w:p>
        </w:tc>
        <w:tc>
          <w:tcPr>
            <w:tcW w:w="6624" w:type="dxa"/>
            <w:tcBorders>
              <w:top w:val="nil"/>
              <w:left w:val="nil"/>
              <w:bottom w:val="nil"/>
              <w:right w:val="nil"/>
            </w:tcBorders>
          </w:tcPr>
          <w:p w:rsidR="00986586" w:rsidRDefault="00986586">
            <w:pPr>
              <w:pStyle w:val="Bodytext"/>
            </w:pPr>
            <w:bookmarkStart w:id="46" w:name="_Ref384632355"/>
            <w:r>
              <w:t xml:space="preserve">The permittee must maintain a log of all written complaints and complaints received via telephone that specifically refer to air pollution concerns associated to the permitted facility.  The log must include a record of the </w:t>
            </w:r>
            <w:proofErr w:type="spellStart"/>
            <w:r>
              <w:t>permittee’s</w:t>
            </w:r>
            <w:proofErr w:type="spellEnd"/>
            <w:r>
              <w:t xml:space="preserve"> actions to investigate the validity of each complaint and </w:t>
            </w:r>
            <w:bookmarkEnd w:id="46"/>
            <w:r>
              <w:t>a record of actions taken for complaint resolution.</w:t>
            </w:r>
          </w:p>
        </w:tc>
      </w:tr>
      <w:tr w:rsidR="00986586">
        <w:tc>
          <w:tcPr>
            <w:tcW w:w="2880" w:type="dxa"/>
            <w:tcBorders>
              <w:top w:val="nil"/>
              <w:left w:val="nil"/>
              <w:bottom w:val="nil"/>
              <w:right w:val="nil"/>
            </w:tcBorders>
          </w:tcPr>
          <w:p w:rsidR="00986586" w:rsidRDefault="00986586" w:rsidP="00297D33">
            <w:pPr>
              <w:pStyle w:val="Heading2"/>
            </w:pPr>
            <w:r>
              <w:t>Retention of Records</w:t>
            </w:r>
          </w:p>
        </w:tc>
        <w:tc>
          <w:tcPr>
            <w:tcW w:w="6624" w:type="dxa"/>
            <w:tcBorders>
              <w:top w:val="nil"/>
              <w:left w:val="nil"/>
              <w:bottom w:val="nil"/>
              <w:right w:val="nil"/>
            </w:tcBorders>
          </w:tcPr>
          <w:p w:rsidR="00986586" w:rsidRDefault="00986586">
            <w:pPr>
              <w:pStyle w:val="Bodytext"/>
            </w:pPr>
            <w:r>
              <w:t>Unless otherwise specified, all records must be maintained on site for a period of two (2) years and made available to the Department upon request.</w:t>
            </w:r>
          </w:p>
        </w:tc>
      </w:tr>
    </w:tbl>
    <w:p w:rsidR="00986586" w:rsidRDefault="00986586"/>
    <w:p w:rsidR="00986586" w:rsidRDefault="00986586"/>
    <w:p w:rsidR="00986586" w:rsidRDefault="00986586" w:rsidP="00297D33">
      <w:pPr>
        <w:pStyle w:val="Heading1"/>
      </w:pPr>
      <w:bookmarkStart w:id="47" w:name="_Toc481295407"/>
      <w:bookmarkStart w:id="48" w:name="_Toc253664548"/>
      <w:r>
        <w:t>reporting requirements</w:t>
      </w:r>
      <w:bookmarkEnd w:id="47"/>
      <w:bookmarkEnd w:id="48"/>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rsidP="00297D33">
            <w:pPr>
              <w:pStyle w:val="Heading2"/>
            </w:pPr>
            <w:r>
              <w:t>Excess Emissions</w:t>
            </w:r>
          </w:p>
        </w:tc>
        <w:tc>
          <w:tcPr>
            <w:tcW w:w="6624" w:type="dxa"/>
            <w:tcBorders>
              <w:top w:val="nil"/>
              <w:left w:val="nil"/>
              <w:bottom w:val="nil"/>
              <w:right w:val="nil"/>
            </w:tcBorders>
          </w:tcPr>
          <w:p w:rsidR="00986586" w:rsidRDefault="00986586">
            <w:pPr>
              <w:pStyle w:val="Bodytext"/>
            </w:pPr>
            <w:r>
              <w:t xml:space="preserve">The permittee must </w:t>
            </w:r>
            <w:r w:rsidR="0035293A">
              <w:t>notify the Department of excess emissions events if the excess emission</w:t>
            </w:r>
            <w:r>
              <w:t xml:space="preserve"> </w:t>
            </w:r>
            <w:r w:rsidR="0035293A">
              <w:t xml:space="preserve">is </w:t>
            </w:r>
            <w:r>
              <w:t>of a nature tha</w:t>
            </w:r>
            <w:r w:rsidR="00F11FEF">
              <w:t>t could endanger public health.</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297D33">
            <w:pPr>
              <w:pStyle w:val="Heading3"/>
            </w:pPr>
            <w:r w:rsidRPr="00297D33">
              <w:t>Such</w:t>
            </w:r>
            <w:r>
              <w:t xml:space="preserve"> notice must be provided as soon as possible, but never more than one hour after becoming aware of the problem.  Notice must be made to the regional office identified in Condition </w:t>
            </w:r>
            <w:r w:rsidR="00605AC6">
              <w:fldChar w:fldCharType="begin"/>
            </w:r>
            <w:r>
              <w:instrText xml:space="preserve"> REF _Ref517140933 \r \h </w:instrText>
            </w:r>
            <w:r w:rsidR="00605AC6">
              <w:fldChar w:fldCharType="separate"/>
            </w:r>
            <w:r w:rsidR="00201510">
              <w:t>7.4</w:t>
            </w:r>
            <w:r w:rsidR="00605AC6">
              <w:fldChar w:fldCharType="end"/>
            </w:r>
            <w:r w:rsidR="00F11FEF">
              <w:t xml:space="preserve"> by e-mail, telephone, facsimile, or in person</w:t>
            </w:r>
            <w:r>
              <w:t>.</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297D33">
            <w:pPr>
              <w:pStyle w:val="Heading3"/>
            </w:pPr>
            <w:r>
              <w:t>If the excess emissions occur during non-business hours, the permittee must notify the Department by calling the Oregon Emergency Response System (OERS).  The current number is 1-800-452-0311.</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297D33">
            <w:pPr>
              <w:pStyle w:val="Heading3"/>
            </w:pPr>
            <w:r>
              <w:t xml:space="preserve">The permittee must also submit </w:t>
            </w:r>
            <w:r w:rsidRPr="00297D33">
              <w:t>follow</w:t>
            </w:r>
            <w:r>
              <w:t>-up reports when required by the Department.</w:t>
            </w:r>
          </w:p>
        </w:tc>
      </w:tr>
      <w:tr w:rsidR="00986586">
        <w:tc>
          <w:tcPr>
            <w:tcW w:w="2880" w:type="dxa"/>
            <w:tcBorders>
              <w:top w:val="nil"/>
              <w:left w:val="nil"/>
              <w:bottom w:val="nil"/>
              <w:right w:val="nil"/>
            </w:tcBorders>
          </w:tcPr>
          <w:p w:rsidR="00986586" w:rsidRDefault="00297D33" w:rsidP="00297D33">
            <w:pPr>
              <w:pStyle w:val="Heading2"/>
            </w:pPr>
            <w:r>
              <w:t>NSPS Subpart A</w:t>
            </w:r>
          </w:p>
        </w:tc>
        <w:tc>
          <w:tcPr>
            <w:tcW w:w="6624" w:type="dxa"/>
            <w:tcBorders>
              <w:top w:val="nil"/>
              <w:left w:val="nil"/>
              <w:bottom w:val="nil"/>
              <w:right w:val="nil"/>
            </w:tcBorders>
          </w:tcPr>
          <w:p w:rsidR="00986586" w:rsidRDefault="00297D33" w:rsidP="00D76D57">
            <w:pPr>
              <w:pStyle w:val="Bodytext"/>
            </w:pPr>
            <w:r>
              <w:t xml:space="preserve">The permittee must submit the notifications/reports required by Condition </w:t>
            </w:r>
            <w:r w:rsidR="00605AC6">
              <w:fldChar w:fldCharType="begin"/>
            </w:r>
            <w:r w:rsidR="00D76D57">
              <w:instrText xml:space="preserve"> REF _Ref250729193 \r \h </w:instrText>
            </w:r>
            <w:r w:rsidR="00605AC6">
              <w:fldChar w:fldCharType="separate"/>
            </w:r>
            <w:r w:rsidR="00201510">
              <w:t>2.1.a</w:t>
            </w:r>
            <w:r w:rsidR="00605AC6">
              <w:fldChar w:fldCharType="end"/>
            </w:r>
            <w:r w:rsidR="00D949F8">
              <w:t xml:space="preserve"> to the EPA administrator and DEQ Eastern Regional Office in Bend.</w:t>
            </w:r>
          </w:p>
        </w:tc>
      </w:tr>
      <w:tr w:rsidR="00986586">
        <w:tc>
          <w:tcPr>
            <w:tcW w:w="2880" w:type="dxa"/>
            <w:tcBorders>
              <w:top w:val="nil"/>
              <w:left w:val="nil"/>
              <w:bottom w:val="nil"/>
              <w:right w:val="nil"/>
            </w:tcBorders>
          </w:tcPr>
          <w:p w:rsidR="00986586" w:rsidRDefault="00D949F8" w:rsidP="00D949F8">
            <w:pPr>
              <w:pStyle w:val="Heading2"/>
            </w:pPr>
            <w:r>
              <w:t>NSPS Subpart Dc</w:t>
            </w:r>
          </w:p>
        </w:tc>
        <w:tc>
          <w:tcPr>
            <w:tcW w:w="6624" w:type="dxa"/>
            <w:tcBorders>
              <w:top w:val="nil"/>
              <w:left w:val="nil"/>
              <w:bottom w:val="nil"/>
              <w:right w:val="nil"/>
            </w:tcBorders>
          </w:tcPr>
          <w:p w:rsidR="00986586" w:rsidRDefault="00C8446F">
            <w:pPr>
              <w:pStyle w:val="Bodytext"/>
            </w:pPr>
            <w:r>
              <w:t xml:space="preserve">The permittee must submit the notifications/reports required by Condition </w:t>
            </w:r>
            <w:r w:rsidR="00605AC6">
              <w:fldChar w:fldCharType="begin"/>
            </w:r>
            <w:r w:rsidR="00D76D57">
              <w:instrText xml:space="preserve"> REF _Ref250973607 \r \h </w:instrText>
            </w:r>
            <w:r w:rsidR="00605AC6">
              <w:fldChar w:fldCharType="separate"/>
            </w:r>
            <w:r w:rsidR="00201510">
              <w:t>2.2.a</w:t>
            </w:r>
            <w:r w:rsidR="00605AC6">
              <w:fldChar w:fldCharType="end"/>
            </w:r>
            <w:r>
              <w:t xml:space="preserve"> to the EPA administrator and DEQ Eastern Regional Office in Bend.</w:t>
            </w:r>
          </w:p>
          <w:p w:rsidR="00C656DD" w:rsidRDefault="00C656DD">
            <w:pPr>
              <w:pStyle w:val="Bodytext"/>
            </w:pPr>
            <w:r>
              <w:t xml:space="preserve">The permittee must submit boiler fuel reports semi-annually to the Department in accordance with 40 CFR </w:t>
            </w:r>
            <w:proofErr w:type="gramStart"/>
            <w:r>
              <w:t>60.48c(</w:t>
            </w:r>
            <w:proofErr w:type="spellStart"/>
            <w:proofErr w:type="gramEnd"/>
            <w:r>
              <w:t>j</w:t>
            </w:r>
            <w:proofErr w:type="spellEnd"/>
            <w:r>
              <w:t>).  All reports must be submitted within 30 calendar days following the end of the applicable reporting period.</w:t>
            </w:r>
          </w:p>
        </w:tc>
      </w:tr>
      <w:tr w:rsidR="00C8446F">
        <w:tc>
          <w:tcPr>
            <w:tcW w:w="2880" w:type="dxa"/>
            <w:tcBorders>
              <w:top w:val="nil"/>
              <w:left w:val="nil"/>
              <w:bottom w:val="nil"/>
              <w:right w:val="nil"/>
            </w:tcBorders>
          </w:tcPr>
          <w:p w:rsidR="00C8446F" w:rsidRDefault="00C8446F" w:rsidP="00C8446F">
            <w:pPr>
              <w:pStyle w:val="Heading2"/>
            </w:pPr>
            <w:r>
              <w:t xml:space="preserve">NSPS Subpart </w:t>
            </w:r>
            <w:proofErr w:type="spellStart"/>
            <w:r>
              <w:t>VVa</w:t>
            </w:r>
            <w:proofErr w:type="spellEnd"/>
          </w:p>
        </w:tc>
        <w:tc>
          <w:tcPr>
            <w:tcW w:w="6624" w:type="dxa"/>
            <w:tcBorders>
              <w:top w:val="nil"/>
              <w:left w:val="nil"/>
              <w:bottom w:val="nil"/>
              <w:right w:val="nil"/>
            </w:tcBorders>
          </w:tcPr>
          <w:p w:rsidR="00C8446F" w:rsidRDefault="00D85DCC">
            <w:pPr>
              <w:pStyle w:val="Bodytext"/>
            </w:pPr>
            <w:r>
              <w:t>The permittee must submit semi-annual reports to the Department beginning 6 months after the initial startup date.</w:t>
            </w:r>
          </w:p>
        </w:tc>
      </w:tr>
      <w:tr w:rsidR="00D85DCC">
        <w:tc>
          <w:tcPr>
            <w:tcW w:w="2880" w:type="dxa"/>
            <w:tcBorders>
              <w:top w:val="nil"/>
              <w:left w:val="nil"/>
              <w:bottom w:val="nil"/>
              <w:right w:val="nil"/>
            </w:tcBorders>
          </w:tcPr>
          <w:p w:rsidR="00D85DCC" w:rsidRDefault="00D85DCC" w:rsidP="00C8446F">
            <w:pPr>
              <w:pStyle w:val="Heading2"/>
              <w:numPr>
                <w:ilvl w:val="0"/>
                <w:numId w:val="0"/>
              </w:numPr>
            </w:pPr>
          </w:p>
        </w:tc>
        <w:tc>
          <w:tcPr>
            <w:tcW w:w="6624" w:type="dxa"/>
            <w:tcBorders>
              <w:top w:val="nil"/>
              <w:left w:val="nil"/>
              <w:bottom w:val="nil"/>
              <w:right w:val="nil"/>
            </w:tcBorders>
          </w:tcPr>
          <w:p w:rsidR="00D85DCC" w:rsidRDefault="00D85DCC" w:rsidP="00D85DCC">
            <w:pPr>
              <w:pStyle w:val="Heading3"/>
            </w:pPr>
            <w:r>
              <w:t xml:space="preserve">The initial semi-annual report must contain the following information:  [40 CFR </w:t>
            </w:r>
            <w:proofErr w:type="gramStart"/>
            <w:r>
              <w:t>60.487a(</w:t>
            </w:r>
            <w:proofErr w:type="spellStart"/>
            <w:proofErr w:type="gramEnd"/>
            <w:r>
              <w:t>b</w:t>
            </w:r>
            <w:proofErr w:type="spellEnd"/>
            <w:r>
              <w:t>)]</w:t>
            </w:r>
          </w:p>
        </w:tc>
      </w:tr>
      <w:tr w:rsidR="00D85DCC">
        <w:tc>
          <w:tcPr>
            <w:tcW w:w="2880" w:type="dxa"/>
            <w:tcBorders>
              <w:top w:val="nil"/>
              <w:left w:val="nil"/>
              <w:bottom w:val="nil"/>
              <w:right w:val="nil"/>
            </w:tcBorders>
          </w:tcPr>
          <w:p w:rsidR="00D85DCC" w:rsidRDefault="00D85DCC" w:rsidP="00C8446F">
            <w:pPr>
              <w:pStyle w:val="Heading2"/>
              <w:numPr>
                <w:ilvl w:val="0"/>
                <w:numId w:val="0"/>
              </w:numPr>
            </w:pPr>
          </w:p>
        </w:tc>
        <w:tc>
          <w:tcPr>
            <w:tcW w:w="6624" w:type="dxa"/>
            <w:tcBorders>
              <w:top w:val="nil"/>
              <w:left w:val="nil"/>
              <w:bottom w:val="nil"/>
              <w:right w:val="nil"/>
            </w:tcBorders>
          </w:tcPr>
          <w:p w:rsidR="00D85DCC" w:rsidRDefault="00D85DCC" w:rsidP="00D85DCC">
            <w:pPr>
              <w:pStyle w:val="Heading4"/>
            </w:pPr>
            <w:r>
              <w:t>Process unit identification;</w:t>
            </w:r>
          </w:p>
          <w:p w:rsidR="00D85DCC" w:rsidRDefault="00D85DCC" w:rsidP="00D85DCC">
            <w:pPr>
              <w:pStyle w:val="Heading4"/>
            </w:pPr>
            <w:r>
              <w:t xml:space="preserve">Number of valves subject to the requirements of Condition </w:t>
            </w:r>
            <w:r w:rsidR="00605AC6">
              <w:fldChar w:fldCharType="begin"/>
            </w:r>
            <w:r>
              <w:instrText xml:space="preserve"> REF _Ref250538441 \r \h </w:instrText>
            </w:r>
            <w:r w:rsidR="00605AC6">
              <w:fldChar w:fldCharType="separate"/>
            </w:r>
            <w:r w:rsidR="00201510">
              <w:t>2.3.e</w:t>
            </w:r>
            <w:r w:rsidR="00605AC6">
              <w:fldChar w:fldCharType="end"/>
            </w:r>
            <w:r>
              <w:t>, excluding those valves designated for no detectable emissions under the pro</w:t>
            </w:r>
            <w:r w:rsidR="00A14023">
              <w:t>visions of 40 CFR 60. 482-</w:t>
            </w:r>
            <w:proofErr w:type="gramStart"/>
            <w:r w:rsidR="00A14023">
              <w:t>7a(</w:t>
            </w:r>
            <w:proofErr w:type="gramEnd"/>
            <w:r w:rsidR="00A14023">
              <w:t>f);</w:t>
            </w:r>
          </w:p>
          <w:p w:rsidR="00A14023" w:rsidRDefault="00A14023" w:rsidP="00A14023">
            <w:pPr>
              <w:pStyle w:val="Heading4"/>
            </w:pPr>
            <w:r>
              <w:t xml:space="preserve">Number of pumps subject to the requirements of Condition </w:t>
            </w:r>
            <w:r w:rsidR="00605AC6">
              <w:fldChar w:fldCharType="begin"/>
            </w:r>
            <w:r>
              <w:instrText xml:space="preserve"> REF _Ref250538642 \r \h </w:instrText>
            </w:r>
            <w:r w:rsidR="00605AC6">
              <w:fldChar w:fldCharType="separate"/>
            </w:r>
            <w:r w:rsidR="00201510">
              <w:t>2.3.a</w:t>
            </w:r>
            <w:r w:rsidR="00605AC6">
              <w:fldChar w:fldCharType="end"/>
            </w:r>
            <w:r>
              <w:t>, excluding those pumps designated for no detectable emissions under the provisions of 40 CFR 60.482-2a(</w:t>
            </w:r>
            <w:proofErr w:type="spellStart"/>
            <w:r>
              <w:t>e</w:t>
            </w:r>
            <w:proofErr w:type="spellEnd"/>
            <w:r>
              <w:t>) and those pumps complying with 40 CFR 60.482-2a(f);</w:t>
            </w:r>
          </w:p>
          <w:p w:rsidR="00A14023" w:rsidRPr="00A14023" w:rsidRDefault="008A7DAE" w:rsidP="008A7DAE">
            <w:pPr>
              <w:pStyle w:val="Heading4"/>
            </w:pPr>
            <w:proofErr w:type="gramStart"/>
            <w:r>
              <w:t xml:space="preserve">Number of connectors subject to the requirements of Condition </w:t>
            </w:r>
            <w:r w:rsidR="00605AC6">
              <w:fldChar w:fldCharType="begin"/>
            </w:r>
            <w:r>
              <w:instrText xml:space="preserve"> REF _Ref250540280 \r \h </w:instrText>
            </w:r>
            <w:r w:rsidR="00605AC6">
              <w:fldChar w:fldCharType="separate"/>
            </w:r>
            <w:r w:rsidR="00201510">
              <w:t>2.3.h</w:t>
            </w:r>
            <w:r w:rsidR="00605AC6">
              <w:fldChar w:fldCharType="end"/>
            </w:r>
            <w:r>
              <w:t>.</w:t>
            </w:r>
            <w:proofErr w:type="gramEnd"/>
          </w:p>
        </w:tc>
      </w:tr>
      <w:tr w:rsidR="00D85DCC">
        <w:tc>
          <w:tcPr>
            <w:tcW w:w="2880" w:type="dxa"/>
            <w:tcBorders>
              <w:top w:val="nil"/>
              <w:left w:val="nil"/>
              <w:bottom w:val="nil"/>
              <w:right w:val="nil"/>
            </w:tcBorders>
          </w:tcPr>
          <w:p w:rsidR="00D85DCC" w:rsidRDefault="00D85DCC" w:rsidP="00C8446F">
            <w:pPr>
              <w:pStyle w:val="Heading2"/>
              <w:numPr>
                <w:ilvl w:val="0"/>
                <w:numId w:val="0"/>
              </w:numPr>
            </w:pPr>
          </w:p>
        </w:tc>
        <w:tc>
          <w:tcPr>
            <w:tcW w:w="6624" w:type="dxa"/>
            <w:tcBorders>
              <w:top w:val="nil"/>
              <w:left w:val="nil"/>
              <w:bottom w:val="nil"/>
              <w:right w:val="nil"/>
            </w:tcBorders>
          </w:tcPr>
          <w:p w:rsidR="00D85DCC" w:rsidRDefault="008A7DAE" w:rsidP="008A7DAE">
            <w:pPr>
              <w:pStyle w:val="Heading3"/>
            </w:pPr>
            <w:r>
              <w:t>All semi-annual reports must include the following information:  [40 CFR 60.487a(</w:t>
            </w:r>
            <w:proofErr w:type="spellStart"/>
            <w:r>
              <w:t>c</w:t>
            </w:r>
            <w:proofErr w:type="spellEnd"/>
            <w:r>
              <w:t>)]</w:t>
            </w:r>
          </w:p>
        </w:tc>
      </w:tr>
      <w:tr w:rsidR="00D85DCC">
        <w:tc>
          <w:tcPr>
            <w:tcW w:w="2880" w:type="dxa"/>
            <w:tcBorders>
              <w:top w:val="nil"/>
              <w:left w:val="nil"/>
              <w:bottom w:val="nil"/>
              <w:right w:val="nil"/>
            </w:tcBorders>
          </w:tcPr>
          <w:p w:rsidR="00D85DCC" w:rsidRDefault="00D85DCC" w:rsidP="00C8446F">
            <w:pPr>
              <w:pStyle w:val="Heading2"/>
              <w:numPr>
                <w:ilvl w:val="0"/>
                <w:numId w:val="0"/>
              </w:numPr>
            </w:pPr>
          </w:p>
        </w:tc>
        <w:tc>
          <w:tcPr>
            <w:tcW w:w="6624" w:type="dxa"/>
            <w:tcBorders>
              <w:top w:val="nil"/>
              <w:left w:val="nil"/>
              <w:bottom w:val="nil"/>
              <w:right w:val="nil"/>
            </w:tcBorders>
          </w:tcPr>
          <w:p w:rsidR="00890F1C" w:rsidRDefault="00890F1C" w:rsidP="00890F1C">
            <w:pPr>
              <w:pStyle w:val="Heading4"/>
            </w:pPr>
            <w:r>
              <w:t>Process unit identification;</w:t>
            </w:r>
          </w:p>
          <w:p w:rsidR="00890F1C" w:rsidRDefault="00890F1C" w:rsidP="00890F1C">
            <w:pPr>
              <w:pStyle w:val="Heading4"/>
            </w:pPr>
            <w:r>
              <w:t>For each month of the reporting period:</w:t>
            </w:r>
          </w:p>
          <w:p w:rsidR="00C57DCE" w:rsidRDefault="00890F1C" w:rsidP="00E5306D">
            <w:pPr>
              <w:pStyle w:val="Heading4"/>
              <w:numPr>
                <w:ilvl w:val="0"/>
                <w:numId w:val="41"/>
              </w:numPr>
              <w:spacing w:before="0" w:after="0"/>
            </w:pPr>
            <w:r>
              <w:t xml:space="preserve">Number of valves for which leaks were detected as described in Condition </w:t>
            </w:r>
            <w:r w:rsidR="00605AC6">
              <w:fldChar w:fldCharType="begin"/>
            </w:r>
            <w:r>
              <w:instrText xml:space="preserve"> REF _Ref250538441 \r \h </w:instrText>
            </w:r>
            <w:r w:rsidR="00605AC6">
              <w:fldChar w:fldCharType="separate"/>
            </w:r>
            <w:r w:rsidR="00201510">
              <w:t>2.3.e</w:t>
            </w:r>
            <w:r w:rsidR="00605AC6">
              <w:fldChar w:fldCharType="end"/>
            </w:r>
            <w:r w:rsidR="00C57DCE">
              <w:t>;</w:t>
            </w:r>
          </w:p>
          <w:p w:rsidR="00C57DCE" w:rsidRDefault="00C57DCE" w:rsidP="00E5306D">
            <w:pPr>
              <w:pStyle w:val="Heading4"/>
              <w:numPr>
                <w:ilvl w:val="0"/>
                <w:numId w:val="41"/>
              </w:numPr>
              <w:spacing w:before="0" w:after="0"/>
            </w:pPr>
            <w:r>
              <w:t xml:space="preserve">Number of valves for which leaks were not repaired as required in Condition </w:t>
            </w:r>
            <w:r w:rsidR="00605AC6">
              <w:fldChar w:fldCharType="begin"/>
            </w:r>
            <w:r>
              <w:instrText xml:space="preserve"> REF _Ref250541497 \r \h </w:instrText>
            </w:r>
            <w:r w:rsidR="00605AC6">
              <w:fldChar w:fldCharType="separate"/>
            </w:r>
            <w:r w:rsidR="00201510">
              <w:t>2.3.e.v</w:t>
            </w:r>
            <w:r w:rsidR="00605AC6">
              <w:fldChar w:fldCharType="end"/>
            </w:r>
            <w:r>
              <w:t>;</w:t>
            </w:r>
          </w:p>
          <w:p w:rsidR="00C57DCE" w:rsidRDefault="00C57DCE" w:rsidP="00E5306D">
            <w:pPr>
              <w:pStyle w:val="Heading4"/>
              <w:numPr>
                <w:ilvl w:val="0"/>
                <w:numId w:val="41"/>
              </w:numPr>
              <w:spacing w:before="0" w:after="0"/>
            </w:pPr>
            <w:r>
              <w:t xml:space="preserve">Number of pumps for which leaks were detected as described in Condition </w:t>
            </w:r>
            <w:r w:rsidR="00605AC6">
              <w:fldChar w:fldCharType="begin"/>
            </w:r>
            <w:r w:rsidR="009C1251">
              <w:instrText xml:space="preserve"> REF _Ref250538642 \r \h </w:instrText>
            </w:r>
            <w:r w:rsidR="00605AC6">
              <w:fldChar w:fldCharType="separate"/>
            </w:r>
            <w:r w:rsidR="00201510">
              <w:t>2.3.a</w:t>
            </w:r>
            <w:r w:rsidR="00605AC6">
              <w:fldChar w:fldCharType="end"/>
            </w:r>
            <w:r w:rsidR="009C1251">
              <w:t>;</w:t>
            </w:r>
          </w:p>
          <w:p w:rsidR="00C57DCE" w:rsidRDefault="00C57DCE" w:rsidP="00E5306D">
            <w:pPr>
              <w:pStyle w:val="Heading4"/>
              <w:numPr>
                <w:ilvl w:val="0"/>
                <w:numId w:val="41"/>
              </w:numPr>
              <w:spacing w:before="0" w:after="0"/>
            </w:pPr>
            <w:r>
              <w:t xml:space="preserve">Number of </w:t>
            </w:r>
            <w:r w:rsidR="009C1251">
              <w:t>pumps</w:t>
            </w:r>
            <w:r>
              <w:t xml:space="preserve"> for which leaks were not repaired as required in Condition </w:t>
            </w:r>
            <w:r w:rsidR="00605AC6">
              <w:fldChar w:fldCharType="begin"/>
            </w:r>
            <w:r w:rsidR="009C1251">
              <w:instrText xml:space="preserve"> REF _Ref250541691 \r \h </w:instrText>
            </w:r>
            <w:r w:rsidR="00605AC6">
              <w:fldChar w:fldCharType="separate"/>
            </w:r>
            <w:r w:rsidR="00201510">
              <w:t>2.3.a.v</w:t>
            </w:r>
            <w:r w:rsidR="00605AC6">
              <w:fldChar w:fldCharType="end"/>
            </w:r>
            <w:r w:rsidR="009C1251">
              <w:t>;</w:t>
            </w:r>
          </w:p>
          <w:p w:rsidR="009C1251" w:rsidRDefault="009C1251" w:rsidP="00E5306D">
            <w:pPr>
              <w:pStyle w:val="Heading4"/>
              <w:numPr>
                <w:ilvl w:val="0"/>
                <w:numId w:val="41"/>
              </w:numPr>
              <w:spacing w:before="0" w:after="0"/>
            </w:pPr>
            <w:r>
              <w:t xml:space="preserve">Number of connectors for which leaks were detected as described in Condition </w:t>
            </w:r>
            <w:r w:rsidR="00605AC6">
              <w:fldChar w:fldCharType="begin"/>
            </w:r>
            <w:r>
              <w:instrText xml:space="preserve"> REF _Ref250540280 \r \h </w:instrText>
            </w:r>
            <w:r w:rsidR="00605AC6">
              <w:fldChar w:fldCharType="separate"/>
            </w:r>
            <w:r w:rsidR="00201510">
              <w:t>2.3.h</w:t>
            </w:r>
            <w:r w:rsidR="00605AC6">
              <w:fldChar w:fldCharType="end"/>
            </w:r>
            <w:r>
              <w:t>;</w:t>
            </w:r>
          </w:p>
          <w:p w:rsidR="009C1251" w:rsidRDefault="009C1251" w:rsidP="00E5306D">
            <w:pPr>
              <w:pStyle w:val="Heading4"/>
              <w:numPr>
                <w:ilvl w:val="0"/>
                <w:numId w:val="41"/>
              </w:numPr>
              <w:spacing w:before="0" w:after="0"/>
            </w:pPr>
            <w:r>
              <w:t xml:space="preserve">Number of connectors for which leaks were not repaired as required in Condition </w:t>
            </w:r>
            <w:r w:rsidR="00605AC6">
              <w:fldChar w:fldCharType="begin"/>
            </w:r>
            <w:r>
              <w:instrText xml:space="preserve"> REF _Ref250541859 \r \h </w:instrText>
            </w:r>
            <w:r w:rsidR="00605AC6">
              <w:fldChar w:fldCharType="separate"/>
            </w:r>
            <w:r w:rsidR="00201510">
              <w:t>2.3.h.viii</w:t>
            </w:r>
            <w:r w:rsidR="00605AC6">
              <w:fldChar w:fldCharType="end"/>
            </w:r>
            <w:r>
              <w:t>; and</w:t>
            </w:r>
          </w:p>
          <w:p w:rsidR="00890F1C" w:rsidRDefault="009C1251" w:rsidP="00E5306D">
            <w:pPr>
              <w:pStyle w:val="Heading4"/>
              <w:numPr>
                <w:ilvl w:val="0"/>
                <w:numId w:val="41"/>
              </w:numPr>
              <w:spacing w:before="100" w:beforeAutospacing="1" w:after="0"/>
            </w:pPr>
            <w:r>
              <w:t>The facts that e</w:t>
            </w:r>
            <w:r w:rsidR="00A50E2D">
              <w:t>xplain each delay of repair and</w:t>
            </w:r>
            <w:r>
              <w:t xml:space="preserve"> where appropriate, why a process unit shutdown was technically infeasible;</w:t>
            </w:r>
          </w:p>
          <w:p w:rsidR="00890F1C" w:rsidRDefault="009C1251" w:rsidP="00890F1C">
            <w:pPr>
              <w:pStyle w:val="Heading4"/>
            </w:pPr>
            <w:r>
              <w:t>Dates of process unit shutdowns during the reporting period</w:t>
            </w:r>
            <w:r w:rsidR="00890F1C">
              <w:t>;</w:t>
            </w:r>
            <w:r>
              <w:t xml:space="preserve"> and</w:t>
            </w:r>
          </w:p>
          <w:p w:rsidR="00D85DCC" w:rsidRDefault="009C1251" w:rsidP="009C1251">
            <w:pPr>
              <w:pStyle w:val="Heading4"/>
            </w:pPr>
            <w:r>
              <w:t>Revisions to items reported in the initial semiannual report if changes have occurred since the initial report or subsequent revisions to the initial report</w:t>
            </w:r>
            <w:r w:rsidR="00890F1C">
              <w:t>.</w:t>
            </w:r>
          </w:p>
        </w:tc>
      </w:tr>
      <w:tr w:rsidR="00D85DCC">
        <w:tc>
          <w:tcPr>
            <w:tcW w:w="2880" w:type="dxa"/>
            <w:tcBorders>
              <w:top w:val="nil"/>
              <w:left w:val="nil"/>
              <w:bottom w:val="nil"/>
              <w:right w:val="nil"/>
            </w:tcBorders>
          </w:tcPr>
          <w:p w:rsidR="00D85DCC" w:rsidRDefault="00D85DCC" w:rsidP="00C8446F">
            <w:pPr>
              <w:pStyle w:val="Heading2"/>
              <w:numPr>
                <w:ilvl w:val="0"/>
                <w:numId w:val="0"/>
              </w:numPr>
            </w:pPr>
          </w:p>
        </w:tc>
        <w:tc>
          <w:tcPr>
            <w:tcW w:w="6624" w:type="dxa"/>
            <w:tcBorders>
              <w:top w:val="nil"/>
              <w:left w:val="nil"/>
              <w:bottom w:val="nil"/>
              <w:right w:val="nil"/>
            </w:tcBorders>
          </w:tcPr>
          <w:p w:rsidR="00D85DCC" w:rsidRDefault="009C1251" w:rsidP="009C1251">
            <w:pPr>
              <w:pStyle w:val="Heading3"/>
            </w:pPr>
            <w:r>
              <w:t>The permittee must report the results of all performance tests in accordance with 40 CFR 60.8</w:t>
            </w:r>
            <w:r w:rsidR="00A50E2D">
              <w:t>.</w:t>
            </w:r>
          </w:p>
        </w:tc>
      </w:tr>
      <w:tr w:rsidR="00D85DCC">
        <w:tc>
          <w:tcPr>
            <w:tcW w:w="2880" w:type="dxa"/>
            <w:tcBorders>
              <w:top w:val="nil"/>
              <w:left w:val="nil"/>
              <w:bottom w:val="nil"/>
              <w:right w:val="nil"/>
            </w:tcBorders>
          </w:tcPr>
          <w:p w:rsidR="00D85DCC" w:rsidRDefault="006C668E" w:rsidP="006C668E">
            <w:pPr>
              <w:pStyle w:val="Heading2"/>
            </w:pPr>
            <w:r>
              <w:t>NSPS Subpart NNN</w:t>
            </w:r>
          </w:p>
        </w:tc>
        <w:tc>
          <w:tcPr>
            <w:tcW w:w="6624" w:type="dxa"/>
            <w:tcBorders>
              <w:top w:val="nil"/>
              <w:left w:val="nil"/>
              <w:bottom w:val="nil"/>
              <w:right w:val="nil"/>
            </w:tcBorders>
          </w:tcPr>
          <w:p w:rsidR="00D85DCC" w:rsidRDefault="006C668E" w:rsidP="00707E57">
            <w:pPr>
              <w:pStyle w:val="Bodytext"/>
            </w:pPr>
            <w:r>
              <w:t xml:space="preserve">The permittee must submit the notifications/reports required by Condition </w:t>
            </w:r>
            <w:r w:rsidR="00605AC6">
              <w:fldChar w:fldCharType="begin"/>
            </w:r>
            <w:r w:rsidR="00707E57">
              <w:instrText xml:space="preserve"> REF _Ref250542858 \r \h </w:instrText>
            </w:r>
            <w:r w:rsidR="00605AC6">
              <w:fldChar w:fldCharType="separate"/>
            </w:r>
            <w:r w:rsidR="00201510">
              <w:t>2.4.d</w:t>
            </w:r>
            <w:r w:rsidR="00605AC6">
              <w:fldChar w:fldCharType="end"/>
            </w:r>
            <w:r w:rsidR="00707E57">
              <w:t xml:space="preserve"> </w:t>
            </w:r>
            <w:r>
              <w:t>to the EPA administrator and DEQ Eastern Regional Office in Bend.</w:t>
            </w:r>
          </w:p>
        </w:tc>
      </w:tr>
      <w:tr w:rsidR="00D85DCC">
        <w:tc>
          <w:tcPr>
            <w:tcW w:w="2880" w:type="dxa"/>
            <w:tcBorders>
              <w:top w:val="nil"/>
              <w:left w:val="nil"/>
              <w:bottom w:val="nil"/>
              <w:right w:val="nil"/>
            </w:tcBorders>
          </w:tcPr>
          <w:p w:rsidR="00D85DCC" w:rsidRDefault="00D85DCC" w:rsidP="00C8446F">
            <w:pPr>
              <w:pStyle w:val="Heading2"/>
              <w:numPr>
                <w:ilvl w:val="0"/>
                <w:numId w:val="0"/>
              </w:numPr>
            </w:pPr>
          </w:p>
        </w:tc>
        <w:tc>
          <w:tcPr>
            <w:tcW w:w="6624" w:type="dxa"/>
            <w:tcBorders>
              <w:top w:val="nil"/>
              <w:left w:val="nil"/>
              <w:bottom w:val="nil"/>
              <w:right w:val="nil"/>
            </w:tcBorders>
          </w:tcPr>
          <w:p w:rsidR="00D85DCC" w:rsidRDefault="00707E57" w:rsidP="00707E57">
            <w:pPr>
              <w:pStyle w:val="Heading3"/>
            </w:pPr>
            <w:r>
              <w:t>The permittee must submit semi-annual reports to the Department with the following information.  The initial report must be submitted within 6 months after the initial startup date.  [40 CFR 60.665(</w:t>
            </w:r>
            <w:proofErr w:type="spellStart"/>
            <w:r>
              <w:t>l</w:t>
            </w:r>
            <w:proofErr w:type="spellEnd"/>
            <w:r>
              <w:t>)]</w:t>
            </w:r>
          </w:p>
        </w:tc>
      </w:tr>
      <w:tr w:rsidR="00D85DCC">
        <w:tc>
          <w:tcPr>
            <w:tcW w:w="2880" w:type="dxa"/>
            <w:tcBorders>
              <w:top w:val="nil"/>
              <w:left w:val="nil"/>
              <w:bottom w:val="nil"/>
              <w:right w:val="nil"/>
            </w:tcBorders>
          </w:tcPr>
          <w:p w:rsidR="00D85DCC" w:rsidRDefault="00D85DCC" w:rsidP="00C8446F">
            <w:pPr>
              <w:pStyle w:val="Heading2"/>
              <w:numPr>
                <w:ilvl w:val="0"/>
                <w:numId w:val="0"/>
              </w:numPr>
            </w:pPr>
          </w:p>
        </w:tc>
        <w:tc>
          <w:tcPr>
            <w:tcW w:w="6624" w:type="dxa"/>
            <w:tcBorders>
              <w:top w:val="nil"/>
              <w:left w:val="nil"/>
              <w:bottom w:val="nil"/>
              <w:right w:val="nil"/>
            </w:tcBorders>
          </w:tcPr>
          <w:p w:rsidR="00D85DCC" w:rsidRDefault="009A7D42" w:rsidP="009A7D42">
            <w:pPr>
              <w:pStyle w:val="Heading4"/>
            </w:pPr>
            <w:r>
              <w:t xml:space="preserve">All periods recorded under Condition </w:t>
            </w:r>
            <w:r w:rsidR="00605AC6">
              <w:fldChar w:fldCharType="begin"/>
            </w:r>
            <w:r w:rsidR="00E70E25">
              <w:instrText xml:space="preserve"> REF _Ref250978871 \r \h </w:instrText>
            </w:r>
            <w:r w:rsidR="00605AC6">
              <w:fldChar w:fldCharType="separate"/>
            </w:r>
            <w:r w:rsidR="00201510">
              <w:t>5.1.f.ii</w:t>
            </w:r>
            <w:r w:rsidR="00605AC6">
              <w:fldChar w:fldCharType="end"/>
            </w:r>
            <w:r>
              <w:t xml:space="preserve"> when the vent stream is diverted from the flare or has no flow rate;</w:t>
            </w:r>
          </w:p>
          <w:p w:rsidR="009A7D42" w:rsidRPr="009A7D42" w:rsidRDefault="009A7D42" w:rsidP="00E70E25">
            <w:pPr>
              <w:pStyle w:val="Heading4"/>
            </w:pPr>
            <w:r>
              <w:t xml:space="preserve">All periods recorded under Condition </w:t>
            </w:r>
            <w:r w:rsidR="00605AC6">
              <w:fldChar w:fldCharType="begin"/>
            </w:r>
            <w:r w:rsidR="00E70E25">
              <w:instrText xml:space="preserve"> REF _Ref250978914 \r \h </w:instrText>
            </w:r>
            <w:r w:rsidR="00605AC6">
              <w:fldChar w:fldCharType="separate"/>
            </w:r>
            <w:r w:rsidR="00201510">
              <w:t>5.1.f.iii</w:t>
            </w:r>
            <w:r w:rsidR="00605AC6">
              <w:fldChar w:fldCharType="end"/>
            </w:r>
            <w:r>
              <w:t xml:space="preserve"> when the pilot flame of the flare was absent.</w:t>
            </w:r>
          </w:p>
        </w:tc>
      </w:tr>
      <w:tr w:rsidR="00D85DCC">
        <w:tc>
          <w:tcPr>
            <w:tcW w:w="2880" w:type="dxa"/>
            <w:tcBorders>
              <w:top w:val="nil"/>
              <w:left w:val="nil"/>
              <w:bottom w:val="nil"/>
              <w:right w:val="nil"/>
            </w:tcBorders>
          </w:tcPr>
          <w:p w:rsidR="00D85DCC" w:rsidRDefault="009A7D42" w:rsidP="009A7D42">
            <w:pPr>
              <w:pStyle w:val="Heading2"/>
            </w:pPr>
            <w:r>
              <w:t>NSPS Subpart RRR</w:t>
            </w:r>
          </w:p>
        </w:tc>
        <w:tc>
          <w:tcPr>
            <w:tcW w:w="6624" w:type="dxa"/>
            <w:tcBorders>
              <w:top w:val="nil"/>
              <w:left w:val="nil"/>
              <w:bottom w:val="nil"/>
              <w:right w:val="nil"/>
            </w:tcBorders>
          </w:tcPr>
          <w:p w:rsidR="00D85DCC" w:rsidRDefault="009A7D42" w:rsidP="00E70E25">
            <w:pPr>
              <w:pStyle w:val="Bodytext"/>
            </w:pPr>
            <w:r>
              <w:t xml:space="preserve">The permittee must submit the notifications/reports required by Condition </w:t>
            </w:r>
            <w:r w:rsidR="00605AC6">
              <w:fldChar w:fldCharType="begin"/>
            </w:r>
            <w:r>
              <w:instrText xml:space="preserve"> REF _Ref250547334 \r \h </w:instrText>
            </w:r>
            <w:r w:rsidR="00605AC6">
              <w:fldChar w:fldCharType="separate"/>
            </w:r>
            <w:r w:rsidR="00201510">
              <w:t>2.5.d</w:t>
            </w:r>
            <w:r w:rsidR="00605AC6">
              <w:fldChar w:fldCharType="end"/>
            </w:r>
            <w:r>
              <w:t xml:space="preserve"> to the EPA administrator and DEQ Eastern Regional Office in Bend.</w:t>
            </w:r>
          </w:p>
        </w:tc>
      </w:tr>
      <w:tr w:rsidR="00D85DCC">
        <w:tc>
          <w:tcPr>
            <w:tcW w:w="2880" w:type="dxa"/>
            <w:tcBorders>
              <w:top w:val="nil"/>
              <w:left w:val="nil"/>
              <w:bottom w:val="nil"/>
              <w:right w:val="nil"/>
            </w:tcBorders>
          </w:tcPr>
          <w:p w:rsidR="00D85DCC" w:rsidRDefault="00D85DCC" w:rsidP="00C8446F">
            <w:pPr>
              <w:pStyle w:val="Heading2"/>
              <w:numPr>
                <w:ilvl w:val="0"/>
                <w:numId w:val="0"/>
              </w:numPr>
            </w:pPr>
          </w:p>
        </w:tc>
        <w:tc>
          <w:tcPr>
            <w:tcW w:w="6624" w:type="dxa"/>
            <w:tcBorders>
              <w:top w:val="nil"/>
              <w:left w:val="nil"/>
              <w:bottom w:val="nil"/>
              <w:right w:val="nil"/>
            </w:tcBorders>
          </w:tcPr>
          <w:p w:rsidR="00D85DCC" w:rsidRDefault="009A7D42" w:rsidP="009A7D42">
            <w:pPr>
              <w:pStyle w:val="Heading3"/>
            </w:pPr>
            <w:r>
              <w:t>The permittee must submit semiannual reports to the Department with the following information.  The initial report must be submitted within 6 months after the initial startup date.  [40 CFR 60.705(1)]</w:t>
            </w:r>
          </w:p>
        </w:tc>
      </w:tr>
      <w:tr w:rsidR="00D85DCC">
        <w:tc>
          <w:tcPr>
            <w:tcW w:w="2880" w:type="dxa"/>
            <w:tcBorders>
              <w:top w:val="nil"/>
              <w:left w:val="nil"/>
              <w:bottom w:val="nil"/>
              <w:right w:val="nil"/>
            </w:tcBorders>
          </w:tcPr>
          <w:p w:rsidR="00D85DCC" w:rsidRDefault="00D85DCC" w:rsidP="00C8446F">
            <w:pPr>
              <w:pStyle w:val="Heading2"/>
              <w:numPr>
                <w:ilvl w:val="0"/>
                <w:numId w:val="0"/>
              </w:numPr>
            </w:pPr>
          </w:p>
        </w:tc>
        <w:tc>
          <w:tcPr>
            <w:tcW w:w="6624" w:type="dxa"/>
            <w:tcBorders>
              <w:top w:val="nil"/>
              <w:left w:val="nil"/>
              <w:bottom w:val="nil"/>
              <w:right w:val="nil"/>
            </w:tcBorders>
          </w:tcPr>
          <w:p w:rsidR="00D85DCC" w:rsidRDefault="009A7D42" w:rsidP="009A7D42">
            <w:pPr>
              <w:pStyle w:val="Heading4"/>
            </w:pPr>
            <w:r>
              <w:t xml:space="preserve">All periods recorded under Condition </w:t>
            </w:r>
            <w:r w:rsidR="00605AC6">
              <w:fldChar w:fldCharType="begin"/>
            </w:r>
            <w:r w:rsidR="00E70E25">
              <w:instrText xml:space="preserve"> REF _Ref250979092 \r \h </w:instrText>
            </w:r>
            <w:r w:rsidR="00605AC6">
              <w:fldChar w:fldCharType="separate"/>
            </w:r>
            <w:r w:rsidR="00201510">
              <w:t>5.1.g.ii</w:t>
            </w:r>
            <w:r w:rsidR="00605AC6">
              <w:fldChar w:fldCharType="end"/>
            </w:r>
            <w:r>
              <w:t xml:space="preserve"> when the vent stream is diverted from the flare;</w:t>
            </w:r>
          </w:p>
          <w:p w:rsidR="009A7D42" w:rsidRPr="009A7D42" w:rsidRDefault="009A7D42" w:rsidP="00E70E25">
            <w:pPr>
              <w:pStyle w:val="Heading4"/>
            </w:pPr>
            <w:r>
              <w:t xml:space="preserve">All periods recorded under Condition </w:t>
            </w:r>
            <w:r w:rsidR="00605AC6">
              <w:fldChar w:fldCharType="begin"/>
            </w:r>
            <w:r w:rsidR="00E70E25">
              <w:instrText xml:space="preserve"> REF _Ref250979122 \r \h </w:instrText>
            </w:r>
            <w:r w:rsidR="00605AC6">
              <w:fldChar w:fldCharType="separate"/>
            </w:r>
            <w:r w:rsidR="00201510">
              <w:t>5.1.g.iii</w:t>
            </w:r>
            <w:r w:rsidR="00605AC6">
              <w:fldChar w:fldCharType="end"/>
            </w:r>
            <w:r>
              <w:t xml:space="preserve"> when the pilot flame of the flare was absent.</w:t>
            </w:r>
          </w:p>
        </w:tc>
      </w:tr>
      <w:tr w:rsidR="00986586">
        <w:tc>
          <w:tcPr>
            <w:tcW w:w="2880" w:type="dxa"/>
            <w:tcBorders>
              <w:top w:val="nil"/>
              <w:left w:val="nil"/>
              <w:bottom w:val="nil"/>
              <w:right w:val="nil"/>
            </w:tcBorders>
          </w:tcPr>
          <w:p w:rsidR="00986586" w:rsidRDefault="00986586" w:rsidP="009A7D42">
            <w:pPr>
              <w:pStyle w:val="Heading2"/>
            </w:pPr>
            <w:r>
              <w:t>Annual Report</w:t>
            </w:r>
          </w:p>
        </w:tc>
        <w:tc>
          <w:tcPr>
            <w:tcW w:w="6624" w:type="dxa"/>
            <w:tcBorders>
              <w:top w:val="nil"/>
              <w:left w:val="nil"/>
              <w:bottom w:val="nil"/>
              <w:right w:val="nil"/>
            </w:tcBorders>
          </w:tcPr>
          <w:p w:rsidR="00986586" w:rsidRDefault="0051598F">
            <w:pPr>
              <w:pStyle w:val="Bodytext"/>
            </w:pPr>
            <w:r>
              <w:t>For each year this permit is in effect, t</w:t>
            </w:r>
            <w:r w:rsidR="00986586">
              <w:t xml:space="preserve">he permittee must submit to the Department by </w:t>
            </w:r>
            <w:r w:rsidR="00986586">
              <w:rPr>
                <w:b/>
              </w:rPr>
              <w:t>February 15</w:t>
            </w:r>
            <w:r w:rsidR="00986586">
              <w:t xml:space="preserve"> two (2) copies of the following information for the previous calendar year:</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A7D42" w:rsidP="00BB5B39">
            <w:pPr>
              <w:pStyle w:val="Heading3"/>
            </w:pPr>
            <w:r>
              <w:t xml:space="preserve">All process and production records as required in Condition </w:t>
            </w:r>
            <w:r w:rsidR="00605AC6">
              <w:fldChar w:fldCharType="begin"/>
            </w:r>
            <w:r w:rsidR="00BB5B39">
              <w:instrText xml:space="preserve"> REF _Ref252350783 \r \h </w:instrText>
            </w:r>
            <w:r w:rsidR="00605AC6">
              <w:fldChar w:fldCharType="separate"/>
            </w:r>
            <w:r w:rsidR="00201510">
              <w:t>11.0</w:t>
            </w:r>
            <w:r w:rsidR="00605AC6">
              <w:fldChar w:fldCharType="end"/>
            </w:r>
            <w:r>
              <w:t>;</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A7D42" w:rsidP="00BB5B39">
            <w:pPr>
              <w:pStyle w:val="Heading3"/>
            </w:pPr>
            <w:r>
              <w:t xml:space="preserve">Throughput and fuel usage data as required in Condition </w:t>
            </w:r>
            <w:r w:rsidR="00605AC6">
              <w:fldChar w:fldCharType="begin"/>
            </w:r>
            <w:r w:rsidR="00BB5B39">
              <w:instrText xml:space="preserve"> REF _Ref252350811 \r \h </w:instrText>
            </w:r>
            <w:r w:rsidR="00605AC6">
              <w:fldChar w:fldCharType="separate"/>
            </w:r>
            <w:r w:rsidR="00201510">
              <w:t>11.0</w:t>
            </w:r>
            <w:r w:rsidR="00605AC6">
              <w:fldChar w:fldCharType="end"/>
            </w:r>
            <w:r>
              <w:t>;</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3258D6" w:rsidP="009A7D42">
            <w:pPr>
              <w:pStyle w:val="Heading3"/>
            </w:pPr>
            <w:r>
              <w:t xml:space="preserve">Submit the calculations used to calculate emissions from the storage tanks and the equipment leak fugitives as required in Conditions </w:t>
            </w:r>
            <w:r w:rsidR="00605AC6">
              <w:fldChar w:fldCharType="begin"/>
            </w:r>
            <w:r>
              <w:instrText xml:space="preserve"> REF _Ref250548322 \r \h </w:instrText>
            </w:r>
            <w:r w:rsidR="00605AC6">
              <w:fldChar w:fldCharType="separate"/>
            </w:r>
            <w:r w:rsidR="00201510">
              <w:t>4.4</w:t>
            </w:r>
            <w:r w:rsidR="00605AC6">
              <w:fldChar w:fldCharType="end"/>
            </w:r>
            <w:r>
              <w:t xml:space="preserve"> and </w:t>
            </w:r>
            <w:r w:rsidR="00605AC6">
              <w:fldChar w:fldCharType="begin"/>
            </w:r>
            <w:r>
              <w:instrText xml:space="preserve"> REF _Ref250548330 \r \h </w:instrText>
            </w:r>
            <w:r w:rsidR="00605AC6">
              <w:fldChar w:fldCharType="separate"/>
            </w:r>
            <w:r w:rsidR="00201510">
              <w:t>4.5</w:t>
            </w:r>
            <w:r w:rsidR="00605AC6">
              <w:fldChar w:fldCharType="end"/>
            </w:r>
            <w:r>
              <w:t>.</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3258D6" w:rsidP="003258D6">
            <w:pPr>
              <w:pStyle w:val="Heading3"/>
            </w:pPr>
            <w:r>
              <w:t xml:space="preserve">Submit the results of the rolling 12-month PSEL compliance calculations from Conditions </w:t>
            </w:r>
            <w:r w:rsidR="00605AC6">
              <w:fldChar w:fldCharType="begin"/>
            </w:r>
            <w:r>
              <w:instrText xml:space="preserve"> REF _Ref250548445 \r \h </w:instrText>
            </w:r>
            <w:r w:rsidR="00605AC6">
              <w:fldChar w:fldCharType="separate"/>
            </w:r>
            <w:r w:rsidR="00201510">
              <w:t>4.2</w:t>
            </w:r>
            <w:r w:rsidR="00605AC6">
              <w:fldChar w:fldCharType="end"/>
            </w:r>
            <w:r>
              <w:t xml:space="preserve">, </w:t>
            </w:r>
            <w:r w:rsidR="00605AC6">
              <w:fldChar w:fldCharType="begin"/>
            </w:r>
            <w:r>
              <w:instrText xml:space="preserve"> REF _Ref250548322 \r \h </w:instrText>
            </w:r>
            <w:r w:rsidR="00605AC6">
              <w:fldChar w:fldCharType="separate"/>
            </w:r>
            <w:r w:rsidR="00201510">
              <w:t>4.4</w:t>
            </w:r>
            <w:r w:rsidR="00605AC6">
              <w:fldChar w:fldCharType="end"/>
            </w:r>
            <w:r>
              <w:t xml:space="preserve">, and </w:t>
            </w:r>
            <w:r w:rsidR="00605AC6">
              <w:fldChar w:fldCharType="begin"/>
            </w:r>
            <w:r>
              <w:instrText xml:space="preserve"> REF _Ref250548330 \r \h </w:instrText>
            </w:r>
            <w:r w:rsidR="00605AC6">
              <w:fldChar w:fldCharType="separate"/>
            </w:r>
            <w:r w:rsidR="00201510">
              <w:t>4.5</w:t>
            </w:r>
            <w:r w:rsidR="00605AC6">
              <w:fldChar w:fldCharType="end"/>
            </w:r>
            <w:r>
              <w:t xml:space="preserve"> for each month of the previous calendar year.</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3258D6">
            <w:pPr>
              <w:pStyle w:val="Heading3"/>
            </w:pPr>
            <w:proofErr w:type="gramStart"/>
            <w:r>
              <w:t>Records of all planned and unplanned excess emissions events.</w:t>
            </w:r>
            <w:proofErr w:type="gramEnd"/>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784DA9">
            <w:pPr>
              <w:pStyle w:val="Heading3"/>
            </w:pPr>
            <w:proofErr w:type="gramStart"/>
            <w:r>
              <w:t>Summary of complaints relating to air quality received by permittee during the year.</w:t>
            </w:r>
            <w:proofErr w:type="gramEnd"/>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784DA9">
            <w:pPr>
              <w:pStyle w:val="Heading3"/>
            </w:pPr>
            <w:r w:rsidRPr="00784DA9">
              <w:t>List</w:t>
            </w:r>
            <w:r>
              <w:t xml:space="preserve"> permanent changes made in plant process, production levels, and pollution control equipment which affected air contaminant emissions.</w:t>
            </w:r>
          </w:p>
        </w:tc>
      </w:tr>
      <w:tr w:rsidR="00986586">
        <w:tc>
          <w:tcPr>
            <w:tcW w:w="2880" w:type="dxa"/>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784DA9">
            <w:pPr>
              <w:pStyle w:val="Heading3"/>
            </w:pPr>
            <w:r w:rsidRPr="00784DA9">
              <w:t>List</w:t>
            </w:r>
            <w:r>
              <w:t xml:space="preserve"> major maintenance performed on pollution control equipment.</w:t>
            </w:r>
          </w:p>
          <w:p w:rsidR="00A50E2D" w:rsidRPr="00A50E2D" w:rsidRDefault="00A50E2D" w:rsidP="00A50E2D"/>
        </w:tc>
      </w:tr>
      <w:tr w:rsidR="00986586">
        <w:tc>
          <w:tcPr>
            <w:tcW w:w="2880" w:type="dxa"/>
            <w:tcBorders>
              <w:top w:val="nil"/>
              <w:left w:val="nil"/>
              <w:bottom w:val="nil"/>
              <w:right w:val="nil"/>
            </w:tcBorders>
          </w:tcPr>
          <w:p w:rsidR="00986586" w:rsidRDefault="00986586" w:rsidP="00784DA9">
            <w:pPr>
              <w:pStyle w:val="Heading2"/>
            </w:pPr>
            <w:r>
              <w:t>Initial Startup Notice</w:t>
            </w:r>
          </w:p>
        </w:tc>
        <w:tc>
          <w:tcPr>
            <w:tcW w:w="6624" w:type="dxa"/>
            <w:tcBorders>
              <w:top w:val="nil"/>
              <w:left w:val="nil"/>
              <w:bottom w:val="nil"/>
              <w:right w:val="nil"/>
            </w:tcBorders>
          </w:tcPr>
          <w:p w:rsidR="00986586" w:rsidRDefault="00986586">
            <w:pPr>
              <w:pStyle w:val="Bodytext"/>
            </w:pPr>
            <w:bookmarkStart w:id="49" w:name="_Toc463428236"/>
            <w:r>
              <w:rPr>
                <w:snapToGrid w:val="0"/>
              </w:rPr>
              <w:t>The permittee must notify the Department in writing of the date a new facility is started up.  The notification must be submitted no later than seven (7) days after startup.</w:t>
            </w:r>
            <w:bookmarkEnd w:id="49"/>
          </w:p>
        </w:tc>
      </w:tr>
      <w:tr w:rsidR="00986586">
        <w:trPr>
          <w:cantSplit/>
        </w:trPr>
        <w:tc>
          <w:tcPr>
            <w:tcW w:w="2880" w:type="dxa"/>
            <w:vMerge w:val="restart"/>
            <w:tcBorders>
              <w:top w:val="nil"/>
              <w:left w:val="nil"/>
              <w:bottom w:val="nil"/>
              <w:right w:val="nil"/>
            </w:tcBorders>
          </w:tcPr>
          <w:p w:rsidR="00986586" w:rsidRDefault="00986586" w:rsidP="00784DA9">
            <w:pPr>
              <w:pStyle w:val="Heading2"/>
            </w:pPr>
            <w:r>
              <w:t>Notice of Change of Ownership or Company Name</w:t>
            </w:r>
          </w:p>
        </w:tc>
        <w:tc>
          <w:tcPr>
            <w:tcW w:w="6624" w:type="dxa"/>
            <w:tcBorders>
              <w:top w:val="nil"/>
              <w:left w:val="nil"/>
              <w:bottom w:val="nil"/>
              <w:right w:val="nil"/>
            </w:tcBorders>
          </w:tcPr>
          <w:p w:rsidR="00986586" w:rsidRDefault="00986586">
            <w:pPr>
              <w:pStyle w:val="Bodytext"/>
            </w:pPr>
            <w:r>
              <w:t>The permittee must notify the Department in writing using a Departmental “Permit Application Form” within 60 days after the following:</w:t>
            </w:r>
          </w:p>
        </w:tc>
      </w:tr>
      <w:tr w:rsidR="00986586">
        <w:trPr>
          <w:cantSplit/>
        </w:trPr>
        <w:tc>
          <w:tcPr>
            <w:tcW w:w="2880" w:type="dxa"/>
            <w:vMerge/>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784DA9">
            <w:pPr>
              <w:pStyle w:val="Heading3"/>
            </w:pPr>
            <w:r w:rsidRPr="00784DA9">
              <w:t>Legal</w:t>
            </w:r>
            <w:r>
              <w:t xml:space="preserve"> change of the name of the company as registered with the Corporations Division of the State of Oregon; or</w:t>
            </w:r>
          </w:p>
        </w:tc>
      </w:tr>
      <w:tr w:rsidR="00986586">
        <w:trPr>
          <w:cantSplit/>
        </w:trPr>
        <w:tc>
          <w:tcPr>
            <w:tcW w:w="2880" w:type="dxa"/>
            <w:vMerge/>
            <w:tcBorders>
              <w:top w:val="nil"/>
              <w:left w:val="nil"/>
              <w:bottom w:val="nil"/>
              <w:right w:val="nil"/>
            </w:tcBorders>
          </w:tcPr>
          <w:p w:rsidR="00986586" w:rsidRDefault="00986586">
            <w:pPr>
              <w:spacing w:before="60" w:after="60"/>
              <w:rPr>
                <w:b/>
              </w:rPr>
            </w:pPr>
          </w:p>
        </w:tc>
        <w:tc>
          <w:tcPr>
            <w:tcW w:w="6624" w:type="dxa"/>
            <w:tcBorders>
              <w:top w:val="nil"/>
              <w:left w:val="nil"/>
              <w:bottom w:val="nil"/>
              <w:right w:val="nil"/>
            </w:tcBorders>
          </w:tcPr>
          <w:p w:rsidR="00986586" w:rsidRDefault="00986586" w:rsidP="00784DA9">
            <w:pPr>
              <w:pStyle w:val="Heading3"/>
            </w:pPr>
            <w:proofErr w:type="gramStart"/>
            <w:r w:rsidRPr="00784DA9">
              <w:t>Sale</w:t>
            </w:r>
            <w:r>
              <w:t xml:space="preserve"> or exchange of the activity or facility.</w:t>
            </w:r>
            <w:proofErr w:type="gramEnd"/>
          </w:p>
        </w:tc>
      </w:tr>
      <w:tr w:rsidR="00986586">
        <w:trPr>
          <w:cantSplit/>
        </w:trPr>
        <w:tc>
          <w:tcPr>
            <w:tcW w:w="2880" w:type="dxa"/>
            <w:vMerge w:val="restart"/>
            <w:tcBorders>
              <w:top w:val="nil"/>
              <w:left w:val="nil"/>
              <w:bottom w:val="nil"/>
              <w:right w:val="nil"/>
            </w:tcBorders>
          </w:tcPr>
          <w:p w:rsidR="00986586" w:rsidRDefault="00986586" w:rsidP="00784DA9">
            <w:pPr>
              <w:pStyle w:val="Heading2"/>
            </w:pPr>
            <w:r>
              <w:t>Construction or Modification Notices</w:t>
            </w:r>
          </w:p>
        </w:tc>
        <w:tc>
          <w:tcPr>
            <w:tcW w:w="6624" w:type="dxa"/>
            <w:tcBorders>
              <w:top w:val="nil"/>
              <w:left w:val="nil"/>
              <w:bottom w:val="nil"/>
              <w:right w:val="nil"/>
            </w:tcBorders>
          </w:tcPr>
          <w:p w:rsidR="00986586" w:rsidRDefault="00986586">
            <w:pPr>
              <w:pStyle w:val="Bodytext"/>
            </w:pPr>
            <w:r>
              <w:t>The permittee must notify the Department in writing using a Departmental “Notice of Construction Form,” or “Permit Application Form,” and obtain approval in accordance with OAR 340-210-0205 through 340-210-0250 before:</w:t>
            </w:r>
          </w:p>
        </w:tc>
      </w:tr>
      <w:tr w:rsidR="00986586">
        <w:trPr>
          <w:cantSplit/>
        </w:trPr>
        <w:tc>
          <w:tcPr>
            <w:tcW w:w="2880" w:type="dxa"/>
            <w:vMerge/>
            <w:tcBorders>
              <w:top w:val="nil"/>
              <w:left w:val="nil"/>
              <w:bottom w:val="nil"/>
              <w:right w:val="nil"/>
            </w:tcBorders>
          </w:tcPr>
          <w:p w:rsidR="00986586" w:rsidRDefault="00986586"/>
        </w:tc>
        <w:tc>
          <w:tcPr>
            <w:tcW w:w="6624" w:type="dxa"/>
            <w:tcBorders>
              <w:top w:val="nil"/>
              <w:left w:val="nil"/>
              <w:bottom w:val="nil"/>
              <w:right w:val="nil"/>
            </w:tcBorders>
          </w:tcPr>
          <w:p w:rsidR="00986586" w:rsidRDefault="00986586" w:rsidP="00784DA9">
            <w:pPr>
              <w:pStyle w:val="Heading3"/>
            </w:pPr>
            <w:r>
              <w:t>Constructing, installing, or establishing a new stationary source that will cause an increase in any regulated pollutant emissions;</w:t>
            </w:r>
          </w:p>
        </w:tc>
      </w:tr>
      <w:tr w:rsidR="00986586">
        <w:trPr>
          <w:cantSplit/>
          <w:trHeight w:val="306"/>
        </w:trPr>
        <w:tc>
          <w:tcPr>
            <w:tcW w:w="2880" w:type="dxa"/>
            <w:vMerge/>
            <w:tcBorders>
              <w:top w:val="nil"/>
              <w:left w:val="nil"/>
              <w:bottom w:val="nil"/>
              <w:right w:val="nil"/>
            </w:tcBorders>
          </w:tcPr>
          <w:p w:rsidR="00986586" w:rsidRDefault="00986586"/>
        </w:tc>
        <w:tc>
          <w:tcPr>
            <w:tcW w:w="6624" w:type="dxa"/>
            <w:tcBorders>
              <w:top w:val="nil"/>
              <w:left w:val="nil"/>
              <w:bottom w:val="nil"/>
              <w:right w:val="nil"/>
            </w:tcBorders>
          </w:tcPr>
          <w:p w:rsidR="00986586" w:rsidRDefault="00986586" w:rsidP="00784DA9">
            <w:pPr>
              <w:pStyle w:val="Heading3"/>
            </w:pPr>
            <w:r w:rsidRPr="00784DA9">
              <w:t>Making</w:t>
            </w:r>
            <w:r>
              <w:t xml:space="preserve"> any physical change or change in operation of an existing stationary source that will cause an increase, on an hourly basis at full production, in any regulated pollutant emissions; or</w:t>
            </w:r>
          </w:p>
        </w:tc>
      </w:tr>
      <w:tr w:rsidR="00986586">
        <w:trPr>
          <w:cantSplit/>
        </w:trPr>
        <w:tc>
          <w:tcPr>
            <w:tcW w:w="2880" w:type="dxa"/>
            <w:vMerge/>
            <w:tcBorders>
              <w:top w:val="nil"/>
              <w:left w:val="nil"/>
              <w:bottom w:val="nil"/>
              <w:right w:val="nil"/>
            </w:tcBorders>
          </w:tcPr>
          <w:p w:rsidR="00986586" w:rsidRDefault="00986586"/>
        </w:tc>
        <w:tc>
          <w:tcPr>
            <w:tcW w:w="6624" w:type="dxa"/>
            <w:tcBorders>
              <w:top w:val="nil"/>
              <w:left w:val="nil"/>
              <w:bottom w:val="nil"/>
              <w:right w:val="nil"/>
            </w:tcBorders>
          </w:tcPr>
          <w:p w:rsidR="00986586" w:rsidRDefault="00986586" w:rsidP="00784DA9">
            <w:pPr>
              <w:pStyle w:val="Heading3"/>
            </w:pPr>
            <w:r w:rsidRPr="00784DA9">
              <w:t>Constructing</w:t>
            </w:r>
            <w:r>
              <w:t xml:space="preserve"> or modifying any air pollution control equipment.</w:t>
            </w:r>
          </w:p>
        </w:tc>
      </w:tr>
      <w:tr w:rsidR="00986586">
        <w:tc>
          <w:tcPr>
            <w:tcW w:w="2880" w:type="dxa"/>
            <w:tcBorders>
              <w:top w:val="nil"/>
              <w:left w:val="nil"/>
              <w:bottom w:val="nil"/>
              <w:right w:val="nil"/>
            </w:tcBorders>
          </w:tcPr>
          <w:p w:rsidR="00986586" w:rsidRDefault="00986586" w:rsidP="00784DA9">
            <w:pPr>
              <w:pStyle w:val="Heading2"/>
            </w:pPr>
            <w:r>
              <w:t>Where to Send Reports and Notices</w:t>
            </w:r>
          </w:p>
        </w:tc>
        <w:tc>
          <w:tcPr>
            <w:tcW w:w="6624" w:type="dxa"/>
            <w:tcBorders>
              <w:top w:val="nil"/>
              <w:left w:val="nil"/>
              <w:bottom w:val="nil"/>
              <w:right w:val="nil"/>
            </w:tcBorders>
          </w:tcPr>
          <w:p w:rsidR="00986586" w:rsidRDefault="00986586">
            <w:pPr>
              <w:pStyle w:val="Bodytext"/>
            </w:pPr>
            <w:r>
              <w:t xml:space="preserve">The reports, with the permit number prominently displayed, must be sent to the Permit Coordinator for the region where the source is located as identified in </w:t>
            </w:r>
            <w:r>
              <w:rPr>
                <w:caps/>
              </w:rPr>
              <w:t>c</w:t>
            </w:r>
            <w:r>
              <w:t xml:space="preserve">ondition </w:t>
            </w:r>
            <w:r w:rsidR="00605AC6">
              <w:fldChar w:fldCharType="begin"/>
            </w:r>
            <w:r>
              <w:instrText xml:space="preserve"> REF _Ref510949031 \r \h </w:instrText>
            </w:r>
            <w:r w:rsidR="00605AC6">
              <w:fldChar w:fldCharType="separate"/>
            </w:r>
            <w:r w:rsidR="00201510">
              <w:t>7.3</w:t>
            </w:r>
            <w:r w:rsidR="00605AC6">
              <w:fldChar w:fldCharType="end"/>
            </w:r>
            <w:r>
              <w:t>.</w:t>
            </w:r>
          </w:p>
        </w:tc>
      </w:tr>
    </w:tbl>
    <w:p w:rsidR="00986586" w:rsidRDefault="00986586"/>
    <w:p w:rsidR="00986586" w:rsidRDefault="00986586"/>
    <w:p w:rsidR="00986586" w:rsidRDefault="00986586" w:rsidP="00784DA9">
      <w:pPr>
        <w:pStyle w:val="Heading1"/>
      </w:pPr>
      <w:bookmarkStart w:id="50" w:name="_Toc512936670"/>
      <w:bookmarkStart w:id="51" w:name="_Toc253664549"/>
      <w:r>
        <w:t>Administrative requirements</w:t>
      </w:r>
      <w:bookmarkEnd w:id="50"/>
      <w:bookmarkEnd w:id="51"/>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rsidP="00784DA9">
            <w:pPr>
              <w:pStyle w:val="Heading2"/>
            </w:pPr>
            <w:r>
              <w:t>Permit Renewal Application</w:t>
            </w:r>
          </w:p>
        </w:tc>
        <w:tc>
          <w:tcPr>
            <w:tcW w:w="6624" w:type="dxa"/>
            <w:tcBorders>
              <w:top w:val="nil"/>
              <w:left w:val="nil"/>
              <w:bottom w:val="nil"/>
              <w:right w:val="nil"/>
            </w:tcBorders>
          </w:tcPr>
          <w:p w:rsidR="00986586" w:rsidRDefault="00986586" w:rsidP="002752A0">
            <w:pPr>
              <w:pStyle w:val="Bodytext"/>
            </w:pPr>
            <w:bookmarkStart w:id="52" w:name="_Toc463428251"/>
            <w:r>
              <w:t xml:space="preserve">The completed application package for renewal of this permit is due on </w:t>
            </w:r>
            <w:r w:rsidR="002752A0" w:rsidRPr="002752A0">
              <w:rPr>
                <w:b/>
              </w:rPr>
              <w:t>January 1, 2015</w:t>
            </w:r>
            <w:r>
              <w:t xml:space="preserve">.  Two (2) copies of the application must be submitted to the </w:t>
            </w:r>
            <w:bookmarkEnd w:id="52"/>
            <w:r>
              <w:t xml:space="preserve">DEQ Permit Coordinator listed in condition </w:t>
            </w:r>
            <w:r w:rsidR="00605AC6">
              <w:fldChar w:fldCharType="begin"/>
            </w:r>
            <w:r>
              <w:instrText xml:space="preserve"> REF _Ref510578991 \r \h </w:instrText>
            </w:r>
            <w:r w:rsidR="00605AC6">
              <w:fldChar w:fldCharType="separate"/>
            </w:r>
            <w:r w:rsidR="00201510">
              <w:t>7.3</w:t>
            </w:r>
            <w:r w:rsidR="00605AC6">
              <w:fldChar w:fldCharType="end"/>
            </w:r>
          </w:p>
        </w:tc>
      </w:tr>
      <w:tr w:rsidR="00986586">
        <w:tc>
          <w:tcPr>
            <w:tcW w:w="2880" w:type="dxa"/>
            <w:tcBorders>
              <w:top w:val="nil"/>
              <w:left w:val="nil"/>
              <w:bottom w:val="nil"/>
              <w:right w:val="nil"/>
            </w:tcBorders>
          </w:tcPr>
          <w:p w:rsidR="00986586" w:rsidRDefault="00986586" w:rsidP="00784DA9">
            <w:pPr>
              <w:pStyle w:val="Heading2"/>
            </w:pPr>
            <w:r>
              <w:t>Permit Modifications</w:t>
            </w:r>
          </w:p>
        </w:tc>
        <w:tc>
          <w:tcPr>
            <w:tcW w:w="6624" w:type="dxa"/>
            <w:tcBorders>
              <w:top w:val="nil"/>
              <w:left w:val="nil"/>
              <w:bottom w:val="nil"/>
              <w:right w:val="nil"/>
            </w:tcBorders>
          </w:tcPr>
          <w:p w:rsidR="00986586" w:rsidRDefault="00986586" w:rsidP="00784DA9">
            <w:pPr>
              <w:pStyle w:val="Bodytext"/>
            </w:pPr>
            <w:r>
              <w:t xml:space="preserve">Application for a modification of this permit must be submitted not less than </w:t>
            </w:r>
            <w:r>
              <w:rPr>
                <w:b/>
              </w:rPr>
              <w:t>60</w:t>
            </w:r>
            <w:r>
              <w:t xml:space="preserve"> days prior to the source modification.  A special activity fee must be submitted with an application for the permit modification.  The fees and two (2) copies of the application must be submitted to the Business Office of the Department.</w:t>
            </w:r>
          </w:p>
        </w:tc>
      </w:tr>
      <w:tr w:rsidR="00986586" w:rsidTr="00E70E25">
        <w:trPr>
          <w:cantSplit/>
        </w:trPr>
        <w:tc>
          <w:tcPr>
            <w:tcW w:w="2880" w:type="dxa"/>
            <w:tcBorders>
              <w:top w:val="nil"/>
              <w:left w:val="nil"/>
              <w:bottom w:val="nil"/>
              <w:right w:val="nil"/>
            </w:tcBorders>
          </w:tcPr>
          <w:p w:rsidR="00986586" w:rsidRDefault="00E70E25" w:rsidP="00C749F7">
            <w:pPr>
              <w:pStyle w:val="Heading2"/>
              <w:spacing w:before="0"/>
            </w:pPr>
            <w:bookmarkStart w:id="53" w:name="_Ref510578991"/>
            <w:bookmarkStart w:id="54" w:name="_Ref510949031"/>
            <w:r>
              <w:rPr>
                <w:b w:val="0"/>
              </w:rPr>
              <w:br w:type="page"/>
            </w:r>
            <w:r w:rsidR="00986586">
              <w:t>Permit Coordinator Addresses</w:t>
            </w:r>
            <w:bookmarkEnd w:id="53"/>
            <w:bookmarkEnd w:id="54"/>
          </w:p>
        </w:tc>
        <w:tc>
          <w:tcPr>
            <w:tcW w:w="6624" w:type="dxa"/>
            <w:tcBorders>
              <w:top w:val="nil"/>
              <w:left w:val="nil"/>
              <w:bottom w:val="nil"/>
              <w:right w:val="nil"/>
            </w:tcBorders>
          </w:tcPr>
          <w:p w:rsidR="00784DA9" w:rsidRDefault="00986586" w:rsidP="00784DA9">
            <w:r>
              <w:t xml:space="preserve">All reports, notices, and applications should be directed to the Permit Coordinator for the area where the source is located.  The Permit Coordinator address </w:t>
            </w:r>
            <w:r w:rsidR="00784DA9">
              <w:t>is</w:t>
            </w:r>
            <w:r>
              <w:t xml:space="preserve"> </w:t>
            </w:r>
          </w:p>
          <w:p w:rsidR="00784DA9" w:rsidRPr="00C749F7" w:rsidRDefault="00784DA9" w:rsidP="00784DA9">
            <w:pPr>
              <w:rPr>
                <w:sz w:val="16"/>
                <w:szCs w:val="16"/>
              </w:rPr>
            </w:pPr>
          </w:p>
          <w:p w:rsidR="00784DA9" w:rsidRDefault="00784DA9" w:rsidP="00C749F7">
            <w:pPr>
              <w:ind w:left="720"/>
            </w:pPr>
            <w:r>
              <w:t>Department of Environmental Quality</w:t>
            </w:r>
          </w:p>
          <w:p w:rsidR="00784DA9" w:rsidRDefault="00784DA9" w:rsidP="00C749F7">
            <w:pPr>
              <w:ind w:left="720"/>
            </w:pPr>
            <w:r>
              <w:t>Eastern Region</w:t>
            </w:r>
          </w:p>
          <w:p w:rsidR="00784DA9" w:rsidRDefault="00784DA9" w:rsidP="00C749F7">
            <w:pPr>
              <w:ind w:left="720"/>
            </w:pPr>
            <w:r>
              <w:t>475 NE Bellevue Dr., Suite 110</w:t>
            </w:r>
          </w:p>
          <w:p w:rsidR="00784DA9" w:rsidRDefault="00784DA9" w:rsidP="00C749F7">
            <w:pPr>
              <w:pStyle w:val="TOC1"/>
              <w:ind w:left="720"/>
            </w:pPr>
            <w:r>
              <w:t>B</w:t>
            </w:r>
            <w:r>
              <w:rPr>
                <w:caps w:val="0"/>
                <w:szCs w:val="24"/>
              </w:rPr>
              <w:t>end</w:t>
            </w:r>
            <w:r>
              <w:t xml:space="preserve">, OR </w:t>
            </w:r>
            <w:r w:rsidR="00C749F7">
              <w:t xml:space="preserve"> </w:t>
            </w:r>
            <w:r>
              <w:t>97701</w:t>
            </w:r>
          </w:p>
          <w:p w:rsidR="00986586" w:rsidRDefault="00784DA9" w:rsidP="00C749F7">
            <w:pPr>
              <w:pStyle w:val="Bodytext"/>
              <w:spacing w:before="0"/>
              <w:ind w:left="720"/>
            </w:pPr>
            <w:r>
              <w:t>Telephone: (541) 388-6146</w:t>
            </w:r>
          </w:p>
        </w:tc>
      </w:tr>
      <w:tr w:rsidR="00986586">
        <w:tc>
          <w:tcPr>
            <w:tcW w:w="2880" w:type="dxa"/>
            <w:tcBorders>
              <w:top w:val="nil"/>
              <w:left w:val="nil"/>
              <w:bottom w:val="nil"/>
              <w:right w:val="nil"/>
            </w:tcBorders>
          </w:tcPr>
          <w:p w:rsidR="00986586" w:rsidRDefault="00986586" w:rsidP="00C749F7">
            <w:pPr>
              <w:pStyle w:val="Heading2"/>
              <w:spacing w:before="0"/>
            </w:pPr>
            <w:bookmarkStart w:id="55" w:name="_Ref510578916"/>
            <w:bookmarkStart w:id="56" w:name="_Ref512738196"/>
            <w:bookmarkStart w:id="57" w:name="_Ref517140933"/>
            <w:r>
              <w:t>Department Contacts</w:t>
            </w:r>
            <w:bookmarkEnd w:id="55"/>
            <w:bookmarkEnd w:id="56"/>
            <w:bookmarkEnd w:id="57"/>
          </w:p>
        </w:tc>
        <w:tc>
          <w:tcPr>
            <w:tcW w:w="6624" w:type="dxa"/>
            <w:tcBorders>
              <w:top w:val="nil"/>
              <w:left w:val="nil"/>
              <w:bottom w:val="nil"/>
              <w:right w:val="nil"/>
            </w:tcBorders>
          </w:tcPr>
          <w:p w:rsidR="00715F4B" w:rsidRDefault="00986586" w:rsidP="00715F4B">
            <w:r>
              <w:t xml:space="preserve">Information about air quality permits and the Department’s regulations may be obtained from the DEQ web page at </w:t>
            </w:r>
            <w:bookmarkStart w:id="58" w:name="_Hlt508593489"/>
            <w:r w:rsidR="00CF6723" w:rsidRPr="00CF6723">
              <w:t>www.oregon.gov/DEQ</w:t>
            </w:r>
            <w:bookmarkEnd w:id="58"/>
            <w:r>
              <w:t>.  All inquiries about this permit should be directed to the regional office for the area where the source is located.  The Department’s regional offic</w:t>
            </w:r>
            <w:r w:rsidR="00715F4B">
              <w:t>e</w:t>
            </w:r>
            <w:r>
              <w:t xml:space="preserve"> </w:t>
            </w:r>
            <w:r w:rsidR="00715F4B">
              <w:t>i</w:t>
            </w:r>
            <w:r>
              <w:t>s:</w:t>
            </w:r>
            <w:r w:rsidR="00715F4B">
              <w:t xml:space="preserve"> </w:t>
            </w:r>
          </w:p>
          <w:p w:rsidR="00715F4B" w:rsidRPr="00C749F7" w:rsidRDefault="00715F4B" w:rsidP="00715F4B">
            <w:pPr>
              <w:rPr>
                <w:sz w:val="16"/>
                <w:szCs w:val="16"/>
              </w:rPr>
            </w:pPr>
          </w:p>
          <w:p w:rsidR="00715F4B" w:rsidRDefault="00715F4B" w:rsidP="00C749F7">
            <w:pPr>
              <w:ind w:left="720"/>
            </w:pPr>
            <w:r>
              <w:t>Department of Environmental Quality</w:t>
            </w:r>
          </w:p>
          <w:p w:rsidR="00715F4B" w:rsidRDefault="00715F4B" w:rsidP="00C749F7">
            <w:pPr>
              <w:ind w:left="720"/>
            </w:pPr>
            <w:r>
              <w:t>Pendleton Office</w:t>
            </w:r>
          </w:p>
          <w:p w:rsidR="00715F4B" w:rsidRDefault="00715F4B" w:rsidP="00C749F7">
            <w:pPr>
              <w:ind w:left="720"/>
            </w:pPr>
            <w:smartTag w:uri="urn:schemas-microsoft-com:office:smarttags" w:element="Street">
              <w:smartTag w:uri="urn:schemas-microsoft-com:office:smarttags" w:element="address">
                <w:r>
                  <w:t>700 SE Emigrant Avenue, Suite 330</w:t>
                </w:r>
              </w:smartTag>
            </w:smartTag>
          </w:p>
          <w:p w:rsidR="00715F4B" w:rsidRDefault="00715F4B" w:rsidP="00C749F7">
            <w:pPr>
              <w:ind w:left="720"/>
            </w:pPr>
            <w:r>
              <w:t xml:space="preserve">Pendleton, OR </w:t>
            </w:r>
            <w:r w:rsidR="00C749F7">
              <w:t xml:space="preserve"> </w:t>
            </w:r>
            <w:r>
              <w:t>97801-2597</w:t>
            </w:r>
          </w:p>
          <w:p w:rsidR="00986586" w:rsidRDefault="00715F4B" w:rsidP="00C749F7">
            <w:pPr>
              <w:pStyle w:val="Bodytext"/>
              <w:spacing w:before="0" w:after="120"/>
              <w:ind w:left="720"/>
            </w:pPr>
            <w:r>
              <w:t>Telephone: (541) 276-4063</w:t>
            </w:r>
          </w:p>
        </w:tc>
      </w:tr>
      <w:tr w:rsidR="00715F4B">
        <w:tc>
          <w:tcPr>
            <w:tcW w:w="2880" w:type="dxa"/>
            <w:tcBorders>
              <w:top w:val="nil"/>
              <w:left w:val="nil"/>
              <w:bottom w:val="nil"/>
              <w:right w:val="nil"/>
            </w:tcBorders>
          </w:tcPr>
          <w:p w:rsidR="00715F4B" w:rsidRDefault="00715F4B" w:rsidP="00C749F7">
            <w:pPr>
              <w:pStyle w:val="Heading2"/>
              <w:spacing w:before="0"/>
            </w:pPr>
            <w:r>
              <w:t>EPA Administrator</w:t>
            </w:r>
          </w:p>
        </w:tc>
        <w:tc>
          <w:tcPr>
            <w:tcW w:w="6624" w:type="dxa"/>
            <w:tcBorders>
              <w:top w:val="nil"/>
              <w:left w:val="nil"/>
              <w:bottom w:val="nil"/>
              <w:right w:val="nil"/>
            </w:tcBorders>
          </w:tcPr>
          <w:p w:rsidR="00715F4B" w:rsidRDefault="00715F4B" w:rsidP="00715F4B">
            <w:r>
              <w:t>US Environmental Protection Agency</w:t>
            </w:r>
          </w:p>
          <w:p w:rsidR="00715F4B" w:rsidRDefault="00715F4B" w:rsidP="00715F4B">
            <w:r>
              <w:t>Director, Air and Waste Management Division</w:t>
            </w:r>
          </w:p>
          <w:p w:rsidR="00715F4B" w:rsidRDefault="00715F4B" w:rsidP="00715F4B">
            <w:r>
              <w:t>1200 Sixth Avenue</w:t>
            </w:r>
            <w:r w:rsidR="00C749F7">
              <w:t>, Suite 900</w:t>
            </w:r>
          </w:p>
          <w:p w:rsidR="00715F4B" w:rsidRDefault="00715F4B" w:rsidP="00715F4B">
            <w:r>
              <w:t>Seattle, WA  98101</w:t>
            </w:r>
          </w:p>
        </w:tc>
      </w:tr>
    </w:tbl>
    <w:p w:rsidR="00715F4B" w:rsidRDefault="00715F4B" w:rsidP="00715F4B">
      <w:pPr>
        <w:pStyle w:val="Heading1"/>
        <w:numPr>
          <w:ilvl w:val="0"/>
          <w:numId w:val="0"/>
        </w:numPr>
        <w:ind w:left="864"/>
        <w:rPr>
          <w:rFonts w:ascii="Times New Roman" w:hAnsi="Times New Roman"/>
          <w:sz w:val="24"/>
          <w:szCs w:val="24"/>
        </w:rPr>
      </w:pPr>
    </w:p>
    <w:p w:rsidR="00715F4B" w:rsidRPr="00715F4B" w:rsidRDefault="00715F4B" w:rsidP="00715F4B"/>
    <w:p w:rsidR="00986586" w:rsidRDefault="00986586" w:rsidP="00715F4B">
      <w:pPr>
        <w:pStyle w:val="Heading1"/>
      </w:pPr>
      <w:bookmarkStart w:id="59" w:name="_Toc253664550"/>
      <w:r>
        <w:t>fees</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rsidP="00715F4B">
            <w:pPr>
              <w:pStyle w:val="Heading2"/>
            </w:pPr>
            <w:r>
              <w:t>Annual Compliance Fee</w:t>
            </w:r>
          </w:p>
        </w:tc>
        <w:tc>
          <w:tcPr>
            <w:tcW w:w="6624" w:type="dxa"/>
            <w:tcBorders>
              <w:top w:val="nil"/>
              <w:left w:val="nil"/>
              <w:bottom w:val="nil"/>
              <w:right w:val="nil"/>
            </w:tcBorders>
          </w:tcPr>
          <w:p w:rsidR="00986586" w:rsidRDefault="00986586">
            <w:pPr>
              <w:pStyle w:val="Bodytext"/>
            </w:pPr>
            <w:r>
              <w:t xml:space="preserve">The Annual Fee specified in OAR 340-216-0020, Table 2, </w:t>
            </w:r>
            <w:proofErr w:type="gramStart"/>
            <w:r>
              <w:t>Part</w:t>
            </w:r>
            <w:proofErr w:type="gramEnd"/>
            <w:r>
              <w:t xml:space="preserve"> 2 for a Simple ACDP is due on </w:t>
            </w:r>
            <w:r>
              <w:rPr>
                <w:b/>
              </w:rPr>
              <w:t>December 1</w:t>
            </w:r>
            <w:r>
              <w:t xml:space="preserve"> of each year this permit is in effect.  An invoice indicating the amount, as determined by Department regulations, will be mailed prior to the above date.</w:t>
            </w:r>
            <w:r w:rsidR="00493FB7">
              <w:t xml:space="preserve">  </w:t>
            </w:r>
            <w:r w:rsidR="00493FB7">
              <w:rPr>
                <w:b/>
                <w:bCs/>
                <w:color w:val="FF0000"/>
                <w:szCs w:val="24"/>
              </w:rPr>
              <w:t>Late fees in accordance with Part 4 of the table will be assessed as appropriate.</w:t>
            </w:r>
          </w:p>
        </w:tc>
      </w:tr>
      <w:tr w:rsidR="00986586">
        <w:tc>
          <w:tcPr>
            <w:tcW w:w="2880" w:type="dxa"/>
            <w:tcBorders>
              <w:top w:val="nil"/>
              <w:left w:val="nil"/>
              <w:bottom w:val="nil"/>
              <w:right w:val="nil"/>
            </w:tcBorders>
          </w:tcPr>
          <w:p w:rsidR="00986586" w:rsidRDefault="00986586" w:rsidP="00715F4B">
            <w:pPr>
              <w:pStyle w:val="Heading2"/>
            </w:pPr>
            <w:r>
              <w:t>Change of Ownership or Company Name Fee</w:t>
            </w:r>
          </w:p>
        </w:tc>
        <w:tc>
          <w:tcPr>
            <w:tcW w:w="6624" w:type="dxa"/>
            <w:tcBorders>
              <w:top w:val="nil"/>
              <w:left w:val="nil"/>
              <w:bottom w:val="nil"/>
              <w:right w:val="nil"/>
            </w:tcBorders>
          </w:tcPr>
          <w:p w:rsidR="00986586" w:rsidRDefault="00986586">
            <w:pPr>
              <w:pStyle w:val="Bodytext"/>
            </w:pPr>
            <w:r>
              <w:t xml:space="preserve">The non-technical permit modification fee specified in OAR 340-216-0020, Table 2, </w:t>
            </w:r>
            <w:proofErr w:type="gramStart"/>
            <w:r>
              <w:t>Part</w:t>
            </w:r>
            <w:proofErr w:type="gramEnd"/>
            <w:r>
              <w:t xml:space="preserve"> 3(a) is due with an application for changing the ownership or the name of the company.</w:t>
            </w:r>
          </w:p>
        </w:tc>
      </w:tr>
      <w:tr w:rsidR="00986586">
        <w:tc>
          <w:tcPr>
            <w:tcW w:w="2880" w:type="dxa"/>
            <w:tcBorders>
              <w:top w:val="nil"/>
              <w:left w:val="nil"/>
              <w:bottom w:val="nil"/>
              <w:right w:val="nil"/>
            </w:tcBorders>
          </w:tcPr>
          <w:p w:rsidR="00986586" w:rsidRDefault="00986586" w:rsidP="00715F4B">
            <w:pPr>
              <w:pStyle w:val="Heading2"/>
            </w:pPr>
            <w:r>
              <w:t>Special Activity Fees</w:t>
            </w:r>
          </w:p>
        </w:tc>
        <w:tc>
          <w:tcPr>
            <w:tcW w:w="6624" w:type="dxa"/>
            <w:tcBorders>
              <w:top w:val="nil"/>
              <w:left w:val="nil"/>
              <w:bottom w:val="nil"/>
              <w:right w:val="nil"/>
            </w:tcBorders>
          </w:tcPr>
          <w:p w:rsidR="00986586" w:rsidRDefault="00986586">
            <w:pPr>
              <w:pStyle w:val="Bodytext"/>
            </w:pPr>
            <w:r>
              <w:t>The special activity fees specified in OAR 340-216-0020, Table 2, Part 3 (</w:t>
            </w:r>
            <w:proofErr w:type="spellStart"/>
            <w:r>
              <w:t>b</w:t>
            </w:r>
            <w:proofErr w:type="spellEnd"/>
            <w:r>
              <w:t xml:space="preserve"> through </w:t>
            </w:r>
            <w:proofErr w:type="spellStart"/>
            <w:r>
              <w:t>i</w:t>
            </w:r>
            <w:proofErr w:type="spellEnd"/>
            <w:r>
              <w:t>) are due with an application to modify the permit.</w:t>
            </w:r>
          </w:p>
        </w:tc>
      </w:tr>
      <w:tr w:rsidR="00986586" w:rsidTr="00E70E25">
        <w:trPr>
          <w:cantSplit/>
        </w:trPr>
        <w:tc>
          <w:tcPr>
            <w:tcW w:w="2880" w:type="dxa"/>
            <w:tcBorders>
              <w:top w:val="nil"/>
              <w:left w:val="nil"/>
              <w:bottom w:val="nil"/>
              <w:right w:val="nil"/>
            </w:tcBorders>
          </w:tcPr>
          <w:p w:rsidR="00986586" w:rsidRDefault="00986586" w:rsidP="00715F4B">
            <w:pPr>
              <w:pStyle w:val="Heading2"/>
            </w:pPr>
            <w:r>
              <w:t>Where to Submit Fees</w:t>
            </w:r>
          </w:p>
        </w:tc>
        <w:tc>
          <w:tcPr>
            <w:tcW w:w="6624" w:type="dxa"/>
            <w:tcBorders>
              <w:top w:val="nil"/>
              <w:left w:val="nil"/>
              <w:bottom w:val="nil"/>
              <w:right w:val="nil"/>
            </w:tcBorders>
          </w:tcPr>
          <w:p w:rsidR="00986586" w:rsidRDefault="00986586">
            <w:pPr>
              <w:pStyle w:val="Bodytext"/>
            </w:pPr>
            <w:r>
              <w:t>Fees must be submitted to:</w:t>
            </w:r>
          </w:p>
          <w:p w:rsidR="00986586" w:rsidRDefault="00986586">
            <w:pPr>
              <w:ind w:left="720"/>
            </w:pPr>
            <w:r>
              <w:t>Department of Environmental Quality</w:t>
            </w:r>
          </w:p>
          <w:p w:rsidR="00986586" w:rsidRDefault="00986586">
            <w:pPr>
              <w:ind w:left="720"/>
            </w:pPr>
            <w:r>
              <w:t>Business Office</w:t>
            </w:r>
          </w:p>
          <w:p w:rsidR="00986586" w:rsidRDefault="00986586">
            <w:pPr>
              <w:ind w:left="720"/>
            </w:pPr>
            <w:smartTag w:uri="urn:schemas-microsoft-com:office:smarttags" w:element="Street">
              <w:smartTag w:uri="urn:schemas-microsoft-com:office:smarttags" w:element="address">
                <w:r>
                  <w:t>811 SW Sixth Avenue</w:t>
                </w:r>
              </w:smartTag>
            </w:smartTag>
          </w:p>
          <w:p w:rsidR="00986586" w:rsidRDefault="00986586" w:rsidP="00605C08">
            <w:pPr>
              <w:ind w:left="720"/>
            </w:pPr>
            <w:r>
              <w:t>Portland, O</w:t>
            </w:r>
            <w:r w:rsidR="00605C08">
              <w:t xml:space="preserve">R </w:t>
            </w:r>
            <w:r>
              <w:t xml:space="preserve"> 97204-1390</w:t>
            </w:r>
          </w:p>
        </w:tc>
      </w:tr>
    </w:tbl>
    <w:p w:rsidR="00986586" w:rsidRDefault="00986586"/>
    <w:p w:rsidR="00986586" w:rsidRDefault="00986586"/>
    <w:p w:rsidR="00986586" w:rsidRPr="00715F4B" w:rsidRDefault="00986586" w:rsidP="00715F4B">
      <w:pPr>
        <w:pStyle w:val="Heading1"/>
      </w:pPr>
      <w:bookmarkStart w:id="60" w:name="_Toc253664551"/>
      <w:r w:rsidRPr="00715F4B">
        <w:t>general conditions and disclaimers</w:t>
      </w:r>
      <w:bookmarkEnd w:id="60"/>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986586">
        <w:tc>
          <w:tcPr>
            <w:tcW w:w="2880" w:type="dxa"/>
            <w:tcBorders>
              <w:top w:val="nil"/>
              <w:left w:val="nil"/>
              <w:bottom w:val="nil"/>
              <w:right w:val="nil"/>
            </w:tcBorders>
          </w:tcPr>
          <w:p w:rsidR="00986586" w:rsidRDefault="00986586" w:rsidP="00715F4B">
            <w:pPr>
              <w:pStyle w:val="Heading2"/>
            </w:pPr>
            <w:r>
              <w:t>Permitted Activities</w:t>
            </w:r>
          </w:p>
        </w:tc>
        <w:tc>
          <w:tcPr>
            <w:tcW w:w="6624" w:type="dxa"/>
            <w:tcBorders>
              <w:top w:val="nil"/>
              <w:left w:val="nil"/>
              <w:bottom w:val="nil"/>
              <w:right w:val="nil"/>
            </w:tcBorders>
          </w:tcPr>
          <w:p w:rsidR="00986586" w:rsidRDefault="00986586">
            <w:pPr>
              <w:pStyle w:val="Bodytext"/>
            </w:pPr>
            <w:r>
              <w:t>This permit allows the permittee to discharge air contaminants from processes and activities related to the air contaminant source(</w:t>
            </w:r>
            <w:proofErr w:type="spellStart"/>
            <w:r>
              <w:t>s</w:t>
            </w:r>
            <w:proofErr w:type="spellEnd"/>
            <w:r>
              <w:t>) listed on the first page of this permit until this permit expires, is modified, or is revoked.</w:t>
            </w:r>
          </w:p>
        </w:tc>
      </w:tr>
      <w:tr w:rsidR="00986586">
        <w:tc>
          <w:tcPr>
            <w:tcW w:w="2880" w:type="dxa"/>
            <w:tcBorders>
              <w:top w:val="nil"/>
              <w:left w:val="nil"/>
              <w:bottom w:val="nil"/>
              <w:right w:val="nil"/>
            </w:tcBorders>
          </w:tcPr>
          <w:p w:rsidR="00986586" w:rsidRDefault="00986586" w:rsidP="00715F4B">
            <w:pPr>
              <w:pStyle w:val="Heading2"/>
            </w:pPr>
            <w:r>
              <w:t>Other Regulations</w:t>
            </w:r>
          </w:p>
        </w:tc>
        <w:tc>
          <w:tcPr>
            <w:tcW w:w="6624" w:type="dxa"/>
            <w:tcBorders>
              <w:top w:val="nil"/>
              <w:left w:val="nil"/>
              <w:bottom w:val="nil"/>
              <w:right w:val="nil"/>
            </w:tcBorders>
          </w:tcPr>
          <w:p w:rsidR="00986586" w:rsidRDefault="00986586">
            <w:pPr>
              <w:pStyle w:val="Bodytext"/>
            </w:pPr>
            <w:r>
              <w:t>In addition to the specific requirements listed in this permit, the permittee must comply with all other legal requirements enforceable by the Department.</w:t>
            </w:r>
          </w:p>
        </w:tc>
      </w:tr>
      <w:tr w:rsidR="00986586">
        <w:tc>
          <w:tcPr>
            <w:tcW w:w="2880" w:type="dxa"/>
            <w:tcBorders>
              <w:top w:val="nil"/>
              <w:left w:val="nil"/>
              <w:bottom w:val="nil"/>
              <w:right w:val="nil"/>
            </w:tcBorders>
          </w:tcPr>
          <w:p w:rsidR="00986586" w:rsidRDefault="00986586" w:rsidP="00715F4B">
            <w:pPr>
              <w:pStyle w:val="Heading2"/>
            </w:pPr>
            <w:r>
              <w:t>Conflicting Conditions</w:t>
            </w:r>
          </w:p>
        </w:tc>
        <w:tc>
          <w:tcPr>
            <w:tcW w:w="6624" w:type="dxa"/>
            <w:tcBorders>
              <w:top w:val="nil"/>
              <w:left w:val="nil"/>
              <w:bottom w:val="nil"/>
              <w:right w:val="nil"/>
            </w:tcBorders>
          </w:tcPr>
          <w:p w:rsidR="00986586" w:rsidRDefault="00986586">
            <w:pPr>
              <w:pStyle w:val="Bodytext"/>
            </w:pPr>
            <w:r>
              <w:t>In any instance in which there is an apparent conflict relative to conditions in this permit, the most stringent conditions apply.</w:t>
            </w:r>
          </w:p>
        </w:tc>
      </w:tr>
      <w:tr w:rsidR="00986586">
        <w:tc>
          <w:tcPr>
            <w:tcW w:w="2880" w:type="dxa"/>
            <w:tcBorders>
              <w:top w:val="nil"/>
              <w:left w:val="nil"/>
              <w:bottom w:val="nil"/>
              <w:right w:val="nil"/>
            </w:tcBorders>
          </w:tcPr>
          <w:p w:rsidR="00986586" w:rsidRDefault="00986586" w:rsidP="00715F4B">
            <w:pPr>
              <w:pStyle w:val="Heading2"/>
            </w:pPr>
            <w:r>
              <w:t>Masking of Emissions</w:t>
            </w:r>
          </w:p>
        </w:tc>
        <w:tc>
          <w:tcPr>
            <w:tcW w:w="6624" w:type="dxa"/>
            <w:tcBorders>
              <w:top w:val="nil"/>
              <w:left w:val="nil"/>
              <w:bottom w:val="nil"/>
              <w:right w:val="nil"/>
            </w:tcBorders>
          </w:tcPr>
          <w:p w:rsidR="00986586" w:rsidRDefault="00986586">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986586">
        <w:tc>
          <w:tcPr>
            <w:tcW w:w="2880" w:type="dxa"/>
            <w:tcBorders>
              <w:top w:val="nil"/>
              <w:left w:val="nil"/>
              <w:bottom w:val="nil"/>
              <w:right w:val="nil"/>
            </w:tcBorders>
          </w:tcPr>
          <w:p w:rsidR="00986586" w:rsidRDefault="00986586" w:rsidP="00715F4B">
            <w:pPr>
              <w:pStyle w:val="Heading2"/>
            </w:pPr>
            <w:r>
              <w:t>Department Access</w:t>
            </w:r>
          </w:p>
        </w:tc>
        <w:tc>
          <w:tcPr>
            <w:tcW w:w="6624" w:type="dxa"/>
            <w:tcBorders>
              <w:top w:val="nil"/>
              <w:left w:val="nil"/>
              <w:bottom w:val="nil"/>
              <w:right w:val="nil"/>
            </w:tcBorders>
          </w:tcPr>
          <w:p w:rsidR="00986586" w:rsidRDefault="00986586">
            <w:pPr>
              <w:pStyle w:val="Bodytext"/>
            </w:pPr>
            <w:r>
              <w:t>The permittee must allow the Department’s representatives access to the plant site and pertinent records at all reasonable times for the purposes of performing inspections, surveys, collecting samples, obtaining data, reviewing and copying air contaminant emissions discharge records and conducting all necessary functions related to this permit in accordance with ORS 468-095.</w:t>
            </w:r>
          </w:p>
        </w:tc>
      </w:tr>
      <w:tr w:rsidR="00986586">
        <w:tc>
          <w:tcPr>
            <w:tcW w:w="2880" w:type="dxa"/>
            <w:tcBorders>
              <w:top w:val="nil"/>
              <w:left w:val="nil"/>
              <w:bottom w:val="nil"/>
              <w:right w:val="nil"/>
            </w:tcBorders>
          </w:tcPr>
          <w:p w:rsidR="00986586" w:rsidRDefault="00986586" w:rsidP="00715F4B">
            <w:pPr>
              <w:pStyle w:val="Heading2"/>
            </w:pPr>
            <w:r>
              <w:t>Permit Availability</w:t>
            </w:r>
          </w:p>
        </w:tc>
        <w:tc>
          <w:tcPr>
            <w:tcW w:w="6624" w:type="dxa"/>
            <w:tcBorders>
              <w:top w:val="nil"/>
              <w:left w:val="nil"/>
              <w:bottom w:val="nil"/>
              <w:right w:val="nil"/>
            </w:tcBorders>
          </w:tcPr>
          <w:p w:rsidR="00986586" w:rsidRDefault="00986586">
            <w:pPr>
              <w:pStyle w:val="Bodytext"/>
            </w:pPr>
            <w:r>
              <w:t>The permittee must have a copy of the permit available at the facility at all times.</w:t>
            </w:r>
          </w:p>
        </w:tc>
      </w:tr>
      <w:tr w:rsidR="00986586">
        <w:tc>
          <w:tcPr>
            <w:tcW w:w="2880" w:type="dxa"/>
            <w:tcBorders>
              <w:top w:val="nil"/>
              <w:left w:val="nil"/>
              <w:bottom w:val="nil"/>
              <w:right w:val="nil"/>
            </w:tcBorders>
          </w:tcPr>
          <w:p w:rsidR="00986586" w:rsidRDefault="00986586" w:rsidP="006962B0">
            <w:pPr>
              <w:pStyle w:val="Heading2"/>
            </w:pPr>
            <w:r>
              <w:t>Open Burning</w:t>
            </w:r>
          </w:p>
        </w:tc>
        <w:tc>
          <w:tcPr>
            <w:tcW w:w="6624" w:type="dxa"/>
            <w:tcBorders>
              <w:top w:val="nil"/>
              <w:left w:val="nil"/>
              <w:bottom w:val="nil"/>
              <w:right w:val="nil"/>
            </w:tcBorders>
          </w:tcPr>
          <w:p w:rsidR="00986586" w:rsidRDefault="00986586">
            <w:pPr>
              <w:pStyle w:val="Bodytext"/>
            </w:pPr>
            <w:r>
              <w:t>The permittee may not conduct any open burning except as allowed by OAR 340 Division 264.</w:t>
            </w:r>
          </w:p>
        </w:tc>
      </w:tr>
      <w:tr w:rsidR="00986586">
        <w:tc>
          <w:tcPr>
            <w:tcW w:w="2880" w:type="dxa"/>
            <w:tcBorders>
              <w:top w:val="nil"/>
              <w:left w:val="nil"/>
              <w:bottom w:val="nil"/>
              <w:right w:val="nil"/>
            </w:tcBorders>
          </w:tcPr>
          <w:p w:rsidR="00986586" w:rsidRDefault="00986586" w:rsidP="006962B0">
            <w:pPr>
              <w:pStyle w:val="Heading2"/>
            </w:pPr>
            <w:r>
              <w:t>Asbestos</w:t>
            </w:r>
          </w:p>
        </w:tc>
        <w:tc>
          <w:tcPr>
            <w:tcW w:w="6624" w:type="dxa"/>
            <w:tcBorders>
              <w:top w:val="nil"/>
              <w:left w:val="nil"/>
              <w:bottom w:val="nil"/>
              <w:right w:val="nil"/>
            </w:tcBorders>
          </w:tcPr>
          <w:p w:rsidR="00986586" w:rsidRDefault="00986586">
            <w:pPr>
              <w:pStyle w:val="Bodytext"/>
            </w:pPr>
            <w:r>
              <w:t>The permittee must comply with the asbestos abatement requirements in OAR 340, Division 248 for all activities involving asbestos-containing materials, including, but not limit</w:t>
            </w:r>
            <w:r w:rsidR="00605C08">
              <w:t>ed</w:t>
            </w:r>
            <w:r>
              <w:t xml:space="preserve"> to, demolition, renovation, repair, construction, and maintenance.</w:t>
            </w:r>
          </w:p>
        </w:tc>
      </w:tr>
      <w:tr w:rsidR="00986586" w:rsidTr="00E70E25">
        <w:trPr>
          <w:cantSplit/>
        </w:trPr>
        <w:tc>
          <w:tcPr>
            <w:tcW w:w="2880" w:type="dxa"/>
            <w:tcBorders>
              <w:top w:val="nil"/>
              <w:left w:val="nil"/>
              <w:bottom w:val="nil"/>
              <w:right w:val="nil"/>
            </w:tcBorders>
          </w:tcPr>
          <w:p w:rsidR="00986586" w:rsidRDefault="00986586" w:rsidP="006962B0">
            <w:pPr>
              <w:pStyle w:val="Heading2"/>
            </w:pPr>
            <w:r>
              <w:t>Property Rights</w:t>
            </w:r>
          </w:p>
        </w:tc>
        <w:tc>
          <w:tcPr>
            <w:tcW w:w="6624" w:type="dxa"/>
            <w:tcBorders>
              <w:top w:val="nil"/>
              <w:left w:val="nil"/>
              <w:bottom w:val="nil"/>
              <w:right w:val="nil"/>
            </w:tcBorders>
          </w:tcPr>
          <w:p w:rsidR="00986586" w:rsidRDefault="00986586">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CF6723">
        <w:tc>
          <w:tcPr>
            <w:tcW w:w="2880" w:type="dxa"/>
            <w:tcBorders>
              <w:top w:val="nil"/>
              <w:left w:val="nil"/>
              <w:bottom w:val="nil"/>
              <w:right w:val="nil"/>
            </w:tcBorders>
          </w:tcPr>
          <w:p w:rsidR="00CF6723" w:rsidRDefault="00CF6723" w:rsidP="006962B0">
            <w:pPr>
              <w:pStyle w:val="Heading2"/>
            </w:pPr>
            <w:r>
              <w:t>Permit Expiration</w:t>
            </w:r>
          </w:p>
        </w:tc>
        <w:tc>
          <w:tcPr>
            <w:tcW w:w="6624" w:type="dxa"/>
            <w:tcBorders>
              <w:top w:val="nil"/>
              <w:left w:val="nil"/>
              <w:bottom w:val="nil"/>
              <w:right w:val="nil"/>
            </w:tcBorders>
          </w:tcPr>
          <w:p w:rsidR="00CF6723" w:rsidRDefault="00CF6723" w:rsidP="006962B0">
            <w:pPr>
              <w:pStyle w:val="Heading3"/>
            </w:pPr>
            <w:r>
              <w:t>A source may not be operated after the expiration date of the permit, unless any of the following occur prior to the expiration date of the permit:</w:t>
            </w:r>
          </w:p>
          <w:p w:rsidR="00CF6723" w:rsidRDefault="00605C08" w:rsidP="006962B0">
            <w:pPr>
              <w:pStyle w:val="Heading4"/>
            </w:pPr>
            <w:r>
              <w:t>A</w:t>
            </w:r>
            <w:r w:rsidR="00CF6723">
              <w:t xml:space="preserve"> </w:t>
            </w:r>
            <w:r w:rsidR="00CF6723" w:rsidRPr="006962B0">
              <w:t>timely</w:t>
            </w:r>
            <w:r w:rsidR="00CF6723">
              <w:t xml:space="preserve"> and complete application for renewal or for an Oregon Title V Operating Permit has bee</w:t>
            </w:r>
            <w:r w:rsidR="006962B0">
              <w:t>n</w:t>
            </w:r>
            <w:r w:rsidR="00CF6723">
              <w:t xml:space="preserve"> submitted, or</w:t>
            </w:r>
          </w:p>
          <w:p w:rsidR="00CF6723" w:rsidRDefault="00605C08" w:rsidP="006962B0">
            <w:pPr>
              <w:pStyle w:val="Heading4"/>
            </w:pPr>
            <w:r>
              <w:t>A</w:t>
            </w:r>
            <w:r w:rsidR="00CF6723">
              <w:t>nother type of permit (ACDP or Oregon Title V Operating Permit) has been issued authorizing operation of the source.</w:t>
            </w:r>
          </w:p>
          <w:p w:rsidR="00CF6723" w:rsidRPr="00FF6AA6" w:rsidRDefault="00CF6723" w:rsidP="006962B0">
            <w:pPr>
              <w:pStyle w:val="Heading3"/>
            </w:pPr>
            <w:r w:rsidRPr="006962B0">
              <w:t>For</w:t>
            </w:r>
            <w:r>
              <w:t xml:space="preserve">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tc>
      </w:tr>
      <w:tr w:rsidR="00986586">
        <w:tc>
          <w:tcPr>
            <w:tcW w:w="2880" w:type="dxa"/>
            <w:tcBorders>
              <w:top w:val="nil"/>
              <w:left w:val="nil"/>
              <w:bottom w:val="nil"/>
              <w:right w:val="nil"/>
            </w:tcBorders>
          </w:tcPr>
          <w:p w:rsidR="00986586" w:rsidRDefault="00CF6723" w:rsidP="006962B0">
            <w:pPr>
              <w:pStyle w:val="Heading2"/>
            </w:pPr>
            <w:r>
              <w:t xml:space="preserve">Permit </w:t>
            </w:r>
            <w:r w:rsidR="00986586">
              <w:t>Termination, Revocation, or Modification</w:t>
            </w:r>
          </w:p>
        </w:tc>
        <w:tc>
          <w:tcPr>
            <w:tcW w:w="6624" w:type="dxa"/>
            <w:tcBorders>
              <w:top w:val="nil"/>
              <w:left w:val="nil"/>
              <w:bottom w:val="nil"/>
              <w:right w:val="nil"/>
            </w:tcBorders>
          </w:tcPr>
          <w:p w:rsidR="00986586" w:rsidRDefault="00986586">
            <w:pPr>
              <w:pStyle w:val="Bodytext"/>
            </w:pPr>
            <w:r>
              <w:t>The Department may modify or revoke this permit pursuant to OAR 340-216-0082 and 340-216-0084.</w:t>
            </w:r>
          </w:p>
        </w:tc>
      </w:tr>
    </w:tbl>
    <w:p w:rsidR="00986586" w:rsidRDefault="00986586"/>
    <w:p w:rsidR="00986586" w:rsidRDefault="00986586"/>
    <w:p w:rsidR="00E449FB" w:rsidRDefault="00E449FB">
      <w:pPr>
        <w:rPr>
          <w:rFonts w:ascii="Arial Black" w:hAnsi="Arial Black"/>
          <w:b/>
          <w:caps/>
          <w:sz w:val="28"/>
        </w:rPr>
      </w:pPr>
      <w:bookmarkStart w:id="61" w:name="_Ref516384376"/>
      <w:bookmarkStart w:id="62" w:name="_Ref516385193"/>
      <w:bookmarkStart w:id="63" w:name="_Ref516395980"/>
      <w:r>
        <w:br w:type="page"/>
      </w:r>
    </w:p>
    <w:p w:rsidR="00986586" w:rsidRDefault="00986586" w:rsidP="006962B0">
      <w:pPr>
        <w:pStyle w:val="Heading1"/>
      </w:pPr>
      <w:bookmarkStart w:id="64" w:name="_Ref252350437"/>
      <w:bookmarkStart w:id="65" w:name="_Toc253664552"/>
      <w:r w:rsidRPr="006962B0">
        <w:t>Emission</w:t>
      </w:r>
      <w:r>
        <w:t xml:space="preserve"> Factors</w:t>
      </w:r>
      <w:bookmarkEnd w:id="61"/>
      <w:bookmarkEnd w:id="62"/>
      <w:bookmarkEnd w:id="63"/>
      <w:bookmarkEnd w:id="64"/>
      <w:bookmarkEnd w:id="65"/>
    </w:p>
    <w:p w:rsidR="00986586" w:rsidRDefault="00986586"/>
    <w:p w:rsidR="007B2AA7" w:rsidRDefault="007B2AA7"/>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170"/>
        <w:gridCol w:w="1530"/>
        <w:gridCol w:w="342"/>
        <w:gridCol w:w="1458"/>
        <w:gridCol w:w="180"/>
        <w:gridCol w:w="2106"/>
      </w:tblGrid>
      <w:tr w:rsidR="00986586" w:rsidTr="00A55D1C">
        <w:trPr>
          <w:tblHeader/>
        </w:trPr>
        <w:tc>
          <w:tcPr>
            <w:tcW w:w="2790" w:type="dxa"/>
            <w:tcBorders>
              <w:top w:val="double" w:sz="4" w:space="0" w:color="auto"/>
              <w:left w:val="double" w:sz="4" w:space="0" w:color="auto"/>
              <w:bottom w:val="nil"/>
              <w:right w:val="nil"/>
            </w:tcBorders>
            <w:vAlign w:val="center"/>
          </w:tcPr>
          <w:p w:rsidR="00986586" w:rsidRDefault="00986586" w:rsidP="00A55D1C">
            <w:pPr>
              <w:spacing w:before="60" w:after="60"/>
              <w:jc w:val="center"/>
              <w:rPr>
                <w:b/>
              </w:rPr>
            </w:pPr>
            <w:r>
              <w:rPr>
                <w:b/>
              </w:rPr>
              <w:t xml:space="preserve">Emissions </w:t>
            </w:r>
            <w:r w:rsidR="00A55D1C">
              <w:rPr>
                <w:b/>
              </w:rPr>
              <w:t>D</w:t>
            </w:r>
            <w:r>
              <w:rPr>
                <w:b/>
              </w:rPr>
              <w:t xml:space="preserve">evice or </w:t>
            </w:r>
            <w:r w:rsidR="00A55D1C">
              <w:rPr>
                <w:b/>
              </w:rPr>
              <w:t>A</w:t>
            </w:r>
            <w:r>
              <w:rPr>
                <w:b/>
              </w:rPr>
              <w:t>ctivity</w:t>
            </w:r>
          </w:p>
        </w:tc>
        <w:tc>
          <w:tcPr>
            <w:tcW w:w="1170" w:type="dxa"/>
            <w:tcBorders>
              <w:top w:val="double" w:sz="4" w:space="0" w:color="auto"/>
              <w:left w:val="single" w:sz="4" w:space="0" w:color="auto"/>
              <w:bottom w:val="nil"/>
              <w:right w:val="single" w:sz="4" w:space="0" w:color="auto"/>
            </w:tcBorders>
            <w:vAlign w:val="center"/>
          </w:tcPr>
          <w:p w:rsidR="00986586" w:rsidRDefault="00986586" w:rsidP="00A55D1C">
            <w:pPr>
              <w:spacing w:before="60" w:after="60"/>
              <w:jc w:val="center"/>
              <w:rPr>
                <w:b/>
              </w:rPr>
            </w:pPr>
            <w:r>
              <w:rPr>
                <w:b/>
              </w:rPr>
              <w:t>Pollutant</w:t>
            </w:r>
          </w:p>
        </w:tc>
        <w:tc>
          <w:tcPr>
            <w:tcW w:w="1530" w:type="dxa"/>
            <w:tcBorders>
              <w:top w:val="double" w:sz="4" w:space="0" w:color="auto"/>
              <w:left w:val="nil"/>
              <w:bottom w:val="nil"/>
              <w:right w:val="single" w:sz="4" w:space="0" w:color="auto"/>
            </w:tcBorders>
            <w:vAlign w:val="center"/>
          </w:tcPr>
          <w:p w:rsidR="00986586" w:rsidRDefault="00986586" w:rsidP="00A55D1C">
            <w:pPr>
              <w:spacing w:before="60" w:after="60"/>
              <w:jc w:val="center"/>
              <w:rPr>
                <w:b/>
              </w:rPr>
            </w:pPr>
            <w:r>
              <w:rPr>
                <w:b/>
              </w:rPr>
              <w:t>Emission Factor (EF)</w:t>
            </w:r>
          </w:p>
        </w:tc>
        <w:tc>
          <w:tcPr>
            <w:tcW w:w="1800" w:type="dxa"/>
            <w:gridSpan w:val="2"/>
            <w:tcBorders>
              <w:top w:val="double" w:sz="4" w:space="0" w:color="auto"/>
              <w:left w:val="nil"/>
              <w:bottom w:val="nil"/>
              <w:right w:val="single" w:sz="4" w:space="0" w:color="auto"/>
            </w:tcBorders>
            <w:vAlign w:val="center"/>
          </w:tcPr>
          <w:p w:rsidR="00986586" w:rsidRDefault="00986586" w:rsidP="00A55D1C">
            <w:pPr>
              <w:spacing w:before="60" w:after="60"/>
              <w:jc w:val="center"/>
              <w:rPr>
                <w:b/>
              </w:rPr>
            </w:pPr>
            <w:r>
              <w:rPr>
                <w:b/>
              </w:rPr>
              <w:t xml:space="preserve">EF </w:t>
            </w:r>
            <w:r w:rsidR="00A55D1C">
              <w:rPr>
                <w:b/>
              </w:rPr>
              <w:t>U</w:t>
            </w:r>
            <w:r>
              <w:rPr>
                <w:b/>
              </w:rPr>
              <w:t>nits</w:t>
            </w:r>
          </w:p>
        </w:tc>
        <w:tc>
          <w:tcPr>
            <w:tcW w:w="2286" w:type="dxa"/>
            <w:gridSpan w:val="2"/>
            <w:tcBorders>
              <w:top w:val="double" w:sz="4" w:space="0" w:color="auto"/>
              <w:left w:val="nil"/>
              <w:bottom w:val="nil"/>
              <w:right w:val="double" w:sz="4" w:space="0" w:color="auto"/>
            </w:tcBorders>
            <w:vAlign w:val="center"/>
          </w:tcPr>
          <w:p w:rsidR="00986586" w:rsidRDefault="00986586" w:rsidP="00A55D1C">
            <w:pPr>
              <w:spacing w:before="60" w:after="60"/>
              <w:jc w:val="center"/>
              <w:rPr>
                <w:b/>
              </w:rPr>
            </w:pPr>
            <w:r>
              <w:rPr>
                <w:b/>
              </w:rPr>
              <w:t xml:space="preserve">EF </w:t>
            </w:r>
            <w:r w:rsidR="00A55D1C">
              <w:rPr>
                <w:b/>
              </w:rPr>
              <w:t>R</w:t>
            </w:r>
            <w:r>
              <w:rPr>
                <w:b/>
              </w:rPr>
              <w:t>eference</w:t>
            </w:r>
          </w:p>
        </w:tc>
      </w:tr>
      <w:tr w:rsidR="00986586" w:rsidTr="00A55D1C">
        <w:trPr>
          <w:cantSplit/>
        </w:trPr>
        <w:tc>
          <w:tcPr>
            <w:tcW w:w="2790" w:type="dxa"/>
            <w:tcBorders>
              <w:top w:val="double" w:sz="4" w:space="0" w:color="auto"/>
              <w:left w:val="double" w:sz="4" w:space="0" w:color="auto"/>
              <w:bottom w:val="single" w:sz="4" w:space="0" w:color="auto"/>
              <w:right w:val="nil"/>
            </w:tcBorders>
            <w:vAlign w:val="center"/>
          </w:tcPr>
          <w:p w:rsidR="00986586" w:rsidRDefault="006962B0" w:rsidP="00A55D1C">
            <w:pPr>
              <w:spacing w:before="60" w:after="60"/>
              <w:jc w:val="center"/>
            </w:pPr>
            <w:r>
              <w:t>Live Bottom Bin – T1010</w:t>
            </w:r>
          </w:p>
        </w:tc>
        <w:tc>
          <w:tcPr>
            <w:tcW w:w="1170" w:type="dxa"/>
            <w:tcBorders>
              <w:top w:val="double" w:sz="4" w:space="0" w:color="auto"/>
              <w:left w:val="single" w:sz="4" w:space="0" w:color="auto"/>
              <w:bottom w:val="single" w:sz="4" w:space="0" w:color="auto"/>
              <w:right w:val="single" w:sz="4" w:space="0" w:color="auto"/>
            </w:tcBorders>
            <w:vAlign w:val="center"/>
          </w:tcPr>
          <w:p w:rsidR="00986586" w:rsidRDefault="006962B0" w:rsidP="00A55D1C">
            <w:pPr>
              <w:spacing w:before="60" w:after="60"/>
              <w:jc w:val="center"/>
            </w:pPr>
            <w:r>
              <w:t>VOC</w:t>
            </w:r>
          </w:p>
        </w:tc>
        <w:tc>
          <w:tcPr>
            <w:tcW w:w="1530" w:type="dxa"/>
            <w:tcBorders>
              <w:top w:val="double" w:sz="4" w:space="0" w:color="auto"/>
              <w:left w:val="nil"/>
              <w:bottom w:val="single" w:sz="4" w:space="0" w:color="auto"/>
              <w:right w:val="single" w:sz="4" w:space="0" w:color="auto"/>
            </w:tcBorders>
            <w:vAlign w:val="center"/>
          </w:tcPr>
          <w:p w:rsidR="00986586" w:rsidRDefault="006962B0" w:rsidP="00A55D1C">
            <w:pPr>
              <w:tabs>
                <w:tab w:val="decimal" w:pos="0"/>
              </w:tabs>
              <w:spacing w:before="60" w:after="60"/>
              <w:jc w:val="center"/>
            </w:pPr>
            <w:r>
              <w:t>1.74</w:t>
            </w:r>
          </w:p>
        </w:tc>
        <w:tc>
          <w:tcPr>
            <w:tcW w:w="1800" w:type="dxa"/>
            <w:gridSpan w:val="2"/>
            <w:tcBorders>
              <w:top w:val="double" w:sz="4" w:space="0" w:color="auto"/>
              <w:left w:val="nil"/>
              <w:bottom w:val="single" w:sz="4" w:space="0" w:color="auto"/>
              <w:right w:val="single" w:sz="4" w:space="0" w:color="auto"/>
            </w:tcBorders>
            <w:vAlign w:val="center"/>
          </w:tcPr>
          <w:p w:rsidR="00986586" w:rsidRDefault="006962B0" w:rsidP="00A55D1C">
            <w:pPr>
              <w:spacing w:before="60" w:after="60"/>
              <w:jc w:val="center"/>
            </w:pPr>
            <w:r>
              <w:t>lb/BDT</w:t>
            </w:r>
          </w:p>
        </w:tc>
        <w:tc>
          <w:tcPr>
            <w:tcW w:w="2286" w:type="dxa"/>
            <w:gridSpan w:val="2"/>
            <w:tcBorders>
              <w:top w:val="double" w:sz="4" w:space="0" w:color="auto"/>
              <w:left w:val="nil"/>
              <w:bottom w:val="single" w:sz="4" w:space="0" w:color="auto"/>
              <w:right w:val="double" w:sz="4" w:space="0" w:color="auto"/>
            </w:tcBorders>
            <w:vAlign w:val="center"/>
          </w:tcPr>
          <w:p w:rsidR="00986586" w:rsidRDefault="006962B0" w:rsidP="00A55D1C">
            <w:pPr>
              <w:spacing w:before="60" w:after="60"/>
              <w:jc w:val="center"/>
            </w:pPr>
            <w:r>
              <w:t>Source Estimate</w:t>
            </w:r>
          </w:p>
        </w:tc>
      </w:tr>
      <w:tr w:rsidR="006F3093" w:rsidTr="00A55D1C">
        <w:tc>
          <w:tcPr>
            <w:tcW w:w="2790" w:type="dxa"/>
            <w:vMerge w:val="restart"/>
            <w:tcBorders>
              <w:top w:val="nil"/>
              <w:left w:val="double" w:sz="4" w:space="0" w:color="auto"/>
              <w:right w:val="nil"/>
            </w:tcBorders>
            <w:vAlign w:val="center"/>
          </w:tcPr>
          <w:p w:rsidR="006F3093" w:rsidRDefault="006F3093" w:rsidP="00A55D1C">
            <w:pPr>
              <w:spacing w:before="60" w:after="60"/>
              <w:jc w:val="center"/>
            </w:pPr>
            <w:r>
              <w:t>Lignin Dryer – Y2010</w:t>
            </w:r>
          </w:p>
        </w:tc>
        <w:tc>
          <w:tcPr>
            <w:tcW w:w="1170" w:type="dxa"/>
            <w:tcBorders>
              <w:top w:val="nil"/>
              <w:left w:val="single" w:sz="4" w:space="0" w:color="auto"/>
              <w:bottom w:val="nil"/>
              <w:right w:val="single" w:sz="4" w:space="0" w:color="auto"/>
            </w:tcBorders>
            <w:vAlign w:val="center"/>
          </w:tcPr>
          <w:p w:rsidR="006F3093" w:rsidRPr="006F3093" w:rsidRDefault="006F3093" w:rsidP="00A55D1C">
            <w:pPr>
              <w:spacing w:before="60" w:after="60"/>
              <w:jc w:val="center"/>
            </w:pPr>
            <w:proofErr w:type="spellStart"/>
            <w:r>
              <w:t>NO</w:t>
            </w:r>
            <w:r>
              <w:rPr>
                <w:vertAlign w:val="subscript"/>
              </w:rPr>
              <w:t>x</w:t>
            </w:r>
            <w:proofErr w:type="spellEnd"/>
          </w:p>
        </w:tc>
        <w:tc>
          <w:tcPr>
            <w:tcW w:w="1530" w:type="dxa"/>
            <w:tcBorders>
              <w:top w:val="nil"/>
              <w:left w:val="nil"/>
              <w:bottom w:val="nil"/>
              <w:right w:val="single" w:sz="4" w:space="0" w:color="auto"/>
            </w:tcBorders>
            <w:vAlign w:val="center"/>
          </w:tcPr>
          <w:p w:rsidR="006F3093" w:rsidRDefault="006F3093" w:rsidP="00A55D1C">
            <w:pPr>
              <w:tabs>
                <w:tab w:val="decimal" w:pos="0"/>
              </w:tabs>
              <w:spacing w:before="60" w:after="60"/>
              <w:jc w:val="center"/>
            </w:pPr>
            <w:r>
              <w:t>100</w:t>
            </w:r>
          </w:p>
        </w:tc>
        <w:tc>
          <w:tcPr>
            <w:tcW w:w="1800" w:type="dxa"/>
            <w:gridSpan w:val="2"/>
            <w:vMerge w:val="restart"/>
            <w:tcBorders>
              <w:top w:val="nil"/>
              <w:left w:val="nil"/>
              <w:right w:val="single" w:sz="4" w:space="0" w:color="auto"/>
            </w:tcBorders>
            <w:vAlign w:val="center"/>
          </w:tcPr>
          <w:p w:rsidR="006F3093" w:rsidRDefault="006F3093" w:rsidP="00A55D1C">
            <w:pPr>
              <w:spacing w:before="60" w:after="60"/>
              <w:jc w:val="center"/>
            </w:pPr>
            <w:r>
              <w:t>lb/</w:t>
            </w:r>
            <w:proofErr w:type="spellStart"/>
            <w:r>
              <w:t>MMcf</w:t>
            </w:r>
            <w:proofErr w:type="spellEnd"/>
          </w:p>
        </w:tc>
        <w:tc>
          <w:tcPr>
            <w:tcW w:w="2286" w:type="dxa"/>
            <w:gridSpan w:val="2"/>
            <w:vMerge w:val="restart"/>
            <w:tcBorders>
              <w:top w:val="nil"/>
              <w:left w:val="nil"/>
              <w:right w:val="double" w:sz="4" w:space="0" w:color="auto"/>
            </w:tcBorders>
            <w:vAlign w:val="center"/>
          </w:tcPr>
          <w:p w:rsidR="006F3093" w:rsidRDefault="006F3093" w:rsidP="00A55D1C">
            <w:pPr>
              <w:spacing w:before="60" w:after="60"/>
              <w:jc w:val="center"/>
            </w:pPr>
            <w:r>
              <w:t>AP-42 Table 1.4-1</w:t>
            </w:r>
          </w:p>
        </w:tc>
      </w:tr>
      <w:tr w:rsidR="006F3093" w:rsidTr="00A55D1C">
        <w:tc>
          <w:tcPr>
            <w:tcW w:w="2790" w:type="dxa"/>
            <w:vMerge/>
            <w:tcBorders>
              <w:left w:val="double" w:sz="4" w:space="0" w:color="auto"/>
              <w:bottom w:val="single" w:sz="4" w:space="0" w:color="auto"/>
              <w:right w:val="nil"/>
            </w:tcBorders>
            <w:vAlign w:val="center"/>
          </w:tcPr>
          <w:p w:rsidR="006F3093" w:rsidRDefault="006F3093" w:rsidP="00A55D1C">
            <w:pPr>
              <w:spacing w:before="60" w:after="60"/>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6F3093" w:rsidRDefault="006F3093" w:rsidP="00A55D1C">
            <w:pPr>
              <w:spacing w:before="60" w:after="60"/>
              <w:jc w:val="center"/>
            </w:pPr>
            <w:r>
              <w:t>CO</w:t>
            </w:r>
          </w:p>
        </w:tc>
        <w:tc>
          <w:tcPr>
            <w:tcW w:w="1530" w:type="dxa"/>
            <w:tcBorders>
              <w:top w:val="single" w:sz="4" w:space="0" w:color="auto"/>
              <w:left w:val="nil"/>
              <w:bottom w:val="single" w:sz="4" w:space="0" w:color="auto"/>
              <w:right w:val="single" w:sz="4" w:space="0" w:color="auto"/>
            </w:tcBorders>
            <w:vAlign w:val="center"/>
          </w:tcPr>
          <w:p w:rsidR="006F3093" w:rsidRDefault="006F3093" w:rsidP="00A55D1C">
            <w:pPr>
              <w:tabs>
                <w:tab w:val="decimal" w:pos="0"/>
              </w:tabs>
              <w:spacing w:before="60" w:after="60"/>
              <w:jc w:val="center"/>
            </w:pPr>
            <w:r>
              <w:t>84</w:t>
            </w:r>
          </w:p>
        </w:tc>
        <w:tc>
          <w:tcPr>
            <w:tcW w:w="1800" w:type="dxa"/>
            <w:gridSpan w:val="2"/>
            <w:vMerge/>
            <w:tcBorders>
              <w:left w:val="nil"/>
              <w:bottom w:val="single" w:sz="4" w:space="0" w:color="auto"/>
              <w:right w:val="single" w:sz="4" w:space="0" w:color="auto"/>
            </w:tcBorders>
            <w:vAlign w:val="center"/>
          </w:tcPr>
          <w:p w:rsidR="006F3093" w:rsidRDefault="006F3093" w:rsidP="00A55D1C">
            <w:pPr>
              <w:spacing w:before="60" w:after="60"/>
              <w:jc w:val="center"/>
            </w:pPr>
          </w:p>
        </w:tc>
        <w:tc>
          <w:tcPr>
            <w:tcW w:w="2286" w:type="dxa"/>
            <w:gridSpan w:val="2"/>
            <w:vMerge/>
            <w:tcBorders>
              <w:left w:val="nil"/>
              <w:bottom w:val="single" w:sz="4" w:space="0" w:color="auto"/>
              <w:right w:val="double" w:sz="4" w:space="0" w:color="auto"/>
            </w:tcBorders>
            <w:vAlign w:val="center"/>
          </w:tcPr>
          <w:p w:rsidR="006F3093" w:rsidRDefault="006F3093" w:rsidP="00A55D1C">
            <w:pPr>
              <w:spacing w:before="60" w:after="60"/>
              <w:jc w:val="center"/>
            </w:pPr>
          </w:p>
        </w:tc>
      </w:tr>
      <w:tr w:rsidR="00986586" w:rsidTr="00A55D1C">
        <w:tc>
          <w:tcPr>
            <w:tcW w:w="2790" w:type="dxa"/>
            <w:tcBorders>
              <w:top w:val="nil"/>
              <w:left w:val="double" w:sz="4" w:space="0" w:color="auto"/>
              <w:bottom w:val="nil"/>
              <w:right w:val="nil"/>
            </w:tcBorders>
            <w:vAlign w:val="center"/>
          </w:tcPr>
          <w:p w:rsidR="00986586" w:rsidRPr="006F3093" w:rsidRDefault="006F3093" w:rsidP="00A55D1C">
            <w:pPr>
              <w:spacing w:before="60" w:after="60"/>
              <w:jc w:val="center"/>
            </w:pPr>
            <w:r>
              <w:t>CO</w:t>
            </w:r>
            <w:r>
              <w:rPr>
                <w:vertAlign w:val="subscript"/>
              </w:rPr>
              <w:t>2</w:t>
            </w:r>
            <w:r>
              <w:t xml:space="preserve"> Vent</w:t>
            </w:r>
          </w:p>
        </w:tc>
        <w:tc>
          <w:tcPr>
            <w:tcW w:w="1170" w:type="dxa"/>
            <w:tcBorders>
              <w:top w:val="nil"/>
              <w:left w:val="single" w:sz="4" w:space="0" w:color="auto"/>
              <w:bottom w:val="nil"/>
              <w:right w:val="single" w:sz="4" w:space="0" w:color="auto"/>
            </w:tcBorders>
            <w:vAlign w:val="center"/>
          </w:tcPr>
          <w:p w:rsidR="00986586" w:rsidRDefault="006F3093" w:rsidP="00A55D1C">
            <w:pPr>
              <w:spacing w:before="60" w:after="60"/>
              <w:jc w:val="center"/>
            </w:pPr>
            <w:r>
              <w:t>VOC</w:t>
            </w:r>
          </w:p>
        </w:tc>
        <w:tc>
          <w:tcPr>
            <w:tcW w:w="1530" w:type="dxa"/>
            <w:tcBorders>
              <w:top w:val="nil"/>
              <w:left w:val="nil"/>
              <w:bottom w:val="nil"/>
              <w:right w:val="single" w:sz="4" w:space="0" w:color="auto"/>
            </w:tcBorders>
            <w:vAlign w:val="center"/>
          </w:tcPr>
          <w:p w:rsidR="00986586" w:rsidRDefault="006F3093" w:rsidP="00A55D1C">
            <w:pPr>
              <w:tabs>
                <w:tab w:val="decimal" w:pos="0"/>
              </w:tabs>
              <w:spacing w:before="60" w:after="60"/>
              <w:jc w:val="center"/>
            </w:pPr>
            <w:r>
              <w:t>0.26</w:t>
            </w:r>
          </w:p>
        </w:tc>
        <w:tc>
          <w:tcPr>
            <w:tcW w:w="1800" w:type="dxa"/>
            <w:gridSpan w:val="2"/>
            <w:tcBorders>
              <w:top w:val="nil"/>
              <w:left w:val="nil"/>
              <w:bottom w:val="nil"/>
              <w:right w:val="single" w:sz="4" w:space="0" w:color="auto"/>
            </w:tcBorders>
            <w:vAlign w:val="center"/>
          </w:tcPr>
          <w:p w:rsidR="00986586" w:rsidRDefault="006F3093" w:rsidP="00A55D1C">
            <w:pPr>
              <w:spacing w:before="60" w:after="60"/>
              <w:jc w:val="center"/>
            </w:pPr>
            <w:r>
              <w:t>lb/hr</w:t>
            </w:r>
          </w:p>
        </w:tc>
        <w:tc>
          <w:tcPr>
            <w:tcW w:w="2286" w:type="dxa"/>
            <w:gridSpan w:val="2"/>
            <w:tcBorders>
              <w:top w:val="nil"/>
              <w:left w:val="nil"/>
              <w:bottom w:val="nil"/>
              <w:right w:val="double" w:sz="4" w:space="0" w:color="auto"/>
            </w:tcBorders>
            <w:vAlign w:val="center"/>
          </w:tcPr>
          <w:p w:rsidR="00986586" w:rsidRDefault="006F3093" w:rsidP="00A55D1C">
            <w:pPr>
              <w:spacing w:before="60" w:after="60"/>
              <w:jc w:val="center"/>
            </w:pPr>
            <w:r>
              <w:t>Source Estimate</w:t>
            </w:r>
          </w:p>
        </w:tc>
      </w:tr>
      <w:tr w:rsidR="006F3093" w:rsidTr="00A55D1C">
        <w:tc>
          <w:tcPr>
            <w:tcW w:w="2790" w:type="dxa"/>
            <w:tcBorders>
              <w:top w:val="single" w:sz="4" w:space="0" w:color="auto"/>
              <w:left w:val="double" w:sz="4" w:space="0" w:color="auto"/>
              <w:bottom w:val="single" w:sz="4" w:space="0" w:color="auto"/>
              <w:right w:val="nil"/>
            </w:tcBorders>
            <w:vAlign w:val="center"/>
          </w:tcPr>
          <w:p w:rsidR="006F3093" w:rsidRDefault="006F3093" w:rsidP="00A55D1C">
            <w:pPr>
              <w:spacing w:before="60" w:after="60"/>
              <w:jc w:val="center"/>
            </w:pPr>
            <w:r>
              <w:t>Gypsum Filter – F4010</w:t>
            </w:r>
          </w:p>
        </w:tc>
        <w:tc>
          <w:tcPr>
            <w:tcW w:w="1170" w:type="dxa"/>
            <w:tcBorders>
              <w:top w:val="single" w:sz="4" w:space="0" w:color="auto"/>
              <w:left w:val="single" w:sz="4" w:space="0" w:color="auto"/>
              <w:bottom w:val="single" w:sz="4" w:space="0" w:color="auto"/>
              <w:right w:val="single" w:sz="4" w:space="0" w:color="auto"/>
            </w:tcBorders>
            <w:vAlign w:val="center"/>
          </w:tcPr>
          <w:p w:rsidR="006F3093" w:rsidRDefault="006F3093" w:rsidP="00A55D1C">
            <w:pPr>
              <w:spacing w:before="60" w:after="60"/>
              <w:jc w:val="center"/>
            </w:pPr>
            <w:r>
              <w:t>VOC</w:t>
            </w:r>
          </w:p>
        </w:tc>
        <w:tc>
          <w:tcPr>
            <w:tcW w:w="1530" w:type="dxa"/>
            <w:tcBorders>
              <w:top w:val="single" w:sz="4" w:space="0" w:color="auto"/>
              <w:left w:val="nil"/>
              <w:bottom w:val="single" w:sz="4" w:space="0" w:color="auto"/>
              <w:right w:val="single" w:sz="4" w:space="0" w:color="auto"/>
            </w:tcBorders>
            <w:vAlign w:val="center"/>
          </w:tcPr>
          <w:p w:rsidR="006F3093" w:rsidRDefault="007E6E10" w:rsidP="00A55D1C">
            <w:pPr>
              <w:tabs>
                <w:tab w:val="decimal" w:pos="0"/>
              </w:tabs>
              <w:spacing w:before="60" w:after="60"/>
              <w:jc w:val="center"/>
            </w:pPr>
            <w:r>
              <w:t>1.66</w:t>
            </w:r>
          </w:p>
        </w:tc>
        <w:tc>
          <w:tcPr>
            <w:tcW w:w="1800" w:type="dxa"/>
            <w:gridSpan w:val="2"/>
            <w:tcBorders>
              <w:top w:val="single" w:sz="4" w:space="0" w:color="auto"/>
              <w:left w:val="nil"/>
              <w:bottom w:val="single" w:sz="4" w:space="0" w:color="auto"/>
              <w:right w:val="single" w:sz="4" w:space="0" w:color="auto"/>
            </w:tcBorders>
            <w:vAlign w:val="center"/>
          </w:tcPr>
          <w:p w:rsidR="006F3093" w:rsidRDefault="006F3093" w:rsidP="00A55D1C">
            <w:pPr>
              <w:spacing w:before="60" w:after="60"/>
              <w:jc w:val="center"/>
            </w:pPr>
            <w:r>
              <w:t>lb/</w:t>
            </w:r>
            <w:proofErr w:type="spellStart"/>
            <w:r w:rsidR="007E6E10">
              <w:t>Mgal</w:t>
            </w:r>
            <w:proofErr w:type="spellEnd"/>
            <w:r w:rsidR="007E6E10">
              <w:t xml:space="preserve"> dilute acetic acid</w:t>
            </w:r>
          </w:p>
        </w:tc>
        <w:tc>
          <w:tcPr>
            <w:tcW w:w="2286" w:type="dxa"/>
            <w:gridSpan w:val="2"/>
            <w:tcBorders>
              <w:top w:val="single" w:sz="4" w:space="0" w:color="auto"/>
              <w:left w:val="nil"/>
              <w:bottom w:val="single" w:sz="4" w:space="0" w:color="auto"/>
              <w:right w:val="double" w:sz="4" w:space="0" w:color="auto"/>
            </w:tcBorders>
            <w:vAlign w:val="center"/>
          </w:tcPr>
          <w:p w:rsidR="006F3093" w:rsidRDefault="006F3093" w:rsidP="00A55D1C">
            <w:pPr>
              <w:spacing w:before="60" w:after="60"/>
              <w:jc w:val="center"/>
            </w:pPr>
            <w:r>
              <w:t>Source Estimate</w:t>
            </w:r>
          </w:p>
        </w:tc>
      </w:tr>
      <w:tr w:rsidR="007B2AA7" w:rsidTr="00A55D1C">
        <w:tc>
          <w:tcPr>
            <w:tcW w:w="2790" w:type="dxa"/>
            <w:tcBorders>
              <w:top w:val="single" w:sz="4" w:space="0" w:color="auto"/>
              <w:left w:val="double" w:sz="4" w:space="0" w:color="auto"/>
              <w:bottom w:val="single" w:sz="4" w:space="0" w:color="auto"/>
              <w:right w:val="nil"/>
            </w:tcBorders>
            <w:vAlign w:val="center"/>
          </w:tcPr>
          <w:p w:rsidR="007B2AA7" w:rsidRDefault="007B2AA7" w:rsidP="00A55D1C">
            <w:pPr>
              <w:spacing w:before="60" w:after="60"/>
              <w:jc w:val="center"/>
            </w:pPr>
            <w:r>
              <w:t>Acidification Polishing Filter – F4020</w:t>
            </w:r>
          </w:p>
        </w:tc>
        <w:tc>
          <w:tcPr>
            <w:tcW w:w="1170" w:type="dxa"/>
            <w:tcBorders>
              <w:top w:val="single" w:sz="4" w:space="0" w:color="auto"/>
              <w:left w:val="single" w:sz="4" w:space="0" w:color="auto"/>
              <w:bottom w:val="single" w:sz="4" w:space="0" w:color="auto"/>
              <w:right w:val="single" w:sz="4" w:space="0" w:color="auto"/>
            </w:tcBorders>
            <w:vAlign w:val="center"/>
          </w:tcPr>
          <w:p w:rsidR="007B2AA7" w:rsidRDefault="007B2AA7" w:rsidP="00A55D1C">
            <w:pPr>
              <w:spacing w:before="60" w:after="60"/>
              <w:jc w:val="center"/>
            </w:pPr>
            <w:r>
              <w:t>VOC</w:t>
            </w:r>
          </w:p>
        </w:tc>
        <w:tc>
          <w:tcPr>
            <w:tcW w:w="1530" w:type="dxa"/>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0.07</w:t>
            </w:r>
          </w:p>
        </w:tc>
        <w:tc>
          <w:tcPr>
            <w:tcW w:w="1800" w:type="dxa"/>
            <w:gridSpan w:val="2"/>
            <w:tcBorders>
              <w:top w:val="single" w:sz="4" w:space="0" w:color="auto"/>
              <w:left w:val="nil"/>
              <w:bottom w:val="single" w:sz="4" w:space="0" w:color="auto"/>
              <w:right w:val="single" w:sz="4" w:space="0" w:color="auto"/>
            </w:tcBorders>
            <w:vAlign w:val="center"/>
          </w:tcPr>
          <w:p w:rsidR="007B2AA7" w:rsidRDefault="007B2AA7" w:rsidP="00A55D1C">
            <w:pPr>
              <w:spacing w:before="60" w:after="60"/>
              <w:jc w:val="center"/>
            </w:pPr>
            <w:r>
              <w:t>lb/</w:t>
            </w:r>
            <w:proofErr w:type="spellStart"/>
            <w:r>
              <w:t>Mgal</w:t>
            </w:r>
            <w:proofErr w:type="spellEnd"/>
            <w:r>
              <w:t xml:space="preserve"> dilute acetic acid</w:t>
            </w:r>
          </w:p>
        </w:tc>
        <w:tc>
          <w:tcPr>
            <w:tcW w:w="2286" w:type="dxa"/>
            <w:gridSpan w:val="2"/>
            <w:tcBorders>
              <w:top w:val="single" w:sz="4" w:space="0" w:color="auto"/>
              <w:left w:val="nil"/>
              <w:bottom w:val="single" w:sz="4" w:space="0" w:color="auto"/>
              <w:right w:val="double" w:sz="4" w:space="0" w:color="auto"/>
            </w:tcBorders>
            <w:vAlign w:val="center"/>
          </w:tcPr>
          <w:p w:rsidR="007B2AA7" w:rsidRDefault="007B2AA7" w:rsidP="00A55D1C">
            <w:pPr>
              <w:spacing w:before="60" w:after="60"/>
              <w:jc w:val="center"/>
            </w:pPr>
            <w:r>
              <w:t>Source Estimate</w:t>
            </w:r>
          </w:p>
        </w:tc>
      </w:tr>
      <w:tr w:rsidR="007B2AA7" w:rsidTr="00A55D1C">
        <w:trPr>
          <w:cantSplit/>
        </w:trPr>
        <w:tc>
          <w:tcPr>
            <w:tcW w:w="2790" w:type="dxa"/>
            <w:vMerge w:val="restart"/>
            <w:tcBorders>
              <w:top w:val="single" w:sz="4" w:space="0" w:color="auto"/>
              <w:left w:val="double" w:sz="4" w:space="0" w:color="auto"/>
              <w:right w:val="nil"/>
            </w:tcBorders>
            <w:vAlign w:val="center"/>
          </w:tcPr>
          <w:p w:rsidR="007B2AA7" w:rsidRDefault="007B2AA7" w:rsidP="00A55D1C">
            <w:pPr>
              <w:spacing w:before="60" w:after="60"/>
              <w:jc w:val="center"/>
            </w:pPr>
            <w:r>
              <w:t>Cooling Tower – E9010</w:t>
            </w:r>
          </w:p>
        </w:tc>
        <w:tc>
          <w:tcPr>
            <w:tcW w:w="1170" w:type="dxa"/>
            <w:tcBorders>
              <w:top w:val="single" w:sz="4" w:space="0" w:color="auto"/>
              <w:left w:val="single" w:sz="4" w:space="0" w:color="auto"/>
              <w:bottom w:val="single" w:sz="4" w:space="0" w:color="auto"/>
              <w:right w:val="single" w:sz="4" w:space="0" w:color="auto"/>
            </w:tcBorders>
            <w:vAlign w:val="center"/>
          </w:tcPr>
          <w:p w:rsidR="007B2AA7" w:rsidRDefault="007B2AA7" w:rsidP="00A55D1C">
            <w:pPr>
              <w:spacing w:before="60" w:after="60"/>
              <w:jc w:val="center"/>
            </w:pPr>
            <w:r>
              <w:t>PM</w:t>
            </w:r>
          </w:p>
        </w:tc>
        <w:tc>
          <w:tcPr>
            <w:tcW w:w="1530" w:type="dxa"/>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0.035</w:t>
            </w:r>
          </w:p>
        </w:tc>
        <w:tc>
          <w:tcPr>
            <w:tcW w:w="1800" w:type="dxa"/>
            <w:gridSpan w:val="2"/>
            <w:vMerge w:val="restart"/>
            <w:tcBorders>
              <w:top w:val="single" w:sz="4" w:space="0" w:color="auto"/>
              <w:left w:val="nil"/>
              <w:right w:val="single" w:sz="4" w:space="0" w:color="auto"/>
            </w:tcBorders>
            <w:vAlign w:val="center"/>
          </w:tcPr>
          <w:p w:rsidR="007B2AA7" w:rsidRDefault="007B2AA7" w:rsidP="00A55D1C">
            <w:pPr>
              <w:spacing w:before="60" w:after="60"/>
              <w:jc w:val="center"/>
            </w:pPr>
            <w:r>
              <w:t>lb/</w:t>
            </w:r>
            <w:proofErr w:type="spellStart"/>
            <w:r>
              <w:t>Mgal</w:t>
            </w:r>
            <w:proofErr w:type="spellEnd"/>
          </w:p>
        </w:tc>
        <w:tc>
          <w:tcPr>
            <w:tcW w:w="2286" w:type="dxa"/>
            <w:gridSpan w:val="2"/>
            <w:vMerge w:val="restart"/>
            <w:tcBorders>
              <w:top w:val="single" w:sz="4" w:space="0" w:color="auto"/>
              <w:left w:val="nil"/>
              <w:right w:val="double" w:sz="4" w:space="0" w:color="auto"/>
            </w:tcBorders>
            <w:vAlign w:val="center"/>
          </w:tcPr>
          <w:p w:rsidR="007B2AA7" w:rsidRDefault="007B2AA7" w:rsidP="00A55D1C">
            <w:pPr>
              <w:spacing w:before="60" w:after="60"/>
              <w:jc w:val="center"/>
            </w:pPr>
            <w:r>
              <w:t>AP-42 table 13.4-1</w:t>
            </w:r>
            <w:r w:rsidR="00007379">
              <w:t>, 2</w:t>
            </w:r>
          </w:p>
        </w:tc>
      </w:tr>
      <w:tr w:rsidR="007B2AA7" w:rsidTr="00A55D1C">
        <w:tc>
          <w:tcPr>
            <w:tcW w:w="2790" w:type="dxa"/>
            <w:vMerge/>
            <w:tcBorders>
              <w:left w:val="double" w:sz="4" w:space="0" w:color="auto"/>
              <w:bottom w:val="single" w:sz="4" w:space="0" w:color="auto"/>
              <w:right w:val="nil"/>
            </w:tcBorders>
            <w:vAlign w:val="center"/>
          </w:tcPr>
          <w:p w:rsidR="007B2AA7" w:rsidRDefault="007B2AA7" w:rsidP="00A55D1C">
            <w:pPr>
              <w:spacing w:before="60" w:after="60"/>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7B2AA7" w:rsidRPr="006F3093" w:rsidRDefault="007B2AA7" w:rsidP="00A55D1C">
            <w:pPr>
              <w:spacing w:before="60" w:after="60"/>
              <w:jc w:val="center"/>
              <w:rPr>
                <w:vertAlign w:val="subscript"/>
              </w:rPr>
            </w:pPr>
            <w:r>
              <w:t>PM</w:t>
            </w:r>
            <w:r>
              <w:rPr>
                <w:vertAlign w:val="subscript"/>
              </w:rPr>
              <w:t>10</w:t>
            </w:r>
          </w:p>
        </w:tc>
        <w:tc>
          <w:tcPr>
            <w:tcW w:w="1530" w:type="dxa"/>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0.019</w:t>
            </w:r>
          </w:p>
        </w:tc>
        <w:tc>
          <w:tcPr>
            <w:tcW w:w="1800" w:type="dxa"/>
            <w:gridSpan w:val="2"/>
            <w:vMerge/>
            <w:tcBorders>
              <w:left w:val="nil"/>
              <w:bottom w:val="single" w:sz="4" w:space="0" w:color="auto"/>
              <w:right w:val="single" w:sz="4" w:space="0" w:color="auto"/>
            </w:tcBorders>
            <w:vAlign w:val="center"/>
          </w:tcPr>
          <w:p w:rsidR="007B2AA7" w:rsidRDefault="007B2AA7" w:rsidP="00A55D1C">
            <w:pPr>
              <w:spacing w:before="60" w:after="60"/>
              <w:jc w:val="center"/>
            </w:pPr>
          </w:p>
        </w:tc>
        <w:tc>
          <w:tcPr>
            <w:tcW w:w="2286" w:type="dxa"/>
            <w:gridSpan w:val="2"/>
            <w:vMerge/>
            <w:tcBorders>
              <w:left w:val="nil"/>
              <w:bottom w:val="single" w:sz="4" w:space="0" w:color="auto"/>
              <w:right w:val="double" w:sz="4" w:space="0" w:color="auto"/>
            </w:tcBorders>
            <w:vAlign w:val="center"/>
          </w:tcPr>
          <w:p w:rsidR="007B2AA7" w:rsidRDefault="007B2AA7" w:rsidP="00A55D1C">
            <w:pPr>
              <w:spacing w:before="60" w:after="60"/>
              <w:jc w:val="center"/>
            </w:pPr>
          </w:p>
        </w:tc>
      </w:tr>
      <w:tr w:rsidR="007B2AA7" w:rsidTr="00A55D1C">
        <w:tc>
          <w:tcPr>
            <w:tcW w:w="2790" w:type="dxa"/>
            <w:vMerge w:val="restart"/>
            <w:tcBorders>
              <w:top w:val="single" w:sz="4" w:space="0" w:color="auto"/>
              <w:left w:val="double" w:sz="4" w:space="0" w:color="auto"/>
              <w:right w:val="nil"/>
            </w:tcBorders>
            <w:vAlign w:val="center"/>
          </w:tcPr>
          <w:p w:rsidR="007B2AA7" w:rsidRDefault="007B2AA7" w:rsidP="00A55D1C">
            <w:pPr>
              <w:spacing w:before="60" w:after="60"/>
              <w:jc w:val="center"/>
            </w:pPr>
            <w:r>
              <w:t>Boiler – B9110</w:t>
            </w:r>
          </w:p>
        </w:tc>
        <w:tc>
          <w:tcPr>
            <w:tcW w:w="1170" w:type="dxa"/>
            <w:tcBorders>
              <w:top w:val="single" w:sz="4" w:space="0" w:color="auto"/>
              <w:left w:val="single" w:sz="4" w:space="0" w:color="auto"/>
              <w:bottom w:val="single" w:sz="4" w:space="0" w:color="auto"/>
              <w:right w:val="single" w:sz="4" w:space="0" w:color="auto"/>
            </w:tcBorders>
            <w:vAlign w:val="center"/>
          </w:tcPr>
          <w:p w:rsidR="007B2AA7" w:rsidRPr="00217303" w:rsidRDefault="007B2AA7" w:rsidP="00A55D1C">
            <w:pPr>
              <w:spacing w:before="60" w:after="60"/>
              <w:jc w:val="center"/>
              <w:rPr>
                <w:vertAlign w:val="subscript"/>
              </w:rPr>
            </w:pPr>
            <w:r>
              <w:t>PM/PM</w:t>
            </w:r>
            <w:r>
              <w:rPr>
                <w:vertAlign w:val="subscript"/>
              </w:rPr>
              <w:t>10</w:t>
            </w:r>
          </w:p>
        </w:tc>
        <w:tc>
          <w:tcPr>
            <w:tcW w:w="1530" w:type="dxa"/>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7.6</w:t>
            </w:r>
          </w:p>
        </w:tc>
        <w:tc>
          <w:tcPr>
            <w:tcW w:w="1800" w:type="dxa"/>
            <w:gridSpan w:val="2"/>
            <w:vMerge w:val="restart"/>
            <w:tcBorders>
              <w:top w:val="single" w:sz="4" w:space="0" w:color="auto"/>
              <w:left w:val="nil"/>
              <w:right w:val="single" w:sz="4" w:space="0" w:color="auto"/>
            </w:tcBorders>
            <w:vAlign w:val="center"/>
          </w:tcPr>
          <w:p w:rsidR="007B2AA7" w:rsidRDefault="007B2AA7" w:rsidP="00A55D1C">
            <w:pPr>
              <w:spacing w:before="60" w:after="60"/>
              <w:jc w:val="center"/>
            </w:pPr>
            <w:r>
              <w:t>lb/</w:t>
            </w:r>
            <w:proofErr w:type="spellStart"/>
            <w:r>
              <w:t>MMcf</w:t>
            </w:r>
            <w:proofErr w:type="spellEnd"/>
          </w:p>
        </w:tc>
        <w:tc>
          <w:tcPr>
            <w:tcW w:w="2286" w:type="dxa"/>
            <w:gridSpan w:val="2"/>
            <w:vMerge w:val="restart"/>
            <w:tcBorders>
              <w:top w:val="single" w:sz="4" w:space="0" w:color="auto"/>
              <w:left w:val="single" w:sz="4" w:space="0" w:color="auto"/>
              <w:right w:val="double" w:sz="4" w:space="0" w:color="auto"/>
            </w:tcBorders>
            <w:vAlign w:val="center"/>
          </w:tcPr>
          <w:p w:rsidR="007B2AA7" w:rsidRDefault="007B2AA7" w:rsidP="00A55D1C">
            <w:pPr>
              <w:spacing w:before="60" w:after="60"/>
              <w:jc w:val="center"/>
            </w:pPr>
            <w:r>
              <w:t>AP-42 Table 1.4-1</w:t>
            </w:r>
            <w:r w:rsidR="00007379">
              <w:t>, 2</w:t>
            </w:r>
          </w:p>
        </w:tc>
      </w:tr>
      <w:tr w:rsidR="007B2AA7" w:rsidTr="00A55D1C">
        <w:tc>
          <w:tcPr>
            <w:tcW w:w="2790" w:type="dxa"/>
            <w:vMerge/>
            <w:tcBorders>
              <w:left w:val="double" w:sz="4" w:space="0" w:color="auto"/>
              <w:right w:val="nil"/>
            </w:tcBorders>
            <w:vAlign w:val="center"/>
          </w:tcPr>
          <w:p w:rsidR="007B2AA7" w:rsidRDefault="007B2AA7" w:rsidP="00A55D1C">
            <w:pPr>
              <w:spacing w:before="60" w:after="60"/>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7B2AA7" w:rsidRPr="00217303" w:rsidRDefault="007B2AA7" w:rsidP="00A55D1C">
            <w:pPr>
              <w:spacing w:before="60" w:after="60"/>
              <w:jc w:val="center"/>
              <w:rPr>
                <w:vertAlign w:val="subscript"/>
              </w:rPr>
            </w:pPr>
            <w:proofErr w:type="spellStart"/>
            <w:r>
              <w:t>NO</w:t>
            </w:r>
            <w:r>
              <w:rPr>
                <w:vertAlign w:val="subscript"/>
              </w:rPr>
              <w:t>x</w:t>
            </w:r>
            <w:proofErr w:type="spellEnd"/>
          </w:p>
        </w:tc>
        <w:tc>
          <w:tcPr>
            <w:tcW w:w="1530" w:type="dxa"/>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100</w:t>
            </w:r>
          </w:p>
        </w:tc>
        <w:tc>
          <w:tcPr>
            <w:tcW w:w="1800" w:type="dxa"/>
            <w:gridSpan w:val="2"/>
            <w:vMerge/>
            <w:tcBorders>
              <w:left w:val="nil"/>
              <w:right w:val="single" w:sz="4" w:space="0" w:color="auto"/>
            </w:tcBorders>
          </w:tcPr>
          <w:p w:rsidR="007B2AA7" w:rsidRDefault="007B2AA7">
            <w:pPr>
              <w:spacing w:before="60" w:after="60"/>
            </w:pPr>
          </w:p>
        </w:tc>
        <w:tc>
          <w:tcPr>
            <w:tcW w:w="2286" w:type="dxa"/>
            <w:gridSpan w:val="2"/>
            <w:vMerge/>
            <w:tcBorders>
              <w:left w:val="single" w:sz="4" w:space="0" w:color="auto"/>
              <w:right w:val="double" w:sz="4" w:space="0" w:color="auto"/>
            </w:tcBorders>
          </w:tcPr>
          <w:p w:rsidR="007B2AA7" w:rsidRDefault="007B2AA7">
            <w:pPr>
              <w:spacing w:before="60" w:after="60"/>
            </w:pPr>
          </w:p>
        </w:tc>
      </w:tr>
      <w:tr w:rsidR="007B2AA7" w:rsidTr="00A55D1C">
        <w:tc>
          <w:tcPr>
            <w:tcW w:w="2790" w:type="dxa"/>
            <w:vMerge/>
            <w:tcBorders>
              <w:left w:val="double" w:sz="4" w:space="0" w:color="auto"/>
              <w:right w:val="nil"/>
            </w:tcBorders>
            <w:vAlign w:val="center"/>
          </w:tcPr>
          <w:p w:rsidR="007B2AA7" w:rsidRDefault="007B2AA7" w:rsidP="00A55D1C">
            <w:pPr>
              <w:spacing w:before="60" w:after="60"/>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7B2AA7" w:rsidRDefault="007B2AA7" w:rsidP="00A55D1C">
            <w:pPr>
              <w:spacing w:before="60" w:after="60"/>
              <w:jc w:val="center"/>
            </w:pPr>
            <w:r>
              <w:t>CO</w:t>
            </w:r>
          </w:p>
        </w:tc>
        <w:tc>
          <w:tcPr>
            <w:tcW w:w="1530" w:type="dxa"/>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84</w:t>
            </w:r>
          </w:p>
        </w:tc>
        <w:tc>
          <w:tcPr>
            <w:tcW w:w="1800" w:type="dxa"/>
            <w:gridSpan w:val="2"/>
            <w:vMerge/>
            <w:tcBorders>
              <w:left w:val="nil"/>
              <w:right w:val="single" w:sz="4" w:space="0" w:color="auto"/>
            </w:tcBorders>
          </w:tcPr>
          <w:p w:rsidR="007B2AA7" w:rsidRDefault="007B2AA7">
            <w:pPr>
              <w:spacing w:before="60" w:after="60"/>
            </w:pPr>
          </w:p>
        </w:tc>
        <w:tc>
          <w:tcPr>
            <w:tcW w:w="2286" w:type="dxa"/>
            <w:gridSpan w:val="2"/>
            <w:vMerge/>
            <w:tcBorders>
              <w:left w:val="single" w:sz="4" w:space="0" w:color="auto"/>
              <w:right w:val="double" w:sz="4" w:space="0" w:color="auto"/>
            </w:tcBorders>
          </w:tcPr>
          <w:p w:rsidR="007B2AA7" w:rsidRDefault="007B2AA7">
            <w:pPr>
              <w:spacing w:before="60" w:after="60"/>
            </w:pPr>
          </w:p>
        </w:tc>
      </w:tr>
      <w:tr w:rsidR="007B2AA7" w:rsidTr="00A55D1C">
        <w:tc>
          <w:tcPr>
            <w:tcW w:w="2790" w:type="dxa"/>
            <w:vMerge/>
            <w:tcBorders>
              <w:left w:val="double" w:sz="4" w:space="0" w:color="auto"/>
              <w:right w:val="nil"/>
            </w:tcBorders>
            <w:vAlign w:val="center"/>
          </w:tcPr>
          <w:p w:rsidR="007B2AA7" w:rsidRDefault="007B2AA7" w:rsidP="00A55D1C">
            <w:pPr>
              <w:spacing w:before="60" w:after="60"/>
              <w:jc w:val="center"/>
            </w:pPr>
          </w:p>
        </w:tc>
        <w:tc>
          <w:tcPr>
            <w:tcW w:w="1170" w:type="dxa"/>
            <w:tcBorders>
              <w:top w:val="single" w:sz="4" w:space="0" w:color="auto"/>
              <w:left w:val="single" w:sz="4" w:space="0" w:color="auto"/>
              <w:bottom w:val="single" w:sz="4" w:space="0" w:color="auto"/>
              <w:right w:val="single" w:sz="4" w:space="0" w:color="auto"/>
            </w:tcBorders>
            <w:vAlign w:val="center"/>
          </w:tcPr>
          <w:p w:rsidR="007B2AA7" w:rsidRDefault="007B2AA7" w:rsidP="00A55D1C">
            <w:pPr>
              <w:spacing w:before="60" w:after="60"/>
              <w:jc w:val="center"/>
            </w:pPr>
            <w:r>
              <w:t>VOC</w:t>
            </w:r>
          </w:p>
        </w:tc>
        <w:tc>
          <w:tcPr>
            <w:tcW w:w="1530" w:type="dxa"/>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5.5</w:t>
            </w:r>
          </w:p>
        </w:tc>
        <w:tc>
          <w:tcPr>
            <w:tcW w:w="1800" w:type="dxa"/>
            <w:gridSpan w:val="2"/>
            <w:vMerge/>
            <w:tcBorders>
              <w:left w:val="nil"/>
              <w:bottom w:val="single" w:sz="4" w:space="0" w:color="auto"/>
              <w:right w:val="single" w:sz="4" w:space="0" w:color="auto"/>
            </w:tcBorders>
          </w:tcPr>
          <w:p w:rsidR="007B2AA7" w:rsidRDefault="007B2AA7">
            <w:pPr>
              <w:spacing w:before="60" w:after="60"/>
            </w:pPr>
          </w:p>
        </w:tc>
        <w:tc>
          <w:tcPr>
            <w:tcW w:w="2286" w:type="dxa"/>
            <w:gridSpan w:val="2"/>
            <w:vMerge/>
            <w:tcBorders>
              <w:left w:val="single" w:sz="4" w:space="0" w:color="auto"/>
              <w:bottom w:val="single" w:sz="4" w:space="0" w:color="auto"/>
              <w:right w:val="double" w:sz="4" w:space="0" w:color="auto"/>
            </w:tcBorders>
          </w:tcPr>
          <w:p w:rsidR="007B2AA7" w:rsidRDefault="007B2AA7">
            <w:pPr>
              <w:spacing w:before="60" w:after="60"/>
            </w:pPr>
          </w:p>
        </w:tc>
      </w:tr>
      <w:tr w:rsidR="007B2AA7" w:rsidTr="00A55D1C">
        <w:tc>
          <w:tcPr>
            <w:tcW w:w="2790" w:type="dxa"/>
            <w:tcBorders>
              <w:left w:val="double" w:sz="4" w:space="0" w:color="auto"/>
              <w:right w:val="nil"/>
            </w:tcBorders>
            <w:vAlign w:val="center"/>
          </w:tcPr>
          <w:p w:rsidR="007B2AA7" w:rsidRDefault="007B2AA7" w:rsidP="00A55D1C">
            <w:pPr>
              <w:spacing w:before="60" w:after="60"/>
              <w:jc w:val="center"/>
            </w:pPr>
            <w:r>
              <w:t xml:space="preserve">Combined </w:t>
            </w:r>
            <w:proofErr w:type="spellStart"/>
            <w:r>
              <w:t>Hydrolyzate</w:t>
            </w:r>
            <w:proofErr w:type="spellEnd"/>
            <w:r>
              <w:t xml:space="preserve"> Tank – T1040, Dilute Acetic Acid Day Tank – T4010, Gasoline Storage Tank – T9960</w:t>
            </w:r>
          </w:p>
        </w:tc>
        <w:tc>
          <w:tcPr>
            <w:tcW w:w="1170" w:type="dxa"/>
            <w:tcBorders>
              <w:top w:val="single" w:sz="4" w:space="0" w:color="auto"/>
              <w:left w:val="single" w:sz="4" w:space="0" w:color="auto"/>
              <w:bottom w:val="single" w:sz="4" w:space="0" w:color="auto"/>
              <w:right w:val="single" w:sz="4" w:space="0" w:color="auto"/>
            </w:tcBorders>
            <w:vAlign w:val="center"/>
          </w:tcPr>
          <w:p w:rsidR="007B2AA7" w:rsidRDefault="007B2AA7" w:rsidP="00A55D1C">
            <w:pPr>
              <w:spacing w:before="60" w:after="60"/>
              <w:jc w:val="center"/>
            </w:pPr>
            <w:r>
              <w:t>VOC</w:t>
            </w:r>
          </w:p>
        </w:tc>
        <w:tc>
          <w:tcPr>
            <w:tcW w:w="5616" w:type="dxa"/>
            <w:gridSpan w:val="5"/>
            <w:tcBorders>
              <w:top w:val="single" w:sz="4" w:space="0" w:color="auto"/>
              <w:left w:val="nil"/>
              <w:bottom w:val="single" w:sz="4" w:space="0" w:color="auto"/>
              <w:right w:val="double" w:sz="4" w:space="0" w:color="auto"/>
            </w:tcBorders>
            <w:vAlign w:val="center"/>
          </w:tcPr>
          <w:p w:rsidR="007B2AA7" w:rsidRDefault="007B2AA7" w:rsidP="00A55D1C">
            <w:pPr>
              <w:spacing w:before="60" w:after="60"/>
            </w:pPr>
            <w:r>
              <w:t>Use EPA TANKS software or AP-42 algorithms for 12-month emission rate calculation</w:t>
            </w:r>
          </w:p>
        </w:tc>
      </w:tr>
      <w:tr w:rsidR="007B2AA7" w:rsidTr="00A55D1C">
        <w:tc>
          <w:tcPr>
            <w:tcW w:w="2790" w:type="dxa"/>
            <w:tcBorders>
              <w:left w:val="double" w:sz="4" w:space="0" w:color="auto"/>
              <w:right w:val="nil"/>
            </w:tcBorders>
            <w:vAlign w:val="center"/>
          </w:tcPr>
          <w:p w:rsidR="007B2AA7" w:rsidRDefault="007B2AA7" w:rsidP="00A55D1C">
            <w:pPr>
              <w:spacing w:before="60" w:after="60"/>
              <w:jc w:val="center"/>
            </w:pPr>
            <w:r>
              <w:t>Wastewater Treatment Facility – X9510</w:t>
            </w:r>
          </w:p>
        </w:tc>
        <w:tc>
          <w:tcPr>
            <w:tcW w:w="1170" w:type="dxa"/>
            <w:tcBorders>
              <w:top w:val="single" w:sz="4" w:space="0" w:color="auto"/>
              <w:left w:val="single" w:sz="4" w:space="0" w:color="auto"/>
              <w:bottom w:val="single" w:sz="4" w:space="0" w:color="auto"/>
              <w:right w:val="single" w:sz="4" w:space="0" w:color="auto"/>
            </w:tcBorders>
            <w:vAlign w:val="center"/>
          </w:tcPr>
          <w:p w:rsidR="007B2AA7" w:rsidRDefault="007B2AA7" w:rsidP="00A55D1C">
            <w:pPr>
              <w:spacing w:before="60" w:after="60"/>
              <w:jc w:val="center"/>
            </w:pPr>
            <w:r>
              <w:t>VOC</w:t>
            </w:r>
          </w:p>
        </w:tc>
        <w:tc>
          <w:tcPr>
            <w:tcW w:w="5616" w:type="dxa"/>
            <w:gridSpan w:val="5"/>
            <w:tcBorders>
              <w:top w:val="single" w:sz="4" w:space="0" w:color="auto"/>
              <w:left w:val="nil"/>
              <w:bottom w:val="single" w:sz="4" w:space="0" w:color="auto"/>
              <w:right w:val="double" w:sz="4" w:space="0" w:color="auto"/>
            </w:tcBorders>
            <w:vAlign w:val="center"/>
          </w:tcPr>
          <w:p w:rsidR="007B2AA7" w:rsidRDefault="007B2AA7" w:rsidP="00A55D1C">
            <w:pPr>
              <w:spacing w:before="60" w:after="60"/>
            </w:pPr>
            <w:r>
              <w:t>Use EPA WATER9 software for 12-month emission rate calculation</w:t>
            </w:r>
          </w:p>
        </w:tc>
      </w:tr>
      <w:tr w:rsidR="007B2AA7" w:rsidTr="00A55D1C">
        <w:tc>
          <w:tcPr>
            <w:tcW w:w="9576" w:type="dxa"/>
            <w:gridSpan w:val="7"/>
            <w:tcBorders>
              <w:left w:val="double" w:sz="4" w:space="0" w:color="auto"/>
              <w:right w:val="double" w:sz="4" w:space="0" w:color="auto"/>
            </w:tcBorders>
            <w:vAlign w:val="center"/>
          </w:tcPr>
          <w:p w:rsidR="007B2AA7" w:rsidRDefault="007B2AA7" w:rsidP="00A55D1C">
            <w:pPr>
              <w:spacing w:before="60" w:after="60"/>
              <w:jc w:val="center"/>
            </w:pPr>
            <w:r>
              <w:t>Equipment leak fugitives</w:t>
            </w:r>
          </w:p>
        </w:tc>
      </w:tr>
      <w:tr w:rsidR="007B2AA7" w:rsidTr="00A55D1C">
        <w:tc>
          <w:tcPr>
            <w:tcW w:w="2790" w:type="dxa"/>
            <w:tcBorders>
              <w:left w:val="double" w:sz="4" w:space="0" w:color="auto"/>
              <w:right w:val="nil"/>
            </w:tcBorders>
            <w:vAlign w:val="center"/>
          </w:tcPr>
          <w:p w:rsidR="007B2AA7" w:rsidRDefault="007B2AA7" w:rsidP="00A55D1C">
            <w:pPr>
              <w:spacing w:before="60" w:after="60"/>
              <w:jc w:val="center"/>
            </w:pPr>
            <w:r>
              <w:t>Valve – gas</w:t>
            </w:r>
          </w:p>
        </w:tc>
        <w:tc>
          <w:tcPr>
            <w:tcW w:w="1170" w:type="dxa"/>
            <w:vMerge w:val="restart"/>
            <w:tcBorders>
              <w:top w:val="single" w:sz="4" w:space="0" w:color="auto"/>
              <w:left w:val="single" w:sz="4" w:space="0" w:color="auto"/>
              <w:right w:val="single" w:sz="4" w:space="0" w:color="auto"/>
            </w:tcBorders>
            <w:vAlign w:val="center"/>
          </w:tcPr>
          <w:p w:rsidR="007B2AA7" w:rsidRDefault="007B2AA7" w:rsidP="00A55D1C">
            <w:pPr>
              <w:spacing w:before="60" w:after="60"/>
              <w:jc w:val="center"/>
            </w:pPr>
            <w:r>
              <w:t>VOC</w:t>
            </w:r>
          </w:p>
        </w:tc>
        <w:tc>
          <w:tcPr>
            <w:tcW w:w="1872" w:type="dxa"/>
            <w:gridSpan w:val="2"/>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0.0132</w:t>
            </w:r>
          </w:p>
        </w:tc>
        <w:tc>
          <w:tcPr>
            <w:tcW w:w="1638" w:type="dxa"/>
            <w:gridSpan w:val="2"/>
            <w:vMerge w:val="restart"/>
            <w:tcBorders>
              <w:left w:val="nil"/>
              <w:right w:val="single" w:sz="4" w:space="0" w:color="auto"/>
            </w:tcBorders>
            <w:vAlign w:val="center"/>
          </w:tcPr>
          <w:p w:rsidR="007B2AA7" w:rsidRDefault="007B2AA7" w:rsidP="00A55D1C">
            <w:pPr>
              <w:spacing w:before="60" w:after="60"/>
              <w:jc w:val="center"/>
            </w:pPr>
            <w:r>
              <w:t>lb/hr/source</w:t>
            </w:r>
          </w:p>
        </w:tc>
        <w:tc>
          <w:tcPr>
            <w:tcW w:w="2106" w:type="dxa"/>
            <w:vMerge w:val="restart"/>
            <w:tcBorders>
              <w:left w:val="single" w:sz="4" w:space="0" w:color="auto"/>
              <w:right w:val="double" w:sz="4" w:space="0" w:color="auto"/>
            </w:tcBorders>
            <w:vAlign w:val="center"/>
          </w:tcPr>
          <w:p w:rsidR="007B2AA7" w:rsidRDefault="007B2AA7" w:rsidP="00A55D1C">
            <w:pPr>
              <w:spacing w:before="60" w:after="60"/>
              <w:jc w:val="center"/>
            </w:pPr>
            <w:r>
              <w:t>EPA-453/R-95-017 Table 2-1</w:t>
            </w:r>
          </w:p>
        </w:tc>
      </w:tr>
      <w:tr w:rsidR="007B2AA7" w:rsidTr="00A55D1C">
        <w:tc>
          <w:tcPr>
            <w:tcW w:w="2790" w:type="dxa"/>
            <w:tcBorders>
              <w:left w:val="double" w:sz="4" w:space="0" w:color="auto"/>
              <w:right w:val="nil"/>
            </w:tcBorders>
            <w:vAlign w:val="center"/>
          </w:tcPr>
          <w:p w:rsidR="007B2AA7" w:rsidRDefault="007B2AA7" w:rsidP="00A55D1C">
            <w:pPr>
              <w:spacing w:before="60" w:after="60"/>
              <w:jc w:val="center"/>
            </w:pPr>
            <w:r>
              <w:t>Valve – light liquid</w:t>
            </w:r>
          </w:p>
        </w:tc>
        <w:tc>
          <w:tcPr>
            <w:tcW w:w="1170" w:type="dxa"/>
            <w:vMerge/>
            <w:tcBorders>
              <w:left w:val="single" w:sz="4" w:space="0" w:color="auto"/>
              <w:right w:val="single" w:sz="4" w:space="0" w:color="auto"/>
            </w:tcBorders>
          </w:tcPr>
          <w:p w:rsidR="007B2AA7" w:rsidRDefault="007B2AA7">
            <w:pPr>
              <w:spacing w:before="60" w:after="60"/>
            </w:pPr>
          </w:p>
        </w:tc>
        <w:tc>
          <w:tcPr>
            <w:tcW w:w="1872" w:type="dxa"/>
            <w:gridSpan w:val="2"/>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0.0089</w:t>
            </w:r>
          </w:p>
        </w:tc>
        <w:tc>
          <w:tcPr>
            <w:tcW w:w="1638" w:type="dxa"/>
            <w:gridSpan w:val="2"/>
            <w:vMerge/>
            <w:tcBorders>
              <w:left w:val="nil"/>
              <w:right w:val="single" w:sz="4" w:space="0" w:color="auto"/>
            </w:tcBorders>
          </w:tcPr>
          <w:p w:rsidR="007B2AA7" w:rsidRDefault="007B2AA7">
            <w:pPr>
              <w:spacing w:before="60" w:after="60"/>
            </w:pPr>
          </w:p>
        </w:tc>
        <w:tc>
          <w:tcPr>
            <w:tcW w:w="2106" w:type="dxa"/>
            <w:vMerge/>
            <w:tcBorders>
              <w:left w:val="single" w:sz="4" w:space="0" w:color="auto"/>
              <w:right w:val="double" w:sz="4" w:space="0" w:color="auto"/>
            </w:tcBorders>
          </w:tcPr>
          <w:p w:rsidR="007B2AA7" w:rsidRDefault="007B2AA7">
            <w:pPr>
              <w:spacing w:before="60" w:after="60"/>
            </w:pPr>
          </w:p>
        </w:tc>
      </w:tr>
      <w:tr w:rsidR="007B2AA7" w:rsidTr="00A55D1C">
        <w:tc>
          <w:tcPr>
            <w:tcW w:w="2790" w:type="dxa"/>
            <w:tcBorders>
              <w:left w:val="double" w:sz="4" w:space="0" w:color="auto"/>
              <w:right w:val="nil"/>
            </w:tcBorders>
            <w:vAlign w:val="center"/>
          </w:tcPr>
          <w:p w:rsidR="007B2AA7" w:rsidRDefault="007B2AA7" w:rsidP="00A55D1C">
            <w:pPr>
              <w:spacing w:before="60" w:after="60"/>
              <w:jc w:val="center"/>
            </w:pPr>
            <w:r>
              <w:t>Pump seal – light liquid</w:t>
            </w:r>
          </w:p>
        </w:tc>
        <w:tc>
          <w:tcPr>
            <w:tcW w:w="1170" w:type="dxa"/>
            <w:vMerge/>
            <w:tcBorders>
              <w:left w:val="single" w:sz="4" w:space="0" w:color="auto"/>
              <w:right w:val="single" w:sz="4" w:space="0" w:color="auto"/>
            </w:tcBorders>
          </w:tcPr>
          <w:p w:rsidR="007B2AA7" w:rsidRDefault="007B2AA7">
            <w:pPr>
              <w:spacing w:before="60" w:after="60"/>
            </w:pPr>
          </w:p>
        </w:tc>
        <w:tc>
          <w:tcPr>
            <w:tcW w:w="1872" w:type="dxa"/>
            <w:gridSpan w:val="2"/>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0.044</w:t>
            </w:r>
          </w:p>
        </w:tc>
        <w:tc>
          <w:tcPr>
            <w:tcW w:w="1638" w:type="dxa"/>
            <w:gridSpan w:val="2"/>
            <w:vMerge/>
            <w:tcBorders>
              <w:left w:val="nil"/>
              <w:right w:val="single" w:sz="4" w:space="0" w:color="auto"/>
            </w:tcBorders>
          </w:tcPr>
          <w:p w:rsidR="007B2AA7" w:rsidRDefault="007B2AA7">
            <w:pPr>
              <w:spacing w:before="60" w:after="60"/>
            </w:pPr>
          </w:p>
        </w:tc>
        <w:tc>
          <w:tcPr>
            <w:tcW w:w="2106" w:type="dxa"/>
            <w:vMerge/>
            <w:tcBorders>
              <w:left w:val="single" w:sz="4" w:space="0" w:color="auto"/>
              <w:right w:val="double" w:sz="4" w:space="0" w:color="auto"/>
            </w:tcBorders>
          </w:tcPr>
          <w:p w:rsidR="007B2AA7" w:rsidRDefault="007B2AA7">
            <w:pPr>
              <w:spacing w:before="60" w:after="60"/>
            </w:pPr>
          </w:p>
        </w:tc>
      </w:tr>
      <w:tr w:rsidR="007B2AA7" w:rsidTr="00A55D1C">
        <w:tc>
          <w:tcPr>
            <w:tcW w:w="2790" w:type="dxa"/>
            <w:tcBorders>
              <w:left w:val="double" w:sz="4" w:space="0" w:color="auto"/>
              <w:right w:val="nil"/>
            </w:tcBorders>
            <w:vAlign w:val="center"/>
          </w:tcPr>
          <w:p w:rsidR="007B2AA7" w:rsidRDefault="007B2AA7" w:rsidP="00A55D1C">
            <w:pPr>
              <w:spacing w:before="60" w:after="60"/>
              <w:jc w:val="center"/>
            </w:pPr>
            <w:r>
              <w:t>Pressure relief valves</w:t>
            </w:r>
          </w:p>
        </w:tc>
        <w:tc>
          <w:tcPr>
            <w:tcW w:w="1170" w:type="dxa"/>
            <w:vMerge/>
            <w:tcBorders>
              <w:left w:val="single" w:sz="4" w:space="0" w:color="auto"/>
              <w:right w:val="single" w:sz="4" w:space="0" w:color="auto"/>
            </w:tcBorders>
          </w:tcPr>
          <w:p w:rsidR="007B2AA7" w:rsidRDefault="007B2AA7">
            <w:pPr>
              <w:spacing w:before="60" w:after="60"/>
            </w:pPr>
          </w:p>
        </w:tc>
        <w:tc>
          <w:tcPr>
            <w:tcW w:w="1872" w:type="dxa"/>
            <w:gridSpan w:val="2"/>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0.229</w:t>
            </w:r>
          </w:p>
        </w:tc>
        <w:tc>
          <w:tcPr>
            <w:tcW w:w="1638" w:type="dxa"/>
            <w:gridSpan w:val="2"/>
            <w:vMerge/>
            <w:tcBorders>
              <w:left w:val="nil"/>
              <w:right w:val="single" w:sz="4" w:space="0" w:color="auto"/>
            </w:tcBorders>
          </w:tcPr>
          <w:p w:rsidR="007B2AA7" w:rsidRDefault="007B2AA7">
            <w:pPr>
              <w:spacing w:before="60" w:after="60"/>
            </w:pPr>
          </w:p>
        </w:tc>
        <w:tc>
          <w:tcPr>
            <w:tcW w:w="2106" w:type="dxa"/>
            <w:vMerge/>
            <w:tcBorders>
              <w:left w:val="single" w:sz="4" w:space="0" w:color="auto"/>
              <w:right w:val="double" w:sz="4" w:space="0" w:color="auto"/>
            </w:tcBorders>
          </w:tcPr>
          <w:p w:rsidR="007B2AA7" w:rsidRDefault="007B2AA7">
            <w:pPr>
              <w:spacing w:before="60" w:after="60"/>
            </w:pPr>
          </w:p>
        </w:tc>
      </w:tr>
      <w:tr w:rsidR="007B2AA7" w:rsidTr="00A55D1C">
        <w:tc>
          <w:tcPr>
            <w:tcW w:w="2790" w:type="dxa"/>
            <w:tcBorders>
              <w:left w:val="double" w:sz="4" w:space="0" w:color="auto"/>
              <w:right w:val="nil"/>
            </w:tcBorders>
            <w:vAlign w:val="center"/>
          </w:tcPr>
          <w:p w:rsidR="007B2AA7" w:rsidRDefault="007B2AA7" w:rsidP="00A55D1C">
            <w:pPr>
              <w:spacing w:before="60" w:after="60"/>
              <w:jc w:val="center"/>
            </w:pPr>
            <w:r>
              <w:t>Connectors</w:t>
            </w:r>
          </w:p>
        </w:tc>
        <w:tc>
          <w:tcPr>
            <w:tcW w:w="1170" w:type="dxa"/>
            <w:vMerge/>
            <w:tcBorders>
              <w:left w:val="single" w:sz="4" w:space="0" w:color="auto"/>
              <w:right w:val="single" w:sz="4" w:space="0" w:color="auto"/>
            </w:tcBorders>
          </w:tcPr>
          <w:p w:rsidR="007B2AA7" w:rsidRDefault="007B2AA7">
            <w:pPr>
              <w:spacing w:before="60" w:after="60"/>
            </w:pPr>
          </w:p>
        </w:tc>
        <w:tc>
          <w:tcPr>
            <w:tcW w:w="1872" w:type="dxa"/>
            <w:gridSpan w:val="2"/>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0.004</w:t>
            </w:r>
          </w:p>
        </w:tc>
        <w:tc>
          <w:tcPr>
            <w:tcW w:w="1638" w:type="dxa"/>
            <w:gridSpan w:val="2"/>
            <w:vMerge/>
            <w:tcBorders>
              <w:left w:val="nil"/>
              <w:right w:val="single" w:sz="4" w:space="0" w:color="auto"/>
            </w:tcBorders>
          </w:tcPr>
          <w:p w:rsidR="007B2AA7" w:rsidRDefault="007B2AA7">
            <w:pPr>
              <w:spacing w:before="60" w:after="60"/>
            </w:pPr>
          </w:p>
        </w:tc>
        <w:tc>
          <w:tcPr>
            <w:tcW w:w="2106" w:type="dxa"/>
            <w:vMerge/>
            <w:tcBorders>
              <w:left w:val="single" w:sz="4" w:space="0" w:color="auto"/>
              <w:right w:val="double" w:sz="4" w:space="0" w:color="auto"/>
            </w:tcBorders>
          </w:tcPr>
          <w:p w:rsidR="007B2AA7" w:rsidRDefault="007B2AA7">
            <w:pPr>
              <w:spacing w:before="60" w:after="60"/>
            </w:pPr>
          </w:p>
        </w:tc>
      </w:tr>
      <w:tr w:rsidR="007B2AA7" w:rsidTr="00A55D1C">
        <w:tc>
          <w:tcPr>
            <w:tcW w:w="2790" w:type="dxa"/>
            <w:tcBorders>
              <w:left w:val="double" w:sz="4" w:space="0" w:color="auto"/>
              <w:bottom w:val="single" w:sz="4" w:space="0" w:color="auto"/>
              <w:right w:val="nil"/>
            </w:tcBorders>
            <w:vAlign w:val="center"/>
          </w:tcPr>
          <w:p w:rsidR="007B2AA7" w:rsidRDefault="007B2AA7" w:rsidP="00A55D1C">
            <w:pPr>
              <w:spacing w:before="60" w:after="60"/>
              <w:jc w:val="center"/>
            </w:pPr>
            <w:r>
              <w:t>Open ended lines</w:t>
            </w:r>
          </w:p>
        </w:tc>
        <w:tc>
          <w:tcPr>
            <w:tcW w:w="1170" w:type="dxa"/>
            <w:vMerge/>
            <w:tcBorders>
              <w:left w:val="single" w:sz="4" w:space="0" w:color="auto"/>
              <w:bottom w:val="single" w:sz="4" w:space="0" w:color="auto"/>
              <w:right w:val="single" w:sz="4" w:space="0" w:color="auto"/>
            </w:tcBorders>
          </w:tcPr>
          <w:p w:rsidR="007B2AA7" w:rsidRDefault="007B2AA7">
            <w:pPr>
              <w:spacing w:before="60" w:after="60"/>
            </w:pPr>
          </w:p>
        </w:tc>
        <w:tc>
          <w:tcPr>
            <w:tcW w:w="1872" w:type="dxa"/>
            <w:gridSpan w:val="2"/>
            <w:tcBorders>
              <w:top w:val="single" w:sz="4" w:space="0" w:color="auto"/>
              <w:left w:val="nil"/>
              <w:bottom w:val="single" w:sz="4" w:space="0" w:color="auto"/>
              <w:right w:val="single" w:sz="4" w:space="0" w:color="auto"/>
            </w:tcBorders>
            <w:vAlign w:val="center"/>
          </w:tcPr>
          <w:p w:rsidR="007B2AA7" w:rsidRDefault="007B2AA7" w:rsidP="00A55D1C">
            <w:pPr>
              <w:tabs>
                <w:tab w:val="decimal" w:pos="0"/>
              </w:tabs>
              <w:spacing w:before="60" w:after="60"/>
              <w:jc w:val="center"/>
            </w:pPr>
            <w:r>
              <w:t>0.0037</w:t>
            </w:r>
          </w:p>
        </w:tc>
        <w:tc>
          <w:tcPr>
            <w:tcW w:w="1638" w:type="dxa"/>
            <w:gridSpan w:val="2"/>
            <w:vMerge/>
            <w:tcBorders>
              <w:left w:val="nil"/>
              <w:bottom w:val="single" w:sz="4" w:space="0" w:color="auto"/>
              <w:right w:val="single" w:sz="4" w:space="0" w:color="auto"/>
            </w:tcBorders>
          </w:tcPr>
          <w:p w:rsidR="007B2AA7" w:rsidRDefault="007B2AA7">
            <w:pPr>
              <w:spacing w:before="60" w:after="60"/>
            </w:pPr>
          </w:p>
        </w:tc>
        <w:tc>
          <w:tcPr>
            <w:tcW w:w="2106" w:type="dxa"/>
            <w:vMerge/>
            <w:tcBorders>
              <w:left w:val="single" w:sz="4" w:space="0" w:color="auto"/>
              <w:bottom w:val="single" w:sz="4" w:space="0" w:color="auto"/>
              <w:right w:val="double" w:sz="4" w:space="0" w:color="auto"/>
            </w:tcBorders>
          </w:tcPr>
          <w:p w:rsidR="007B2AA7" w:rsidRDefault="007B2AA7">
            <w:pPr>
              <w:spacing w:before="60" w:after="60"/>
            </w:pPr>
          </w:p>
        </w:tc>
      </w:tr>
      <w:tr w:rsidR="007B2AA7" w:rsidTr="00A55D1C">
        <w:tc>
          <w:tcPr>
            <w:tcW w:w="2790" w:type="dxa"/>
            <w:tcBorders>
              <w:left w:val="double" w:sz="4" w:space="0" w:color="auto"/>
              <w:bottom w:val="double" w:sz="4" w:space="0" w:color="auto"/>
              <w:right w:val="nil"/>
            </w:tcBorders>
            <w:vAlign w:val="center"/>
          </w:tcPr>
          <w:p w:rsidR="007B2AA7" w:rsidRDefault="007B2AA7" w:rsidP="00A55D1C">
            <w:pPr>
              <w:spacing w:before="60" w:after="60"/>
              <w:jc w:val="center"/>
            </w:pPr>
            <w:r>
              <w:t>Sampling connections</w:t>
            </w:r>
          </w:p>
        </w:tc>
        <w:tc>
          <w:tcPr>
            <w:tcW w:w="1170" w:type="dxa"/>
            <w:vMerge/>
            <w:tcBorders>
              <w:left w:val="single" w:sz="4" w:space="0" w:color="auto"/>
              <w:bottom w:val="double" w:sz="4" w:space="0" w:color="auto"/>
              <w:right w:val="single" w:sz="4" w:space="0" w:color="auto"/>
            </w:tcBorders>
          </w:tcPr>
          <w:p w:rsidR="007B2AA7" w:rsidRDefault="007B2AA7">
            <w:pPr>
              <w:spacing w:before="60" w:after="60"/>
            </w:pPr>
          </w:p>
        </w:tc>
        <w:tc>
          <w:tcPr>
            <w:tcW w:w="1872" w:type="dxa"/>
            <w:gridSpan w:val="2"/>
            <w:tcBorders>
              <w:top w:val="single" w:sz="4" w:space="0" w:color="auto"/>
              <w:left w:val="nil"/>
              <w:bottom w:val="double" w:sz="4" w:space="0" w:color="auto"/>
              <w:right w:val="single" w:sz="4" w:space="0" w:color="auto"/>
            </w:tcBorders>
            <w:vAlign w:val="center"/>
          </w:tcPr>
          <w:p w:rsidR="007B2AA7" w:rsidRDefault="007B2AA7" w:rsidP="00A55D1C">
            <w:pPr>
              <w:tabs>
                <w:tab w:val="decimal" w:pos="0"/>
              </w:tabs>
              <w:spacing w:before="60" w:after="60"/>
              <w:jc w:val="center"/>
            </w:pPr>
            <w:r>
              <w:t>0.033</w:t>
            </w:r>
          </w:p>
        </w:tc>
        <w:tc>
          <w:tcPr>
            <w:tcW w:w="1638" w:type="dxa"/>
            <w:gridSpan w:val="2"/>
            <w:vMerge/>
            <w:tcBorders>
              <w:left w:val="nil"/>
              <w:bottom w:val="double" w:sz="4" w:space="0" w:color="auto"/>
              <w:right w:val="single" w:sz="4" w:space="0" w:color="auto"/>
            </w:tcBorders>
          </w:tcPr>
          <w:p w:rsidR="007B2AA7" w:rsidRDefault="007B2AA7">
            <w:pPr>
              <w:spacing w:before="60" w:after="60"/>
            </w:pPr>
          </w:p>
        </w:tc>
        <w:tc>
          <w:tcPr>
            <w:tcW w:w="2106" w:type="dxa"/>
            <w:vMerge/>
            <w:tcBorders>
              <w:left w:val="single" w:sz="4" w:space="0" w:color="auto"/>
              <w:bottom w:val="double" w:sz="4" w:space="0" w:color="auto"/>
              <w:right w:val="double" w:sz="4" w:space="0" w:color="auto"/>
            </w:tcBorders>
          </w:tcPr>
          <w:p w:rsidR="007B2AA7" w:rsidRDefault="007B2AA7">
            <w:pPr>
              <w:spacing w:before="60" w:after="60"/>
            </w:pPr>
          </w:p>
        </w:tc>
      </w:tr>
    </w:tbl>
    <w:p w:rsidR="00E449FB" w:rsidRDefault="00E449FB">
      <w:pPr>
        <w:rPr>
          <w:rFonts w:ascii="Arial Black" w:hAnsi="Arial Black"/>
          <w:b/>
          <w:caps/>
          <w:sz w:val="28"/>
        </w:rPr>
      </w:pPr>
      <w:bookmarkStart w:id="66" w:name="_Ref516384391"/>
      <w:bookmarkStart w:id="67" w:name="_Ref516385203"/>
    </w:p>
    <w:p w:rsidR="00986586" w:rsidRDefault="00986586" w:rsidP="005D4B74">
      <w:pPr>
        <w:pStyle w:val="Heading1"/>
      </w:pPr>
      <w:bookmarkStart w:id="68" w:name="_Ref252350621"/>
      <w:bookmarkStart w:id="69" w:name="_Ref252350679"/>
      <w:bookmarkStart w:id="70" w:name="_Ref252350704"/>
      <w:bookmarkStart w:id="71" w:name="_Ref252350783"/>
      <w:bookmarkStart w:id="72" w:name="_Ref252350811"/>
      <w:bookmarkStart w:id="73" w:name="_Toc253664553"/>
      <w:r>
        <w:t>Process/Production Records</w:t>
      </w:r>
      <w:bookmarkEnd w:id="66"/>
      <w:bookmarkEnd w:id="67"/>
      <w:bookmarkEnd w:id="68"/>
      <w:bookmarkEnd w:id="69"/>
      <w:bookmarkEnd w:id="70"/>
      <w:bookmarkEnd w:id="71"/>
      <w:bookmarkEnd w:id="72"/>
      <w:bookmarkEnd w:id="73"/>
    </w:p>
    <w:p w:rsidR="00986586" w:rsidRDefault="00986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3168"/>
        <w:gridCol w:w="3168"/>
      </w:tblGrid>
      <w:tr w:rsidR="00986586" w:rsidTr="0083102B">
        <w:trPr>
          <w:tblHeader/>
        </w:trPr>
        <w:tc>
          <w:tcPr>
            <w:tcW w:w="3168" w:type="dxa"/>
            <w:tcBorders>
              <w:top w:val="double" w:sz="4" w:space="0" w:color="auto"/>
              <w:left w:val="double" w:sz="4" w:space="0" w:color="auto"/>
              <w:bottom w:val="nil"/>
              <w:right w:val="nil"/>
            </w:tcBorders>
            <w:vAlign w:val="center"/>
          </w:tcPr>
          <w:p w:rsidR="00986586" w:rsidRDefault="00986586" w:rsidP="0083102B">
            <w:pPr>
              <w:spacing w:before="60" w:after="60"/>
              <w:jc w:val="center"/>
              <w:rPr>
                <w:b/>
              </w:rPr>
            </w:pPr>
            <w:r>
              <w:rPr>
                <w:b/>
              </w:rPr>
              <w:t xml:space="preserve">Emissions </w:t>
            </w:r>
            <w:r w:rsidR="0083102B">
              <w:rPr>
                <w:b/>
              </w:rPr>
              <w:t>D</w:t>
            </w:r>
            <w:r>
              <w:rPr>
                <w:b/>
              </w:rPr>
              <w:t xml:space="preserve">evice or </w:t>
            </w:r>
            <w:r w:rsidR="0083102B">
              <w:rPr>
                <w:b/>
              </w:rPr>
              <w:t>A</w:t>
            </w:r>
            <w:r>
              <w:rPr>
                <w:b/>
              </w:rPr>
              <w:t>ctivity</w:t>
            </w:r>
          </w:p>
        </w:tc>
        <w:tc>
          <w:tcPr>
            <w:tcW w:w="3168" w:type="dxa"/>
            <w:tcBorders>
              <w:top w:val="double" w:sz="4" w:space="0" w:color="auto"/>
              <w:left w:val="single" w:sz="4" w:space="0" w:color="auto"/>
              <w:bottom w:val="nil"/>
              <w:right w:val="single" w:sz="4" w:space="0" w:color="auto"/>
            </w:tcBorders>
            <w:vAlign w:val="center"/>
          </w:tcPr>
          <w:p w:rsidR="00986586" w:rsidRDefault="00986586" w:rsidP="0083102B">
            <w:pPr>
              <w:spacing w:before="60" w:after="60"/>
              <w:jc w:val="center"/>
              <w:rPr>
                <w:b/>
              </w:rPr>
            </w:pPr>
            <w:r>
              <w:rPr>
                <w:b/>
              </w:rPr>
              <w:t xml:space="preserve">Process or </w:t>
            </w:r>
            <w:r w:rsidR="0083102B">
              <w:rPr>
                <w:b/>
              </w:rPr>
              <w:t>P</w:t>
            </w:r>
            <w:r>
              <w:rPr>
                <w:b/>
              </w:rPr>
              <w:t xml:space="preserve">roduction </w:t>
            </w:r>
            <w:r w:rsidR="0083102B">
              <w:rPr>
                <w:b/>
              </w:rPr>
              <w:t>P</w:t>
            </w:r>
            <w:r>
              <w:rPr>
                <w:b/>
              </w:rPr>
              <w:t>arameter</w:t>
            </w:r>
          </w:p>
        </w:tc>
        <w:tc>
          <w:tcPr>
            <w:tcW w:w="3168" w:type="dxa"/>
            <w:tcBorders>
              <w:top w:val="double" w:sz="4" w:space="0" w:color="auto"/>
              <w:left w:val="nil"/>
              <w:bottom w:val="nil"/>
              <w:right w:val="double" w:sz="4" w:space="0" w:color="auto"/>
            </w:tcBorders>
            <w:vAlign w:val="center"/>
          </w:tcPr>
          <w:p w:rsidR="00986586" w:rsidRDefault="00986586" w:rsidP="0083102B">
            <w:pPr>
              <w:spacing w:before="60" w:after="60"/>
              <w:jc w:val="center"/>
              <w:rPr>
                <w:b/>
              </w:rPr>
            </w:pPr>
            <w:r>
              <w:rPr>
                <w:b/>
              </w:rPr>
              <w:t>Frequency</w:t>
            </w:r>
          </w:p>
        </w:tc>
      </w:tr>
      <w:tr w:rsidR="00986586" w:rsidTr="0083102B">
        <w:trPr>
          <w:cantSplit/>
        </w:trPr>
        <w:tc>
          <w:tcPr>
            <w:tcW w:w="3168" w:type="dxa"/>
            <w:tcBorders>
              <w:top w:val="double" w:sz="4" w:space="0" w:color="auto"/>
              <w:left w:val="double" w:sz="4" w:space="0" w:color="auto"/>
              <w:bottom w:val="single" w:sz="4" w:space="0" w:color="auto"/>
              <w:right w:val="nil"/>
            </w:tcBorders>
            <w:vAlign w:val="center"/>
          </w:tcPr>
          <w:p w:rsidR="00986586" w:rsidRDefault="005D4B74" w:rsidP="0083102B">
            <w:pPr>
              <w:spacing w:before="60" w:after="60"/>
              <w:jc w:val="center"/>
            </w:pPr>
            <w:r>
              <w:t>Live Bottom Bin – T1010</w:t>
            </w:r>
          </w:p>
        </w:tc>
        <w:tc>
          <w:tcPr>
            <w:tcW w:w="3168" w:type="dxa"/>
            <w:tcBorders>
              <w:top w:val="double" w:sz="4" w:space="0" w:color="auto"/>
              <w:left w:val="single" w:sz="4" w:space="0" w:color="auto"/>
              <w:bottom w:val="single" w:sz="4" w:space="0" w:color="auto"/>
              <w:right w:val="single" w:sz="4" w:space="0" w:color="auto"/>
            </w:tcBorders>
            <w:vAlign w:val="center"/>
          </w:tcPr>
          <w:p w:rsidR="00986586" w:rsidRDefault="005D4B74" w:rsidP="0083102B">
            <w:pPr>
              <w:spacing w:before="60" w:after="60"/>
              <w:jc w:val="center"/>
            </w:pPr>
            <w:r>
              <w:t>Bone dry tons of wood chips</w:t>
            </w:r>
          </w:p>
        </w:tc>
        <w:tc>
          <w:tcPr>
            <w:tcW w:w="3168" w:type="dxa"/>
            <w:tcBorders>
              <w:top w:val="double" w:sz="4" w:space="0" w:color="auto"/>
              <w:left w:val="nil"/>
              <w:bottom w:val="single" w:sz="4" w:space="0" w:color="auto"/>
              <w:right w:val="double" w:sz="4" w:space="0" w:color="auto"/>
            </w:tcBorders>
            <w:vAlign w:val="center"/>
          </w:tcPr>
          <w:p w:rsidR="00986586" w:rsidRDefault="005D4B74" w:rsidP="0083102B">
            <w:pPr>
              <w:spacing w:before="60" w:after="60"/>
              <w:jc w:val="center"/>
            </w:pPr>
            <w:r>
              <w:t>Monthly</w:t>
            </w:r>
          </w:p>
        </w:tc>
      </w:tr>
      <w:tr w:rsidR="00986586" w:rsidTr="0083102B">
        <w:tc>
          <w:tcPr>
            <w:tcW w:w="3168" w:type="dxa"/>
            <w:tcBorders>
              <w:top w:val="nil"/>
              <w:left w:val="double" w:sz="4" w:space="0" w:color="auto"/>
              <w:bottom w:val="nil"/>
              <w:right w:val="nil"/>
            </w:tcBorders>
            <w:vAlign w:val="center"/>
          </w:tcPr>
          <w:p w:rsidR="00986586" w:rsidRDefault="005D4B74" w:rsidP="0083102B">
            <w:pPr>
              <w:spacing w:before="60" w:after="60"/>
              <w:jc w:val="center"/>
            </w:pPr>
            <w:r>
              <w:t>Lignin Dryer – Y2010</w:t>
            </w:r>
          </w:p>
        </w:tc>
        <w:tc>
          <w:tcPr>
            <w:tcW w:w="3168" w:type="dxa"/>
            <w:tcBorders>
              <w:top w:val="nil"/>
              <w:left w:val="single" w:sz="4" w:space="0" w:color="auto"/>
              <w:bottom w:val="nil"/>
              <w:right w:val="single" w:sz="4" w:space="0" w:color="auto"/>
            </w:tcBorders>
            <w:vAlign w:val="center"/>
          </w:tcPr>
          <w:p w:rsidR="00986586" w:rsidRPr="005D4B74" w:rsidRDefault="005D4B74" w:rsidP="0083102B">
            <w:pPr>
              <w:spacing w:before="60" w:after="60"/>
              <w:jc w:val="center"/>
            </w:pPr>
            <w:r>
              <w:t>Million cubic feet of natural gas</w:t>
            </w:r>
          </w:p>
        </w:tc>
        <w:tc>
          <w:tcPr>
            <w:tcW w:w="3168" w:type="dxa"/>
            <w:tcBorders>
              <w:top w:val="nil"/>
              <w:left w:val="nil"/>
              <w:bottom w:val="nil"/>
              <w:right w:val="double" w:sz="4" w:space="0" w:color="auto"/>
            </w:tcBorders>
            <w:vAlign w:val="center"/>
          </w:tcPr>
          <w:p w:rsidR="00986586" w:rsidRDefault="005D4B74" w:rsidP="0083102B">
            <w:pPr>
              <w:spacing w:before="60" w:after="60"/>
              <w:jc w:val="center"/>
            </w:pPr>
            <w:r>
              <w:t>Monthly</w:t>
            </w:r>
          </w:p>
        </w:tc>
      </w:tr>
      <w:tr w:rsidR="00986586" w:rsidTr="0083102B">
        <w:tc>
          <w:tcPr>
            <w:tcW w:w="3168" w:type="dxa"/>
            <w:tcBorders>
              <w:top w:val="single" w:sz="4" w:space="0" w:color="auto"/>
              <w:left w:val="double" w:sz="4" w:space="0" w:color="auto"/>
              <w:bottom w:val="single" w:sz="4" w:space="0" w:color="auto"/>
              <w:right w:val="nil"/>
            </w:tcBorders>
            <w:vAlign w:val="center"/>
          </w:tcPr>
          <w:p w:rsidR="00986586" w:rsidRPr="005D4B74" w:rsidRDefault="005D4B74" w:rsidP="0083102B">
            <w:pPr>
              <w:spacing w:before="60" w:after="60"/>
              <w:jc w:val="center"/>
            </w:pPr>
            <w:r>
              <w:t>CO</w:t>
            </w:r>
            <w:r>
              <w:rPr>
                <w:vertAlign w:val="subscript"/>
              </w:rPr>
              <w:t>2</w:t>
            </w:r>
            <w:r>
              <w:t xml:space="preserve"> Vent</w:t>
            </w:r>
          </w:p>
        </w:tc>
        <w:tc>
          <w:tcPr>
            <w:tcW w:w="3168" w:type="dxa"/>
            <w:tcBorders>
              <w:top w:val="single" w:sz="4" w:space="0" w:color="auto"/>
              <w:left w:val="single" w:sz="4" w:space="0" w:color="auto"/>
              <w:bottom w:val="single" w:sz="4" w:space="0" w:color="auto"/>
              <w:right w:val="single" w:sz="4" w:space="0" w:color="auto"/>
            </w:tcBorders>
            <w:vAlign w:val="center"/>
          </w:tcPr>
          <w:p w:rsidR="00986586" w:rsidRDefault="005D4B74" w:rsidP="0083102B">
            <w:pPr>
              <w:spacing w:before="60" w:after="60"/>
              <w:jc w:val="center"/>
            </w:pPr>
            <w:r>
              <w:t>Hours of operation</w:t>
            </w:r>
          </w:p>
        </w:tc>
        <w:tc>
          <w:tcPr>
            <w:tcW w:w="3168" w:type="dxa"/>
            <w:tcBorders>
              <w:top w:val="single" w:sz="4" w:space="0" w:color="auto"/>
              <w:left w:val="nil"/>
              <w:bottom w:val="single" w:sz="4" w:space="0" w:color="auto"/>
              <w:right w:val="double" w:sz="4" w:space="0" w:color="auto"/>
            </w:tcBorders>
            <w:vAlign w:val="center"/>
          </w:tcPr>
          <w:p w:rsidR="00986586" w:rsidRDefault="005D4B74" w:rsidP="0083102B">
            <w:pPr>
              <w:spacing w:before="60" w:after="60"/>
              <w:jc w:val="center"/>
            </w:pPr>
            <w:r>
              <w:t>Monthly</w:t>
            </w:r>
          </w:p>
        </w:tc>
      </w:tr>
      <w:tr w:rsidR="00986586" w:rsidTr="0083102B">
        <w:tc>
          <w:tcPr>
            <w:tcW w:w="3168" w:type="dxa"/>
            <w:tcBorders>
              <w:top w:val="nil"/>
              <w:left w:val="double" w:sz="4" w:space="0" w:color="auto"/>
              <w:bottom w:val="nil"/>
              <w:right w:val="nil"/>
            </w:tcBorders>
            <w:vAlign w:val="center"/>
          </w:tcPr>
          <w:p w:rsidR="00986586" w:rsidRDefault="005D4B74" w:rsidP="0083102B">
            <w:pPr>
              <w:spacing w:before="60" w:after="60"/>
              <w:jc w:val="center"/>
            </w:pPr>
            <w:r>
              <w:t>Gypsum Filter – F4010</w:t>
            </w:r>
          </w:p>
        </w:tc>
        <w:tc>
          <w:tcPr>
            <w:tcW w:w="3168" w:type="dxa"/>
            <w:tcBorders>
              <w:top w:val="nil"/>
              <w:left w:val="single" w:sz="4" w:space="0" w:color="auto"/>
              <w:bottom w:val="nil"/>
              <w:right w:val="single" w:sz="4" w:space="0" w:color="auto"/>
            </w:tcBorders>
            <w:vAlign w:val="center"/>
          </w:tcPr>
          <w:p w:rsidR="00986586" w:rsidRDefault="003F2EED" w:rsidP="0083102B">
            <w:pPr>
              <w:spacing w:before="60" w:after="60"/>
              <w:jc w:val="center"/>
            </w:pPr>
            <w:r>
              <w:t>Gallons of dilute acetic acid</w:t>
            </w:r>
          </w:p>
        </w:tc>
        <w:tc>
          <w:tcPr>
            <w:tcW w:w="3168" w:type="dxa"/>
            <w:tcBorders>
              <w:top w:val="nil"/>
              <w:left w:val="nil"/>
              <w:bottom w:val="nil"/>
              <w:right w:val="double" w:sz="4" w:space="0" w:color="auto"/>
            </w:tcBorders>
            <w:vAlign w:val="center"/>
          </w:tcPr>
          <w:p w:rsidR="00986586" w:rsidRDefault="005D4B74" w:rsidP="0083102B">
            <w:pPr>
              <w:spacing w:before="60" w:after="60"/>
              <w:jc w:val="center"/>
            </w:pPr>
            <w:r>
              <w:t>Monthly</w:t>
            </w:r>
          </w:p>
        </w:tc>
      </w:tr>
      <w:tr w:rsidR="003F2EED" w:rsidTr="0083102B">
        <w:tc>
          <w:tcPr>
            <w:tcW w:w="3168" w:type="dxa"/>
            <w:tcBorders>
              <w:top w:val="single" w:sz="4" w:space="0" w:color="auto"/>
              <w:left w:val="double" w:sz="4" w:space="0" w:color="auto"/>
              <w:bottom w:val="single" w:sz="4" w:space="0" w:color="auto"/>
              <w:right w:val="nil"/>
            </w:tcBorders>
            <w:vAlign w:val="center"/>
          </w:tcPr>
          <w:p w:rsidR="003F2EED" w:rsidRDefault="003F2EED" w:rsidP="0083102B">
            <w:pPr>
              <w:spacing w:before="60" w:after="60"/>
              <w:jc w:val="center"/>
            </w:pPr>
            <w:r>
              <w:t>Acidification Polishing Filter – F4020</w:t>
            </w:r>
          </w:p>
        </w:tc>
        <w:tc>
          <w:tcPr>
            <w:tcW w:w="3168" w:type="dxa"/>
            <w:tcBorders>
              <w:top w:val="single" w:sz="4" w:space="0" w:color="auto"/>
              <w:left w:val="single" w:sz="4" w:space="0" w:color="auto"/>
              <w:bottom w:val="single" w:sz="4" w:space="0" w:color="auto"/>
              <w:right w:val="single" w:sz="4" w:space="0" w:color="auto"/>
            </w:tcBorders>
            <w:vAlign w:val="center"/>
          </w:tcPr>
          <w:p w:rsidR="003F2EED" w:rsidRDefault="003F2EED" w:rsidP="0083102B">
            <w:pPr>
              <w:spacing w:before="60" w:after="60"/>
              <w:jc w:val="center"/>
            </w:pPr>
            <w:r>
              <w:t>Gallons of dilute acetic acid</w:t>
            </w:r>
          </w:p>
        </w:tc>
        <w:tc>
          <w:tcPr>
            <w:tcW w:w="3168" w:type="dxa"/>
            <w:tcBorders>
              <w:top w:val="single" w:sz="4" w:space="0" w:color="auto"/>
              <w:left w:val="nil"/>
              <w:bottom w:val="single" w:sz="4" w:space="0" w:color="auto"/>
              <w:right w:val="double" w:sz="4" w:space="0" w:color="auto"/>
            </w:tcBorders>
            <w:vAlign w:val="center"/>
          </w:tcPr>
          <w:p w:rsidR="003F2EED" w:rsidRDefault="003F2EED" w:rsidP="0083102B">
            <w:pPr>
              <w:spacing w:before="60" w:after="60"/>
              <w:jc w:val="center"/>
            </w:pPr>
            <w:r>
              <w:t>Monthly</w:t>
            </w:r>
          </w:p>
        </w:tc>
      </w:tr>
      <w:tr w:rsidR="003F2EED" w:rsidTr="0083102B">
        <w:tc>
          <w:tcPr>
            <w:tcW w:w="3168" w:type="dxa"/>
            <w:tcBorders>
              <w:top w:val="single" w:sz="4" w:space="0" w:color="auto"/>
              <w:left w:val="double" w:sz="4" w:space="0" w:color="auto"/>
              <w:bottom w:val="single" w:sz="4" w:space="0" w:color="auto"/>
              <w:right w:val="nil"/>
            </w:tcBorders>
            <w:vAlign w:val="center"/>
          </w:tcPr>
          <w:p w:rsidR="003F2EED" w:rsidRDefault="003F2EED" w:rsidP="0083102B">
            <w:pPr>
              <w:spacing w:before="60" w:after="60"/>
              <w:jc w:val="center"/>
            </w:pPr>
            <w:r>
              <w:t>Cooling Tower – E9010</w:t>
            </w:r>
          </w:p>
        </w:tc>
        <w:tc>
          <w:tcPr>
            <w:tcW w:w="3168" w:type="dxa"/>
            <w:tcBorders>
              <w:top w:val="single" w:sz="4" w:space="0" w:color="auto"/>
              <w:left w:val="single" w:sz="4" w:space="0" w:color="auto"/>
              <w:bottom w:val="single" w:sz="4" w:space="0" w:color="auto"/>
              <w:right w:val="single" w:sz="4" w:space="0" w:color="auto"/>
            </w:tcBorders>
            <w:vAlign w:val="center"/>
          </w:tcPr>
          <w:p w:rsidR="003F2EED" w:rsidRDefault="003F2EED" w:rsidP="0083102B">
            <w:pPr>
              <w:spacing w:before="60" w:after="60"/>
              <w:jc w:val="center"/>
            </w:pPr>
            <w:r>
              <w:t xml:space="preserve">Average water circulation </w:t>
            </w:r>
            <w:proofErr w:type="spellStart"/>
            <w:r>
              <w:t>flowrate</w:t>
            </w:r>
            <w:proofErr w:type="spellEnd"/>
            <w:r>
              <w:t xml:space="preserve"> (gallons/minute)</w:t>
            </w:r>
          </w:p>
        </w:tc>
        <w:tc>
          <w:tcPr>
            <w:tcW w:w="3168" w:type="dxa"/>
            <w:tcBorders>
              <w:top w:val="single" w:sz="4" w:space="0" w:color="auto"/>
              <w:left w:val="nil"/>
              <w:bottom w:val="single" w:sz="4" w:space="0" w:color="auto"/>
              <w:right w:val="double" w:sz="4" w:space="0" w:color="auto"/>
            </w:tcBorders>
            <w:vAlign w:val="center"/>
          </w:tcPr>
          <w:p w:rsidR="003F2EED" w:rsidRDefault="003F2EED" w:rsidP="0083102B">
            <w:pPr>
              <w:spacing w:before="60" w:after="60"/>
              <w:jc w:val="center"/>
            </w:pPr>
            <w:r>
              <w:t>Monthly</w:t>
            </w:r>
          </w:p>
        </w:tc>
      </w:tr>
      <w:tr w:rsidR="003F2EED" w:rsidTr="0083102B">
        <w:tc>
          <w:tcPr>
            <w:tcW w:w="3168" w:type="dxa"/>
            <w:tcBorders>
              <w:top w:val="single" w:sz="4" w:space="0" w:color="auto"/>
              <w:left w:val="double" w:sz="4" w:space="0" w:color="auto"/>
              <w:bottom w:val="single" w:sz="4" w:space="0" w:color="auto"/>
              <w:right w:val="nil"/>
            </w:tcBorders>
            <w:vAlign w:val="center"/>
          </w:tcPr>
          <w:p w:rsidR="003F2EED" w:rsidRDefault="003F2EED" w:rsidP="0083102B">
            <w:pPr>
              <w:spacing w:before="60" w:after="60"/>
              <w:jc w:val="center"/>
            </w:pPr>
            <w:r>
              <w:t>Boiler – B9110</w:t>
            </w:r>
          </w:p>
        </w:tc>
        <w:tc>
          <w:tcPr>
            <w:tcW w:w="3168" w:type="dxa"/>
            <w:tcBorders>
              <w:top w:val="single" w:sz="4" w:space="0" w:color="auto"/>
              <w:left w:val="single" w:sz="4" w:space="0" w:color="auto"/>
              <w:bottom w:val="single" w:sz="4" w:space="0" w:color="auto"/>
              <w:right w:val="single" w:sz="4" w:space="0" w:color="auto"/>
            </w:tcBorders>
            <w:vAlign w:val="center"/>
          </w:tcPr>
          <w:p w:rsidR="003F2EED" w:rsidRDefault="003F2EED" w:rsidP="0083102B">
            <w:pPr>
              <w:spacing w:before="60" w:after="60"/>
              <w:jc w:val="center"/>
            </w:pPr>
            <w:r>
              <w:t>Million cubic feet of natural gas</w:t>
            </w:r>
          </w:p>
        </w:tc>
        <w:tc>
          <w:tcPr>
            <w:tcW w:w="3168" w:type="dxa"/>
            <w:tcBorders>
              <w:top w:val="single" w:sz="4" w:space="0" w:color="auto"/>
              <w:left w:val="nil"/>
              <w:bottom w:val="single" w:sz="4" w:space="0" w:color="auto"/>
              <w:right w:val="double" w:sz="4" w:space="0" w:color="auto"/>
            </w:tcBorders>
            <w:vAlign w:val="center"/>
          </w:tcPr>
          <w:p w:rsidR="003F2EED" w:rsidRDefault="003F2EED" w:rsidP="0083102B">
            <w:pPr>
              <w:spacing w:before="60" w:after="60"/>
              <w:jc w:val="center"/>
            </w:pPr>
            <w:r>
              <w:t>Monthly</w:t>
            </w:r>
          </w:p>
        </w:tc>
      </w:tr>
      <w:tr w:rsidR="003F2EED" w:rsidTr="0083102B">
        <w:tc>
          <w:tcPr>
            <w:tcW w:w="3168" w:type="dxa"/>
            <w:tcBorders>
              <w:top w:val="single" w:sz="4" w:space="0" w:color="auto"/>
              <w:left w:val="double" w:sz="4" w:space="0" w:color="auto"/>
              <w:bottom w:val="single" w:sz="4" w:space="0" w:color="auto"/>
              <w:right w:val="nil"/>
            </w:tcBorders>
            <w:vAlign w:val="center"/>
          </w:tcPr>
          <w:p w:rsidR="003F2EED" w:rsidRDefault="003F2EED" w:rsidP="0083102B">
            <w:pPr>
              <w:spacing w:before="60" w:after="60"/>
              <w:jc w:val="center"/>
            </w:pPr>
            <w:r>
              <w:t xml:space="preserve">Combined </w:t>
            </w:r>
            <w:proofErr w:type="spellStart"/>
            <w:r>
              <w:t>Hydrolyzate</w:t>
            </w:r>
            <w:proofErr w:type="spellEnd"/>
            <w:r>
              <w:t xml:space="preserve"> Tank – T1040</w:t>
            </w:r>
          </w:p>
        </w:tc>
        <w:tc>
          <w:tcPr>
            <w:tcW w:w="3168" w:type="dxa"/>
            <w:tcBorders>
              <w:top w:val="single" w:sz="4" w:space="0" w:color="auto"/>
              <w:left w:val="single" w:sz="4" w:space="0" w:color="auto"/>
              <w:bottom w:val="single" w:sz="4" w:space="0" w:color="auto"/>
              <w:right w:val="single" w:sz="4" w:space="0" w:color="auto"/>
            </w:tcBorders>
            <w:vAlign w:val="center"/>
          </w:tcPr>
          <w:p w:rsidR="003F2EED" w:rsidRDefault="003F2EED" w:rsidP="0083102B">
            <w:pPr>
              <w:spacing w:before="60" w:after="60"/>
              <w:jc w:val="center"/>
            </w:pPr>
            <w:r>
              <w:t>Throughput gallons</w:t>
            </w:r>
          </w:p>
        </w:tc>
        <w:tc>
          <w:tcPr>
            <w:tcW w:w="3168" w:type="dxa"/>
            <w:tcBorders>
              <w:top w:val="single" w:sz="4" w:space="0" w:color="auto"/>
              <w:left w:val="nil"/>
              <w:bottom w:val="single" w:sz="4" w:space="0" w:color="auto"/>
              <w:right w:val="double" w:sz="4" w:space="0" w:color="auto"/>
            </w:tcBorders>
            <w:vAlign w:val="center"/>
          </w:tcPr>
          <w:p w:rsidR="003F2EED" w:rsidRDefault="003F2EED" w:rsidP="0083102B">
            <w:pPr>
              <w:spacing w:before="60" w:after="60"/>
              <w:jc w:val="center"/>
            </w:pPr>
            <w:r>
              <w:t>Monthly</w:t>
            </w:r>
          </w:p>
        </w:tc>
      </w:tr>
      <w:tr w:rsidR="003F2EED" w:rsidTr="0083102B">
        <w:tc>
          <w:tcPr>
            <w:tcW w:w="3168" w:type="dxa"/>
            <w:tcBorders>
              <w:top w:val="single" w:sz="4" w:space="0" w:color="auto"/>
              <w:left w:val="double" w:sz="4" w:space="0" w:color="auto"/>
              <w:bottom w:val="single" w:sz="4" w:space="0" w:color="auto"/>
              <w:right w:val="nil"/>
            </w:tcBorders>
            <w:vAlign w:val="center"/>
          </w:tcPr>
          <w:p w:rsidR="003F2EED" w:rsidRDefault="003F2EED" w:rsidP="0083102B">
            <w:pPr>
              <w:spacing w:before="60" w:after="60"/>
              <w:jc w:val="center"/>
            </w:pPr>
            <w:r>
              <w:t>Dilute Acetic Acid Day Tank – T4010</w:t>
            </w:r>
          </w:p>
        </w:tc>
        <w:tc>
          <w:tcPr>
            <w:tcW w:w="3168" w:type="dxa"/>
            <w:tcBorders>
              <w:top w:val="single" w:sz="4" w:space="0" w:color="auto"/>
              <w:left w:val="single" w:sz="4" w:space="0" w:color="auto"/>
              <w:bottom w:val="single" w:sz="4" w:space="0" w:color="auto"/>
              <w:right w:val="single" w:sz="4" w:space="0" w:color="auto"/>
            </w:tcBorders>
            <w:vAlign w:val="center"/>
          </w:tcPr>
          <w:p w:rsidR="003F2EED" w:rsidRDefault="003F2EED" w:rsidP="0083102B">
            <w:pPr>
              <w:spacing w:before="60" w:after="60"/>
              <w:jc w:val="center"/>
            </w:pPr>
            <w:r>
              <w:t>Throughput gallons</w:t>
            </w:r>
          </w:p>
        </w:tc>
        <w:tc>
          <w:tcPr>
            <w:tcW w:w="3168" w:type="dxa"/>
            <w:tcBorders>
              <w:top w:val="single" w:sz="4" w:space="0" w:color="auto"/>
              <w:left w:val="nil"/>
              <w:bottom w:val="single" w:sz="4" w:space="0" w:color="auto"/>
              <w:right w:val="double" w:sz="4" w:space="0" w:color="auto"/>
            </w:tcBorders>
            <w:vAlign w:val="center"/>
          </w:tcPr>
          <w:p w:rsidR="003F2EED" w:rsidRDefault="003F2EED" w:rsidP="0083102B">
            <w:pPr>
              <w:spacing w:before="60" w:after="60"/>
              <w:jc w:val="center"/>
            </w:pPr>
            <w:r>
              <w:t>Monthly</w:t>
            </w:r>
          </w:p>
        </w:tc>
      </w:tr>
      <w:tr w:rsidR="003F2EED" w:rsidTr="0083102B">
        <w:tc>
          <w:tcPr>
            <w:tcW w:w="3168" w:type="dxa"/>
            <w:tcBorders>
              <w:top w:val="single" w:sz="4" w:space="0" w:color="auto"/>
              <w:left w:val="double" w:sz="4" w:space="0" w:color="auto"/>
              <w:bottom w:val="single" w:sz="4" w:space="0" w:color="auto"/>
              <w:right w:val="nil"/>
            </w:tcBorders>
            <w:vAlign w:val="center"/>
          </w:tcPr>
          <w:p w:rsidR="003F2EED" w:rsidRDefault="00E449FB" w:rsidP="0083102B">
            <w:pPr>
              <w:spacing w:before="60" w:after="60"/>
              <w:jc w:val="center"/>
            </w:pPr>
            <w:r>
              <w:t>Gasoline Storage</w:t>
            </w:r>
            <w:r w:rsidR="003F2EED">
              <w:t xml:space="preserve"> Tank – T9</w:t>
            </w:r>
            <w:r>
              <w:t>96</w:t>
            </w:r>
            <w:r w:rsidR="003F2EED">
              <w:t>0</w:t>
            </w:r>
          </w:p>
        </w:tc>
        <w:tc>
          <w:tcPr>
            <w:tcW w:w="3168" w:type="dxa"/>
            <w:tcBorders>
              <w:top w:val="single" w:sz="4" w:space="0" w:color="auto"/>
              <w:left w:val="single" w:sz="4" w:space="0" w:color="auto"/>
              <w:bottom w:val="single" w:sz="4" w:space="0" w:color="auto"/>
              <w:right w:val="single" w:sz="4" w:space="0" w:color="auto"/>
            </w:tcBorders>
            <w:vAlign w:val="center"/>
          </w:tcPr>
          <w:p w:rsidR="003F2EED" w:rsidRDefault="003F2EED" w:rsidP="0083102B">
            <w:pPr>
              <w:spacing w:before="60" w:after="60"/>
              <w:jc w:val="center"/>
            </w:pPr>
            <w:r>
              <w:t>Throughput gallons</w:t>
            </w:r>
          </w:p>
        </w:tc>
        <w:tc>
          <w:tcPr>
            <w:tcW w:w="3168" w:type="dxa"/>
            <w:tcBorders>
              <w:top w:val="single" w:sz="4" w:space="0" w:color="auto"/>
              <w:left w:val="nil"/>
              <w:bottom w:val="single" w:sz="4" w:space="0" w:color="auto"/>
              <w:right w:val="double" w:sz="4" w:space="0" w:color="auto"/>
            </w:tcBorders>
            <w:vAlign w:val="center"/>
          </w:tcPr>
          <w:p w:rsidR="003F2EED" w:rsidRDefault="003F2EED" w:rsidP="0083102B">
            <w:pPr>
              <w:spacing w:before="60" w:after="60"/>
              <w:jc w:val="center"/>
            </w:pPr>
            <w:r>
              <w:t>Monthly</w:t>
            </w:r>
          </w:p>
        </w:tc>
      </w:tr>
      <w:tr w:rsidR="003F2EED" w:rsidTr="0083102B">
        <w:tc>
          <w:tcPr>
            <w:tcW w:w="3168" w:type="dxa"/>
            <w:tcBorders>
              <w:top w:val="single" w:sz="4" w:space="0" w:color="auto"/>
              <w:left w:val="double" w:sz="4" w:space="0" w:color="auto"/>
              <w:bottom w:val="single" w:sz="4" w:space="0" w:color="auto"/>
              <w:right w:val="nil"/>
            </w:tcBorders>
            <w:vAlign w:val="center"/>
          </w:tcPr>
          <w:p w:rsidR="003F2EED" w:rsidRDefault="003F2EED" w:rsidP="0083102B">
            <w:pPr>
              <w:spacing w:before="60" w:after="60"/>
              <w:jc w:val="center"/>
            </w:pPr>
            <w:r>
              <w:t>Wastewater Treatment Facility – X9510</w:t>
            </w:r>
          </w:p>
        </w:tc>
        <w:tc>
          <w:tcPr>
            <w:tcW w:w="3168" w:type="dxa"/>
            <w:tcBorders>
              <w:top w:val="single" w:sz="4" w:space="0" w:color="auto"/>
              <w:left w:val="single" w:sz="4" w:space="0" w:color="auto"/>
              <w:bottom w:val="single" w:sz="4" w:space="0" w:color="auto"/>
              <w:right w:val="single" w:sz="4" w:space="0" w:color="auto"/>
            </w:tcBorders>
            <w:vAlign w:val="center"/>
          </w:tcPr>
          <w:p w:rsidR="003F2EED" w:rsidRDefault="003F2EED" w:rsidP="0083102B">
            <w:pPr>
              <w:spacing w:before="60" w:after="60"/>
              <w:jc w:val="center"/>
            </w:pPr>
            <w:r>
              <w:t>Throughput gallons</w:t>
            </w:r>
          </w:p>
        </w:tc>
        <w:tc>
          <w:tcPr>
            <w:tcW w:w="3168" w:type="dxa"/>
            <w:tcBorders>
              <w:top w:val="single" w:sz="4" w:space="0" w:color="auto"/>
              <w:left w:val="nil"/>
              <w:bottom w:val="single" w:sz="4" w:space="0" w:color="auto"/>
              <w:right w:val="double" w:sz="4" w:space="0" w:color="auto"/>
            </w:tcBorders>
            <w:vAlign w:val="center"/>
          </w:tcPr>
          <w:p w:rsidR="003F2EED" w:rsidRDefault="003F2EED" w:rsidP="0083102B">
            <w:pPr>
              <w:spacing w:before="60" w:after="60"/>
              <w:jc w:val="center"/>
            </w:pPr>
            <w:r>
              <w:t>Monthly</w:t>
            </w:r>
          </w:p>
        </w:tc>
      </w:tr>
      <w:tr w:rsidR="003F2EED" w:rsidTr="0083102B">
        <w:tc>
          <w:tcPr>
            <w:tcW w:w="3168" w:type="dxa"/>
            <w:tcBorders>
              <w:top w:val="single" w:sz="4" w:space="0" w:color="auto"/>
              <w:left w:val="double" w:sz="4" w:space="0" w:color="auto"/>
              <w:bottom w:val="double" w:sz="4" w:space="0" w:color="auto"/>
              <w:right w:val="nil"/>
            </w:tcBorders>
            <w:vAlign w:val="center"/>
          </w:tcPr>
          <w:p w:rsidR="003F2EED" w:rsidRDefault="003F2EED" w:rsidP="0083102B">
            <w:pPr>
              <w:spacing w:before="60" w:after="60"/>
              <w:jc w:val="center"/>
            </w:pPr>
            <w:r>
              <w:t>Equipment Leak Fugitives</w:t>
            </w:r>
          </w:p>
        </w:tc>
        <w:tc>
          <w:tcPr>
            <w:tcW w:w="3168" w:type="dxa"/>
            <w:tcBorders>
              <w:top w:val="single" w:sz="4" w:space="0" w:color="auto"/>
              <w:left w:val="single" w:sz="4" w:space="0" w:color="auto"/>
              <w:bottom w:val="double" w:sz="4" w:space="0" w:color="auto"/>
              <w:right w:val="single" w:sz="4" w:space="0" w:color="auto"/>
            </w:tcBorders>
            <w:vAlign w:val="center"/>
          </w:tcPr>
          <w:p w:rsidR="003F2EED" w:rsidRDefault="003F2EED" w:rsidP="0083102B">
            <w:pPr>
              <w:spacing w:before="60" w:after="60"/>
              <w:jc w:val="center"/>
            </w:pPr>
            <w:r>
              <w:t>Number of pieces of applicable equipment in the stream</w:t>
            </w:r>
          </w:p>
        </w:tc>
        <w:tc>
          <w:tcPr>
            <w:tcW w:w="3168" w:type="dxa"/>
            <w:tcBorders>
              <w:top w:val="single" w:sz="4" w:space="0" w:color="auto"/>
              <w:left w:val="nil"/>
              <w:bottom w:val="double" w:sz="4" w:space="0" w:color="auto"/>
              <w:right w:val="double" w:sz="4" w:space="0" w:color="auto"/>
            </w:tcBorders>
            <w:vAlign w:val="center"/>
          </w:tcPr>
          <w:p w:rsidR="003F2EED" w:rsidRDefault="0083102B" w:rsidP="0083102B">
            <w:pPr>
              <w:spacing w:before="60" w:after="60"/>
              <w:jc w:val="center"/>
            </w:pPr>
            <w:r>
              <w:t>M</w:t>
            </w:r>
            <w:r w:rsidR="003F2EED">
              <w:t>onthly</w:t>
            </w:r>
          </w:p>
        </w:tc>
      </w:tr>
    </w:tbl>
    <w:p w:rsidR="00986586" w:rsidRDefault="00986586"/>
    <w:p w:rsidR="00986586" w:rsidRDefault="00986586"/>
    <w:p w:rsidR="00986586" w:rsidRDefault="00986586" w:rsidP="00F16072">
      <w:pPr>
        <w:pStyle w:val="Heading1"/>
      </w:pPr>
      <w:r>
        <w:br w:type="page"/>
      </w:r>
      <w:bookmarkStart w:id="74" w:name="_Toc253664554"/>
      <w:r w:rsidRPr="00F16072">
        <w:t>Abbreviations</w:t>
      </w:r>
      <w:r>
        <w:t>, acronyms, and definitions</w:t>
      </w:r>
      <w:bookmarkEnd w:id="74"/>
    </w:p>
    <w:p w:rsidR="00986586" w:rsidRDefault="00986586"/>
    <w:p w:rsidR="00986586" w:rsidRDefault="00986586">
      <w:pPr>
        <w:numPr>
          <w:ilvl w:val="3"/>
          <w:numId w:val="27"/>
        </w:numPr>
        <w:suppressAutoHyphens/>
        <w:spacing w:before="40" w:after="40"/>
        <w:sectPr w:rsidR="00986586">
          <w:headerReference w:type="default" r:id="rId8"/>
          <w:type w:val="continuous"/>
          <w:pgSz w:w="12240" w:h="15840"/>
          <w:pgMar w:top="1800" w:right="1440" w:bottom="1440" w:left="1440" w:header="360" w:footer="720" w:gutter="0"/>
          <w:cols w:space="720"/>
        </w:sect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420"/>
        <w:gridCol w:w="3188"/>
      </w:tblGrid>
      <w:tr w:rsidR="00986586">
        <w:tc>
          <w:tcPr>
            <w:tcW w:w="1420" w:type="dxa"/>
            <w:tcBorders>
              <w:top w:val="nil"/>
              <w:left w:val="nil"/>
              <w:bottom w:val="nil"/>
              <w:right w:val="nil"/>
            </w:tcBorders>
          </w:tcPr>
          <w:p w:rsidR="00986586" w:rsidRDefault="00986586">
            <w:pPr>
              <w:pStyle w:val="Bodytext"/>
            </w:pPr>
            <w:r>
              <w:t>ACDP</w:t>
            </w:r>
          </w:p>
        </w:tc>
        <w:tc>
          <w:tcPr>
            <w:tcW w:w="3188" w:type="dxa"/>
            <w:tcBorders>
              <w:top w:val="nil"/>
              <w:left w:val="nil"/>
              <w:bottom w:val="nil"/>
              <w:right w:val="nil"/>
            </w:tcBorders>
          </w:tcPr>
          <w:p w:rsidR="00986586" w:rsidRDefault="00986586">
            <w:pPr>
              <w:pStyle w:val="Bodytext"/>
            </w:pPr>
            <w:r>
              <w:t>Air Contaminant Discharge Permit</w:t>
            </w:r>
          </w:p>
        </w:tc>
      </w:tr>
      <w:tr w:rsidR="00986586">
        <w:tc>
          <w:tcPr>
            <w:tcW w:w="1420" w:type="dxa"/>
            <w:tcBorders>
              <w:top w:val="nil"/>
              <w:left w:val="nil"/>
              <w:bottom w:val="nil"/>
              <w:right w:val="nil"/>
            </w:tcBorders>
          </w:tcPr>
          <w:p w:rsidR="00986586" w:rsidRDefault="00986586">
            <w:pPr>
              <w:pStyle w:val="Bodytext"/>
            </w:pPr>
            <w:r>
              <w:t>ASTM</w:t>
            </w:r>
          </w:p>
        </w:tc>
        <w:tc>
          <w:tcPr>
            <w:tcW w:w="3188" w:type="dxa"/>
            <w:tcBorders>
              <w:top w:val="nil"/>
              <w:left w:val="nil"/>
              <w:bottom w:val="nil"/>
              <w:right w:val="nil"/>
            </w:tcBorders>
          </w:tcPr>
          <w:p w:rsidR="00986586" w:rsidRDefault="00986586">
            <w:pPr>
              <w:pStyle w:val="Bodytext"/>
            </w:pPr>
            <w:r>
              <w:t>American Society for Testing and Materials</w:t>
            </w:r>
          </w:p>
        </w:tc>
      </w:tr>
      <w:tr w:rsidR="00986586">
        <w:tc>
          <w:tcPr>
            <w:tcW w:w="1420" w:type="dxa"/>
            <w:tcBorders>
              <w:top w:val="nil"/>
              <w:left w:val="nil"/>
              <w:bottom w:val="nil"/>
              <w:right w:val="nil"/>
            </w:tcBorders>
          </w:tcPr>
          <w:p w:rsidR="00986586" w:rsidRDefault="00986586">
            <w:pPr>
              <w:pStyle w:val="Bodytext"/>
            </w:pPr>
            <w:r>
              <w:t>AQMA</w:t>
            </w:r>
          </w:p>
        </w:tc>
        <w:tc>
          <w:tcPr>
            <w:tcW w:w="3188" w:type="dxa"/>
            <w:tcBorders>
              <w:top w:val="nil"/>
              <w:left w:val="nil"/>
              <w:bottom w:val="nil"/>
              <w:right w:val="nil"/>
            </w:tcBorders>
          </w:tcPr>
          <w:p w:rsidR="00986586" w:rsidRDefault="00986586">
            <w:pPr>
              <w:pStyle w:val="Bodytext"/>
            </w:pPr>
            <w:r>
              <w:t>Air Quality Maintenance Area</w:t>
            </w:r>
          </w:p>
        </w:tc>
      </w:tr>
      <w:tr w:rsidR="00986586">
        <w:tc>
          <w:tcPr>
            <w:tcW w:w="1420" w:type="dxa"/>
            <w:tcBorders>
              <w:top w:val="nil"/>
              <w:left w:val="nil"/>
              <w:bottom w:val="nil"/>
              <w:right w:val="nil"/>
            </w:tcBorders>
          </w:tcPr>
          <w:p w:rsidR="00986586" w:rsidRDefault="00986586">
            <w:pPr>
              <w:pStyle w:val="Bodytext"/>
            </w:pPr>
            <w:r>
              <w:t>calendar year</w:t>
            </w:r>
          </w:p>
        </w:tc>
        <w:tc>
          <w:tcPr>
            <w:tcW w:w="3188" w:type="dxa"/>
            <w:tcBorders>
              <w:top w:val="nil"/>
              <w:left w:val="nil"/>
              <w:bottom w:val="nil"/>
              <w:right w:val="nil"/>
            </w:tcBorders>
          </w:tcPr>
          <w:p w:rsidR="00986586" w:rsidRDefault="00986586">
            <w:pPr>
              <w:pStyle w:val="Bodytext"/>
            </w:pPr>
            <w:r>
              <w:t>The 12-month period beginning January 1st and ending December 31st</w:t>
            </w:r>
          </w:p>
        </w:tc>
      </w:tr>
      <w:tr w:rsidR="00986586">
        <w:tc>
          <w:tcPr>
            <w:tcW w:w="1420" w:type="dxa"/>
            <w:tcBorders>
              <w:top w:val="nil"/>
              <w:left w:val="nil"/>
              <w:bottom w:val="nil"/>
              <w:right w:val="nil"/>
            </w:tcBorders>
          </w:tcPr>
          <w:p w:rsidR="00986586" w:rsidRDefault="00986586">
            <w:pPr>
              <w:pStyle w:val="Bodytext"/>
            </w:pPr>
            <w:r>
              <w:t>CFR</w:t>
            </w:r>
          </w:p>
        </w:tc>
        <w:tc>
          <w:tcPr>
            <w:tcW w:w="3188" w:type="dxa"/>
            <w:tcBorders>
              <w:top w:val="nil"/>
              <w:left w:val="nil"/>
              <w:bottom w:val="nil"/>
              <w:right w:val="nil"/>
            </w:tcBorders>
          </w:tcPr>
          <w:p w:rsidR="00986586" w:rsidRDefault="00986586">
            <w:pPr>
              <w:pStyle w:val="Bodytext"/>
            </w:pPr>
            <w:r>
              <w:t>Code of Federal Regulations</w:t>
            </w:r>
          </w:p>
        </w:tc>
      </w:tr>
      <w:tr w:rsidR="00986586">
        <w:tc>
          <w:tcPr>
            <w:tcW w:w="1420" w:type="dxa"/>
            <w:tcBorders>
              <w:top w:val="nil"/>
              <w:left w:val="nil"/>
              <w:bottom w:val="nil"/>
              <w:right w:val="nil"/>
            </w:tcBorders>
          </w:tcPr>
          <w:p w:rsidR="00986586" w:rsidRDefault="00986586">
            <w:pPr>
              <w:pStyle w:val="Bodytext"/>
            </w:pPr>
            <w:r>
              <w:t>CO</w:t>
            </w:r>
          </w:p>
        </w:tc>
        <w:tc>
          <w:tcPr>
            <w:tcW w:w="3188" w:type="dxa"/>
            <w:tcBorders>
              <w:top w:val="nil"/>
              <w:left w:val="nil"/>
              <w:bottom w:val="nil"/>
              <w:right w:val="nil"/>
            </w:tcBorders>
          </w:tcPr>
          <w:p w:rsidR="00986586" w:rsidRDefault="000702B1" w:rsidP="000702B1">
            <w:pPr>
              <w:pStyle w:val="Bodytext"/>
            </w:pPr>
            <w:r>
              <w:t>C</w:t>
            </w:r>
            <w:r w:rsidR="00986586">
              <w:t xml:space="preserve">arbon </w:t>
            </w:r>
            <w:r>
              <w:t>M</w:t>
            </w:r>
            <w:r w:rsidR="00986586">
              <w:t>onoxide</w:t>
            </w:r>
          </w:p>
        </w:tc>
      </w:tr>
      <w:tr w:rsidR="00986586">
        <w:tc>
          <w:tcPr>
            <w:tcW w:w="1420" w:type="dxa"/>
            <w:tcBorders>
              <w:top w:val="nil"/>
              <w:left w:val="nil"/>
              <w:bottom w:val="nil"/>
              <w:right w:val="nil"/>
            </w:tcBorders>
          </w:tcPr>
          <w:p w:rsidR="00986586" w:rsidRDefault="00986586">
            <w:pPr>
              <w:pStyle w:val="Bodytext"/>
            </w:pPr>
            <w:r>
              <w:t>DEQ</w:t>
            </w:r>
          </w:p>
        </w:tc>
        <w:tc>
          <w:tcPr>
            <w:tcW w:w="3188" w:type="dxa"/>
            <w:tcBorders>
              <w:top w:val="nil"/>
              <w:left w:val="nil"/>
              <w:bottom w:val="nil"/>
              <w:right w:val="nil"/>
            </w:tcBorders>
          </w:tcPr>
          <w:p w:rsidR="00986586" w:rsidRDefault="00986586">
            <w:pPr>
              <w:pStyle w:val="Bodytext"/>
            </w:pPr>
            <w:r>
              <w:t>Oregon Department of Environmental Quality</w:t>
            </w:r>
          </w:p>
        </w:tc>
      </w:tr>
      <w:tr w:rsidR="00986586">
        <w:tc>
          <w:tcPr>
            <w:tcW w:w="1420" w:type="dxa"/>
            <w:tcBorders>
              <w:top w:val="nil"/>
              <w:left w:val="nil"/>
              <w:bottom w:val="nil"/>
              <w:right w:val="nil"/>
            </w:tcBorders>
          </w:tcPr>
          <w:p w:rsidR="00986586" w:rsidRDefault="00986586">
            <w:pPr>
              <w:pStyle w:val="Bodytext"/>
            </w:pPr>
            <w:proofErr w:type="spellStart"/>
            <w:r>
              <w:t>dscf</w:t>
            </w:r>
            <w:proofErr w:type="spellEnd"/>
          </w:p>
        </w:tc>
        <w:tc>
          <w:tcPr>
            <w:tcW w:w="3188" w:type="dxa"/>
            <w:tcBorders>
              <w:top w:val="nil"/>
              <w:left w:val="nil"/>
              <w:bottom w:val="nil"/>
              <w:right w:val="nil"/>
            </w:tcBorders>
          </w:tcPr>
          <w:p w:rsidR="00986586" w:rsidRDefault="00986586">
            <w:pPr>
              <w:pStyle w:val="Bodytext"/>
            </w:pPr>
            <w:r>
              <w:t>dry standard cubic foot</w:t>
            </w:r>
          </w:p>
        </w:tc>
      </w:tr>
      <w:tr w:rsidR="00986586">
        <w:tc>
          <w:tcPr>
            <w:tcW w:w="1420" w:type="dxa"/>
            <w:tcBorders>
              <w:top w:val="nil"/>
              <w:left w:val="nil"/>
              <w:bottom w:val="nil"/>
              <w:right w:val="nil"/>
            </w:tcBorders>
          </w:tcPr>
          <w:p w:rsidR="00986586" w:rsidRDefault="00986586">
            <w:pPr>
              <w:pStyle w:val="Bodytext"/>
            </w:pPr>
            <w:r>
              <w:t>EPA</w:t>
            </w:r>
          </w:p>
        </w:tc>
        <w:tc>
          <w:tcPr>
            <w:tcW w:w="3188" w:type="dxa"/>
            <w:tcBorders>
              <w:top w:val="nil"/>
              <w:left w:val="nil"/>
              <w:bottom w:val="nil"/>
              <w:right w:val="nil"/>
            </w:tcBorders>
          </w:tcPr>
          <w:p w:rsidR="00986586" w:rsidRDefault="00986586">
            <w:pPr>
              <w:pStyle w:val="Bodytext"/>
            </w:pPr>
            <w:r>
              <w:t>US Environmental Protection Agency</w:t>
            </w:r>
          </w:p>
        </w:tc>
      </w:tr>
      <w:tr w:rsidR="00986586">
        <w:tc>
          <w:tcPr>
            <w:tcW w:w="1420" w:type="dxa"/>
            <w:tcBorders>
              <w:top w:val="nil"/>
              <w:left w:val="nil"/>
              <w:bottom w:val="nil"/>
              <w:right w:val="nil"/>
            </w:tcBorders>
          </w:tcPr>
          <w:p w:rsidR="00986586" w:rsidRDefault="00986586">
            <w:pPr>
              <w:pStyle w:val="Bodytext"/>
            </w:pPr>
            <w:r>
              <w:t>FCAA</w:t>
            </w:r>
          </w:p>
        </w:tc>
        <w:tc>
          <w:tcPr>
            <w:tcW w:w="3188" w:type="dxa"/>
            <w:tcBorders>
              <w:top w:val="nil"/>
              <w:left w:val="nil"/>
              <w:bottom w:val="nil"/>
              <w:right w:val="nil"/>
            </w:tcBorders>
          </w:tcPr>
          <w:p w:rsidR="00986586" w:rsidRDefault="00986586">
            <w:pPr>
              <w:pStyle w:val="Bodytext"/>
            </w:pPr>
            <w:r>
              <w:t>Federal Clean Air Act</w:t>
            </w:r>
          </w:p>
        </w:tc>
      </w:tr>
      <w:tr w:rsidR="00986586">
        <w:tc>
          <w:tcPr>
            <w:tcW w:w="1420" w:type="dxa"/>
            <w:tcBorders>
              <w:top w:val="nil"/>
              <w:left w:val="nil"/>
              <w:bottom w:val="nil"/>
              <w:right w:val="nil"/>
            </w:tcBorders>
          </w:tcPr>
          <w:p w:rsidR="00986586" w:rsidRDefault="00986586">
            <w:pPr>
              <w:pStyle w:val="Bodytext"/>
            </w:pPr>
            <w:r>
              <w:t>gal</w:t>
            </w:r>
          </w:p>
        </w:tc>
        <w:tc>
          <w:tcPr>
            <w:tcW w:w="3188" w:type="dxa"/>
            <w:tcBorders>
              <w:top w:val="nil"/>
              <w:left w:val="nil"/>
              <w:bottom w:val="nil"/>
              <w:right w:val="nil"/>
            </w:tcBorders>
          </w:tcPr>
          <w:p w:rsidR="00986586" w:rsidRDefault="00986586">
            <w:pPr>
              <w:pStyle w:val="Bodytext"/>
            </w:pPr>
            <w:r>
              <w:t>gallon(</w:t>
            </w:r>
            <w:proofErr w:type="spellStart"/>
            <w:r>
              <w:t>s</w:t>
            </w:r>
            <w:proofErr w:type="spellEnd"/>
            <w:r>
              <w:t>)</w:t>
            </w:r>
          </w:p>
        </w:tc>
      </w:tr>
      <w:tr w:rsidR="00986586">
        <w:tc>
          <w:tcPr>
            <w:tcW w:w="1420" w:type="dxa"/>
            <w:tcBorders>
              <w:top w:val="nil"/>
              <w:left w:val="nil"/>
              <w:bottom w:val="nil"/>
              <w:right w:val="nil"/>
            </w:tcBorders>
          </w:tcPr>
          <w:p w:rsidR="00986586" w:rsidRDefault="00986586">
            <w:pPr>
              <w:pStyle w:val="Bodytext"/>
            </w:pPr>
            <w:proofErr w:type="spellStart"/>
            <w:r>
              <w:t>gr/dscf</w:t>
            </w:r>
            <w:proofErr w:type="spellEnd"/>
          </w:p>
        </w:tc>
        <w:tc>
          <w:tcPr>
            <w:tcW w:w="3188" w:type="dxa"/>
            <w:tcBorders>
              <w:top w:val="nil"/>
              <w:left w:val="nil"/>
              <w:bottom w:val="nil"/>
              <w:right w:val="nil"/>
            </w:tcBorders>
          </w:tcPr>
          <w:p w:rsidR="00986586" w:rsidRDefault="00986586">
            <w:pPr>
              <w:pStyle w:val="Bodytext"/>
            </w:pPr>
            <w:r>
              <w:t>grains per dry standard cubic foot</w:t>
            </w:r>
          </w:p>
        </w:tc>
      </w:tr>
      <w:tr w:rsidR="00986586">
        <w:tc>
          <w:tcPr>
            <w:tcW w:w="1420" w:type="dxa"/>
            <w:tcBorders>
              <w:top w:val="nil"/>
              <w:left w:val="nil"/>
              <w:bottom w:val="nil"/>
              <w:right w:val="nil"/>
            </w:tcBorders>
          </w:tcPr>
          <w:p w:rsidR="00986586" w:rsidRDefault="00986586">
            <w:pPr>
              <w:pStyle w:val="Bodytext"/>
            </w:pPr>
            <w:r>
              <w:t>HAP</w:t>
            </w:r>
          </w:p>
        </w:tc>
        <w:tc>
          <w:tcPr>
            <w:tcW w:w="3188" w:type="dxa"/>
            <w:tcBorders>
              <w:top w:val="nil"/>
              <w:left w:val="nil"/>
              <w:bottom w:val="nil"/>
              <w:right w:val="nil"/>
            </w:tcBorders>
          </w:tcPr>
          <w:p w:rsidR="00986586" w:rsidRDefault="00986586">
            <w:pPr>
              <w:pStyle w:val="Bodytext"/>
            </w:pPr>
            <w:r>
              <w:t>Hazardous Air Pollutant as defined by OAR 340-244-0040</w:t>
            </w:r>
          </w:p>
        </w:tc>
      </w:tr>
      <w:tr w:rsidR="00986586">
        <w:tc>
          <w:tcPr>
            <w:tcW w:w="1420" w:type="dxa"/>
            <w:tcBorders>
              <w:top w:val="nil"/>
              <w:left w:val="nil"/>
              <w:bottom w:val="nil"/>
              <w:right w:val="nil"/>
            </w:tcBorders>
          </w:tcPr>
          <w:p w:rsidR="00986586" w:rsidRDefault="00986586">
            <w:pPr>
              <w:pStyle w:val="Bodytext"/>
            </w:pPr>
            <w:r>
              <w:t>I&amp;M</w:t>
            </w:r>
          </w:p>
        </w:tc>
        <w:tc>
          <w:tcPr>
            <w:tcW w:w="3188" w:type="dxa"/>
            <w:tcBorders>
              <w:top w:val="nil"/>
              <w:left w:val="nil"/>
              <w:bottom w:val="nil"/>
              <w:right w:val="nil"/>
            </w:tcBorders>
          </w:tcPr>
          <w:p w:rsidR="00986586" w:rsidRDefault="000702B1" w:rsidP="000702B1">
            <w:pPr>
              <w:pStyle w:val="Bodytext"/>
            </w:pPr>
            <w:r>
              <w:t>I</w:t>
            </w:r>
            <w:r w:rsidR="00986586">
              <w:t xml:space="preserve">nspection and </w:t>
            </w:r>
            <w:r>
              <w:t>M</w:t>
            </w:r>
            <w:r w:rsidR="00986586">
              <w:t>aintenance</w:t>
            </w:r>
          </w:p>
        </w:tc>
      </w:tr>
      <w:tr w:rsidR="00986586">
        <w:tc>
          <w:tcPr>
            <w:tcW w:w="1420" w:type="dxa"/>
            <w:tcBorders>
              <w:top w:val="nil"/>
              <w:left w:val="nil"/>
              <w:bottom w:val="nil"/>
              <w:right w:val="nil"/>
            </w:tcBorders>
          </w:tcPr>
          <w:p w:rsidR="00986586" w:rsidRDefault="00986586">
            <w:pPr>
              <w:pStyle w:val="Bodytext"/>
            </w:pPr>
            <w:r>
              <w:t>lb</w:t>
            </w:r>
          </w:p>
        </w:tc>
        <w:tc>
          <w:tcPr>
            <w:tcW w:w="3188" w:type="dxa"/>
            <w:tcBorders>
              <w:top w:val="nil"/>
              <w:left w:val="nil"/>
              <w:bottom w:val="nil"/>
              <w:right w:val="nil"/>
            </w:tcBorders>
          </w:tcPr>
          <w:p w:rsidR="00986586" w:rsidRDefault="000702B1">
            <w:pPr>
              <w:pStyle w:val="Bodytext"/>
            </w:pPr>
            <w:r>
              <w:t>P</w:t>
            </w:r>
            <w:r w:rsidR="00986586">
              <w:t>ound(</w:t>
            </w:r>
            <w:proofErr w:type="spellStart"/>
            <w:r w:rsidR="00986586">
              <w:t>s</w:t>
            </w:r>
            <w:proofErr w:type="spellEnd"/>
            <w:r w:rsidR="00986586">
              <w:t>)</w:t>
            </w:r>
          </w:p>
        </w:tc>
      </w:tr>
      <w:tr w:rsidR="00986586">
        <w:tc>
          <w:tcPr>
            <w:tcW w:w="1420" w:type="dxa"/>
            <w:tcBorders>
              <w:top w:val="nil"/>
              <w:left w:val="nil"/>
              <w:bottom w:val="nil"/>
              <w:right w:val="nil"/>
            </w:tcBorders>
          </w:tcPr>
          <w:p w:rsidR="00986586" w:rsidRDefault="00986586">
            <w:pPr>
              <w:pStyle w:val="Bodytext"/>
            </w:pPr>
            <w:r>
              <w:t>MMBtu</w:t>
            </w:r>
          </w:p>
        </w:tc>
        <w:tc>
          <w:tcPr>
            <w:tcW w:w="3188" w:type="dxa"/>
            <w:tcBorders>
              <w:top w:val="nil"/>
              <w:left w:val="nil"/>
              <w:bottom w:val="nil"/>
              <w:right w:val="nil"/>
            </w:tcBorders>
          </w:tcPr>
          <w:p w:rsidR="00986586" w:rsidRDefault="000702B1">
            <w:pPr>
              <w:pStyle w:val="Bodytext"/>
            </w:pPr>
            <w:r>
              <w:t>M</w:t>
            </w:r>
            <w:r w:rsidR="00986586">
              <w:t>illion British thermal units</w:t>
            </w:r>
          </w:p>
        </w:tc>
      </w:tr>
      <w:tr w:rsidR="00986586">
        <w:tc>
          <w:tcPr>
            <w:tcW w:w="1420" w:type="dxa"/>
            <w:tcBorders>
              <w:top w:val="nil"/>
              <w:left w:val="nil"/>
              <w:bottom w:val="nil"/>
              <w:right w:val="nil"/>
            </w:tcBorders>
          </w:tcPr>
          <w:p w:rsidR="00986586" w:rsidRDefault="00986586">
            <w:pPr>
              <w:pStyle w:val="Bodytext"/>
            </w:pPr>
            <w:r>
              <w:t>NA</w:t>
            </w:r>
          </w:p>
        </w:tc>
        <w:tc>
          <w:tcPr>
            <w:tcW w:w="3188" w:type="dxa"/>
            <w:tcBorders>
              <w:top w:val="nil"/>
              <w:left w:val="nil"/>
              <w:bottom w:val="nil"/>
              <w:right w:val="nil"/>
            </w:tcBorders>
          </w:tcPr>
          <w:p w:rsidR="00986586" w:rsidRDefault="000702B1" w:rsidP="000702B1">
            <w:pPr>
              <w:pStyle w:val="Bodytext"/>
            </w:pPr>
            <w:r>
              <w:t>N</w:t>
            </w:r>
            <w:r w:rsidR="00986586">
              <w:t xml:space="preserve">ot </w:t>
            </w:r>
            <w:r>
              <w:t>A</w:t>
            </w:r>
            <w:r w:rsidR="00986586">
              <w:t>pplicable</w:t>
            </w:r>
          </w:p>
        </w:tc>
      </w:tr>
      <w:tr w:rsidR="00986586">
        <w:tc>
          <w:tcPr>
            <w:tcW w:w="1420" w:type="dxa"/>
            <w:tcBorders>
              <w:top w:val="nil"/>
              <w:left w:val="nil"/>
              <w:bottom w:val="nil"/>
              <w:right w:val="nil"/>
            </w:tcBorders>
          </w:tcPr>
          <w:p w:rsidR="00986586" w:rsidRDefault="00986586">
            <w:pPr>
              <w:pStyle w:val="Bodytext"/>
            </w:pPr>
            <w:r>
              <w:t>NESHAP</w:t>
            </w:r>
          </w:p>
        </w:tc>
        <w:tc>
          <w:tcPr>
            <w:tcW w:w="3188" w:type="dxa"/>
            <w:tcBorders>
              <w:top w:val="nil"/>
              <w:left w:val="nil"/>
              <w:bottom w:val="nil"/>
              <w:right w:val="nil"/>
            </w:tcBorders>
          </w:tcPr>
          <w:p w:rsidR="00986586" w:rsidRDefault="00986586">
            <w:pPr>
              <w:pStyle w:val="Bodytext"/>
            </w:pPr>
            <w:r>
              <w:t>National Emissions Standards for Hazardous Air Pollutants</w:t>
            </w:r>
          </w:p>
        </w:tc>
      </w:tr>
      <w:tr w:rsidR="00986586">
        <w:tc>
          <w:tcPr>
            <w:tcW w:w="1420" w:type="dxa"/>
            <w:tcBorders>
              <w:top w:val="nil"/>
              <w:left w:val="nil"/>
              <w:bottom w:val="nil"/>
              <w:right w:val="nil"/>
            </w:tcBorders>
          </w:tcPr>
          <w:p w:rsidR="00986586" w:rsidRDefault="00986586">
            <w:pPr>
              <w:pStyle w:val="Bodytext"/>
            </w:pPr>
            <w:r>
              <w:t>NO</w:t>
            </w:r>
            <w:r>
              <w:rPr>
                <w:vertAlign w:val="subscript"/>
              </w:rPr>
              <w:t>X</w:t>
            </w:r>
          </w:p>
        </w:tc>
        <w:tc>
          <w:tcPr>
            <w:tcW w:w="3188" w:type="dxa"/>
            <w:tcBorders>
              <w:top w:val="nil"/>
              <w:left w:val="nil"/>
              <w:bottom w:val="nil"/>
              <w:right w:val="nil"/>
            </w:tcBorders>
          </w:tcPr>
          <w:p w:rsidR="00986586" w:rsidRDefault="000702B1" w:rsidP="000702B1">
            <w:pPr>
              <w:pStyle w:val="Bodytext"/>
            </w:pPr>
            <w:r>
              <w:t>N</w:t>
            </w:r>
            <w:r w:rsidR="00986586">
              <w:t xml:space="preserve">itrogen </w:t>
            </w:r>
            <w:r>
              <w:t>O</w:t>
            </w:r>
            <w:r w:rsidR="00986586">
              <w:t>xides</w:t>
            </w:r>
          </w:p>
        </w:tc>
      </w:tr>
      <w:tr w:rsidR="00986586">
        <w:tc>
          <w:tcPr>
            <w:tcW w:w="1420" w:type="dxa"/>
            <w:tcBorders>
              <w:top w:val="nil"/>
              <w:left w:val="nil"/>
              <w:bottom w:val="nil"/>
              <w:right w:val="nil"/>
            </w:tcBorders>
          </w:tcPr>
          <w:p w:rsidR="00986586" w:rsidRDefault="00986586">
            <w:pPr>
              <w:pStyle w:val="Bodytext"/>
            </w:pPr>
            <w:r>
              <w:t>NSPS</w:t>
            </w:r>
          </w:p>
        </w:tc>
        <w:tc>
          <w:tcPr>
            <w:tcW w:w="3188" w:type="dxa"/>
            <w:tcBorders>
              <w:top w:val="nil"/>
              <w:left w:val="nil"/>
              <w:bottom w:val="nil"/>
              <w:right w:val="nil"/>
            </w:tcBorders>
          </w:tcPr>
          <w:p w:rsidR="00986586" w:rsidRDefault="00986586">
            <w:pPr>
              <w:pStyle w:val="Bodytext"/>
            </w:pPr>
            <w:r>
              <w:t>New Source Performance Standard</w:t>
            </w:r>
          </w:p>
        </w:tc>
      </w:tr>
      <w:tr w:rsidR="00986586">
        <w:tc>
          <w:tcPr>
            <w:tcW w:w="1420" w:type="dxa"/>
            <w:tcBorders>
              <w:top w:val="nil"/>
              <w:left w:val="nil"/>
              <w:bottom w:val="nil"/>
              <w:right w:val="nil"/>
            </w:tcBorders>
          </w:tcPr>
          <w:p w:rsidR="00986586" w:rsidRDefault="00986586">
            <w:pPr>
              <w:pStyle w:val="Bodytext"/>
            </w:pPr>
            <w:r>
              <w:t>NSR</w:t>
            </w:r>
          </w:p>
        </w:tc>
        <w:tc>
          <w:tcPr>
            <w:tcW w:w="3188" w:type="dxa"/>
            <w:tcBorders>
              <w:top w:val="nil"/>
              <w:left w:val="nil"/>
              <w:bottom w:val="nil"/>
              <w:right w:val="nil"/>
            </w:tcBorders>
          </w:tcPr>
          <w:p w:rsidR="00986586" w:rsidRDefault="00986586">
            <w:pPr>
              <w:pStyle w:val="Bodytext"/>
            </w:pPr>
            <w:r>
              <w:t>New Source Review</w:t>
            </w:r>
          </w:p>
        </w:tc>
      </w:tr>
      <w:tr w:rsidR="00986586">
        <w:tc>
          <w:tcPr>
            <w:tcW w:w="1420" w:type="dxa"/>
            <w:tcBorders>
              <w:top w:val="nil"/>
              <w:left w:val="nil"/>
              <w:bottom w:val="nil"/>
              <w:right w:val="nil"/>
            </w:tcBorders>
          </w:tcPr>
          <w:p w:rsidR="00986586" w:rsidRDefault="00986586">
            <w:pPr>
              <w:pStyle w:val="Bodytext"/>
            </w:pPr>
            <w:r>
              <w:t>O</w:t>
            </w:r>
            <w:r>
              <w:rPr>
                <w:vertAlign w:val="subscript"/>
              </w:rPr>
              <w:t>2</w:t>
            </w:r>
          </w:p>
        </w:tc>
        <w:tc>
          <w:tcPr>
            <w:tcW w:w="3188" w:type="dxa"/>
            <w:tcBorders>
              <w:top w:val="nil"/>
              <w:left w:val="nil"/>
              <w:bottom w:val="nil"/>
              <w:right w:val="nil"/>
            </w:tcBorders>
          </w:tcPr>
          <w:p w:rsidR="00986586" w:rsidRDefault="000702B1">
            <w:pPr>
              <w:pStyle w:val="Bodytext"/>
            </w:pPr>
            <w:r>
              <w:t>O</w:t>
            </w:r>
            <w:r w:rsidR="00986586">
              <w:t>xygen</w:t>
            </w:r>
          </w:p>
        </w:tc>
      </w:tr>
      <w:tr w:rsidR="00986586">
        <w:tc>
          <w:tcPr>
            <w:tcW w:w="1420" w:type="dxa"/>
            <w:tcBorders>
              <w:top w:val="nil"/>
              <w:left w:val="nil"/>
              <w:bottom w:val="nil"/>
              <w:right w:val="nil"/>
            </w:tcBorders>
          </w:tcPr>
          <w:p w:rsidR="00986586" w:rsidRDefault="00986586">
            <w:pPr>
              <w:pStyle w:val="Bodytext"/>
            </w:pPr>
            <w:r>
              <w:t>OAR</w:t>
            </w:r>
          </w:p>
        </w:tc>
        <w:tc>
          <w:tcPr>
            <w:tcW w:w="3188" w:type="dxa"/>
            <w:tcBorders>
              <w:top w:val="nil"/>
              <w:left w:val="nil"/>
              <w:bottom w:val="nil"/>
              <w:right w:val="nil"/>
            </w:tcBorders>
          </w:tcPr>
          <w:p w:rsidR="00986586" w:rsidRDefault="00986586">
            <w:pPr>
              <w:pStyle w:val="Bodytext"/>
            </w:pPr>
            <w:smartTag w:uri="urn:schemas-microsoft-com:office:smarttags" w:element="State">
              <w:smartTag w:uri="urn:schemas-microsoft-com:office:smarttags" w:element="place">
                <w:r>
                  <w:t>Oregon</w:t>
                </w:r>
              </w:smartTag>
            </w:smartTag>
            <w:r>
              <w:t xml:space="preserve"> Administrative Rules</w:t>
            </w:r>
          </w:p>
        </w:tc>
      </w:tr>
      <w:tr w:rsidR="00986586">
        <w:tc>
          <w:tcPr>
            <w:tcW w:w="1420" w:type="dxa"/>
            <w:tcBorders>
              <w:top w:val="nil"/>
              <w:left w:val="nil"/>
              <w:bottom w:val="nil"/>
              <w:right w:val="nil"/>
            </w:tcBorders>
          </w:tcPr>
          <w:p w:rsidR="00986586" w:rsidRDefault="00986586">
            <w:pPr>
              <w:pStyle w:val="Bodytext"/>
            </w:pPr>
            <w:r>
              <w:t>ORS</w:t>
            </w:r>
          </w:p>
        </w:tc>
        <w:tc>
          <w:tcPr>
            <w:tcW w:w="3188" w:type="dxa"/>
            <w:tcBorders>
              <w:top w:val="nil"/>
              <w:left w:val="nil"/>
              <w:bottom w:val="nil"/>
              <w:right w:val="nil"/>
            </w:tcBorders>
          </w:tcPr>
          <w:p w:rsidR="00986586" w:rsidRDefault="00986586">
            <w:pPr>
              <w:pStyle w:val="Bodytext"/>
            </w:pPr>
            <w:smartTag w:uri="urn:schemas-microsoft-com:office:smarttags" w:element="State">
              <w:smartTag w:uri="urn:schemas-microsoft-com:office:smarttags" w:element="place">
                <w:r>
                  <w:t>Oregon</w:t>
                </w:r>
              </w:smartTag>
            </w:smartTag>
            <w:r>
              <w:t xml:space="preserve"> Revised Statutes</w:t>
            </w:r>
          </w:p>
        </w:tc>
      </w:tr>
      <w:tr w:rsidR="00986586">
        <w:tc>
          <w:tcPr>
            <w:tcW w:w="1420" w:type="dxa"/>
            <w:tcBorders>
              <w:top w:val="nil"/>
              <w:left w:val="nil"/>
              <w:bottom w:val="nil"/>
              <w:right w:val="nil"/>
            </w:tcBorders>
          </w:tcPr>
          <w:p w:rsidR="00986586" w:rsidRDefault="00986586">
            <w:pPr>
              <w:pStyle w:val="Bodytext"/>
            </w:pPr>
            <w:r>
              <w:t>O&amp;M</w:t>
            </w:r>
          </w:p>
        </w:tc>
        <w:tc>
          <w:tcPr>
            <w:tcW w:w="3188" w:type="dxa"/>
            <w:tcBorders>
              <w:top w:val="nil"/>
              <w:left w:val="nil"/>
              <w:bottom w:val="nil"/>
              <w:right w:val="nil"/>
            </w:tcBorders>
          </w:tcPr>
          <w:p w:rsidR="00986586" w:rsidRDefault="000702B1" w:rsidP="000702B1">
            <w:pPr>
              <w:pStyle w:val="Bodytext"/>
            </w:pPr>
            <w:r>
              <w:t>O</w:t>
            </w:r>
            <w:r w:rsidR="00986586">
              <w:t xml:space="preserve">peration and </w:t>
            </w:r>
            <w:r>
              <w:t>M</w:t>
            </w:r>
            <w:r w:rsidR="00986586">
              <w:t>aintenance</w:t>
            </w:r>
          </w:p>
        </w:tc>
      </w:tr>
      <w:tr w:rsidR="00986586">
        <w:tc>
          <w:tcPr>
            <w:tcW w:w="1420" w:type="dxa"/>
            <w:tcBorders>
              <w:top w:val="nil"/>
              <w:left w:val="nil"/>
              <w:bottom w:val="nil"/>
              <w:right w:val="nil"/>
            </w:tcBorders>
          </w:tcPr>
          <w:p w:rsidR="00986586" w:rsidRDefault="00986586">
            <w:pPr>
              <w:pStyle w:val="Bodytext"/>
            </w:pPr>
            <w:proofErr w:type="spellStart"/>
            <w:r>
              <w:t>Pb</w:t>
            </w:r>
            <w:proofErr w:type="spellEnd"/>
          </w:p>
        </w:tc>
        <w:tc>
          <w:tcPr>
            <w:tcW w:w="3188" w:type="dxa"/>
            <w:tcBorders>
              <w:top w:val="nil"/>
              <w:left w:val="nil"/>
              <w:bottom w:val="nil"/>
              <w:right w:val="nil"/>
            </w:tcBorders>
          </w:tcPr>
          <w:p w:rsidR="00986586" w:rsidRDefault="000702B1">
            <w:pPr>
              <w:pStyle w:val="Bodytext"/>
            </w:pPr>
            <w:r>
              <w:t>L</w:t>
            </w:r>
            <w:r w:rsidR="00986586">
              <w:t>ead</w:t>
            </w:r>
          </w:p>
        </w:tc>
      </w:tr>
      <w:tr w:rsidR="00986586">
        <w:tc>
          <w:tcPr>
            <w:tcW w:w="1420" w:type="dxa"/>
            <w:tcBorders>
              <w:top w:val="nil"/>
              <w:left w:val="nil"/>
              <w:bottom w:val="nil"/>
              <w:right w:val="nil"/>
            </w:tcBorders>
          </w:tcPr>
          <w:p w:rsidR="00986586" w:rsidRDefault="00986586">
            <w:pPr>
              <w:pStyle w:val="Bodytext"/>
            </w:pPr>
            <w:r>
              <w:t>PCD</w:t>
            </w:r>
          </w:p>
        </w:tc>
        <w:tc>
          <w:tcPr>
            <w:tcW w:w="3188" w:type="dxa"/>
            <w:tcBorders>
              <w:top w:val="nil"/>
              <w:left w:val="nil"/>
              <w:bottom w:val="nil"/>
              <w:right w:val="nil"/>
            </w:tcBorders>
          </w:tcPr>
          <w:p w:rsidR="00986586" w:rsidRDefault="000702B1" w:rsidP="000702B1">
            <w:pPr>
              <w:pStyle w:val="Bodytext"/>
            </w:pPr>
            <w:r>
              <w:t>P</w:t>
            </w:r>
            <w:r w:rsidR="00986586">
              <w:t xml:space="preserve">ollution </w:t>
            </w:r>
            <w:r>
              <w:t>C</w:t>
            </w:r>
            <w:r w:rsidR="00986586">
              <w:t xml:space="preserve">ontrol </w:t>
            </w:r>
            <w:r>
              <w:t>D</w:t>
            </w:r>
            <w:r w:rsidR="00986586">
              <w:t>evice</w:t>
            </w:r>
          </w:p>
        </w:tc>
      </w:tr>
      <w:tr w:rsidR="00986586">
        <w:tc>
          <w:tcPr>
            <w:tcW w:w="1420" w:type="dxa"/>
            <w:tcBorders>
              <w:top w:val="nil"/>
              <w:left w:val="nil"/>
              <w:bottom w:val="nil"/>
              <w:right w:val="nil"/>
            </w:tcBorders>
          </w:tcPr>
          <w:p w:rsidR="00986586" w:rsidRDefault="00986586">
            <w:pPr>
              <w:pStyle w:val="Bodytext"/>
            </w:pPr>
            <w:r>
              <w:t>PM</w:t>
            </w:r>
          </w:p>
        </w:tc>
        <w:tc>
          <w:tcPr>
            <w:tcW w:w="3188" w:type="dxa"/>
            <w:tcBorders>
              <w:top w:val="nil"/>
              <w:left w:val="nil"/>
              <w:bottom w:val="nil"/>
              <w:right w:val="nil"/>
            </w:tcBorders>
          </w:tcPr>
          <w:p w:rsidR="00986586" w:rsidRDefault="000702B1" w:rsidP="000702B1">
            <w:pPr>
              <w:pStyle w:val="Bodytext"/>
            </w:pPr>
            <w:r>
              <w:t>P</w:t>
            </w:r>
            <w:r w:rsidR="00986586">
              <w:t xml:space="preserve">articulate </w:t>
            </w:r>
            <w:r>
              <w:t>M</w:t>
            </w:r>
            <w:r w:rsidR="00986586">
              <w:t>atter</w:t>
            </w:r>
          </w:p>
        </w:tc>
      </w:tr>
      <w:tr w:rsidR="00986586">
        <w:tc>
          <w:tcPr>
            <w:tcW w:w="1420" w:type="dxa"/>
            <w:tcBorders>
              <w:top w:val="nil"/>
              <w:left w:val="nil"/>
              <w:bottom w:val="nil"/>
              <w:right w:val="nil"/>
            </w:tcBorders>
          </w:tcPr>
          <w:p w:rsidR="00986586" w:rsidRDefault="00986586">
            <w:pPr>
              <w:pStyle w:val="Bodytext"/>
              <w:rPr>
                <w:vertAlign w:val="subscript"/>
              </w:rPr>
            </w:pPr>
            <w:r>
              <w:t>PM</w:t>
            </w:r>
            <w:r>
              <w:rPr>
                <w:vertAlign w:val="subscript"/>
              </w:rPr>
              <w:t>10</w:t>
            </w:r>
          </w:p>
        </w:tc>
        <w:tc>
          <w:tcPr>
            <w:tcW w:w="3188" w:type="dxa"/>
            <w:tcBorders>
              <w:top w:val="nil"/>
              <w:left w:val="nil"/>
              <w:bottom w:val="nil"/>
              <w:right w:val="nil"/>
            </w:tcBorders>
          </w:tcPr>
          <w:p w:rsidR="00986586" w:rsidRDefault="000702B1" w:rsidP="000702B1">
            <w:pPr>
              <w:pStyle w:val="Bodytext"/>
            </w:pPr>
            <w:r>
              <w:t>P</w:t>
            </w:r>
            <w:r w:rsidR="00986586">
              <w:t xml:space="preserve">articulate </w:t>
            </w:r>
            <w:r>
              <w:t>M</w:t>
            </w:r>
            <w:r w:rsidR="00986586">
              <w:t>atter less than 10 microns in size</w:t>
            </w:r>
          </w:p>
        </w:tc>
      </w:tr>
      <w:tr w:rsidR="00986586">
        <w:tc>
          <w:tcPr>
            <w:tcW w:w="1420" w:type="dxa"/>
            <w:tcBorders>
              <w:top w:val="nil"/>
              <w:left w:val="nil"/>
              <w:bottom w:val="nil"/>
              <w:right w:val="nil"/>
            </w:tcBorders>
          </w:tcPr>
          <w:p w:rsidR="00986586" w:rsidRDefault="00986586">
            <w:pPr>
              <w:pStyle w:val="Bodytext"/>
            </w:pPr>
            <w:proofErr w:type="spellStart"/>
            <w:r>
              <w:t>ppm</w:t>
            </w:r>
            <w:proofErr w:type="spellEnd"/>
          </w:p>
        </w:tc>
        <w:tc>
          <w:tcPr>
            <w:tcW w:w="3188" w:type="dxa"/>
            <w:tcBorders>
              <w:top w:val="nil"/>
              <w:left w:val="nil"/>
              <w:bottom w:val="nil"/>
              <w:right w:val="nil"/>
            </w:tcBorders>
          </w:tcPr>
          <w:p w:rsidR="00986586" w:rsidRDefault="00986586">
            <w:pPr>
              <w:pStyle w:val="Bodytext"/>
            </w:pPr>
            <w:r>
              <w:t>part per million</w:t>
            </w:r>
          </w:p>
        </w:tc>
      </w:tr>
      <w:tr w:rsidR="00986586">
        <w:tc>
          <w:tcPr>
            <w:tcW w:w="1420" w:type="dxa"/>
            <w:tcBorders>
              <w:top w:val="nil"/>
              <w:left w:val="nil"/>
              <w:bottom w:val="nil"/>
              <w:right w:val="nil"/>
            </w:tcBorders>
          </w:tcPr>
          <w:p w:rsidR="00986586" w:rsidRDefault="00986586">
            <w:pPr>
              <w:pStyle w:val="Bodytext"/>
            </w:pPr>
            <w:r>
              <w:t>PSD</w:t>
            </w:r>
          </w:p>
        </w:tc>
        <w:tc>
          <w:tcPr>
            <w:tcW w:w="3188" w:type="dxa"/>
            <w:tcBorders>
              <w:top w:val="nil"/>
              <w:left w:val="nil"/>
              <w:bottom w:val="nil"/>
              <w:right w:val="nil"/>
            </w:tcBorders>
          </w:tcPr>
          <w:p w:rsidR="00986586" w:rsidRDefault="00986586">
            <w:pPr>
              <w:pStyle w:val="Bodytext"/>
            </w:pPr>
            <w:r>
              <w:t>Prevention of Significant Deterioration</w:t>
            </w:r>
          </w:p>
        </w:tc>
      </w:tr>
      <w:tr w:rsidR="00986586">
        <w:tc>
          <w:tcPr>
            <w:tcW w:w="1420" w:type="dxa"/>
            <w:tcBorders>
              <w:top w:val="nil"/>
              <w:left w:val="nil"/>
              <w:bottom w:val="nil"/>
              <w:right w:val="nil"/>
            </w:tcBorders>
          </w:tcPr>
          <w:p w:rsidR="00986586" w:rsidRDefault="00986586">
            <w:pPr>
              <w:pStyle w:val="Bodytext"/>
            </w:pPr>
            <w:r>
              <w:t>PSEL</w:t>
            </w:r>
          </w:p>
        </w:tc>
        <w:tc>
          <w:tcPr>
            <w:tcW w:w="3188" w:type="dxa"/>
            <w:tcBorders>
              <w:top w:val="nil"/>
              <w:left w:val="nil"/>
              <w:bottom w:val="nil"/>
              <w:right w:val="nil"/>
            </w:tcBorders>
          </w:tcPr>
          <w:p w:rsidR="00986586" w:rsidRDefault="00986586">
            <w:pPr>
              <w:pStyle w:val="Bodytext"/>
            </w:pPr>
            <w:r>
              <w:t>Plant Site Emission Limit</w:t>
            </w:r>
          </w:p>
        </w:tc>
      </w:tr>
      <w:tr w:rsidR="00986586">
        <w:tc>
          <w:tcPr>
            <w:tcW w:w="1420" w:type="dxa"/>
            <w:tcBorders>
              <w:top w:val="nil"/>
              <w:left w:val="nil"/>
              <w:bottom w:val="nil"/>
              <w:right w:val="nil"/>
            </w:tcBorders>
          </w:tcPr>
          <w:p w:rsidR="00986586" w:rsidRDefault="00986586">
            <w:pPr>
              <w:pStyle w:val="Bodytext"/>
            </w:pPr>
            <w:r>
              <w:t>PTE</w:t>
            </w:r>
          </w:p>
        </w:tc>
        <w:tc>
          <w:tcPr>
            <w:tcW w:w="3188" w:type="dxa"/>
            <w:tcBorders>
              <w:top w:val="nil"/>
              <w:left w:val="nil"/>
              <w:bottom w:val="nil"/>
              <w:right w:val="nil"/>
            </w:tcBorders>
          </w:tcPr>
          <w:p w:rsidR="00986586" w:rsidRDefault="00986586">
            <w:pPr>
              <w:pStyle w:val="Bodytext"/>
            </w:pPr>
            <w:r>
              <w:t>Potential to Emit</w:t>
            </w:r>
          </w:p>
        </w:tc>
      </w:tr>
      <w:tr w:rsidR="00986586">
        <w:tc>
          <w:tcPr>
            <w:tcW w:w="1420" w:type="dxa"/>
            <w:tcBorders>
              <w:top w:val="nil"/>
              <w:left w:val="nil"/>
              <w:bottom w:val="nil"/>
              <w:right w:val="nil"/>
            </w:tcBorders>
          </w:tcPr>
          <w:p w:rsidR="00986586" w:rsidRDefault="00986586">
            <w:pPr>
              <w:pStyle w:val="Bodytext"/>
            </w:pPr>
            <w:r>
              <w:t>RACT</w:t>
            </w:r>
          </w:p>
        </w:tc>
        <w:tc>
          <w:tcPr>
            <w:tcW w:w="3188" w:type="dxa"/>
            <w:tcBorders>
              <w:top w:val="nil"/>
              <w:left w:val="nil"/>
              <w:bottom w:val="nil"/>
              <w:right w:val="nil"/>
            </w:tcBorders>
          </w:tcPr>
          <w:p w:rsidR="00986586" w:rsidRDefault="00986586">
            <w:pPr>
              <w:pStyle w:val="Bodytext"/>
            </w:pPr>
            <w:r>
              <w:t>Reasonably Available Control Technology</w:t>
            </w:r>
          </w:p>
        </w:tc>
      </w:tr>
      <w:tr w:rsidR="00986586">
        <w:tc>
          <w:tcPr>
            <w:tcW w:w="1420" w:type="dxa"/>
            <w:tcBorders>
              <w:top w:val="nil"/>
              <w:left w:val="nil"/>
              <w:bottom w:val="nil"/>
              <w:right w:val="nil"/>
            </w:tcBorders>
          </w:tcPr>
          <w:p w:rsidR="00986586" w:rsidRDefault="00986586">
            <w:pPr>
              <w:pStyle w:val="Bodytext"/>
            </w:pPr>
            <w:proofErr w:type="spellStart"/>
            <w:r>
              <w:t>scf</w:t>
            </w:r>
            <w:proofErr w:type="spellEnd"/>
          </w:p>
        </w:tc>
        <w:tc>
          <w:tcPr>
            <w:tcW w:w="3188" w:type="dxa"/>
            <w:tcBorders>
              <w:top w:val="nil"/>
              <w:left w:val="nil"/>
              <w:bottom w:val="nil"/>
              <w:right w:val="nil"/>
            </w:tcBorders>
          </w:tcPr>
          <w:p w:rsidR="00986586" w:rsidRDefault="00986586">
            <w:pPr>
              <w:pStyle w:val="Bodytext"/>
            </w:pPr>
            <w:r>
              <w:t>standard cubic foot</w:t>
            </w:r>
          </w:p>
        </w:tc>
      </w:tr>
      <w:tr w:rsidR="00986586">
        <w:tc>
          <w:tcPr>
            <w:tcW w:w="1420" w:type="dxa"/>
            <w:tcBorders>
              <w:top w:val="nil"/>
              <w:left w:val="nil"/>
              <w:bottom w:val="nil"/>
              <w:right w:val="nil"/>
            </w:tcBorders>
          </w:tcPr>
          <w:p w:rsidR="00986586" w:rsidRDefault="00986586">
            <w:pPr>
              <w:pStyle w:val="Bodytext"/>
            </w:pPr>
            <w:r>
              <w:t>SER</w:t>
            </w:r>
          </w:p>
        </w:tc>
        <w:tc>
          <w:tcPr>
            <w:tcW w:w="3188" w:type="dxa"/>
            <w:tcBorders>
              <w:top w:val="nil"/>
              <w:left w:val="nil"/>
              <w:bottom w:val="nil"/>
              <w:right w:val="nil"/>
            </w:tcBorders>
          </w:tcPr>
          <w:p w:rsidR="00986586" w:rsidRDefault="00986586">
            <w:pPr>
              <w:pStyle w:val="Bodytext"/>
            </w:pPr>
            <w:r>
              <w:t>Significant Emission Rate</w:t>
            </w:r>
          </w:p>
        </w:tc>
      </w:tr>
      <w:tr w:rsidR="00986586">
        <w:tc>
          <w:tcPr>
            <w:tcW w:w="1420" w:type="dxa"/>
            <w:tcBorders>
              <w:top w:val="nil"/>
              <w:left w:val="nil"/>
              <w:bottom w:val="nil"/>
              <w:right w:val="nil"/>
            </w:tcBorders>
          </w:tcPr>
          <w:p w:rsidR="00986586" w:rsidRDefault="00986586">
            <w:pPr>
              <w:pStyle w:val="Bodytext"/>
            </w:pPr>
            <w:r>
              <w:t>SIC</w:t>
            </w:r>
          </w:p>
        </w:tc>
        <w:tc>
          <w:tcPr>
            <w:tcW w:w="3188" w:type="dxa"/>
            <w:tcBorders>
              <w:top w:val="nil"/>
              <w:left w:val="nil"/>
              <w:bottom w:val="nil"/>
              <w:right w:val="nil"/>
            </w:tcBorders>
          </w:tcPr>
          <w:p w:rsidR="00986586" w:rsidRDefault="00986586">
            <w:pPr>
              <w:pStyle w:val="Bodytext"/>
            </w:pPr>
            <w:r>
              <w:t>Standard Industrial Code</w:t>
            </w:r>
          </w:p>
        </w:tc>
      </w:tr>
      <w:tr w:rsidR="00986586">
        <w:tc>
          <w:tcPr>
            <w:tcW w:w="1420" w:type="dxa"/>
            <w:tcBorders>
              <w:top w:val="nil"/>
              <w:left w:val="nil"/>
              <w:bottom w:val="nil"/>
              <w:right w:val="nil"/>
            </w:tcBorders>
          </w:tcPr>
          <w:p w:rsidR="00986586" w:rsidRDefault="00986586">
            <w:pPr>
              <w:pStyle w:val="Bodytext"/>
            </w:pPr>
            <w:r>
              <w:t>SIP</w:t>
            </w:r>
          </w:p>
        </w:tc>
        <w:tc>
          <w:tcPr>
            <w:tcW w:w="3188" w:type="dxa"/>
            <w:tcBorders>
              <w:top w:val="nil"/>
              <w:left w:val="nil"/>
              <w:bottom w:val="nil"/>
              <w:right w:val="nil"/>
            </w:tcBorders>
          </w:tcPr>
          <w:p w:rsidR="00986586" w:rsidRDefault="00986586">
            <w:pPr>
              <w:pStyle w:val="Bodytext"/>
            </w:pPr>
            <w:r>
              <w:t>State Implementation Plan</w:t>
            </w:r>
          </w:p>
        </w:tc>
      </w:tr>
      <w:tr w:rsidR="00986586">
        <w:tc>
          <w:tcPr>
            <w:tcW w:w="1420" w:type="dxa"/>
            <w:tcBorders>
              <w:top w:val="nil"/>
              <w:left w:val="nil"/>
              <w:bottom w:val="nil"/>
              <w:right w:val="nil"/>
            </w:tcBorders>
          </w:tcPr>
          <w:p w:rsidR="00986586" w:rsidRDefault="00986586">
            <w:pPr>
              <w:pStyle w:val="Bodytext"/>
            </w:pPr>
            <w:r>
              <w:t>SO</w:t>
            </w:r>
            <w:r>
              <w:rPr>
                <w:vertAlign w:val="subscript"/>
              </w:rPr>
              <w:t>2</w:t>
            </w:r>
          </w:p>
        </w:tc>
        <w:tc>
          <w:tcPr>
            <w:tcW w:w="3188" w:type="dxa"/>
            <w:tcBorders>
              <w:top w:val="nil"/>
              <w:left w:val="nil"/>
              <w:bottom w:val="nil"/>
              <w:right w:val="nil"/>
            </w:tcBorders>
          </w:tcPr>
          <w:p w:rsidR="00986586" w:rsidRDefault="000702B1" w:rsidP="000702B1">
            <w:pPr>
              <w:pStyle w:val="Bodytext"/>
            </w:pPr>
            <w:r>
              <w:t>S</w:t>
            </w:r>
            <w:r w:rsidR="00986586">
              <w:t xml:space="preserve">ulfur </w:t>
            </w:r>
            <w:r>
              <w:t>D</w:t>
            </w:r>
            <w:r w:rsidR="00986586">
              <w:t>ioxide</w:t>
            </w:r>
          </w:p>
        </w:tc>
      </w:tr>
      <w:tr w:rsidR="00986586">
        <w:tc>
          <w:tcPr>
            <w:tcW w:w="1420" w:type="dxa"/>
            <w:tcBorders>
              <w:top w:val="nil"/>
              <w:left w:val="nil"/>
              <w:bottom w:val="nil"/>
              <w:right w:val="nil"/>
            </w:tcBorders>
          </w:tcPr>
          <w:p w:rsidR="00986586" w:rsidRDefault="00986586">
            <w:pPr>
              <w:pStyle w:val="Bodytext"/>
            </w:pPr>
            <w:r>
              <w:t>Special Control Area</w:t>
            </w:r>
          </w:p>
        </w:tc>
        <w:tc>
          <w:tcPr>
            <w:tcW w:w="3188" w:type="dxa"/>
            <w:tcBorders>
              <w:top w:val="nil"/>
              <w:left w:val="nil"/>
              <w:bottom w:val="nil"/>
              <w:right w:val="nil"/>
            </w:tcBorders>
          </w:tcPr>
          <w:p w:rsidR="00986586" w:rsidRDefault="00986586">
            <w:pPr>
              <w:pStyle w:val="Bodytext"/>
            </w:pPr>
            <w:r>
              <w:t>as defined in OAR 340-204-0070</w:t>
            </w:r>
          </w:p>
        </w:tc>
      </w:tr>
      <w:tr w:rsidR="00986586">
        <w:tc>
          <w:tcPr>
            <w:tcW w:w="1420" w:type="dxa"/>
            <w:tcBorders>
              <w:top w:val="nil"/>
              <w:left w:val="nil"/>
              <w:bottom w:val="nil"/>
              <w:right w:val="nil"/>
            </w:tcBorders>
          </w:tcPr>
          <w:p w:rsidR="00986586" w:rsidRDefault="00986586">
            <w:pPr>
              <w:pStyle w:val="Bodytext"/>
            </w:pPr>
            <w:r>
              <w:t>VE</w:t>
            </w:r>
          </w:p>
        </w:tc>
        <w:tc>
          <w:tcPr>
            <w:tcW w:w="3188" w:type="dxa"/>
            <w:tcBorders>
              <w:top w:val="nil"/>
              <w:left w:val="nil"/>
              <w:bottom w:val="nil"/>
              <w:right w:val="nil"/>
            </w:tcBorders>
          </w:tcPr>
          <w:p w:rsidR="00986586" w:rsidRDefault="000702B1" w:rsidP="000702B1">
            <w:pPr>
              <w:pStyle w:val="Bodytext"/>
            </w:pPr>
            <w:r>
              <w:t>V</w:t>
            </w:r>
            <w:r w:rsidR="00986586">
              <w:t xml:space="preserve">isible </w:t>
            </w:r>
            <w:r>
              <w:t>E</w:t>
            </w:r>
            <w:r w:rsidR="00986586">
              <w:t>missions</w:t>
            </w:r>
          </w:p>
        </w:tc>
      </w:tr>
      <w:tr w:rsidR="00986586">
        <w:tc>
          <w:tcPr>
            <w:tcW w:w="1420" w:type="dxa"/>
            <w:tcBorders>
              <w:top w:val="nil"/>
              <w:left w:val="nil"/>
              <w:bottom w:val="nil"/>
              <w:right w:val="nil"/>
            </w:tcBorders>
          </w:tcPr>
          <w:p w:rsidR="00986586" w:rsidRDefault="00986586">
            <w:pPr>
              <w:pStyle w:val="Bodytext"/>
            </w:pPr>
            <w:r>
              <w:t>VOC</w:t>
            </w:r>
          </w:p>
        </w:tc>
        <w:tc>
          <w:tcPr>
            <w:tcW w:w="3188" w:type="dxa"/>
            <w:tcBorders>
              <w:top w:val="nil"/>
              <w:left w:val="nil"/>
              <w:bottom w:val="nil"/>
              <w:right w:val="nil"/>
            </w:tcBorders>
          </w:tcPr>
          <w:p w:rsidR="00986586" w:rsidRDefault="000702B1" w:rsidP="000702B1">
            <w:pPr>
              <w:pStyle w:val="Bodytext"/>
            </w:pPr>
            <w:r>
              <w:t>V</w:t>
            </w:r>
            <w:r w:rsidR="00986586">
              <w:t xml:space="preserve">olatile </w:t>
            </w:r>
            <w:r>
              <w:t>O</w:t>
            </w:r>
            <w:r w:rsidR="00986586">
              <w:t xml:space="preserve">rganic </w:t>
            </w:r>
            <w:r>
              <w:t>C</w:t>
            </w:r>
            <w:r w:rsidR="00986586">
              <w:t>ompound</w:t>
            </w:r>
          </w:p>
        </w:tc>
      </w:tr>
      <w:tr w:rsidR="00986586">
        <w:tc>
          <w:tcPr>
            <w:tcW w:w="1420" w:type="dxa"/>
            <w:tcBorders>
              <w:top w:val="nil"/>
              <w:left w:val="nil"/>
              <w:bottom w:val="nil"/>
              <w:right w:val="nil"/>
            </w:tcBorders>
          </w:tcPr>
          <w:p w:rsidR="00986586" w:rsidRDefault="00986586">
            <w:pPr>
              <w:pStyle w:val="Bodytext"/>
            </w:pPr>
            <w:r>
              <w:t>year</w:t>
            </w:r>
          </w:p>
        </w:tc>
        <w:tc>
          <w:tcPr>
            <w:tcW w:w="3188" w:type="dxa"/>
            <w:tcBorders>
              <w:top w:val="nil"/>
              <w:left w:val="nil"/>
              <w:bottom w:val="nil"/>
              <w:right w:val="nil"/>
            </w:tcBorders>
          </w:tcPr>
          <w:p w:rsidR="00986586" w:rsidRDefault="00986586">
            <w:pPr>
              <w:pStyle w:val="Bodytext"/>
            </w:pPr>
            <w:r>
              <w:t>A period consisting of any 12- consecutive calendar months</w:t>
            </w:r>
          </w:p>
        </w:tc>
      </w:tr>
    </w:tbl>
    <w:p w:rsidR="00986586" w:rsidRDefault="00986586">
      <w:pPr>
        <w:sectPr w:rsidR="00986586">
          <w:type w:val="continuous"/>
          <w:pgSz w:w="12240" w:h="15840"/>
          <w:pgMar w:top="1800" w:right="1440" w:bottom="1440" w:left="1440" w:header="720" w:footer="720" w:gutter="0"/>
          <w:cols w:num="2" w:space="720" w:equalWidth="0">
            <w:col w:w="4320" w:space="720"/>
            <w:col w:w="4320"/>
          </w:cols>
        </w:sectPr>
      </w:pPr>
    </w:p>
    <w:p w:rsidR="00986586" w:rsidRDefault="00986586"/>
    <w:p w:rsidR="00986586" w:rsidRDefault="00986586"/>
    <w:sectPr w:rsidR="00986586" w:rsidSect="00AF36F3">
      <w:headerReference w:type="default" r:id="rId9"/>
      <w:type w:val="continuous"/>
      <w:pgSz w:w="12240" w:h="15840"/>
      <w:pgMar w:top="18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88A" w:rsidRDefault="004F588A">
      <w:r>
        <w:separator/>
      </w:r>
    </w:p>
  </w:endnote>
  <w:endnote w:type="continuationSeparator" w:id="0">
    <w:p w:rsidR="004F588A" w:rsidRDefault="004F5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88A" w:rsidRDefault="004F588A">
      <w:r>
        <w:separator/>
      </w:r>
    </w:p>
  </w:footnote>
  <w:footnote w:type="continuationSeparator" w:id="0">
    <w:p w:rsidR="004F588A" w:rsidRDefault="004F5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88A" w:rsidRDefault="004F588A" w:rsidP="007D4CD3">
    <w:pPr>
      <w:tabs>
        <w:tab w:val="left" w:pos="6300"/>
      </w:tabs>
      <w:jc w:val="right"/>
    </w:pPr>
    <w:r>
      <w:t>Permit Number: 25-0048-SI-01</w:t>
    </w:r>
  </w:p>
  <w:p w:rsidR="004F588A" w:rsidRPr="005C3B44" w:rsidRDefault="004F588A" w:rsidP="007D4CD3">
    <w:pPr>
      <w:tabs>
        <w:tab w:val="left" w:pos="5220"/>
      </w:tabs>
      <w:jc w:val="right"/>
      <w:rPr>
        <w:i/>
      </w:rPr>
    </w:pPr>
    <w:r>
      <w:t xml:space="preserve">Expiration Date:  </w:t>
    </w:r>
    <w:r w:rsidR="00DA634B" w:rsidRPr="00DA634B">
      <w:t>03/01/2015</w:t>
    </w:r>
  </w:p>
  <w:p w:rsidR="004F588A" w:rsidRDefault="004F588A">
    <w:pPr>
      <w:jc w:val="right"/>
    </w:pPr>
    <w:r>
      <w:rPr>
        <w:snapToGrid w:val="0"/>
      </w:rPr>
      <w:t xml:space="preserve">Page </w:t>
    </w:r>
    <w:r w:rsidR="00605AC6">
      <w:rPr>
        <w:snapToGrid w:val="0"/>
      </w:rPr>
      <w:fldChar w:fldCharType="begin"/>
    </w:r>
    <w:r>
      <w:rPr>
        <w:snapToGrid w:val="0"/>
      </w:rPr>
      <w:instrText xml:space="preserve"> PAGE </w:instrText>
    </w:r>
    <w:r w:rsidR="00605AC6">
      <w:rPr>
        <w:snapToGrid w:val="0"/>
      </w:rPr>
      <w:fldChar w:fldCharType="separate"/>
    </w:r>
    <w:r w:rsidR="00201510">
      <w:rPr>
        <w:noProof/>
        <w:snapToGrid w:val="0"/>
      </w:rPr>
      <w:t>1</w:t>
    </w:r>
    <w:r w:rsidR="00605AC6">
      <w:rPr>
        <w:snapToGrid w:val="0"/>
      </w:rPr>
      <w:fldChar w:fldCharType="end"/>
    </w:r>
    <w:r>
      <w:rPr>
        <w:snapToGrid w:val="0"/>
      </w:rPr>
      <w:t xml:space="preserve"> of </w:t>
    </w:r>
    <w:r w:rsidR="00605AC6">
      <w:rPr>
        <w:rStyle w:val="PageNumber"/>
      </w:rPr>
      <w:fldChar w:fldCharType="begin"/>
    </w:r>
    <w:r>
      <w:rPr>
        <w:rStyle w:val="PageNumber"/>
      </w:rPr>
      <w:instrText xml:space="preserve"> NUMPAGES </w:instrText>
    </w:r>
    <w:r w:rsidR="00605AC6">
      <w:rPr>
        <w:rStyle w:val="PageNumber"/>
      </w:rPr>
      <w:fldChar w:fldCharType="separate"/>
    </w:r>
    <w:r w:rsidR="00201510">
      <w:rPr>
        <w:rStyle w:val="PageNumber"/>
        <w:noProof/>
      </w:rPr>
      <w:t>31</w:t>
    </w:r>
    <w:r w:rsidR="00605AC6">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88A" w:rsidRDefault="004F588A">
    <w:pPr>
      <w:pStyle w:val="Header"/>
      <w:jc w:val="right"/>
    </w:pPr>
    <w:r>
      <w:t xml:space="preserve">Permit No.: </w:t>
    </w:r>
  </w:p>
  <w:p w:rsidR="004F588A" w:rsidRDefault="004F588A">
    <w:pPr>
      <w:pStyle w:val="Header"/>
      <w:jc w:val="right"/>
    </w:pPr>
    <w:r>
      <w:t xml:space="preserve">Expiration Date: </w:t>
    </w:r>
  </w:p>
  <w:p w:rsidR="004F588A" w:rsidRDefault="004F588A">
    <w:pPr>
      <w:pStyle w:val="Header"/>
      <w:jc w:val="right"/>
    </w:pPr>
    <w:r>
      <w:rPr>
        <w:snapToGrid w:val="0"/>
      </w:rPr>
      <w:t xml:space="preserve">Page </w:t>
    </w:r>
    <w:r w:rsidR="00605AC6">
      <w:rPr>
        <w:snapToGrid w:val="0"/>
      </w:rPr>
      <w:fldChar w:fldCharType="begin"/>
    </w:r>
    <w:r>
      <w:rPr>
        <w:snapToGrid w:val="0"/>
      </w:rPr>
      <w:instrText xml:space="preserve"> PAGE </w:instrText>
    </w:r>
    <w:r w:rsidR="00605AC6">
      <w:rPr>
        <w:snapToGrid w:val="0"/>
      </w:rPr>
      <w:fldChar w:fldCharType="separate"/>
    </w:r>
    <w:r>
      <w:rPr>
        <w:noProof/>
        <w:snapToGrid w:val="0"/>
      </w:rPr>
      <w:t>33</w:t>
    </w:r>
    <w:r w:rsidR="00605AC6">
      <w:rPr>
        <w:snapToGrid w:val="0"/>
      </w:rPr>
      <w:fldChar w:fldCharType="end"/>
    </w:r>
    <w:r>
      <w:rPr>
        <w:snapToGrid w:val="0"/>
      </w:rPr>
      <w:t xml:space="preserve"> of </w:t>
    </w:r>
    <w:r w:rsidR="00605AC6">
      <w:rPr>
        <w:snapToGrid w:val="0"/>
      </w:rPr>
      <w:fldChar w:fldCharType="begin"/>
    </w:r>
    <w:r>
      <w:rPr>
        <w:snapToGrid w:val="0"/>
      </w:rPr>
      <w:instrText xml:space="preserve"> NUMPAGES </w:instrText>
    </w:r>
    <w:r w:rsidR="00605AC6">
      <w:rPr>
        <w:snapToGrid w:val="0"/>
      </w:rPr>
      <w:fldChar w:fldCharType="separate"/>
    </w:r>
    <w:r w:rsidR="00201510">
      <w:rPr>
        <w:noProof/>
        <w:snapToGrid w:val="0"/>
      </w:rPr>
      <w:t>31</w:t>
    </w:r>
    <w:r w:rsidR="00605AC6">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A629C1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FFFFFFFE"/>
    <w:multiLevelType w:val="singleLevel"/>
    <w:tmpl w:val="FFFFFFFF"/>
    <w:lvl w:ilvl="0">
      <w:numFmt w:val="decimal"/>
      <w:lvlText w:val="*"/>
      <w:lvlJc w:val="left"/>
    </w:lvl>
  </w:abstractNum>
  <w:abstractNum w:abstractNumId="2">
    <w:nsid w:val="014313D4"/>
    <w:multiLevelType w:val="hybridMultilevel"/>
    <w:tmpl w:val="58E0209C"/>
    <w:lvl w:ilvl="0" w:tplc="DC8215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41D78C4"/>
    <w:multiLevelType w:val="hybridMultilevel"/>
    <w:tmpl w:val="1D742BA4"/>
    <w:lvl w:ilvl="0" w:tplc="81C02F7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8D2F0F"/>
    <w:multiLevelType w:val="hybridMultilevel"/>
    <w:tmpl w:val="981CFCD8"/>
    <w:lvl w:ilvl="0" w:tplc="DD84D5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0A5A4FFE"/>
    <w:multiLevelType w:val="hybridMultilevel"/>
    <w:tmpl w:val="4E44DA50"/>
    <w:lvl w:ilvl="0" w:tplc="80D03BE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286962"/>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1BD34F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25F70A1"/>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B414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D7A68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2E220DF3"/>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F4F1897"/>
    <w:multiLevelType w:val="hybridMultilevel"/>
    <w:tmpl w:val="9A38C70A"/>
    <w:lvl w:ilvl="0" w:tplc="3AD0858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028255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152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2354BF7"/>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5EF4C0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10D4845"/>
    <w:multiLevelType w:val="hybridMultilevel"/>
    <w:tmpl w:val="DD9E727E"/>
    <w:lvl w:ilvl="0" w:tplc="F056AAD2">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3490004"/>
    <w:multiLevelType w:val="multilevel"/>
    <w:tmpl w:val="C4D6C7D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4AD500E8"/>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30B138D"/>
    <w:multiLevelType w:val="multilevel"/>
    <w:tmpl w:val="EF24D18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56357F3E"/>
    <w:multiLevelType w:val="multilevel"/>
    <w:tmpl w:val="755475F0"/>
    <w:lvl w:ilvl="0">
      <w:start w:val="1"/>
      <w:numFmt w:val="decimal"/>
      <w:lvlText w:val="%1.0"/>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25">
    <w:nsid w:val="5688621A"/>
    <w:multiLevelType w:val="singleLevel"/>
    <w:tmpl w:val="0409000F"/>
    <w:lvl w:ilvl="0">
      <w:start w:val="1"/>
      <w:numFmt w:val="decimal"/>
      <w:lvlText w:val="%1."/>
      <w:lvlJc w:val="left"/>
      <w:pPr>
        <w:tabs>
          <w:tab w:val="num" w:pos="360"/>
        </w:tabs>
        <w:ind w:left="360" w:hanging="360"/>
      </w:pPr>
    </w:lvl>
  </w:abstractNum>
  <w:abstractNum w:abstractNumId="26">
    <w:nsid w:val="599D228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9F710C6"/>
    <w:multiLevelType w:val="singleLevel"/>
    <w:tmpl w:val="0409000F"/>
    <w:lvl w:ilvl="0">
      <w:start w:val="1"/>
      <w:numFmt w:val="decimal"/>
      <w:lvlText w:val="%1."/>
      <w:lvlJc w:val="left"/>
      <w:pPr>
        <w:tabs>
          <w:tab w:val="num" w:pos="360"/>
        </w:tabs>
        <w:ind w:left="360" w:hanging="360"/>
      </w:pPr>
    </w:lvl>
  </w:abstractNum>
  <w:abstractNum w:abstractNumId="28">
    <w:nsid w:val="5E0A789B"/>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46D7139"/>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4AB52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nsid w:val="67FC6B9D"/>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9B22B9E"/>
    <w:multiLevelType w:val="singleLevel"/>
    <w:tmpl w:val="0409000F"/>
    <w:lvl w:ilvl="0">
      <w:start w:val="1"/>
      <w:numFmt w:val="decimal"/>
      <w:lvlText w:val="%1."/>
      <w:lvlJc w:val="left"/>
      <w:pPr>
        <w:tabs>
          <w:tab w:val="num" w:pos="360"/>
        </w:tabs>
        <w:ind w:left="360" w:hanging="360"/>
      </w:pPr>
    </w:lvl>
  </w:abstractNum>
  <w:abstractNum w:abstractNumId="34">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B740D11"/>
    <w:multiLevelType w:val="hybridMultilevel"/>
    <w:tmpl w:val="AF4EDAEA"/>
    <w:lvl w:ilvl="0" w:tplc="CC8479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F1B2931"/>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245192A"/>
    <w:multiLevelType w:val="multilevel"/>
    <w:tmpl w:val="91A868D8"/>
    <w:lvl w:ilvl="0">
      <w:start w:val="1"/>
      <w:numFmt w:val="decimal"/>
      <w:pStyle w:val="Heading1"/>
      <w:lvlText w:val="%1.0"/>
      <w:lvlJc w:val="left"/>
      <w:pPr>
        <w:tabs>
          <w:tab w:val="num" w:pos="864"/>
        </w:tabs>
        <w:ind w:left="864" w:hanging="86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rPr>
    </w:lvl>
    <w:lvl w:ilvl="2">
      <w:start w:val="1"/>
      <w:numFmt w:val="lowerLetter"/>
      <w:pStyle w:val="Heading3"/>
      <w:lvlText w:val="%3."/>
      <w:lvlJc w:val="left"/>
      <w:pPr>
        <w:tabs>
          <w:tab w:val="num" w:pos="720"/>
        </w:tabs>
        <w:ind w:left="720" w:hanging="720"/>
      </w:pPr>
      <w:rPr>
        <w:rFonts w:ascii="Times New Roman" w:hAnsi="Times New Roman" w:hint="default"/>
        <w:b w:val="0"/>
        <w:i w:val="0"/>
        <w:sz w:val="24"/>
      </w:rPr>
    </w:lvl>
    <w:lvl w:ilvl="3">
      <w:start w:val="1"/>
      <w:numFmt w:val="lowerRoman"/>
      <w:pStyle w:val="Heading4"/>
      <w:lvlText w:val="%4."/>
      <w:lvlJc w:val="left"/>
      <w:pPr>
        <w:tabs>
          <w:tab w:val="num" w:pos="1440"/>
        </w:tabs>
        <w:ind w:left="1440" w:hanging="720"/>
      </w:pPr>
      <w:rPr>
        <w:rFonts w:ascii="Times New Roman" w:hAnsi="Times New Roman" w:hint="default"/>
        <w:b w:val="0"/>
        <w:i w:val="0"/>
        <w:sz w:val="24"/>
      </w:rPr>
    </w:lvl>
    <w:lvl w:ilvl="4">
      <w:start w:val="1"/>
      <w:numFmt w:val="lowerLetter"/>
      <w:pStyle w:val="Heading5"/>
      <w:lvlText w:val="%1.%2.%3.(%4)(%5)   "/>
      <w:lvlJc w:val="left"/>
      <w:pPr>
        <w:tabs>
          <w:tab w:val="num" w:pos="3744"/>
        </w:tabs>
        <w:ind w:left="3312" w:hanging="1008"/>
      </w:pPr>
      <w:rPr>
        <w:rFonts w:ascii="CG Times" w:hAnsi="Garamond" w:hint="default"/>
        <w:b w:val="0"/>
        <w:i w:val="0"/>
        <w:sz w:val="20"/>
      </w:rPr>
    </w:lvl>
    <w:lvl w:ilvl="5">
      <w:start w:val="1"/>
      <w:numFmt w:val="decimal"/>
      <w:pStyle w:val="Heading6"/>
      <w:lvlText w:val="%1.%2.%3.(%4)(%5)(%6)     "/>
      <w:lvlJc w:val="left"/>
      <w:pPr>
        <w:tabs>
          <w:tab w:val="num" w:pos="4680"/>
        </w:tabs>
        <w:ind w:left="3888" w:hanging="1008"/>
      </w:pPr>
      <w:rPr>
        <w:rFonts w:ascii="CG Times" w:hAnsi="Tahoma" w:hint="default"/>
        <w:b w:val="0"/>
        <w:i/>
        <w:sz w:val="22"/>
      </w:rPr>
    </w:lvl>
    <w:lvl w:ilvl="6">
      <w:start w:val="1"/>
      <w:numFmt w:val="decimal"/>
      <w:pStyle w:val="Heading7"/>
      <w:lvlText w:val="%1.%2.%3.(%4)(%5)(%6)%7)"/>
      <w:lvlJc w:val="left"/>
      <w:pPr>
        <w:tabs>
          <w:tab w:val="num" w:pos="0"/>
        </w:tabs>
        <w:ind w:left="0" w:firstLine="0"/>
      </w:pPr>
    </w:lvl>
    <w:lvl w:ilvl="7">
      <w:start w:val="1"/>
      <w:numFmt w:val="lowerLetter"/>
      <w:pStyle w:val="Heading8"/>
      <w:lvlText w:val="%1.%2.%3.(%4)(%5)(%6)%7)%8)"/>
      <w:lvlJc w:val="left"/>
      <w:pPr>
        <w:tabs>
          <w:tab w:val="num" w:pos="0"/>
        </w:tabs>
        <w:ind w:left="0" w:firstLine="0"/>
      </w:pPr>
    </w:lvl>
    <w:lvl w:ilvl="8">
      <w:numFmt w:val="decimal"/>
      <w:pStyle w:val="Heading9"/>
      <w:lvlText w:val="%9"/>
      <w:lvlJc w:val="left"/>
      <w:pPr>
        <w:tabs>
          <w:tab w:val="num" w:pos="0"/>
        </w:tabs>
        <w:ind w:left="0" w:firstLine="0"/>
      </w:pPr>
      <w:rPr>
        <w:rFonts w:ascii="Times New Roman" w:hAnsi="Times New Roman" w:hint="default"/>
      </w:rPr>
    </w:lvl>
  </w:abstractNum>
  <w:abstractNum w:abstractNumId="38">
    <w:nsid w:val="73D4607A"/>
    <w:multiLevelType w:val="hybridMultilevel"/>
    <w:tmpl w:val="749E400A"/>
    <w:lvl w:ilvl="0" w:tplc="3B9C3F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6DD3E32"/>
    <w:multiLevelType w:val="hybridMultilevel"/>
    <w:tmpl w:val="44E67D0A"/>
    <w:lvl w:ilvl="0" w:tplc="A0601FD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8B6292F"/>
    <w:multiLevelType w:val="hybridMultilevel"/>
    <w:tmpl w:val="6F56C7D0"/>
    <w:lvl w:ilvl="0" w:tplc="2522EA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29"/>
  </w:num>
  <w:num w:numId="3">
    <w:abstractNumId w:val="29"/>
  </w:num>
  <w:num w:numId="4">
    <w:abstractNumId w:val="29"/>
  </w:num>
  <w:num w:numId="5">
    <w:abstractNumId w:val="29"/>
  </w:num>
  <w:num w:numId="6">
    <w:abstractNumId w:val="29"/>
  </w:num>
  <w:num w:numId="7">
    <w:abstractNumId w:val="29"/>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25"/>
  </w:num>
  <w:num w:numId="17">
    <w:abstractNumId w:val="8"/>
  </w:num>
  <w:num w:numId="18">
    <w:abstractNumId w:val="13"/>
  </w:num>
  <w:num w:numId="19">
    <w:abstractNumId w:val="23"/>
  </w:num>
  <w:num w:numId="20">
    <w:abstractNumId w:val="10"/>
  </w:num>
  <w:num w:numId="21">
    <w:abstractNumId w:val="5"/>
  </w:num>
  <w:num w:numId="22">
    <w:abstractNumId w:val="31"/>
  </w:num>
  <w:num w:numId="23">
    <w:abstractNumId w:val="37"/>
  </w:num>
  <w:num w:numId="24">
    <w:abstractNumId w:val="11"/>
  </w:num>
  <w:num w:numId="25">
    <w:abstractNumId w:val="0"/>
  </w:num>
  <w:num w:numId="26">
    <w:abstractNumId w:val="12"/>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1"/>
  </w:num>
  <w:num w:numId="30">
    <w:abstractNumId w:val="24"/>
  </w:num>
  <w:num w:numId="31">
    <w:abstractNumId w:val="1"/>
    <w:lvlOverride w:ilvl="0">
      <w:lvl w:ilvl="0">
        <w:start w:val="1"/>
        <w:numFmt w:val="bullet"/>
        <w:lvlText w:val=""/>
        <w:legacy w:legacy="1" w:legacySpace="0" w:legacyIndent="187"/>
        <w:lvlJc w:val="left"/>
        <w:pPr>
          <w:ind w:left="187" w:hanging="187"/>
        </w:pPr>
        <w:rPr>
          <w:rFonts w:ascii="Helvetica" w:hAnsi="Helvetica" w:hint="default"/>
          <w:sz w:val="20"/>
        </w:rPr>
      </w:lvl>
    </w:lvlOverride>
  </w:num>
  <w:num w:numId="32">
    <w:abstractNumId w:val="4"/>
  </w:num>
  <w:num w:numId="33">
    <w:abstractNumId w:val="40"/>
  </w:num>
  <w:num w:numId="34">
    <w:abstractNumId w:val="2"/>
  </w:num>
  <w:num w:numId="35">
    <w:abstractNumId w:val="35"/>
  </w:num>
  <w:num w:numId="36">
    <w:abstractNumId w:val="39"/>
  </w:num>
  <w:num w:numId="37">
    <w:abstractNumId w:val="38"/>
  </w:num>
  <w:num w:numId="38">
    <w:abstractNumId w:val="6"/>
  </w:num>
  <w:num w:numId="39">
    <w:abstractNumId w:val="15"/>
  </w:num>
  <w:num w:numId="40">
    <w:abstractNumId w:val="20"/>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A2636"/>
    <w:rsid w:val="00007379"/>
    <w:rsid w:val="00007CE6"/>
    <w:rsid w:val="00025A88"/>
    <w:rsid w:val="00047465"/>
    <w:rsid w:val="00050D06"/>
    <w:rsid w:val="000702B1"/>
    <w:rsid w:val="00093A8F"/>
    <w:rsid w:val="000A2758"/>
    <w:rsid w:val="000B7D39"/>
    <w:rsid w:val="000D1F7D"/>
    <w:rsid w:val="000D505C"/>
    <w:rsid w:val="000E3F7B"/>
    <w:rsid w:val="000F1F81"/>
    <w:rsid w:val="0010714E"/>
    <w:rsid w:val="00115435"/>
    <w:rsid w:val="00137A70"/>
    <w:rsid w:val="001619DE"/>
    <w:rsid w:val="00162D52"/>
    <w:rsid w:val="00184BE0"/>
    <w:rsid w:val="00191600"/>
    <w:rsid w:val="00191BFD"/>
    <w:rsid w:val="001A003E"/>
    <w:rsid w:val="001B0B11"/>
    <w:rsid w:val="001B64DD"/>
    <w:rsid w:val="001C3A50"/>
    <w:rsid w:val="001F4C7C"/>
    <w:rsid w:val="0020015B"/>
    <w:rsid w:val="00201510"/>
    <w:rsid w:val="0020589E"/>
    <w:rsid w:val="00217303"/>
    <w:rsid w:val="00220AD1"/>
    <w:rsid w:val="002269C1"/>
    <w:rsid w:val="00240538"/>
    <w:rsid w:val="00247523"/>
    <w:rsid w:val="00257E77"/>
    <w:rsid w:val="002625DA"/>
    <w:rsid w:val="00272ADF"/>
    <w:rsid w:val="0027515B"/>
    <w:rsid w:val="002752A0"/>
    <w:rsid w:val="00283232"/>
    <w:rsid w:val="00297D33"/>
    <w:rsid w:val="002A182E"/>
    <w:rsid w:val="002A1ABC"/>
    <w:rsid w:val="002B284A"/>
    <w:rsid w:val="002D2E15"/>
    <w:rsid w:val="002F24E8"/>
    <w:rsid w:val="002F3B1F"/>
    <w:rsid w:val="00312461"/>
    <w:rsid w:val="00316B8C"/>
    <w:rsid w:val="003223BA"/>
    <w:rsid w:val="00322D56"/>
    <w:rsid w:val="00322DE9"/>
    <w:rsid w:val="003258D6"/>
    <w:rsid w:val="00325D00"/>
    <w:rsid w:val="003274BF"/>
    <w:rsid w:val="00327E11"/>
    <w:rsid w:val="0035293A"/>
    <w:rsid w:val="00353D4D"/>
    <w:rsid w:val="00365581"/>
    <w:rsid w:val="00376AA3"/>
    <w:rsid w:val="00380400"/>
    <w:rsid w:val="0038537B"/>
    <w:rsid w:val="003D2EF8"/>
    <w:rsid w:val="003E3D9D"/>
    <w:rsid w:val="003E7A1A"/>
    <w:rsid w:val="003F1C0C"/>
    <w:rsid w:val="003F2EED"/>
    <w:rsid w:val="00402226"/>
    <w:rsid w:val="004219C5"/>
    <w:rsid w:val="004246D1"/>
    <w:rsid w:val="004368B9"/>
    <w:rsid w:val="00471E39"/>
    <w:rsid w:val="00475AF5"/>
    <w:rsid w:val="00477877"/>
    <w:rsid w:val="00493FB7"/>
    <w:rsid w:val="004948B9"/>
    <w:rsid w:val="004B499C"/>
    <w:rsid w:val="004C295E"/>
    <w:rsid w:val="004D07FE"/>
    <w:rsid w:val="004D0C5A"/>
    <w:rsid w:val="004F588A"/>
    <w:rsid w:val="00502B3F"/>
    <w:rsid w:val="005037BD"/>
    <w:rsid w:val="0051598F"/>
    <w:rsid w:val="00516513"/>
    <w:rsid w:val="005712FA"/>
    <w:rsid w:val="00575898"/>
    <w:rsid w:val="00577949"/>
    <w:rsid w:val="0059639D"/>
    <w:rsid w:val="005A20A7"/>
    <w:rsid w:val="005A5817"/>
    <w:rsid w:val="005C3B44"/>
    <w:rsid w:val="005C7A7F"/>
    <w:rsid w:val="005D0E1A"/>
    <w:rsid w:val="005D1B04"/>
    <w:rsid w:val="005D4B74"/>
    <w:rsid w:val="005E20D0"/>
    <w:rsid w:val="0060063E"/>
    <w:rsid w:val="00602C6E"/>
    <w:rsid w:val="00605AC6"/>
    <w:rsid w:val="00605C08"/>
    <w:rsid w:val="00617F6A"/>
    <w:rsid w:val="0062162C"/>
    <w:rsid w:val="006422FF"/>
    <w:rsid w:val="00660E4E"/>
    <w:rsid w:val="00661B74"/>
    <w:rsid w:val="006962B0"/>
    <w:rsid w:val="006A240D"/>
    <w:rsid w:val="006A2636"/>
    <w:rsid w:val="006A2939"/>
    <w:rsid w:val="006A4A4B"/>
    <w:rsid w:val="006B3203"/>
    <w:rsid w:val="006C0D1B"/>
    <w:rsid w:val="006C668E"/>
    <w:rsid w:val="006D7C88"/>
    <w:rsid w:val="006E5B94"/>
    <w:rsid w:val="006F3093"/>
    <w:rsid w:val="00707E57"/>
    <w:rsid w:val="00715F4B"/>
    <w:rsid w:val="007640EF"/>
    <w:rsid w:val="00784DA9"/>
    <w:rsid w:val="007B2AA7"/>
    <w:rsid w:val="007B2C6C"/>
    <w:rsid w:val="007D0D4F"/>
    <w:rsid w:val="007D1B8B"/>
    <w:rsid w:val="007D4CD3"/>
    <w:rsid w:val="007E6E10"/>
    <w:rsid w:val="00812640"/>
    <w:rsid w:val="00827DB3"/>
    <w:rsid w:val="0083102B"/>
    <w:rsid w:val="008310A0"/>
    <w:rsid w:val="00854E3B"/>
    <w:rsid w:val="00874DD1"/>
    <w:rsid w:val="00880DA7"/>
    <w:rsid w:val="008824B8"/>
    <w:rsid w:val="00890F1C"/>
    <w:rsid w:val="008939F6"/>
    <w:rsid w:val="008A7DAE"/>
    <w:rsid w:val="008B563C"/>
    <w:rsid w:val="008E2498"/>
    <w:rsid w:val="00913FF5"/>
    <w:rsid w:val="00915255"/>
    <w:rsid w:val="00920889"/>
    <w:rsid w:val="00922930"/>
    <w:rsid w:val="0093287A"/>
    <w:rsid w:val="0094731D"/>
    <w:rsid w:val="009504FC"/>
    <w:rsid w:val="00966721"/>
    <w:rsid w:val="00970D16"/>
    <w:rsid w:val="00986586"/>
    <w:rsid w:val="009A7D42"/>
    <w:rsid w:val="009C1251"/>
    <w:rsid w:val="009E5D13"/>
    <w:rsid w:val="009E6C18"/>
    <w:rsid w:val="009F5339"/>
    <w:rsid w:val="009F6D16"/>
    <w:rsid w:val="00A11034"/>
    <w:rsid w:val="00A14023"/>
    <w:rsid w:val="00A17BD7"/>
    <w:rsid w:val="00A226C0"/>
    <w:rsid w:val="00A3095E"/>
    <w:rsid w:val="00A36F2E"/>
    <w:rsid w:val="00A47669"/>
    <w:rsid w:val="00A50E2D"/>
    <w:rsid w:val="00A55D1C"/>
    <w:rsid w:val="00A64BDC"/>
    <w:rsid w:val="00A71B03"/>
    <w:rsid w:val="00AA251F"/>
    <w:rsid w:val="00AA2A6A"/>
    <w:rsid w:val="00AF367E"/>
    <w:rsid w:val="00AF36F3"/>
    <w:rsid w:val="00AF7996"/>
    <w:rsid w:val="00B143AA"/>
    <w:rsid w:val="00B15E1C"/>
    <w:rsid w:val="00B309D0"/>
    <w:rsid w:val="00B34EFE"/>
    <w:rsid w:val="00B53748"/>
    <w:rsid w:val="00B607E2"/>
    <w:rsid w:val="00B734B4"/>
    <w:rsid w:val="00B869DE"/>
    <w:rsid w:val="00BA79BE"/>
    <w:rsid w:val="00BB5AE8"/>
    <w:rsid w:val="00BB5B39"/>
    <w:rsid w:val="00BB7479"/>
    <w:rsid w:val="00BD0D8A"/>
    <w:rsid w:val="00BE3FDE"/>
    <w:rsid w:val="00BE4C97"/>
    <w:rsid w:val="00BF22D4"/>
    <w:rsid w:val="00BF78A9"/>
    <w:rsid w:val="00C21F92"/>
    <w:rsid w:val="00C537C9"/>
    <w:rsid w:val="00C558C0"/>
    <w:rsid w:val="00C57DCE"/>
    <w:rsid w:val="00C65492"/>
    <w:rsid w:val="00C656DD"/>
    <w:rsid w:val="00C749F7"/>
    <w:rsid w:val="00C8446F"/>
    <w:rsid w:val="00C90810"/>
    <w:rsid w:val="00CA21CD"/>
    <w:rsid w:val="00CB18CD"/>
    <w:rsid w:val="00CB36DB"/>
    <w:rsid w:val="00CD0D78"/>
    <w:rsid w:val="00CF4620"/>
    <w:rsid w:val="00CF6723"/>
    <w:rsid w:val="00D15360"/>
    <w:rsid w:val="00D17199"/>
    <w:rsid w:val="00D3593C"/>
    <w:rsid w:val="00D37255"/>
    <w:rsid w:val="00D405DF"/>
    <w:rsid w:val="00D4750A"/>
    <w:rsid w:val="00D560D9"/>
    <w:rsid w:val="00D561B6"/>
    <w:rsid w:val="00D729D6"/>
    <w:rsid w:val="00D76D57"/>
    <w:rsid w:val="00D85DCC"/>
    <w:rsid w:val="00D949F8"/>
    <w:rsid w:val="00DA2F76"/>
    <w:rsid w:val="00DA34B7"/>
    <w:rsid w:val="00DA634B"/>
    <w:rsid w:val="00DD1A6B"/>
    <w:rsid w:val="00DE189C"/>
    <w:rsid w:val="00DF2051"/>
    <w:rsid w:val="00E01023"/>
    <w:rsid w:val="00E2680B"/>
    <w:rsid w:val="00E30A13"/>
    <w:rsid w:val="00E376E0"/>
    <w:rsid w:val="00E43F82"/>
    <w:rsid w:val="00E449FB"/>
    <w:rsid w:val="00E5306D"/>
    <w:rsid w:val="00E70E25"/>
    <w:rsid w:val="00E9216B"/>
    <w:rsid w:val="00E9387F"/>
    <w:rsid w:val="00EA2F57"/>
    <w:rsid w:val="00EC16B3"/>
    <w:rsid w:val="00ED3200"/>
    <w:rsid w:val="00ED7849"/>
    <w:rsid w:val="00EE5229"/>
    <w:rsid w:val="00F103D2"/>
    <w:rsid w:val="00F11FEF"/>
    <w:rsid w:val="00F13306"/>
    <w:rsid w:val="00F16072"/>
    <w:rsid w:val="00F73798"/>
    <w:rsid w:val="00F80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36F3"/>
    <w:rPr>
      <w:sz w:val="24"/>
    </w:rPr>
  </w:style>
  <w:style w:type="paragraph" w:styleId="Heading1">
    <w:name w:val="heading 1"/>
    <w:basedOn w:val="Normal"/>
    <w:next w:val="Normal"/>
    <w:qFormat/>
    <w:rsid w:val="00AF36F3"/>
    <w:pPr>
      <w:widowControl w:val="0"/>
      <w:numPr>
        <w:numId w:val="23"/>
      </w:numPr>
      <w:outlineLvl w:val="0"/>
    </w:pPr>
    <w:rPr>
      <w:rFonts w:ascii="Arial Black" w:hAnsi="Arial Black"/>
      <w:b/>
      <w:caps/>
      <w:sz w:val="28"/>
    </w:rPr>
  </w:style>
  <w:style w:type="paragraph" w:styleId="Heading2">
    <w:name w:val="heading 2"/>
    <w:basedOn w:val="Normal"/>
    <w:next w:val="Normal"/>
    <w:qFormat/>
    <w:rsid w:val="00AF36F3"/>
    <w:pPr>
      <w:widowControl w:val="0"/>
      <w:numPr>
        <w:ilvl w:val="1"/>
        <w:numId w:val="23"/>
      </w:numPr>
      <w:spacing w:before="60" w:after="60"/>
      <w:outlineLvl w:val="1"/>
    </w:pPr>
    <w:rPr>
      <w:b/>
    </w:rPr>
  </w:style>
  <w:style w:type="paragraph" w:styleId="Heading3">
    <w:name w:val="heading 3"/>
    <w:aliases w:val="Section"/>
    <w:basedOn w:val="Normal"/>
    <w:next w:val="Normal"/>
    <w:qFormat/>
    <w:rsid w:val="00AF36F3"/>
    <w:pPr>
      <w:widowControl w:val="0"/>
      <w:numPr>
        <w:ilvl w:val="2"/>
        <w:numId w:val="23"/>
      </w:numPr>
      <w:spacing w:before="60" w:after="60"/>
      <w:outlineLvl w:val="2"/>
    </w:pPr>
  </w:style>
  <w:style w:type="paragraph" w:styleId="Heading4">
    <w:name w:val="heading 4"/>
    <w:aliases w:val="Map Title"/>
    <w:basedOn w:val="Normal"/>
    <w:next w:val="Normal"/>
    <w:qFormat/>
    <w:rsid w:val="00AF36F3"/>
    <w:pPr>
      <w:keepNext/>
      <w:numPr>
        <w:ilvl w:val="3"/>
        <w:numId w:val="23"/>
      </w:numPr>
      <w:tabs>
        <w:tab w:val="left" w:pos="720"/>
        <w:tab w:val="left" w:pos="1440"/>
      </w:tabs>
      <w:spacing w:before="60" w:after="60"/>
      <w:outlineLvl w:val="3"/>
    </w:pPr>
  </w:style>
  <w:style w:type="paragraph" w:styleId="Heading5">
    <w:name w:val="heading 5"/>
    <w:aliases w:val="Block Label"/>
    <w:basedOn w:val="Normal"/>
    <w:next w:val="Normal"/>
    <w:qFormat/>
    <w:rsid w:val="00AF36F3"/>
    <w:pPr>
      <w:numPr>
        <w:ilvl w:val="4"/>
        <w:numId w:val="23"/>
      </w:numPr>
      <w:spacing w:before="240" w:after="60"/>
      <w:outlineLvl w:val="4"/>
    </w:pPr>
    <w:rPr>
      <w:sz w:val="22"/>
    </w:rPr>
  </w:style>
  <w:style w:type="paragraph" w:styleId="Heading6">
    <w:name w:val="heading 6"/>
    <w:basedOn w:val="Normal"/>
    <w:next w:val="Normal"/>
    <w:qFormat/>
    <w:rsid w:val="00AF36F3"/>
    <w:pPr>
      <w:numPr>
        <w:ilvl w:val="5"/>
        <w:numId w:val="23"/>
      </w:numPr>
      <w:spacing w:before="240" w:after="60"/>
      <w:outlineLvl w:val="5"/>
    </w:pPr>
    <w:rPr>
      <w:i/>
      <w:sz w:val="22"/>
    </w:rPr>
  </w:style>
  <w:style w:type="paragraph" w:styleId="Heading7">
    <w:name w:val="heading 7"/>
    <w:basedOn w:val="Normal"/>
    <w:next w:val="Normal"/>
    <w:qFormat/>
    <w:rsid w:val="00AF36F3"/>
    <w:pPr>
      <w:numPr>
        <w:ilvl w:val="6"/>
        <w:numId w:val="23"/>
      </w:numPr>
      <w:spacing w:before="240" w:after="60"/>
      <w:outlineLvl w:val="6"/>
    </w:pPr>
    <w:rPr>
      <w:rFonts w:ascii="Arial" w:hAnsi="Arial"/>
    </w:rPr>
  </w:style>
  <w:style w:type="paragraph" w:styleId="Heading8">
    <w:name w:val="heading 8"/>
    <w:basedOn w:val="Normal"/>
    <w:next w:val="Normal"/>
    <w:qFormat/>
    <w:rsid w:val="00AF36F3"/>
    <w:pPr>
      <w:numPr>
        <w:ilvl w:val="7"/>
        <w:numId w:val="23"/>
      </w:numPr>
      <w:spacing w:before="240" w:after="60"/>
      <w:outlineLvl w:val="7"/>
    </w:pPr>
    <w:rPr>
      <w:rFonts w:ascii="Arial" w:hAnsi="Arial"/>
      <w:i/>
    </w:rPr>
  </w:style>
  <w:style w:type="paragraph" w:styleId="Heading9">
    <w:name w:val="heading 9"/>
    <w:basedOn w:val="Normal"/>
    <w:next w:val="Normal"/>
    <w:qFormat/>
    <w:rsid w:val="00AF36F3"/>
    <w:pPr>
      <w:numPr>
        <w:ilvl w:val="8"/>
        <w:numId w:val="2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36F3"/>
    <w:pPr>
      <w:tabs>
        <w:tab w:val="center" w:pos="4320"/>
        <w:tab w:val="right" w:pos="8640"/>
      </w:tabs>
    </w:pPr>
  </w:style>
  <w:style w:type="paragraph" w:styleId="Footer">
    <w:name w:val="footer"/>
    <w:basedOn w:val="Normal"/>
    <w:rsid w:val="00AF36F3"/>
    <w:pPr>
      <w:tabs>
        <w:tab w:val="center" w:pos="4320"/>
        <w:tab w:val="right" w:pos="8640"/>
      </w:tabs>
    </w:pPr>
  </w:style>
  <w:style w:type="character" w:styleId="PageNumber">
    <w:name w:val="page number"/>
    <w:basedOn w:val="DefaultParagraphFont"/>
    <w:rsid w:val="00AF36F3"/>
  </w:style>
  <w:style w:type="paragraph" w:customStyle="1" w:styleId="Titleline">
    <w:name w:val="Title line"/>
    <w:basedOn w:val="Title"/>
    <w:rsid w:val="00AF36F3"/>
    <w:pPr>
      <w:spacing w:before="60" w:line="240" w:lineRule="auto"/>
    </w:pPr>
    <w:rPr>
      <w:rFonts w:ascii="Arial Black" w:hAnsi="Arial Black"/>
      <w:b w:val="0"/>
    </w:rPr>
  </w:style>
  <w:style w:type="paragraph" w:styleId="Title">
    <w:name w:val="Title"/>
    <w:basedOn w:val="Normal"/>
    <w:qFormat/>
    <w:rsid w:val="00AF36F3"/>
    <w:pPr>
      <w:spacing w:before="240" w:after="60" w:line="120" w:lineRule="auto"/>
      <w:jc w:val="center"/>
      <w:outlineLvl w:val="0"/>
    </w:pPr>
    <w:rPr>
      <w:b/>
      <w:caps/>
      <w:kern w:val="28"/>
      <w:sz w:val="28"/>
    </w:rPr>
  </w:style>
  <w:style w:type="paragraph" w:styleId="TOC1">
    <w:name w:val="toc 1"/>
    <w:basedOn w:val="Normal"/>
    <w:next w:val="Normal"/>
    <w:autoRedefine/>
    <w:uiPriority w:val="39"/>
    <w:rsid w:val="00327E11"/>
    <w:pPr>
      <w:tabs>
        <w:tab w:val="right" w:leader="dot" w:pos="9360"/>
      </w:tabs>
    </w:pPr>
    <w:rPr>
      <w:caps/>
      <w:noProof/>
    </w:rPr>
  </w:style>
  <w:style w:type="character" w:styleId="CommentReference">
    <w:name w:val="annotation reference"/>
    <w:basedOn w:val="DefaultParagraphFont"/>
    <w:semiHidden/>
    <w:rsid w:val="00AF36F3"/>
    <w:rPr>
      <w:sz w:val="16"/>
    </w:rPr>
  </w:style>
  <w:style w:type="paragraph" w:styleId="CommentText">
    <w:name w:val="annotation text"/>
    <w:basedOn w:val="Normal"/>
    <w:semiHidden/>
    <w:rsid w:val="00AF36F3"/>
    <w:rPr>
      <w:sz w:val="20"/>
    </w:rPr>
  </w:style>
  <w:style w:type="paragraph" w:customStyle="1" w:styleId="Bodytext">
    <w:name w:val="Body text"/>
    <w:basedOn w:val="Normal"/>
    <w:rsid w:val="00AF36F3"/>
    <w:pPr>
      <w:spacing w:before="60" w:after="60"/>
    </w:pPr>
  </w:style>
  <w:style w:type="character" w:styleId="Hyperlink">
    <w:name w:val="Hyperlink"/>
    <w:basedOn w:val="DefaultParagraphFont"/>
    <w:rsid w:val="00AF36F3"/>
    <w:rPr>
      <w:color w:val="0000FF"/>
      <w:u w:val="single"/>
    </w:rPr>
  </w:style>
  <w:style w:type="paragraph" w:customStyle="1" w:styleId="Sectionsub-header">
    <w:name w:val="Section sub-header"/>
    <w:basedOn w:val="Normal"/>
    <w:rsid w:val="00AF36F3"/>
    <w:rPr>
      <w:rFonts w:ascii="Arial Black" w:hAnsi="Arial Black"/>
    </w:rPr>
  </w:style>
  <w:style w:type="paragraph" w:styleId="BodyTextIndent">
    <w:name w:val="Body Text Indent"/>
    <w:basedOn w:val="Normal"/>
    <w:rsid w:val="00AF36F3"/>
    <w:pPr>
      <w:tabs>
        <w:tab w:val="left" w:pos="1440"/>
      </w:tabs>
      <w:ind w:left="2160" w:hanging="1440"/>
    </w:pPr>
  </w:style>
  <w:style w:type="paragraph" w:styleId="BalloonText">
    <w:name w:val="Balloon Text"/>
    <w:basedOn w:val="Normal"/>
    <w:semiHidden/>
    <w:rsid w:val="0051598F"/>
    <w:rPr>
      <w:rFonts w:ascii="Tahoma" w:hAnsi="Tahoma" w:cs="Tahoma"/>
      <w:sz w:val="16"/>
      <w:szCs w:val="16"/>
    </w:rPr>
  </w:style>
  <w:style w:type="paragraph" w:styleId="CommentSubject">
    <w:name w:val="annotation subject"/>
    <w:basedOn w:val="CommentText"/>
    <w:next w:val="CommentText"/>
    <w:semiHidden/>
    <w:rsid w:val="00B309D0"/>
    <w:rPr>
      <w:b/>
      <w:bCs/>
    </w:rPr>
  </w:style>
  <w:style w:type="paragraph" w:styleId="ListParagraph">
    <w:name w:val="List Paragraph"/>
    <w:basedOn w:val="Normal"/>
    <w:uiPriority w:val="34"/>
    <w:qFormat/>
    <w:rsid w:val="00376A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PDL1\templates\AQ\Simple%20ACD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0A0C4-78D9-42C8-A46F-825AB9F1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ACDP.dotx</Template>
  <TotalTime>5</TotalTime>
  <Pages>31</Pages>
  <Words>8306</Words>
  <Characters>47052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Permit No</vt:lpstr>
    </vt:vector>
  </TitlesOfParts>
  <Company>DEQ</Company>
  <LinksUpToDate>false</LinksUpToDate>
  <CharactersWithSpaces>55248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subject/>
  <dc:creator>dwelch</dc:creator>
  <cp:keywords/>
  <dc:description/>
  <cp:lastModifiedBy>nswoffo</cp:lastModifiedBy>
  <cp:revision>5</cp:revision>
  <cp:lastPrinted>2010-03-23T15:12:00Z</cp:lastPrinted>
  <dcterms:created xsi:type="dcterms:W3CDTF">2010-03-23T15:07:00Z</dcterms:created>
  <dcterms:modified xsi:type="dcterms:W3CDTF">2010-03-23T15:13:00Z</dcterms:modified>
</cp:coreProperties>
</file>