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5B" w:rsidRDefault="00C5535B">
      <w:pPr>
        <w:pStyle w:val="Titleline"/>
      </w:pPr>
      <w:r>
        <w:t>Standard</w:t>
      </w:r>
    </w:p>
    <w:p w:rsidR="00C5535B" w:rsidRDefault="00C5535B">
      <w:pPr>
        <w:pStyle w:val="Titleline"/>
      </w:pPr>
      <w:r>
        <w:t>air contaminant discharge permit</w:t>
      </w:r>
    </w:p>
    <w:p w:rsidR="00C5535B" w:rsidRDefault="00C5535B"/>
    <w:p w:rsidR="00C5535B" w:rsidRDefault="00C5535B">
      <w:pPr>
        <w:jc w:val="center"/>
      </w:pPr>
      <w:r>
        <w:t>Department of Environmental Quality</w:t>
      </w:r>
    </w:p>
    <w:p w:rsidR="00C5535B" w:rsidRDefault="0088274C">
      <w:pPr>
        <w:jc w:val="center"/>
      </w:pPr>
      <w:r>
        <w:fldChar w:fldCharType="begin">
          <w:ffData>
            <w:name w:val="Dropdown1"/>
            <w:enabled/>
            <w:calcOnExit w:val="0"/>
            <w:ddList>
              <w:listEntry w:val="Eastern Region"/>
              <w:listEntry w:val="Northwest Region"/>
              <w:listEntry w:val="Western Region"/>
            </w:ddList>
          </w:ffData>
        </w:fldChar>
      </w:r>
      <w:bookmarkStart w:id="0" w:name="Dropdown1"/>
      <w:r w:rsidR="00C5535B">
        <w:instrText xml:space="preserve"> FORMDROPDOWN </w:instrText>
      </w:r>
      <w:r>
        <w:fldChar w:fldCharType="separate"/>
      </w:r>
      <w:r>
        <w:fldChar w:fldCharType="end"/>
      </w:r>
      <w:bookmarkEnd w:id="0"/>
    </w:p>
    <w:p w:rsidR="00C5535B" w:rsidRDefault="007C7A4B">
      <w:pPr>
        <w:jc w:val="center"/>
      </w:pPr>
      <w:r>
        <w:t xml:space="preserve">475 </w:t>
      </w:r>
      <w:r w:rsidR="00F82496">
        <w:t xml:space="preserve">NE </w:t>
      </w:r>
      <w:r>
        <w:t>Bellevue Dr,</w:t>
      </w:r>
      <w:r w:rsidR="00AE4C83">
        <w:t xml:space="preserve"> </w:t>
      </w:r>
      <w:r>
        <w:t>Suite 1</w:t>
      </w:r>
      <w:r w:rsidR="00F82496">
        <w:t>1</w:t>
      </w:r>
      <w:r>
        <w:t>0</w:t>
      </w:r>
    </w:p>
    <w:p w:rsidR="00C5535B" w:rsidRDefault="00A14294">
      <w:pPr>
        <w:jc w:val="center"/>
      </w:pPr>
      <w:r>
        <w:t>Bend, OR  97701</w:t>
      </w:r>
    </w:p>
    <w:p w:rsidR="00C5535B" w:rsidRDefault="0088274C">
      <w:pPr>
        <w:jc w:val="center"/>
      </w:pPr>
      <w:r>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rsidR="00C5535B">
        <w:instrText xml:space="preserve"> FORMDROPDOWN </w:instrText>
      </w:r>
      <w:r>
        <w:fldChar w:fldCharType="separate"/>
      </w:r>
      <w:r>
        <w:fldChar w:fldCharType="end"/>
      </w:r>
    </w:p>
    <w:p w:rsidR="00C5535B" w:rsidRDefault="00C5535B">
      <w:pPr>
        <w:jc w:val="center"/>
      </w:pPr>
    </w:p>
    <w:p w:rsidR="00C5535B" w:rsidRDefault="00C5535B">
      <w:pPr>
        <w:jc w:val="center"/>
      </w:pPr>
      <w:r>
        <w:t xml:space="preserve">This permit is being issued in accordance with the provisions of ORS 468A.040 and </w:t>
      </w:r>
    </w:p>
    <w:p w:rsidR="00C5535B" w:rsidRDefault="00C5535B">
      <w:pPr>
        <w:pBdr>
          <w:bottom w:val="double" w:sz="12" w:space="1" w:color="auto"/>
        </w:pBdr>
        <w:jc w:val="center"/>
      </w:pPr>
      <w:proofErr w:type="gramStart"/>
      <w:r>
        <w:t>based</w:t>
      </w:r>
      <w:proofErr w:type="gramEnd"/>
      <w:r>
        <w:t xml:space="preserve"> on the land use compatibility findings included in the permit record.</w:t>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C5535B">
        <w:tc>
          <w:tcPr>
            <w:tcW w:w="4788" w:type="dxa"/>
            <w:tcBorders>
              <w:top w:val="nil"/>
              <w:left w:val="nil"/>
              <w:bottom w:val="nil"/>
              <w:right w:val="nil"/>
            </w:tcBorders>
          </w:tcPr>
          <w:p w:rsidR="00C5535B" w:rsidRDefault="00C5535B">
            <w:r>
              <w:t>ISSUED TO:</w:t>
            </w:r>
          </w:p>
          <w:p w:rsidR="00C5535B" w:rsidRDefault="00C5535B"/>
          <w:p w:rsidR="001D5B01" w:rsidRDefault="0088274C">
            <w:pPr>
              <w:rPr>
                <w:noProof/>
              </w:rPr>
            </w:pPr>
            <w:r>
              <w:fldChar w:fldCharType="begin">
                <w:ffData>
                  <w:name w:val="Text3"/>
                  <w:enabled/>
                  <w:calcOnExit w:val="0"/>
                  <w:textInput>
                    <w:default w:val="&lt;Company Legal Name&gt;"/>
                    <w:format w:val="FIRST CAPITAL"/>
                  </w:textInput>
                </w:ffData>
              </w:fldChar>
            </w:r>
            <w:bookmarkStart w:id="1" w:name="Text3"/>
            <w:r w:rsidR="00C5535B">
              <w:instrText xml:space="preserve"> FORMTEXT </w:instrText>
            </w:r>
            <w:r>
              <w:fldChar w:fldCharType="separate"/>
            </w:r>
            <w:r w:rsidR="00D3769D">
              <w:rPr>
                <w:noProof/>
              </w:rPr>
              <w:t>D.</w:t>
            </w:r>
            <w:r w:rsidR="00A14294">
              <w:rPr>
                <w:noProof/>
              </w:rPr>
              <w:t xml:space="preserve"> </w:t>
            </w:r>
            <w:r w:rsidR="00D3769D">
              <w:rPr>
                <w:noProof/>
              </w:rPr>
              <w:t>R. Johnson Lumber Co</w:t>
            </w:r>
            <w:r w:rsidR="00A14294">
              <w:rPr>
                <w:noProof/>
              </w:rPr>
              <w:t>.</w:t>
            </w:r>
          </w:p>
          <w:p w:rsidR="00C5535B" w:rsidRDefault="00D3769D">
            <w:r>
              <w:rPr>
                <w:noProof/>
              </w:rPr>
              <w:t>dba Prairie Wood Products</w:t>
            </w:r>
            <w:r w:rsidR="0088274C">
              <w:fldChar w:fldCharType="end"/>
            </w:r>
            <w:bookmarkEnd w:id="1"/>
          </w:p>
          <w:p w:rsidR="00C5535B" w:rsidRDefault="0088274C">
            <w:r>
              <w:fldChar w:fldCharType="begin">
                <w:ffData>
                  <w:name w:val="Text5"/>
                  <w:enabled/>
                  <w:calcOnExit w:val="0"/>
                  <w:textInput>
                    <w:default w:val="&lt;Mailing Address&gt;"/>
                  </w:textInput>
                </w:ffData>
              </w:fldChar>
            </w:r>
            <w:bookmarkStart w:id="2" w:name="Text5"/>
            <w:r w:rsidR="00C5535B">
              <w:instrText xml:space="preserve"> FORMTEXT </w:instrText>
            </w:r>
            <w:r>
              <w:fldChar w:fldCharType="separate"/>
            </w:r>
            <w:r w:rsidR="00A14294">
              <w:rPr>
                <w:noProof/>
              </w:rPr>
              <w:t>PO</w:t>
            </w:r>
            <w:r w:rsidR="00D3769D">
              <w:rPr>
                <w:noProof/>
              </w:rPr>
              <w:t xml:space="preserve"> Box 66</w:t>
            </w:r>
            <w:r>
              <w:fldChar w:fldCharType="end"/>
            </w:r>
            <w:bookmarkEnd w:id="2"/>
          </w:p>
          <w:p w:rsidR="00C5535B" w:rsidRDefault="0088274C">
            <w:pPr>
              <w:pStyle w:val="Header"/>
              <w:tabs>
                <w:tab w:val="clear" w:pos="4320"/>
                <w:tab w:val="clear" w:pos="8640"/>
              </w:tabs>
            </w:pPr>
            <w:r>
              <w:fldChar w:fldCharType="begin">
                <w:ffData>
                  <w:name w:val="Text7"/>
                  <w:enabled/>
                  <w:calcOnExit w:val="0"/>
                  <w:textInput>
                    <w:default w:val="&lt;City, State, Zip&gt;"/>
                  </w:textInput>
                </w:ffData>
              </w:fldChar>
            </w:r>
            <w:bookmarkStart w:id="3" w:name="Text7"/>
            <w:r w:rsidR="00C5535B">
              <w:instrText xml:space="preserve"> FORMTEXT </w:instrText>
            </w:r>
            <w:r>
              <w:fldChar w:fldCharType="separate"/>
            </w:r>
            <w:r w:rsidR="00D3769D">
              <w:t>Riddle</w:t>
            </w:r>
            <w:r w:rsidR="00D3769D">
              <w:rPr>
                <w:noProof/>
              </w:rPr>
              <w:t>, OR  97469</w:t>
            </w:r>
            <w:r>
              <w:fldChar w:fldCharType="end"/>
            </w:r>
            <w:bookmarkEnd w:id="3"/>
          </w:p>
        </w:tc>
        <w:tc>
          <w:tcPr>
            <w:tcW w:w="4788" w:type="dxa"/>
            <w:tcBorders>
              <w:top w:val="nil"/>
              <w:left w:val="nil"/>
              <w:bottom w:val="nil"/>
              <w:right w:val="nil"/>
            </w:tcBorders>
          </w:tcPr>
          <w:p w:rsidR="00C5535B" w:rsidRDefault="00C5535B">
            <w:r>
              <w:t>INFORMATION RELIED UPON:</w:t>
            </w:r>
          </w:p>
          <w:p w:rsidR="00C5535B" w:rsidRDefault="00C5535B"/>
          <w:p w:rsidR="00C5535B" w:rsidRDefault="00A14294">
            <w:r>
              <w:t>Application No.:</w:t>
            </w:r>
            <w:r>
              <w:tab/>
            </w:r>
            <w:r w:rsidR="00B21F0B">
              <w:t>26503</w:t>
            </w:r>
          </w:p>
          <w:p w:rsidR="00C5535B" w:rsidRDefault="00C5535B">
            <w:r>
              <w:t>Date Received:</w:t>
            </w:r>
            <w:r>
              <w:tab/>
            </w:r>
            <w:r w:rsidR="0015038D">
              <w:t>10/18/2011</w:t>
            </w:r>
          </w:p>
          <w:p w:rsidR="00C5535B" w:rsidRDefault="00C5535B"/>
        </w:tc>
      </w:tr>
      <w:tr w:rsidR="00C5535B">
        <w:tc>
          <w:tcPr>
            <w:tcW w:w="4788" w:type="dxa"/>
            <w:tcBorders>
              <w:top w:val="nil"/>
              <w:left w:val="nil"/>
              <w:bottom w:val="nil"/>
              <w:right w:val="nil"/>
            </w:tcBorders>
          </w:tcPr>
          <w:p w:rsidR="00C5535B" w:rsidRDefault="00C5535B"/>
          <w:p w:rsidR="00C5535B" w:rsidRDefault="00C5535B">
            <w:r>
              <w:t>PLANT SITE LOCATION:</w:t>
            </w:r>
          </w:p>
          <w:p w:rsidR="00C5535B" w:rsidRDefault="00C5535B"/>
          <w:p w:rsidR="00C5535B" w:rsidRDefault="0088274C">
            <w:r>
              <w:fldChar w:fldCharType="begin">
                <w:ffData>
                  <w:name w:val="Text10"/>
                  <w:enabled/>
                  <w:calcOnExit w:val="0"/>
                  <w:textInput>
                    <w:default w:val="&lt;Site Address&gt;"/>
                  </w:textInput>
                </w:ffData>
              </w:fldChar>
            </w:r>
            <w:bookmarkStart w:id="4" w:name="Text10"/>
            <w:r w:rsidR="00C5535B">
              <w:instrText xml:space="preserve"> FORMTEXT </w:instrText>
            </w:r>
            <w:r>
              <w:fldChar w:fldCharType="separate"/>
            </w:r>
            <w:r w:rsidR="00D3769D">
              <w:rPr>
                <w:noProof/>
              </w:rPr>
              <w:t>457 Front Street</w:t>
            </w:r>
            <w:r>
              <w:fldChar w:fldCharType="end"/>
            </w:r>
            <w:bookmarkEnd w:id="4"/>
          </w:p>
          <w:p w:rsidR="00C5535B" w:rsidRDefault="0088274C">
            <w:r>
              <w:fldChar w:fldCharType="begin">
                <w:ffData>
                  <w:name w:val="Text12"/>
                  <w:enabled/>
                  <w:calcOnExit w:val="0"/>
                  <w:textInput>
                    <w:default w:val="&lt;City, State, Zip&gt;"/>
                  </w:textInput>
                </w:ffData>
              </w:fldChar>
            </w:r>
            <w:bookmarkStart w:id="5" w:name="Text12"/>
            <w:r w:rsidR="00C5535B">
              <w:instrText xml:space="preserve"> FORMTEXT </w:instrText>
            </w:r>
            <w:r>
              <w:fldChar w:fldCharType="separate"/>
            </w:r>
            <w:r w:rsidR="00D3769D">
              <w:rPr>
                <w:noProof/>
              </w:rPr>
              <w:t>Prairie City, OR  97869</w:t>
            </w:r>
            <w:r>
              <w:fldChar w:fldCharType="end"/>
            </w:r>
            <w:bookmarkEnd w:id="5"/>
          </w:p>
        </w:tc>
        <w:tc>
          <w:tcPr>
            <w:tcW w:w="4788" w:type="dxa"/>
            <w:tcBorders>
              <w:top w:val="nil"/>
              <w:left w:val="nil"/>
              <w:bottom w:val="nil"/>
              <w:right w:val="nil"/>
            </w:tcBorders>
          </w:tcPr>
          <w:p w:rsidR="00C5535B" w:rsidRDefault="00C5535B">
            <w:pPr>
              <w:pStyle w:val="Header"/>
              <w:tabs>
                <w:tab w:val="clear" w:pos="4320"/>
                <w:tab w:val="clear" w:pos="8640"/>
              </w:tabs>
            </w:pPr>
          </w:p>
          <w:p w:rsidR="00C5535B" w:rsidRDefault="00C5535B">
            <w:pPr>
              <w:pStyle w:val="Header"/>
              <w:tabs>
                <w:tab w:val="clear" w:pos="4320"/>
                <w:tab w:val="clear" w:pos="8640"/>
              </w:tabs>
            </w:pPr>
            <w:r>
              <w:t>LAND USE COMPATIBILITY FINDING:</w:t>
            </w:r>
          </w:p>
          <w:p w:rsidR="00C5535B" w:rsidRDefault="00C5535B">
            <w:pPr>
              <w:pStyle w:val="Header"/>
              <w:tabs>
                <w:tab w:val="clear" w:pos="4320"/>
                <w:tab w:val="clear" w:pos="8640"/>
              </w:tabs>
            </w:pPr>
          </w:p>
          <w:p w:rsidR="00C5535B" w:rsidRDefault="00C5535B">
            <w:r>
              <w:t>Approving Authority:</w:t>
            </w:r>
            <w:r>
              <w:tab/>
            </w:r>
            <w:r w:rsidR="00A14294">
              <w:t>Grant County and</w:t>
            </w:r>
          </w:p>
          <w:p w:rsidR="00A14294" w:rsidRDefault="00A14294" w:rsidP="00A14294">
            <w:pPr>
              <w:ind w:firstLine="2142"/>
            </w:pPr>
            <w:r>
              <w:t>Prairie City</w:t>
            </w:r>
          </w:p>
          <w:p w:rsidR="00C5535B" w:rsidRDefault="00C5535B">
            <w:r>
              <w:t>Approval Date:</w:t>
            </w:r>
            <w:r>
              <w:tab/>
            </w:r>
            <w:r w:rsidR="0088274C">
              <w:fldChar w:fldCharType="begin">
                <w:ffData>
                  <w:name w:val="Text11"/>
                  <w:enabled/>
                  <w:calcOnExit w:val="0"/>
                  <w:textInput>
                    <w:default w:val="&lt;mm/dd/yy&gt;"/>
                  </w:textInput>
                </w:ffData>
              </w:fldChar>
            </w:r>
            <w:bookmarkStart w:id="6" w:name="Text11"/>
            <w:r>
              <w:instrText xml:space="preserve"> FORMTEXT </w:instrText>
            </w:r>
            <w:r w:rsidR="0088274C">
              <w:fldChar w:fldCharType="separate"/>
            </w:r>
            <w:r w:rsidR="00D3769D">
              <w:rPr>
                <w:noProof/>
              </w:rPr>
              <w:t>7/18/1984 &amp; 7/19/1984</w:t>
            </w:r>
            <w:r w:rsidR="0088274C">
              <w:fldChar w:fldCharType="end"/>
            </w:r>
            <w:bookmarkEnd w:id="6"/>
          </w:p>
        </w:tc>
      </w:tr>
      <w:tr w:rsidR="00C5535B">
        <w:tc>
          <w:tcPr>
            <w:tcW w:w="4788" w:type="dxa"/>
            <w:tcBorders>
              <w:top w:val="nil"/>
              <w:left w:val="nil"/>
              <w:bottom w:val="nil"/>
              <w:right w:val="nil"/>
            </w:tcBorders>
          </w:tcPr>
          <w:p w:rsidR="00C5535B" w:rsidRDefault="00C5535B"/>
        </w:tc>
        <w:tc>
          <w:tcPr>
            <w:tcW w:w="4788" w:type="dxa"/>
            <w:tcBorders>
              <w:top w:val="nil"/>
              <w:left w:val="nil"/>
              <w:bottom w:val="nil"/>
              <w:right w:val="nil"/>
            </w:tcBorders>
          </w:tcPr>
          <w:p w:rsidR="00C5535B" w:rsidRDefault="00C5535B" w:rsidP="00ED179E">
            <w:pPr>
              <w:tabs>
                <w:tab w:val="left" w:pos="2715"/>
              </w:tabs>
            </w:pPr>
          </w:p>
        </w:tc>
      </w:tr>
    </w:tbl>
    <w:p w:rsidR="00C5535B" w:rsidRDefault="00C5535B"/>
    <w:p w:rsidR="00C5535B" w:rsidRDefault="00C5535B"/>
    <w:p w:rsidR="00C5535B" w:rsidRDefault="00C5535B">
      <w:pPr>
        <w:rPr>
          <w:b/>
        </w:rPr>
      </w:pPr>
      <w:r>
        <w:rPr>
          <w:b/>
        </w:rPr>
        <w:t>ISSUED BY THE DEPARTMENT OF ENVIRONMENTAL QUALITY</w:t>
      </w:r>
    </w:p>
    <w:p w:rsidR="00C5535B" w:rsidRDefault="00C5535B">
      <w:pPr>
        <w:pStyle w:val="Header"/>
        <w:tabs>
          <w:tab w:val="clear" w:pos="4320"/>
          <w:tab w:val="clear" w:pos="8640"/>
        </w:tabs>
      </w:pPr>
    </w:p>
    <w:p w:rsidR="00C5535B" w:rsidRDefault="00C5535B"/>
    <w:p w:rsidR="00C5535B" w:rsidRDefault="00C5535B" w:rsidP="00A14294">
      <w:pPr>
        <w:tabs>
          <w:tab w:val="left" w:pos="5760"/>
        </w:tabs>
      </w:pPr>
      <w:r>
        <w:t>____________________________________________</w:t>
      </w:r>
      <w:r>
        <w:tab/>
        <w:t>_______________________</w:t>
      </w:r>
      <w:r w:rsidR="00A14294">
        <w:t>_______</w:t>
      </w:r>
    </w:p>
    <w:p w:rsidR="00C5535B" w:rsidRDefault="00F53CBB" w:rsidP="00A14294">
      <w:pPr>
        <w:pBdr>
          <w:bottom w:val="double" w:sz="12" w:space="1" w:color="auto"/>
        </w:pBdr>
        <w:tabs>
          <w:tab w:val="left" w:pos="5760"/>
        </w:tabs>
      </w:pPr>
      <w:r>
        <w:t>Mark W. Bailey</w:t>
      </w:r>
      <w:r w:rsidR="009A2026">
        <w:t xml:space="preserve">, Eastern Region </w:t>
      </w:r>
      <w:r w:rsidR="00C5535B">
        <w:t>Air Quality Manager</w:t>
      </w:r>
      <w:r w:rsidR="00C5535B">
        <w:tab/>
        <w:t>Dated</w:t>
      </w:r>
    </w:p>
    <w:p w:rsidR="00C5535B" w:rsidRDefault="00C5535B"/>
    <w:p w:rsidR="00C5535B" w:rsidRDefault="00C5535B">
      <w:pPr>
        <w:jc w:val="center"/>
      </w:pPr>
      <w:r>
        <w:t>Source(s) Permitted to Discharge Air Contaminants (OAR 340-216-0020):</w:t>
      </w:r>
    </w:p>
    <w:p w:rsidR="00C5535B" w:rsidRDefault="00C5535B">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C5535B" w:rsidTr="0042045C">
        <w:tc>
          <w:tcPr>
            <w:tcW w:w="2880" w:type="dxa"/>
            <w:tcBorders>
              <w:top w:val="double" w:sz="6" w:space="0" w:color="auto"/>
              <w:left w:val="double" w:sz="6" w:space="0" w:color="auto"/>
              <w:bottom w:val="nil"/>
            </w:tcBorders>
            <w:vAlign w:val="center"/>
          </w:tcPr>
          <w:p w:rsidR="00C5535B" w:rsidRDefault="00C5535B" w:rsidP="0042045C">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center"/>
          </w:tcPr>
          <w:p w:rsidR="00C5535B" w:rsidRDefault="00C5535B" w:rsidP="0042045C">
            <w:pPr>
              <w:pStyle w:val="Header"/>
              <w:tabs>
                <w:tab w:val="clear" w:pos="4320"/>
                <w:tab w:val="clear" w:pos="8640"/>
              </w:tabs>
              <w:spacing w:before="40" w:after="40"/>
              <w:jc w:val="center"/>
              <w:rPr>
                <w:b/>
              </w:rPr>
            </w:pPr>
            <w:r>
              <w:rPr>
                <w:b/>
              </w:rPr>
              <w:t>Source Description</w:t>
            </w:r>
          </w:p>
        </w:tc>
        <w:tc>
          <w:tcPr>
            <w:tcW w:w="864" w:type="dxa"/>
            <w:tcBorders>
              <w:top w:val="double" w:sz="6" w:space="0" w:color="auto"/>
              <w:bottom w:val="nil"/>
              <w:right w:val="double" w:sz="6" w:space="0" w:color="auto"/>
            </w:tcBorders>
            <w:vAlign w:val="center"/>
          </w:tcPr>
          <w:p w:rsidR="00C5535B" w:rsidRDefault="00C5535B" w:rsidP="0042045C">
            <w:pPr>
              <w:spacing w:before="40" w:after="40"/>
              <w:jc w:val="center"/>
              <w:rPr>
                <w:b/>
              </w:rPr>
            </w:pPr>
            <w:r>
              <w:rPr>
                <w:b/>
              </w:rPr>
              <w:t>SIC</w:t>
            </w:r>
          </w:p>
        </w:tc>
      </w:tr>
      <w:tr w:rsidR="00C5535B" w:rsidTr="0042045C">
        <w:tc>
          <w:tcPr>
            <w:tcW w:w="2880" w:type="dxa"/>
            <w:tcBorders>
              <w:top w:val="double" w:sz="6" w:space="0" w:color="auto"/>
              <w:left w:val="double" w:sz="6" w:space="0" w:color="auto"/>
              <w:bottom w:val="single" w:sz="4" w:space="0" w:color="auto"/>
            </w:tcBorders>
            <w:vAlign w:val="center"/>
          </w:tcPr>
          <w:p w:rsidR="00C5535B" w:rsidRDefault="00C5535B" w:rsidP="0042045C">
            <w:pPr>
              <w:pStyle w:val="Header"/>
              <w:tabs>
                <w:tab w:val="clear" w:pos="4320"/>
                <w:tab w:val="clear" w:pos="8640"/>
              </w:tabs>
              <w:spacing w:before="40" w:after="40"/>
              <w:jc w:val="center"/>
            </w:pPr>
            <w:r>
              <w:t xml:space="preserve">Part </w:t>
            </w:r>
            <w:r w:rsidR="00E65DA4">
              <w:t>B</w:t>
            </w:r>
            <w:r w:rsidR="0042045C">
              <w:t>,</w:t>
            </w:r>
            <w:r>
              <w:t xml:space="preserve"> </w:t>
            </w:r>
            <w:r w:rsidR="00E65DA4">
              <w:t>#71</w:t>
            </w:r>
          </w:p>
        </w:tc>
        <w:tc>
          <w:tcPr>
            <w:tcW w:w="5760" w:type="dxa"/>
            <w:tcBorders>
              <w:top w:val="double" w:sz="6" w:space="0" w:color="auto"/>
              <w:bottom w:val="single" w:sz="4" w:space="0" w:color="auto"/>
            </w:tcBorders>
            <w:vAlign w:val="center"/>
          </w:tcPr>
          <w:p w:rsidR="00C5535B" w:rsidRDefault="0088058F" w:rsidP="0042045C">
            <w:pPr>
              <w:pStyle w:val="Header"/>
              <w:tabs>
                <w:tab w:val="clear" w:pos="4320"/>
                <w:tab w:val="clear" w:pos="8640"/>
              </w:tabs>
            </w:pPr>
            <w:r>
              <w:t xml:space="preserve">Sawmills and/or </w:t>
            </w:r>
            <w:r w:rsidR="00ED179E">
              <w:t>Planing Mills</w:t>
            </w:r>
            <w:r>
              <w:t xml:space="preserve"> </w:t>
            </w:r>
            <w:r w:rsidR="00ED179E">
              <w:t xml:space="preserve">25,000 </w:t>
            </w:r>
            <w:r>
              <w:t>or more bd. ft./maximum 8 hr. finished product</w:t>
            </w:r>
          </w:p>
        </w:tc>
        <w:tc>
          <w:tcPr>
            <w:tcW w:w="864" w:type="dxa"/>
            <w:tcBorders>
              <w:top w:val="double" w:sz="6" w:space="0" w:color="auto"/>
              <w:bottom w:val="single" w:sz="4" w:space="0" w:color="auto"/>
              <w:right w:val="double" w:sz="6" w:space="0" w:color="auto"/>
            </w:tcBorders>
            <w:vAlign w:val="center"/>
          </w:tcPr>
          <w:p w:rsidR="00C5535B" w:rsidRDefault="00ED179E" w:rsidP="0042045C">
            <w:pPr>
              <w:pStyle w:val="Header"/>
              <w:tabs>
                <w:tab w:val="clear" w:pos="4320"/>
                <w:tab w:val="clear" w:pos="8640"/>
              </w:tabs>
              <w:spacing w:before="40" w:after="40"/>
              <w:jc w:val="center"/>
            </w:pPr>
            <w:r>
              <w:t>2421</w:t>
            </w:r>
          </w:p>
        </w:tc>
      </w:tr>
      <w:tr w:rsidR="00C5535B" w:rsidTr="0042045C">
        <w:tc>
          <w:tcPr>
            <w:tcW w:w="2880" w:type="dxa"/>
            <w:tcBorders>
              <w:top w:val="nil"/>
              <w:left w:val="double" w:sz="6" w:space="0" w:color="auto"/>
              <w:bottom w:val="double" w:sz="6" w:space="0" w:color="auto"/>
            </w:tcBorders>
            <w:vAlign w:val="center"/>
          </w:tcPr>
          <w:p w:rsidR="00C5535B" w:rsidRDefault="00ED179E" w:rsidP="0042045C">
            <w:pPr>
              <w:pStyle w:val="Header"/>
              <w:tabs>
                <w:tab w:val="clear" w:pos="4320"/>
                <w:tab w:val="clear" w:pos="8640"/>
              </w:tabs>
              <w:spacing w:before="40" w:after="40"/>
              <w:jc w:val="center"/>
            </w:pPr>
            <w:r>
              <w:t>Part B, #1</w:t>
            </w:r>
            <w:r w:rsidR="00E65DA4">
              <w:t>3</w:t>
            </w:r>
          </w:p>
        </w:tc>
        <w:tc>
          <w:tcPr>
            <w:tcW w:w="5760" w:type="dxa"/>
            <w:tcBorders>
              <w:top w:val="nil"/>
              <w:bottom w:val="double" w:sz="6" w:space="0" w:color="auto"/>
            </w:tcBorders>
            <w:vAlign w:val="center"/>
          </w:tcPr>
          <w:p w:rsidR="00C5535B" w:rsidRDefault="0088058F" w:rsidP="0042045C">
            <w:pPr>
              <w:pStyle w:val="Header"/>
              <w:tabs>
                <w:tab w:val="clear" w:pos="4320"/>
                <w:tab w:val="clear" w:pos="8640"/>
              </w:tabs>
            </w:pPr>
            <w:r>
              <w:t xml:space="preserve">Boilers and other Fuel Burning Equipment over 10 </w:t>
            </w:r>
            <w:proofErr w:type="spellStart"/>
            <w:r>
              <w:t>MMBtu</w:t>
            </w:r>
            <w:proofErr w:type="spellEnd"/>
            <w:r>
              <w:t xml:space="preserve">/hr. heat input, except exclusively Natural Gas and Propane fired units (with or without #2 diesel backup) under 30 </w:t>
            </w:r>
            <w:proofErr w:type="spellStart"/>
            <w:r>
              <w:t>MMBtu</w:t>
            </w:r>
            <w:proofErr w:type="spellEnd"/>
            <w:r>
              <w:t>/hr. heat input.</w:t>
            </w:r>
          </w:p>
        </w:tc>
        <w:tc>
          <w:tcPr>
            <w:tcW w:w="864" w:type="dxa"/>
            <w:tcBorders>
              <w:top w:val="nil"/>
              <w:bottom w:val="double" w:sz="6" w:space="0" w:color="auto"/>
              <w:right w:val="double" w:sz="6" w:space="0" w:color="auto"/>
            </w:tcBorders>
            <w:vAlign w:val="center"/>
          </w:tcPr>
          <w:p w:rsidR="00C5535B" w:rsidRDefault="00ED179E" w:rsidP="0042045C">
            <w:pPr>
              <w:pStyle w:val="Header"/>
              <w:tabs>
                <w:tab w:val="clear" w:pos="4320"/>
                <w:tab w:val="clear" w:pos="8640"/>
              </w:tabs>
              <w:spacing w:before="40" w:after="40"/>
              <w:jc w:val="center"/>
            </w:pPr>
            <w:r>
              <w:t>4961</w:t>
            </w:r>
          </w:p>
        </w:tc>
      </w:tr>
    </w:tbl>
    <w:p w:rsidR="00C5535B" w:rsidRDefault="00C5535B">
      <w:pPr>
        <w:pStyle w:val="Titleline"/>
        <w:jc w:val="left"/>
      </w:pPr>
      <w:r>
        <w:lastRenderedPageBreak/>
        <w:t>Table of Contents</w:t>
      </w:r>
    </w:p>
    <w:p w:rsidR="00C5535B" w:rsidRDefault="00C5535B"/>
    <w:p w:rsidR="0044787A" w:rsidRDefault="0088274C">
      <w:pPr>
        <w:pStyle w:val="TOC1"/>
        <w:tabs>
          <w:tab w:val="left" w:pos="660"/>
        </w:tabs>
        <w:rPr>
          <w:rFonts w:asciiTheme="minorHAnsi" w:eastAsiaTheme="minorEastAsia" w:hAnsiTheme="minorHAnsi" w:cstheme="minorBidi"/>
          <w:caps w:val="0"/>
          <w:sz w:val="22"/>
          <w:szCs w:val="22"/>
        </w:rPr>
      </w:pPr>
      <w:r w:rsidRPr="0088274C">
        <w:fldChar w:fldCharType="begin"/>
      </w:r>
      <w:r w:rsidR="00C5535B">
        <w:instrText xml:space="preserve"> TOC \t "Heading 1,1" </w:instrText>
      </w:r>
      <w:r w:rsidRPr="0088274C">
        <w:fldChar w:fldCharType="separate"/>
      </w:r>
      <w:r w:rsidR="0044787A" w:rsidRPr="00C70D73">
        <w:rPr>
          <w:rFonts w:hAnsi="DEC Multinational"/>
        </w:rPr>
        <w:t>1.0</w:t>
      </w:r>
      <w:r w:rsidR="0044787A">
        <w:rPr>
          <w:rFonts w:asciiTheme="minorHAnsi" w:eastAsiaTheme="minorEastAsia" w:hAnsiTheme="minorHAnsi" w:cstheme="minorBidi"/>
          <w:caps w:val="0"/>
          <w:sz w:val="22"/>
          <w:szCs w:val="22"/>
        </w:rPr>
        <w:tab/>
      </w:r>
      <w:r w:rsidR="0044787A">
        <w:t>GENERAL emission standards AND LIMITS</w:t>
      </w:r>
      <w:r w:rsidR="0044787A">
        <w:tab/>
      </w:r>
      <w:r>
        <w:fldChar w:fldCharType="begin"/>
      </w:r>
      <w:r w:rsidR="0044787A">
        <w:instrText xml:space="preserve"> PAGEREF _Toc321315430 \h </w:instrText>
      </w:r>
      <w:r>
        <w:fldChar w:fldCharType="separate"/>
      </w:r>
      <w:r w:rsidR="00E52DFD">
        <w:t>3</w:t>
      </w:r>
      <w:r>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2.0</w:t>
      </w:r>
      <w:r>
        <w:rPr>
          <w:rFonts w:asciiTheme="minorHAnsi" w:eastAsiaTheme="minorEastAsia" w:hAnsiTheme="minorHAnsi" w:cstheme="minorBidi"/>
          <w:caps w:val="0"/>
          <w:sz w:val="22"/>
          <w:szCs w:val="22"/>
        </w:rPr>
        <w:tab/>
      </w:r>
      <w:r>
        <w:t>specific performance and emission standards</w:t>
      </w:r>
      <w:r>
        <w:tab/>
      </w:r>
      <w:r w:rsidR="0088274C">
        <w:fldChar w:fldCharType="begin"/>
      </w:r>
      <w:r>
        <w:instrText xml:space="preserve"> PAGEREF _Toc321315431 \h </w:instrText>
      </w:r>
      <w:r w:rsidR="0088274C">
        <w:fldChar w:fldCharType="separate"/>
      </w:r>
      <w:r w:rsidR="00E52DFD">
        <w:t>4</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3.0</w:t>
      </w:r>
      <w:r>
        <w:rPr>
          <w:rFonts w:asciiTheme="minorHAnsi" w:eastAsiaTheme="minorEastAsia" w:hAnsiTheme="minorHAnsi" w:cstheme="minorBidi"/>
          <w:caps w:val="0"/>
          <w:sz w:val="22"/>
          <w:szCs w:val="22"/>
        </w:rPr>
        <w:tab/>
      </w:r>
      <w:r>
        <w:t>plant site emission limits</w:t>
      </w:r>
      <w:r>
        <w:tab/>
      </w:r>
      <w:r w:rsidR="0088274C">
        <w:fldChar w:fldCharType="begin"/>
      </w:r>
      <w:r>
        <w:instrText xml:space="preserve"> PAGEREF _Toc321315432 \h </w:instrText>
      </w:r>
      <w:r w:rsidR="0088274C">
        <w:fldChar w:fldCharType="separate"/>
      </w:r>
      <w:r w:rsidR="00E52DFD">
        <w:t>8</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4.0</w:t>
      </w:r>
      <w:r>
        <w:rPr>
          <w:rFonts w:asciiTheme="minorHAnsi" w:eastAsiaTheme="minorEastAsia" w:hAnsiTheme="minorHAnsi" w:cstheme="minorBidi"/>
          <w:caps w:val="0"/>
          <w:sz w:val="22"/>
          <w:szCs w:val="22"/>
        </w:rPr>
        <w:tab/>
      </w:r>
      <w:r>
        <w:t>compliance demonstration</w:t>
      </w:r>
      <w:r>
        <w:tab/>
      </w:r>
      <w:r w:rsidR="0088274C">
        <w:fldChar w:fldCharType="begin"/>
      </w:r>
      <w:r>
        <w:instrText xml:space="preserve"> PAGEREF _Toc321315433 \h </w:instrText>
      </w:r>
      <w:r w:rsidR="0088274C">
        <w:fldChar w:fldCharType="separate"/>
      </w:r>
      <w:r w:rsidR="00E52DFD">
        <w:t>8</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5.0</w:t>
      </w:r>
      <w:r>
        <w:rPr>
          <w:rFonts w:asciiTheme="minorHAnsi" w:eastAsiaTheme="minorEastAsia" w:hAnsiTheme="minorHAnsi" w:cstheme="minorBidi"/>
          <w:caps w:val="0"/>
          <w:sz w:val="22"/>
          <w:szCs w:val="22"/>
        </w:rPr>
        <w:tab/>
      </w:r>
      <w:r>
        <w:t>recordkeeping requirements</w:t>
      </w:r>
      <w:r>
        <w:tab/>
      </w:r>
      <w:r w:rsidR="0088274C">
        <w:fldChar w:fldCharType="begin"/>
      </w:r>
      <w:r>
        <w:instrText xml:space="preserve"> PAGEREF _Toc321315434 \h </w:instrText>
      </w:r>
      <w:r w:rsidR="0088274C">
        <w:fldChar w:fldCharType="separate"/>
      </w:r>
      <w:r w:rsidR="00E52DFD">
        <w:t>9</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6.0</w:t>
      </w:r>
      <w:r>
        <w:rPr>
          <w:rFonts w:asciiTheme="minorHAnsi" w:eastAsiaTheme="minorEastAsia" w:hAnsiTheme="minorHAnsi" w:cstheme="minorBidi"/>
          <w:caps w:val="0"/>
          <w:sz w:val="22"/>
          <w:szCs w:val="22"/>
        </w:rPr>
        <w:tab/>
      </w:r>
      <w:r>
        <w:t>reporting requirements</w:t>
      </w:r>
      <w:r>
        <w:tab/>
      </w:r>
      <w:r w:rsidR="0088274C">
        <w:fldChar w:fldCharType="begin"/>
      </w:r>
      <w:r>
        <w:instrText xml:space="preserve"> PAGEREF _Toc321315435 \h </w:instrText>
      </w:r>
      <w:r w:rsidR="0088274C">
        <w:fldChar w:fldCharType="separate"/>
      </w:r>
      <w:r w:rsidR="00E52DFD">
        <w:t>10</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7.0</w:t>
      </w:r>
      <w:r>
        <w:rPr>
          <w:rFonts w:asciiTheme="minorHAnsi" w:eastAsiaTheme="minorEastAsia" w:hAnsiTheme="minorHAnsi" w:cstheme="minorBidi"/>
          <w:caps w:val="0"/>
          <w:sz w:val="22"/>
          <w:szCs w:val="22"/>
        </w:rPr>
        <w:tab/>
      </w:r>
      <w:r>
        <w:t>Administrative requirements</w:t>
      </w:r>
      <w:r>
        <w:tab/>
      </w:r>
      <w:r w:rsidR="0088274C">
        <w:fldChar w:fldCharType="begin"/>
      </w:r>
      <w:r>
        <w:instrText xml:space="preserve"> PAGEREF _Toc321315436 \h </w:instrText>
      </w:r>
      <w:r w:rsidR="0088274C">
        <w:fldChar w:fldCharType="separate"/>
      </w:r>
      <w:r w:rsidR="00E52DFD">
        <w:t>11</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8.0</w:t>
      </w:r>
      <w:r>
        <w:rPr>
          <w:rFonts w:asciiTheme="minorHAnsi" w:eastAsiaTheme="minorEastAsia" w:hAnsiTheme="minorHAnsi" w:cstheme="minorBidi"/>
          <w:caps w:val="0"/>
          <w:sz w:val="22"/>
          <w:szCs w:val="22"/>
        </w:rPr>
        <w:tab/>
      </w:r>
      <w:r>
        <w:t>fees</w:t>
      </w:r>
      <w:r>
        <w:tab/>
      </w:r>
      <w:r w:rsidR="0088274C">
        <w:fldChar w:fldCharType="begin"/>
      </w:r>
      <w:r>
        <w:instrText xml:space="preserve"> PAGEREF _Toc321315437 \h </w:instrText>
      </w:r>
      <w:r w:rsidR="0088274C">
        <w:fldChar w:fldCharType="separate"/>
      </w:r>
      <w:r w:rsidR="00E52DFD">
        <w:t>12</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9.0</w:t>
      </w:r>
      <w:r>
        <w:rPr>
          <w:rFonts w:asciiTheme="minorHAnsi" w:eastAsiaTheme="minorEastAsia" w:hAnsiTheme="minorHAnsi" w:cstheme="minorBidi"/>
          <w:caps w:val="0"/>
          <w:sz w:val="22"/>
          <w:szCs w:val="22"/>
        </w:rPr>
        <w:tab/>
      </w:r>
      <w:r>
        <w:t>General conditions and disclaimers</w:t>
      </w:r>
      <w:r>
        <w:tab/>
      </w:r>
      <w:r w:rsidR="0088274C">
        <w:fldChar w:fldCharType="begin"/>
      </w:r>
      <w:r>
        <w:instrText xml:space="preserve"> PAGEREF _Toc321315438 \h </w:instrText>
      </w:r>
      <w:r w:rsidR="0088274C">
        <w:fldChar w:fldCharType="separate"/>
      </w:r>
      <w:r w:rsidR="00E52DFD">
        <w:t>13</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10.0</w:t>
      </w:r>
      <w:r>
        <w:rPr>
          <w:rFonts w:asciiTheme="minorHAnsi" w:eastAsiaTheme="minorEastAsia" w:hAnsiTheme="minorHAnsi" w:cstheme="minorBidi"/>
          <w:caps w:val="0"/>
          <w:sz w:val="22"/>
          <w:szCs w:val="22"/>
        </w:rPr>
        <w:tab/>
      </w:r>
      <w:r>
        <w:t>Emission Factors</w:t>
      </w:r>
      <w:r>
        <w:tab/>
      </w:r>
      <w:r w:rsidR="0088274C">
        <w:fldChar w:fldCharType="begin"/>
      </w:r>
      <w:r>
        <w:instrText xml:space="preserve"> PAGEREF _Toc321315439 \h </w:instrText>
      </w:r>
      <w:r w:rsidR="0088274C">
        <w:fldChar w:fldCharType="separate"/>
      </w:r>
      <w:r w:rsidR="00E52DFD">
        <w:t>14</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11.0</w:t>
      </w:r>
      <w:r>
        <w:rPr>
          <w:rFonts w:asciiTheme="minorHAnsi" w:eastAsiaTheme="minorEastAsia" w:hAnsiTheme="minorHAnsi" w:cstheme="minorBidi"/>
          <w:caps w:val="0"/>
          <w:sz w:val="22"/>
          <w:szCs w:val="22"/>
        </w:rPr>
        <w:tab/>
      </w:r>
      <w:r>
        <w:t>Process/Production Records</w:t>
      </w:r>
      <w:r>
        <w:tab/>
      </w:r>
      <w:r w:rsidR="0088274C">
        <w:fldChar w:fldCharType="begin"/>
      </w:r>
      <w:r>
        <w:instrText xml:space="preserve"> PAGEREF _Toc321315440 \h </w:instrText>
      </w:r>
      <w:r w:rsidR="0088274C">
        <w:fldChar w:fldCharType="separate"/>
      </w:r>
      <w:r w:rsidR="00E52DFD">
        <w:t>15</w:t>
      </w:r>
      <w:r w:rsidR="0088274C">
        <w:fldChar w:fldCharType="end"/>
      </w:r>
    </w:p>
    <w:p w:rsidR="0044787A" w:rsidRDefault="0044787A">
      <w:pPr>
        <w:pStyle w:val="TOC1"/>
        <w:tabs>
          <w:tab w:val="left" w:pos="660"/>
        </w:tabs>
        <w:rPr>
          <w:rFonts w:asciiTheme="minorHAnsi" w:eastAsiaTheme="minorEastAsia" w:hAnsiTheme="minorHAnsi" w:cstheme="minorBidi"/>
          <w:caps w:val="0"/>
          <w:sz w:val="22"/>
          <w:szCs w:val="22"/>
        </w:rPr>
      </w:pPr>
      <w:r w:rsidRPr="00C70D73">
        <w:rPr>
          <w:rFonts w:hAnsi="DEC Multinational"/>
        </w:rPr>
        <w:t>12.0</w:t>
      </w:r>
      <w:r>
        <w:rPr>
          <w:rFonts w:asciiTheme="minorHAnsi" w:eastAsiaTheme="minorEastAsia" w:hAnsiTheme="minorHAnsi" w:cstheme="minorBidi"/>
          <w:caps w:val="0"/>
          <w:sz w:val="22"/>
          <w:szCs w:val="22"/>
        </w:rPr>
        <w:tab/>
      </w:r>
      <w:r>
        <w:t>Abbreviations, acronyms and definitions</w:t>
      </w:r>
      <w:r>
        <w:tab/>
      </w:r>
      <w:r w:rsidR="0088274C">
        <w:fldChar w:fldCharType="begin"/>
      </w:r>
      <w:r>
        <w:instrText xml:space="preserve"> PAGEREF _Toc321315441 \h </w:instrText>
      </w:r>
      <w:r w:rsidR="0088274C">
        <w:fldChar w:fldCharType="separate"/>
      </w:r>
      <w:r w:rsidR="00E52DFD">
        <w:t>16</w:t>
      </w:r>
      <w:r w:rsidR="0088274C">
        <w:fldChar w:fldCharType="end"/>
      </w:r>
    </w:p>
    <w:p w:rsidR="00C5535B" w:rsidRDefault="0088274C">
      <w:r>
        <w:fldChar w:fldCharType="end"/>
      </w:r>
    </w:p>
    <w:p w:rsidR="00C5535B" w:rsidRDefault="00C5535B">
      <w:pPr>
        <w:pStyle w:val="Heading1"/>
      </w:pPr>
      <w:r>
        <w:br w:type="page"/>
      </w:r>
      <w:bookmarkStart w:id="7" w:name="_Toc321315430"/>
      <w:bookmarkStart w:id="8" w:name="_Toc481295397"/>
      <w:r>
        <w:lastRenderedPageBreak/>
        <w:t>GENERAL emission standards AND LIMITS</w:t>
      </w:r>
      <w:bookmarkEnd w:id="7"/>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7C99">
        <w:tc>
          <w:tcPr>
            <w:tcW w:w="2880" w:type="dxa"/>
            <w:tcBorders>
              <w:top w:val="nil"/>
              <w:left w:val="nil"/>
              <w:bottom w:val="nil"/>
              <w:right w:val="nil"/>
            </w:tcBorders>
          </w:tcPr>
          <w:p w:rsidR="00B67C99" w:rsidRDefault="00B67C99">
            <w:pPr>
              <w:pStyle w:val="Heading2"/>
            </w:pPr>
            <w:r>
              <w:t>Visible Emissions</w:t>
            </w:r>
          </w:p>
        </w:tc>
        <w:tc>
          <w:tcPr>
            <w:tcW w:w="6624" w:type="dxa"/>
            <w:tcBorders>
              <w:top w:val="nil"/>
              <w:left w:val="nil"/>
              <w:bottom w:val="nil"/>
              <w:right w:val="nil"/>
            </w:tcBorders>
          </w:tcPr>
          <w:p w:rsidR="0087516A" w:rsidRDefault="0087516A">
            <w:pPr>
              <w:pStyle w:val="Bodytext"/>
            </w:pPr>
            <w:r>
              <w:t>Emissions from any air contaminant source must not equal or exceed 20% opacity for a period aggregating more than 3 minutes in any one hour.</w:t>
            </w:r>
          </w:p>
        </w:tc>
      </w:tr>
      <w:tr w:rsidR="00C5535B">
        <w:tc>
          <w:tcPr>
            <w:tcW w:w="2880" w:type="dxa"/>
            <w:tcBorders>
              <w:top w:val="nil"/>
              <w:left w:val="nil"/>
              <w:bottom w:val="nil"/>
              <w:right w:val="nil"/>
            </w:tcBorders>
          </w:tcPr>
          <w:p w:rsidR="00C5535B" w:rsidRDefault="00C5535B">
            <w:pPr>
              <w:pStyle w:val="Heading2"/>
            </w:pPr>
            <w:r>
              <w:t>Particulate Matter Emissions</w:t>
            </w:r>
          </w:p>
        </w:tc>
        <w:tc>
          <w:tcPr>
            <w:tcW w:w="6624" w:type="dxa"/>
            <w:tcBorders>
              <w:top w:val="nil"/>
              <w:left w:val="nil"/>
              <w:bottom w:val="nil"/>
              <w:right w:val="nil"/>
            </w:tcBorders>
          </w:tcPr>
          <w:p w:rsidR="00C5535B" w:rsidRDefault="0087516A" w:rsidP="00925D3B">
            <w:pPr>
              <w:pStyle w:val="Heading3"/>
              <w:spacing w:before="0" w:after="0"/>
            </w:pPr>
            <w:bookmarkStart w:id="9" w:name="_Toc463428217"/>
            <w:r>
              <w:t xml:space="preserve">Particulate matter emissions from </w:t>
            </w:r>
            <w:r w:rsidR="00925D3B">
              <w:t xml:space="preserve">the </w:t>
            </w:r>
            <w:proofErr w:type="spellStart"/>
            <w:r w:rsidR="00925D3B">
              <w:t>Wellons</w:t>
            </w:r>
            <w:proofErr w:type="spellEnd"/>
            <w:r w:rsidR="00925D3B">
              <w:t xml:space="preserve"> boiler</w:t>
            </w:r>
            <w:r>
              <w:t xml:space="preserve"> must not exceed 0.1 grains per standard cubic foot, corrected to 12% CO</w:t>
            </w:r>
            <w:r>
              <w:rPr>
                <w:vertAlign w:val="subscript"/>
              </w:rPr>
              <w:t>2</w:t>
            </w:r>
            <w:r>
              <w:t xml:space="preserve"> or 50% excess air.</w:t>
            </w:r>
            <w:bookmarkEnd w:id="9"/>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87516A" w:rsidP="00925D3B">
            <w:pPr>
              <w:pStyle w:val="Heading3"/>
              <w:spacing w:before="0" w:after="0"/>
            </w:pPr>
            <w:bookmarkStart w:id="10" w:name="_Toc463428220"/>
            <w:r>
              <w:t xml:space="preserve">Particulate matter emissions from any air contaminant source other than </w:t>
            </w:r>
            <w:r w:rsidR="00925D3B">
              <w:t>the boiler</w:t>
            </w:r>
            <w:r>
              <w:t xml:space="preserve"> and fugitive emission sources must not exceed 0.1 grains per standard cubic foot.</w:t>
            </w:r>
            <w:bookmarkEnd w:id="10"/>
          </w:p>
        </w:tc>
      </w:tr>
      <w:tr w:rsidR="00B67C99">
        <w:tc>
          <w:tcPr>
            <w:tcW w:w="2880" w:type="dxa"/>
            <w:vMerge w:val="restart"/>
            <w:tcBorders>
              <w:top w:val="nil"/>
              <w:left w:val="nil"/>
              <w:right w:val="nil"/>
            </w:tcBorders>
          </w:tcPr>
          <w:p w:rsidR="00B67C99" w:rsidRDefault="00B67C99">
            <w:pPr>
              <w:pStyle w:val="Heading2"/>
            </w:pPr>
            <w:r>
              <w:t>Fugitive Emissions</w:t>
            </w:r>
          </w:p>
        </w:tc>
        <w:tc>
          <w:tcPr>
            <w:tcW w:w="6624" w:type="dxa"/>
            <w:tcBorders>
              <w:top w:val="nil"/>
              <w:left w:val="nil"/>
              <w:bottom w:val="nil"/>
              <w:right w:val="nil"/>
            </w:tcBorders>
          </w:tcPr>
          <w:p w:rsidR="00B67C99" w:rsidRDefault="00B67C99">
            <w:pPr>
              <w:pStyle w:val="Bodytext"/>
            </w:pPr>
            <w:bookmarkStart w:id="11" w:name="_Toc463428222"/>
            <w:r>
              <w:t>The permittee must take reasonable precautions to prevent fugitive dust emissions by:</w:t>
            </w:r>
            <w:bookmarkEnd w:id="11"/>
          </w:p>
        </w:tc>
      </w:tr>
      <w:tr w:rsidR="00B67C99">
        <w:tc>
          <w:tcPr>
            <w:tcW w:w="2880" w:type="dxa"/>
            <w:vMerge/>
            <w:tcBorders>
              <w:left w:val="nil"/>
              <w:right w:val="nil"/>
            </w:tcBorders>
          </w:tcPr>
          <w:p w:rsidR="00B67C99" w:rsidRDefault="00B67C99"/>
        </w:tc>
        <w:tc>
          <w:tcPr>
            <w:tcW w:w="6624" w:type="dxa"/>
            <w:tcBorders>
              <w:top w:val="nil"/>
              <w:left w:val="nil"/>
              <w:bottom w:val="nil"/>
              <w:right w:val="nil"/>
            </w:tcBorders>
          </w:tcPr>
          <w:p w:rsidR="00B67C99" w:rsidRDefault="00B67C99" w:rsidP="002A4856">
            <w:pPr>
              <w:pStyle w:val="Heading3"/>
              <w:spacing w:before="0" w:after="0"/>
            </w:pPr>
            <w:r>
              <w:t>Treating vehicular traffic areas of the plant site under the control of the permittee</w:t>
            </w:r>
            <w:r w:rsidR="002A4856">
              <w:t>;</w:t>
            </w:r>
          </w:p>
        </w:tc>
      </w:tr>
      <w:tr w:rsidR="00B67C99">
        <w:tc>
          <w:tcPr>
            <w:tcW w:w="2880" w:type="dxa"/>
            <w:vMerge/>
            <w:tcBorders>
              <w:left w:val="nil"/>
              <w:right w:val="nil"/>
            </w:tcBorders>
          </w:tcPr>
          <w:p w:rsidR="00B67C99" w:rsidRDefault="00B67C99"/>
        </w:tc>
        <w:tc>
          <w:tcPr>
            <w:tcW w:w="6624" w:type="dxa"/>
            <w:tcBorders>
              <w:top w:val="nil"/>
              <w:left w:val="nil"/>
              <w:bottom w:val="nil"/>
              <w:right w:val="nil"/>
            </w:tcBorders>
          </w:tcPr>
          <w:p w:rsidR="00B67C99" w:rsidRDefault="00B67C99" w:rsidP="002A4856">
            <w:pPr>
              <w:pStyle w:val="Heading3"/>
              <w:spacing w:before="0" w:after="0"/>
            </w:pPr>
            <w:r>
              <w:t>Operating all air contaminant-generating processes so that fugitive type dust associated with the operation will be adequately controlled at all times</w:t>
            </w:r>
            <w:r w:rsidR="002A4856">
              <w:t>; and</w:t>
            </w:r>
          </w:p>
        </w:tc>
      </w:tr>
      <w:tr w:rsidR="00B67C99">
        <w:tc>
          <w:tcPr>
            <w:tcW w:w="2880" w:type="dxa"/>
            <w:vMerge/>
            <w:tcBorders>
              <w:left w:val="nil"/>
              <w:bottom w:val="nil"/>
              <w:right w:val="nil"/>
            </w:tcBorders>
          </w:tcPr>
          <w:p w:rsidR="00B67C99" w:rsidRDefault="00B67C99"/>
        </w:tc>
        <w:tc>
          <w:tcPr>
            <w:tcW w:w="6624" w:type="dxa"/>
            <w:tcBorders>
              <w:top w:val="nil"/>
              <w:left w:val="nil"/>
              <w:bottom w:val="nil"/>
              <w:right w:val="nil"/>
            </w:tcBorders>
          </w:tcPr>
          <w:p w:rsidR="00B67C99" w:rsidRDefault="00B67C99" w:rsidP="002A4856">
            <w:pPr>
              <w:pStyle w:val="Heading3"/>
              <w:spacing w:before="0" w:after="0"/>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C5535B">
        <w:tc>
          <w:tcPr>
            <w:tcW w:w="2880" w:type="dxa"/>
            <w:tcBorders>
              <w:top w:val="nil"/>
              <w:left w:val="nil"/>
              <w:bottom w:val="nil"/>
              <w:right w:val="nil"/>
            </w:tcBorders>
          </w:tcPr>
          <w:p w:rsidR="00C5535B" w:rsidRDefault="00C5535B">
            <w:pPr>
              <w:pStyle w:val="Heading2"/>
            </w:pPr>
            <w:r>
              <w:t>Particulate Matter Fallout</w:t>
            </w:r>
          </w:p>
        </w:tc>
        <w:tc>
          <w:tcPr>
            <w:tcW w:w="6624" w:type="dxa"/>
            <w:tcBorders>
              <w:top w:val="nil"/>
              <w:left w:val="nil"/>
              <w:bottom w:val="nil"/>
              <w:right w:val="nil"/>
            </w:tcBorders>
          </w:tcPr>
          <w:p w:rsidR="00C5535B" w:rsidRDefault="00C5535B">
            <w:pPr>
              <w:pStyle w:val="Bodytext"/>
            </w:pPr>
            <w:r>
              <w:t>The permittee must not cause or permit the emission of any particulate matter larger than 250 microns in size at sufficient duration or quantity, as to create an observable deposition upon the real property of another person.  The Department will verify that the deposition exists and will notify the permittee that the deposition must be controlled.</w:t>
            </w:r>
          </w:p>
        </w:tc>
      </w:tr>
      <w:tr w:rsidR="00C5535B">
        <w:tc>
          <w:tcPr>
            <w:tcW w:w="2880" w:type="dxa"/>
            <w:tcBorders>
              <w:top w:val="nil"/>
              <w:left w:val="nil"/>
              <w:bottom w:val="nil"/>
              <w:right w:val="nil"/>
            </w:tcBorders>
          </w:tcPr>
          <w:p w:rsidR="00C5535B" w:rsidRDefault="00C5535B">
            <w:pPr>
              <w:pStyle w:val="Heading2"/>
            </w:pPr>
            <w:r>
              <w:t>Nuisance and Odors</w:t>
            </w:r>
          </w:p>
        </w:tc>
        <w:tc>
          <w:tcPr>
            <w:tcW w:w="6624" w:type="dxa"/>
            <w:tcBorders>
              <w:top w:val="nil"/>
              <w:left w:val="nil"/>
              <w:bottom w:val="nil"/>
              <w:right w:val="nil"/>
            </w:tcBorders>
          </w:tcPr>
          <w:p w:rsidR="00C5535B" w:rsidRDefault="00C5535B">
            <w:pPr>
              <w:pStyle w:val="Bodytext"/>
            </w:pPr>
            <w:r>
              <w:t>The permittee must not cause or allow air contaminants from any source to cause a nuisance.  Nuisance conditions will be verified by Department personnel.</w:t>
            </w:r>
          </w:p>
        </w:tc>
      </w:tr>
      <w:tr w:rsidR="00C5535B">
        <w:trPr>
          <w:cantSplit/>
        </w:trPr>
        <w:tc>
          <w:tcPr>
            <w:tcW w:w="2880" w:type="dxa"/>
            <w:tcBorders>
              <w:top w:val="nil"/>
              <w:left w:val="nil"/>
              <w:bottom w:val="nil"/>
              <w:right w:val="nil"/>
            </w:tcBorders>
          </w:tcPr>
          <w:p w:rsidR="00C5535B" w:rsidRDefault="00C5535B">
            <w:pPr>
              <w:pStyle w:val="Heading2"/>
            </w:pPr>
            <w:r>
              <w:t>Fuels and Fuel Sulfur Content</w:t>
            </w:r>
          </w:p>
        </w:tc>
        <w:tc>
          <w:tcPr>
            <w:tcW w:w="6624" w:type="dxa"/>
            <w:tcBorders>
              <w:top w:val="nil"/>
              <w:left w:val="nil"/>
              <w:bottom w:val="nil"/>
              <w:right w:val="nil"/>
            </w:tcBorders>
          </w:tcPr>
          <w:p w:rsidR="00C5535B" w:rsidRDefault="00C5535B">
            <w:pPr>
              <w:pStyle w:val="Bodytext"/>
            </w:pPr>
            <w:r>
              <w:t xml:space="preserve">The permittee must not use any fuel other than </w:t>
            </w:r>
            <w:r w:rsidR="001A5BCA">
              <w:t xml:space="preserve">wood waste or </w:t>
            </w:r>
            <w:r>
              <w:t>on-specification used oil.</w:t>
            </w:r>
          </w:p>
        </w:tc>
      </w:tr>
      <w:tr w:rsidR="00C5535B">
        <w:trPr>
          <w:cantSplit/>
        </w:trPr>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rsidP="002A4856">
            <w:pPr>
              <w:pStyle w:val="Heading3"/>
              <w:spacing w:before="0" w:after="0"/>
            </w:pPr>
            <w:r>
              <w:t xml:space="preserve">The permittee is allowed to use on-specification used oil as fuel which contains no more than 0.5% sulfur by weight.  The permittee must obtain analyses from the marketer or, if generated on site, have the used oil analyzed, so that it can be demonstrated that each shipment of oil does not exceed the used oil specifications contained in 40 CFR Part 279.11, Table 1. </w:t>
            </w:r>
          </w:p>
        </w:tc>
      </w:tr>
    </w:tbl>
    <w:p w:rsidR="00925D3B" w:rsidRDefault="00925D3B" w:rsidP="00925D3B">
      <w:pPr>
        <w:pStyle w:val="Heading1"/>
        <w:numPr>
          <w:ilvl w:val="0"/>
          <w:numId w:val="0"/>
        </w:numPr>
      </w:pPr>
      <w:bookmarkStart w:id="12" w:name="_Toc481295398"/>
      <w:bookmarkStart w:id="13" w:name="_Toc193605010"/>
      <w:bookmarkEnd w:id="8"/>
    </w:p>
    <w:p w:rsidR="00925D3B" w:rsidRDefault="00925D3B" w:rsidP="00925D3B">
      <w:pPr>
        <w:pStyle w:val="Heading1"/>
        <w:numPr>
          <w:ilvl w:val="0"/>
          <w:numId w:val="0"/>
        </w:numPr>
      </w:pPr>
    </w:p>
    <w:p w:rsidR="001E4C5C" w:rsidRDefault="001E4C5C" w:rsidP="001E4C5C">
      <w:pPr>
        <w:pStyle w:val="Heading1"/>
      </w:pPr>
      <w:bookmarkStart w:id="14" w:name="_Toc321315431"/>
      <w:r>
        <w:lastRenderedPageBreak/>
        <w:t>specific performance and emission standards</w:t>
      </w:r>
      <w:bookmarkEnd w:id="12"/>
      <w:bookmarkEnd w:id="13"/>
      <w:bookmarkEnd w:id="14"/>
    </w:p>
    <w:p w:rsidR="001E4C5C" w:rsidRDefault="001E4C5C" w:rsidP="001E4C5C"/>
    <w:tbl>
      <w:tblPr>
        <w:tblW w:w="0" w:type="auto"/>
        <w:tblLayout w:type="fixed"/>
        <w:tblLook w:val="0000"/>
      </w:tblPr>
      <w:tblGrid>
        <w:gridCol w:w="2880"/>
        <w:gridCol w:w="6624"/>
      </w:tblGrid>
      <w:tr w:rsidR="001E4C5C" w:rsidTr="00612E52">
        <w:tc>
          <w:tcPr>
            <w:tcW w:w="2880" w:type="dxa"/>
          </w:tcPr>
          <w:p w:rsidR="001E4C5C" w:rsidRDefault="001E4C5C" w:rsidP="006266C4">
            <w:pPr>
              <w:pStyle w:val="Heading2"/>
              <w:rPr>
                <w:b w:val="0"/>
              </w:rPr>
            </w:pPr>
            <w:proofErr w:type="spellStart"/>
            <w:r>
              <w:t>Wellons</w:t>
            </w:r>
            <w:proofErr w:type="spellEnd"/>
            <w:r>
              <w:t xml:space="preserve"> Boiler – 40 CFR Part 63, Subpart JJJJJJ NESHAP </w:t>
            </w:r>
            <w:r w:rsidR="006266C4">
              <w:t>R</w:t>
            </w:r>
            <w:r>
              <w:t>equirements</w:t>
            </w:r>
          </w:p>
        </w:tc>
        <w:tc>
          <w:tcPr>
            <w:tcW w:w="6624" w:type="dxa"/>
          </w:tcPr>
          <w:p w:rsidR="001E4C5C" w:rsidRDefault="001E4C5C" w:rsidP="00612E52">
            <w:bookmarkStart w:id="15" w:name="_Ref306805214"/>
            <w:r>
              <w:t xml:space="preserve">The NESHAP/MACT Standard for Industrial, Commercial and Institutional Boilers - </w:t>
            </w:r>
            <w:r w:rsidRPr="00722D10">
              <w:rPr>
                <w:i/>
              </w:rPr>
              <w:t>Boiler Area Source MACT (40 CFR Part 63 Subpart JJJJJJ)</w:t>
            </w:r>
            <w:r>
              <w:t xml:space="preserve"> applies to the </w:t>
            </w:r>
            <w:proofErr w:type="spellStart"/>
            <w:r>
              <w:t>Wellons</w:t>
            </w:r>
            <w:proofErr w:type="spellEnd"/>
            <w:r>
              <w:t xml:space="preserve"> Boiler because the boiler combusts biomass.  </w:t>
            </w:r>
            <w:r w:rsidRPr="00995FE5">
              <w:t xml:space="preserve">The permittee may only burn </w:t>
            </w:r>
            <w:r w:rsidRPr="00995FE5">
              <w:rPr>
                <w:i/>
              </w:rPr>
              <w:t>biomass</w:t>
            </w:r>
            <w:r>
              <w:t xml:space="preserve">. </w:t>
            </w:r>
            <w:r w:rsidRPr="00995FE5">
              <w:t xml:space="preserve"> </w:t>
            </w:r>
            <w:r w:rsidRPr="00995FE5">
              <w:rPr>
                <w:i/>
              </w:rPr>
              <w:t>Biomass</w:t>
            </w:r>
            <w:r w:rsidRPr="00995FE5">
              <w:t xml:space="preserve"> means any biomass-based solid fuel that is not a solid waste</w:t>
            </w:r>
            <w:r>
              <w:t xml:space="preserve"> as defined in 40 CFR 241.3</w:t>
            </w:r>
            <w:r w:rsidRPr="00995FE5">
              <w:t>.  This includes, but is not limited to:</w:t>
            </w:r>
            <w:bookmarkEnd w:id="15"/>
          </w:p>
          <w:p w:rsidR="001E4C5C" w:rsidRPr="00DB3B7E" w:rsidRDefault="001E4C5C" w:rsidP="001E4C5C">
            <w:pPr>
              <w:pStyle w:val="Heading2"/>
              <w:numPr>
                <w:ilvl w:val="1"/>
                <w:numId w:val="29"/>
              </w:numPr>
              <w:tabs>
                <w:tab w:val="clear" w:pos="720"/>
              </w:tabs>
              <w:spacing w:before="0" w:after="0"/>
              <w:rPr>
                <w:b w:val="0"/>
              </w:rPr>
            </w:pPr>
            <w:r w:rsidRPr="00DB3B7E">
              <w:rPr>
                <w:b w:val="0"/>
              </w:rPr>
              <w:t xml:space="preserve">Wood residue and wood products, including trees, tree stumps, tree limbs, bark, lumber, sawdust, sander dust, chips, scraps, slabs, millings and shavings; </w:t>
            </w:r>
          </w:p>
          <w:p w:rsidR="001E4C5C" w:rsidRPr="00DB3B7E" w:rsidRDefault="001E4C5C" w:rsidP="001E4C5C">
            <w:pPr>
              <w:pStyle w:val="Heading2"/>
              <w:numPr>
                <w:ilvl w:val="1"/>
                <w:numId w:val="29"/>
              </w:numPr>
              <w:spacing w:before="0" w:after="0"/>
              <w:rPr>
                <w:b w:val="0"/>
              </w:rPr>
            </w:pPr>
            <w:proofErr w:type="gramStart"/>
            <w:r w:rsidRPr="00DB3B7E">
              <w:rPr>
                <w:b w:val="0"/>
              </w:rPr>
              <w:t>animal</w:t>
            </w:r>
            <w:proofErr w:type="gramEnd"/>
            <w:r w:rsidRPr="00DB3B7E">
              <w:rPr>
                <w:b w:val="0"/>
              </w:rPr>
              <w:t xml:space="preserve"> manure, including litter and other bedding materials; </w:t>
            </w:r>
          </w:p>
          <w:p w:rsidR="001E4C5C" w:rsidRPr="00DB3B7E" w:rsidRDefault="001E4C5C" w:rsidP="001E4C5C">
            <w:pPr>
              <w:pStyle w:val="Heading2"/>
              <w:numPr>
                <w:ilvl w:val="1"/>
                <w:numId w:val="29"/>
              </w:numPr>
              <w:spacing w:before="0" w:after="0"/>
              <w:rPr>
                <w:b w:val="0"/>
              </w:rPr>
            </w:pPr>
            <w:r w:rsidRPr="00DB3B7E">
              <w:rPr>
                <w:b w:val="0"/>
              </w:rPr>
              <w:t xml:space="preserve">vegetative agricultural and </w:t>
            </w:r>
            <w:proofErr w:type="spellStart"/>
            <w:r w:rsidRPr="00DB3B7E">
              <w:rPr>
                <w:b w:val="0"/>
              </w:rPr>
              <w:t>silvicultural</w:t>
            </w:r>
            <w:proofErr w:type="spellEnd"/>
            <w:r w:rsidRPr="00DB3B7E">
              <w:rPr>
                <w:b w:val="0"/>
              </w:rPr>
              <w:t xml:space="preserve"> materials, including logging residues (slash), nut and grain hulls and chaff , </w:t>
            </w:r>
            <w:proofErr w:type="spellStart"/>
            <w:r w:rsidRPr="00DB3B7E">
              <w:rPr>
                <w:b w:val="0"/>
              </w:rPr>
              <w:t>bagasse</w:t>
            </w:r>
            <w:proofErr w:type="spellEnd"/>
            <w:r w:rsidRPr="00DB3B7E">
              <w:rPr>
                <w:b w:val="0"/>
              </w:rPr>
              <w:t xml:space="preserve">, orchard </w:t>
            </w:r>
            <w:proofErr w:type="spellStart"/>
            <w:r w:rsidRPr="00DB3B7E">
              <w:rPr>
                <w:b w:val="0"/>
              </w:rPr>
              <w:t>prunings</w:t>
            </w:r>
            <w:proofErr w:type="spellEnd"/>
            <w:r w:rsidRPr="00DB3B7E">
              <w:rPr>
                <w:b w:val="0"/>
              </w:rPr>
              <w:t>, corn stalks, coffee bean hulls and grounds.</w:t>
            </w:r>
          </w:p>
        </w:tc>
      </w:tr>
      <w:tr w:rsidR="001E4C5C" w:rsidTr="00612E52">
        <w:tc>
          <w:tcPr>
            <w:tcW w:w="2880" w:type="dxa"/>
          </w:tcPr>
          <w:p w:rsidR="001E4C5C" w:rsidRDefault="001E4C5C" w:rsidP="006266C4">
            <w:pPr>
              <w:pStyle w:val="Heading2"/>
            </w:pPr>
            <w:bookmarkStart w:id="16" w:name="_Ref316470370"/>
            <w:r>
              <w:t xml:space="preserve">Boiler </w:t>
            </w:r>
            <w:r w:rsidR="006266C4">
              <w:t>Tune-U</w:t>
            </w:r>
            <w:r>
              <w:t xml:space="preserve">p </w:t>
            </w:r>
            <w:r w:rsidR="006266C4">
              <w:t>R</w:t>
            </w:r>
            <w:r>
              <w:t>equirements</w:t>
            </w:r>
            <w:bookmarkEnd w:id="16"/>
          </w:p>
        </w:tc>
        <w:tc>
          <w:tcPr>
            <w:tcW w:w="6624" w:type="dxa"/>
          </w:tcPr>
          <w:p w:rsidR="001E4C5C" w:rsidRDefault="001E4C5C" w:rsidP="00612E52">
            <w:r>
              <w:t>N</w:t>
            </w:r>
            <w:r w:rsidRPr="00D25DE4">
              <w:t>o later than March 21, 2012</w:t>
            </w:r>
            <w:r>
              <w:t>, th</w:t>
            </w:r>
            <w:r w:rsidRPr="00D25DE4">
              <w:t>e permittee must conduct a performance tune-up and every two years thereafter as follows:</w:t>
            </w:r>
            <w:r>
              <w:t xml:space="preserve">  </w:t>
            </w:r>
            <w:r w:rsidRPr="00D25DE4">
              <w:t>[</w:t>
            </w:r>
            <w:r>
              <w:t xml:space="preserve">40 CFR </w:t>
            </w:r>
            <w:r w:rsidRPr="00D25DE4">
              <w:t>63.11196(a)(1), 63.11201(b), 63.11214(b) and 63.11223]</w:t>
            </w:r>
          </w:p>
        </w:tc>
      </w:tr>
      <w:tr w:rsidR="001E4C5C" w:rsidTr="00612E52">
        <w:tc>
          <w:tcPr>
            <w:tcW w:w="2880" w:type="dxa"/>
          </w:tcPr>
          <w:p w:rsidR="001E4C5C" w:rsidRDefault="001E4C5C" w:rsidP="00612E52"/>
        </w:tc>
        <w:tc>
          <w:tcPr>
            <w:tcW w:w="6624" w:type="dxa"/>
          </w:tcPr>
          <w:p w:rsidR="001E4C5C" w:rsidRDefault="001E4C5C" w:rsidP="00E9465C">
            <w:pPr>
              <w:pStyle w:val="Heading3"/>
              <w:spacing w:before="0" w:after="0"/>
            </w:pPr>
            <w:r w:rsidRPr="00D25DE4">
              <w:t xml:space="preserve">Inspect the burner, and clean or replace any components of the burner as necessary.  The burner inspection may be delayed until the next scheduled boiler shutdown, but each burner must be inspected </w:t>
            </w:r>
            <w:r>
              <w:t xml:space="preserve">at least once every 36 months; </w:t>
            </w:r>
          </w:p>
        </w:tc>
      </w:tr>
      <w:tr w:rsidR="001E4C5C" w:rsidTr="00612E52">
        <w:tc>
          <w:tcPr>
            <w:tcW w:w="2880" w:type="dxa"/>
          </w:tcPr>
          <w:p w:rsidR="001E4C5C" w:rsidRDefault="001E4C5C" w:rsidP="00612E52"/>
        </w:tc>
        <w:tc>
          <w:tcPr>
            <w:tcW w:w="6624" w:type="dxa"/>
          </w:tcPr>
          <w:p w:rsidR="001E4C5C" w:rsidRPr="00D25DE4" w:rsidRDefault="001E4C5C" w:rsidP="00E9465C">
            <w:pPr>
              <w:pStyle w:val="Heading3"/>
              <w:spacing w:before="0" w:after="0"/>
            </w:pPr>
            <w:r w:rsidRPr="00D25DE4">
              <w:t>Inspect the flame pattern, and adjust the burner as necessary to optimize the flame pattern.  Any adjustment must be consistent with the manufacturer’s specification</w:t>
            </w:r>
            <w:r>
              <w:t>s for the burner, if available;</w:t>
            </w:r>
          </w:p>
        </w:tc>
      </w:tr>
      <w:tr w:rsidR="001E4C5C" w:rsidTr="00612E52">
        <w:tc>
          <w:tcPr>
            <w:tcW w:w="2880" w:type="dxa"/>
          </w:tcPr>
          <w:p w:rsidR="001E4C5C" w:rsidRDefault="001E4C5C" w:rsidP="00612E52"/>
        </w:tc>
        <w:tc>
          <w:tcPr>
            <w:tcW w:w="6624" w:type="dxa"/>
          </w:tcPr>
          <w:p w:rsidR="001E4C5C" w:rsidRPr="00D25DE4" w:rsidRDefault="001E4C5C" w:rsidP="00E9465C">
            <w:pPr>
              <w:pStyle w:val="Heading3"/>
              <w:spacing w:before="0" w:after="0"/>
            </w:pPr>
            <w:r w:rsidRPr="00D25DE4">
              <w:t>Inspect the system controlling the air-to-fuel ratio, as applicable, and ensure it is correctly calibrated and functioning properly;</w:t>
            </w:r>
          </w:p>
        </w:tc>
      </w:tr>
      <w:tr w:rsidR="001E4C5C" w:rsidTr="00612E52">
        <w:tc>
          <w:tcPr>
            <w:tcW w:w="2880" w:type="dxa"/>
          </w:tcPr>
          <w:p w:rsidR="001E4C5C" w:rsidRDefault="001E4C5C" w:rsidP="00612E52"/>
        </w:tc>
        <w:tc>
          <w:tcPr>
            <w:tcW w:w="6624" w:type="dxa"/>
          </w:tcPr>
          <w:p w:rsidR="001E4C5C" w:rsidRPr="00D25DE4" w:rsidRDefault="001E4C5C" w:rsidP="00E9465C">
            <w:pPr>
              <w:pStyle w:val="Heading3"/>
              <w:spacing w:before="0" w:after="0"/>
            </w:pPr>
            <w:bookmarkStart w:id="17" w:name="_Ref290040980"/>
            <w:r w:rsidRPr="00D25DE4">
              <w:t>Measure the exhaust concentration of carbon monoxide (</w:t>
            </w:r>
            <w:proofErr w:type="spellStart"/>
            <w:r w:rsidRPr="00D25DE4">
              <w:t>ppmv</w:t>
            </w:r>
            <w:proofErr w:type="spellEnd"/>
            <w:r w:rsidRPr="00D25DE4">
              <w:t>) and oxygen (%), before and after the adjustments are made.  Measurements may be made either on a dry or wet basis, as long as it is the same basis before and after any adjustments are made;</w:t>
            </w:r>
            <w:bookmarkEnd w:id="17"/>
          </w:p>
        </w:tc>
      </w:tr>
      <w:tr w:rsidR="001E4C5C" w:rsidTr="00612E52">
        <w:tc>
          <w:tcPr>
            <w:tcW w:w="2880" w:type="dxa"/>
          </w:tcPr>
          <w:p w:rsidR="001E4C5C" w:rsidRDefault="001E4C5C" w:rsidP="00612E52"/>
        </w:tc>
        <w:tc>
          <w:tcPr>
            <w:tcW w:w="6624" w:type="dxa"/>
          </w:tcPr>
          <w:p w:rsidR="001E4C5C" w:rsidRPr="00D25DE4" w:rsidRDefault="001E4C5C" w:rsidP="00E9465C">
            <w:pPr>
              <w:pStyle w:val="Heading3"/>
              <w:spacing w:before="0" w:after="0"/>
            </w:pPr>
            <w:r w:rsidRPr="00D25DE4">
              <w:t>Optimize the total emissions of carbon monoxide.  This optimization must be consistent with the manufacturer’s specifications, if available</w:t>
            </w:r>
            <w:r w:rsidR="00D47D93">
              <w:t>;</w:t>
            </w:r>
          </w:p>
        </w:tc>
      </w:tr>
      <w:tr w:rsidR="001E4C5C" w:rsidTr="00612E52">
        <w:tc>
          <w:tcPr>
            <w:tcW w:w="2880" w:type="dxa"/>
          </w:tcPr>
          <w:p w:rsidR="001E4C5C" w:rsidRDefault="001E4C5C" w:rsidP="00612E52"/>
        </w:tc>
        <w:tc>
          <w:tcPr>
            <w:tcW w:w="6624" w:type="dxa"/>
          </w:tcPr>
          <w:p w:rsidR="001E4C5C" w:rsidRPr="00D25DE4" w:rsidRDefault="001E4C5C" w:rsidP="00E9465C">
            <w:pPr>
              <w:pStyle w:val="Heading3"/>
              <w:spacing w:before="0" w:after="0"/>
            </w:pPr>
            <w:r w:rsidRPr="00D25DE4">
              <w:t>If the boiler is not operating on the required date for the tune-up, the tune-up must be conducted within one week of startup</w:t>
            </w:r>
            <w:r w:rsidR="00D47D93">
              <w:t>; and</w:t>
            </w:r>
          </w:p>
        </w:tc>
      </w:tr>
      <w:tr w:rsidR="001E4C5C" w:rsidTr="00612E52">
        <w:tc>
          <w:tcPr>
            <w:tcW w:w="2880" w:type="dxa"/>
          </w:tcPr>
          <w:p w:rsidR="001E4C5C" w:rsidRDefault="001E4C5C" w:rsidP="00612E52"/>
        </w:tc>
        <w:tc>
          <w:tcPr>
            <w:tcW w:w="6624" w:type="dxa"/>
          </w:tcPr>
          <w:p w:rsidR="001E4C5C" w:rsidRPr="00D25DE4" w:rsidRDefault="001E4C5C" w:rsidP="00E9465C">
            <w:pPr>
              <w:pStyle w:val="Heading3"/>
              <w:spacing w:before="0" w:after="0"/>
            </w:pPr>
            <w:r w:rsidRPr="00D25DE4">
              <w:t xml:space="preserve">Each biennial tune-up must be conducted no more than 25 months after the previous tune-up.  </w:t>
            </w:r>
          </w:p>
        </w:tc>
      </w:tr>
      <w:tr w:rsidR="001E4C5C" w:rsidTr="00612E52">
        <w:tc>
          <w:tcPr>
            <w:tcW w:w="2880" w:type="dxa"/>
          </w:tcPr>
          <w:p w:rsidR="001E4C5C" w:rsidRDefault="001E4C5C" w:rsidP="00BF616A">
            <w:pPr>
              <w:pStyle w:val="Heading2"/>
            </w:pPr>
            <w:r>
              <w:lastRenderedPageBreak/>
              <w:t>Tune-</w:t>
            </w:r>
            <w:r w:rsidR="00BF616A">
              <w:t>U</w:t>
            </w:r>
            <w:r>
              <w:t xml:space="preserve">p </w:t>
            </w:r>
            <w:r w:rsidR="00BF616A">
              <w:t>R</w:t>
            </w:r>
            <w:r>
              <w:t>eports</w:t>
            </w:r>
          </w:p>
        </w:tc>
        <w:tc>
          <w:tcPr>
            <w:tcW w:w="6624" w:type="dxa"/>
          </w:tcPr>
          <w:p w:rsidR="001E4C5C" w:rsidRPr="00D25DE4" w:rsidRDefault="001E4C5C" w:rsidP="00BF616A">
            <w:pPr>
              <w:pStyle w:val="Bodytext"/>
            </w:pPr>
            <w:bookmarkStart w:id="18" w:name="_Ref297283522"/>
            <w:r w:rsidRPr="00D25DE4">
              <w:t xml:space="preserve">The permittee must maintain biennial reports containing the tune-up information as required in Condition </w:t>
            </w:r>
            <w:r w:rsidR="0088274C">
              <w:fldChar w:fldCharType="begin"/>
            </w:r>
            <w:r w:rsidR="00BF616A">
              <w:instrText xml:space="preserve"> REF _Ref316470370 \r \h </w:instrText>
            </w:r>
            <w:r w:rsidR="0088274C">
              <w:fldChar w:fldCharType="separate"/>
            </w:r>
            <w:r w:rsidR="00E52DFD">
              <w:t>2.2</w:t>
            </w:r>
            <w:r w:rsidR="0088274C">
              <w:fldChar w:fldCharType="end"/>
            </w:r>
            <w:r w:rsidRPr="00D25DE4">
              <w:t>, specifically:</w:t>
            </w:r>
            <w:r>
              <w:t xml:space="preserve">  </w:t>
            </w:r>
            <w:r w:rsidRPr="00D25DE4">
              <w:t>[</w:t>
            </w:r>
            <w:r>
              <w:t xml:space="preserve">40 CFR </w:t>
            </w:r>
            <w:r w:rsidRPr="00D25DE4">
              <w:t>63. 11223(b)(6) (</w:t>
            </w:r>
            <w:proofErr w:type="spellStart"/>
            <w:r w:rsidRPr="00D25DE4">
              <w:t>i</w:t>
            </w:r>
            <w:proofErr w:type="spellEnd"/>
            <w:r w:rsidRPr="00D25DE4">
              <w:t>) through (iii) and 63.11225(c)(2) (</w:t>
            </w:r>
            <w:proofErr w:type="spellStart"/>
            <w:r w:rsidRPr="00D25DE4">
              <w:t>i</w:t>
            </w:r>
            <w:proofErr w:type="spellEnd"/>
            <w:r w:rsidRPr="00D25DE4">
              <w:t>) and (ii)]</w:t>
            </w:r>
            <w:bookmarkEnd w:id="18"/>
          </w:p>
        </w:tc>
      </w:tr>
      <w:tr w:rsidR="001E4C5C" w:rsidTr="00612E52">
        <w:tc>
          <w:tcPr>
            <w:tcW w:w="2880" w:type="dxa"/>
          </w:tcPr>
          <w:p w:rsidR="001E4C5C" w:rsidRDefault="001E4C5C" w:rsidP="00612E52"/>
        </w:tc>
        <w:tc>
          <w:tcPr>
            <w:tcW w:w="6624" w:type="dxa"/>
          </w:tcPr>
          <w:p w:rsidR="001E4C5C" w:rsidRPr="00D25DE4" w:rsidRDefault="001E4C5C" w:rsidP="00BF616A">
            <w:pPr>
              <w:pStyle w:val="Heading3"/>
              <w:spacing w:before="0" w:after="0"/>
            </w:pPr>
            <w:r w:rsidRPr="00D25DE4">
              <w:t>Identification of the boiler, date of tune up, the procedures followed for the tune-up, and the manufacturer’s specifications to which the boiler was tuned</w:t>
            </w:r>
            <w:r w:rsidR="00BF616A">
              <w:t>;</w:t>
            </w:r>
          </w:p>
        </w:tc>
      </w:tr>
      <w:tr w:rsidR="001E4C5C" w:rsidTr="00612E52">
        <w:tc>
          <w:tcPr>
            <w:tcW w:w="2880" w:type="dxa"/>
          </w:tcPr>
          <w:p w:rsidR="001E4C5C" w:rsidRDefault="001E4C5C" w:rsidP="00612E52"/>
        </w:tc>
        <w:tc>
          <w:tcPr>
            <w:tcW w:w="6624" w:type="dxa"/>
          </w:tcPr>
          <w:p w:rsidR="001E4C5C" w:rsidRPr="00D25DE4" w:rsidRDefault="001E4C5C" w:rsidP="00BF616A">
            <w:pPr>
              <w:pStyle w:val="Heading3"/>
              <w:spacing w:before="0" w:after="0"/>
            </w:pPr>
            <w:r w:rsidRPr="00D25DE4">
              <w:t xml:space="preserve">The CO concentrations in the exhaust in </w:t>
            </w:r>
            <w:proofErr w:type="spellStart"/>
            <w:r w:rsidRPr="00D25DE4">
              <w:t>ppmv</w:t>
            </w:r>
            <w:proofErr w:type="spellEnd"/>
            <w:r w:rsidRPr="00D25DE4">
              <w:t xml:space="preserve">, and oxygen %, measured before and after the tune-up, as detailed in Condition </w:t>
            </w:r>
            <w:r w:rsidR="0088274C">
              <w:fldChar w:fldCharType="begin"/>
            </w:r>
            <w:r w:rsidR="0088274C">
              <w:instrText xml:space="preserve"> REF _Ref290040980 \r \h  \* MERGEFORMAT </w:instrText>
            </w:r>
            <w:r w:rsidR="0088274C">
              <w:fldChar w:fldCharType="separate"/>
            </w:r>
            <w:r w:rsidR="00E52DFD">
              <w:t>2.2.d</w:t>
            </w:r>
            <w:r w:rsidR="0088274C">
              <w:fldChar w:fldCharType="end"/>
            </w:r>
            <w:r w:rsidRPr="00D25DE4">
              <w:t>;</w:t>
            </w:r>
          </w:p>
        </w:tc>
      </w:tr>
      <w:tr w:rsidR="001E4C5C" w:rsidTr="00612E52">
        <w:tc>
          <w:tcPr>
            <w:tcW w:w="2880" w:type="dxa"/>
          </w:tcPr>
          <w:p w:rsidR="001E4C5C" w:rsidRDefault="001E4C5C" w:rsidP="00612E52"/>
        </w:tc>
        <w:tc>
          <w:tcPr>
            <w:tcW w:w="6624" w:type="dxa"/>
          </w:tcPr>
          <w:p w:rsidR="001E4C5C" w:rsidRPr="00D25DE4" w:rsidRDefault="001E4C5C" w:rsidP="00BF616A">
            <w:pPr>
              <w:pStyle w:val="Heading3"/>
              <w:spacing w:before="0" w:after="0"/>
            </w:pPr>
            <w:r w:rsidRPr="00D25DE4">
              <w:t>A description of any corrective actions taken as part of the tune-up;</w:t>
            </w:r>
          </w:p>
        </w:tc>
      </w:tr>
      <w:tr w:rsidR="001E4C5C" w:rsidTr="00612E52">
        <w:tc>
          <w:tcPr>
            <w:tcW w:w="2880" w:type="dxa"/>
          </w:tcPr>
          <w:p w:rsidR="001E4C5C" w:rsidRDefault="001E4C5C" w:rsidP="00612E52"/>
        </w:tc>
        <w:tc>
          <w:tcPr>
            <w:tcW w:w="6624" w:type="dxa"/>
          </w:tcPr>
          <w:p w:rsidR="001E4C5C" w:rsidRPr="00D25DE4" w:rsidRDefault="001E4C5C" w:rsidP="00BF616A">
            <w:pPr>
              <w:pStyle w:val="Heading3"/>
              <w:spacing w:before="0" w:after="0"/>
            </w:pPr>
            <w:r w:rsidRPr="00D25DE4">
              <w:t>The type and amount of fuel used each month over the 12 months prior to the biennial tune-up</w:t>
            </w:r>
            <w:r w:rsidR="00BF616A">
              <w:t>; and</w:t>
            </w:r>
          </w:p>
        </w:tc>
      </w:tr>
      <w:tr w:rsidR="001E4C5C" w:rsidTr="00612E52">
        <w:tc>
          <w:tcPr>
            <w:tcW w:w="2880" w:type="dxa"/>
          </w:tcPr>
          <w:p w:rsidR="001E4C5C" w:rsidRDefault="001E4C5C" w:rsidP="00612E52"/>
        </w:tc>
        <w:tc>
          <w:tcPr>
            <w:tcW w:w="6624" w:type="dxa"/>
          </w:tcPr>
          <w:p w:rsidR="001E4C5C" w:rsidRPr="00D25DE4" w:rsidRDefault="001E4C5C" w:rsidP="00BF616A">
            <w:pPr>
              <w:pStyle w:val="Heading3"/>
              <w:spacing w:before="0" w:after="0"/>
            </w:pPr>
            <w:r w:rsidRPr="00D25DE4">
              <w:t xml:space="preserve">These records must be maintained onsite, in a form suitable for inspection and/or submittal upon request.  </w:t>
            </w:r>
          </w:p>
        </w:tc>
      </w:tr>
      <w:tr w:rsidR="001E4C5C" w:rsidTr="00612E52">
        <w:tc>
          <w:tcPr>
            <w:tcW w:w="2880" w:type="dxa"/>
          </w:tcPr>
          <w:p w:rsidR="001E4C5C" w:rsidRDefault="001E4C5C" w:rsidP="00BF616A">
            <w:pPr>
              <w:pStyle w:val="Heading2"/>
            </w:pPr>
            <w:r>
              <w:t xml:space="preserve">Notification of </w:t>
            </w:r>
            <w:r w:rsidR="00BF616A">
              <w:t>C</w:t>
            </w:r>
            <w:r>
              <w:t xml:space="preserve">ompliance </w:t>
            </w:r>
            <w:r w:rsidR="00BF616A">
              <w:t>S</w:t>
            </w:r>
            <w:r>
              <w:t xml:space="preserve">tatus for the </w:t>
            </w:r>
            <w:r w:rsidR="00BF616A">
              <w:t>I</w:t>
            </w:r>
            <w:r>
              <w:t xml:space="preserve">nitial </w:t>
            </w:r>
            <w:r w:rsidR="00BF616A">
              <w:t>T</w:t>
            </w:r>
            <w:r>
              <w:t>une-</w:t>
            </w:r>
            <w:r w:rsidR="00BF616A">
              <w:t>U</w:t>
            </w:r>
            <w:r>
              <w:t>p</w:t>
            </w:r>
          </w:p>
        </w:tc>
        <w:tc>
          <w:tcPr>
            <w:tcW w:w="6624" w:type="dxa"/>
          </w:tcPr>
          <w:p w:rsidR="001E4C5C" w:rsidRPr="00D25DE4" w:rsidRDefault="001E4C5C" w:rsidP="00612E52">
            <w:pPr>
              <w:pStyle w:val="Bodytext"/>
            </w:pPr>
            <w:r w:rsidRPr="00D25DE4">
              <w:t xml:space="preserve">No later than July 19, 2012, the permittee must submit the Notification of Compliance Status including the statement, signed by the responsible official, that states:  “This facility complies with the requirements in </w:t>
            </w:r>
            <w:r>
              <w:t xml:space="preserve">40 CFR </w:t>
            </w:r>
            <w:r w:rsidRPr="00D25DE4">
              <w:t>63.11214 to conduct an initial tune-up of the boiler.”</w:t>
            </w:r>
            <w:r>
              <w:t xml:space="preserve"> </w:t>
            </w:r>
            <w:r w:rsidRPr="00D25DE4">
              <w:t>[</w:t>
            </w:r>
            <w:r>
              <w:t xml:space="preserve">40 CFR </w:t>
            </w:r>
            <w:r w:rsidRPr="00D25DE4">
              <w:t>63.11225(a)(4)(</w:t>
            </w:r>
            <w:proofErr w:type="spellStart"/>
            <w:r w:rsidRPr="00D25DE4">
              <w:t>i</w:t>
            </w:r>
            <w:proofErr w:type="spellEnd"/>
            <w:r w:rsidRPr="00D25DE4">
              <w:t>)]</w:t>
            </w:r>
          </w:p>
        </w:tc>
      </w:tr>
      <w:tr w:rsidR="001E4C5C" w:rsidTr="00612E52">
        <w:tc>
          <w:tcPr>
            <w:tcW w:w="2880" w:type="dxa"/>
          </w:tcPr>
          <w:p w:rsidR="001E4C5C" w:rsidRDefault="001E4C5C" w:rsidP="00612E52">
            <w:pPr>
              <w:pStyle w:val="Heading2"/>
            </w:pPr>
            <w:r>
              <w:t>Energy Assessment</w:t>
            </w:r>
          </w:p>
        </w:tc>
        <w:tc>
          <w:tcPr>
            <w:tcW w:w="6624" w:type="dxa"/>
          </w:tcPr>
          <w:p w:rsidR="001E4C5C" w:rsidRPr="00D25DE4" w:rsidRDefault="001E4C5C" w:rsidP="00612E52">
            <w:pPr>
              <w:pStyle w:val="Bodytext"/>
            </w:pPr>
            <w:r>
              <w:t>N</w:t>
            </w:r>
            <w:r w:rsidRPr="00D25DE4">
              <w:t>o later than March 21, 2014</w:t>
            </w:r>
            <w:r>
              <w:t>, t</w:t>
            </w:r>
            <w:r w:rsidRPr="00D25DE4">
              <w:t>he permittee must conduct an energy assessment of the boiler and its energy use systems.  [</w:t>
            </w:r>
            <w:r>
              <w:t xml:space="preserve">40 CFR </w:t>
            </w:r>
            <w:r w:rsidRPr="00D25DE4">
              <w:t>63.11214(c), 63.11237 and Table 2 to Subpart JJJJJJ of Part 63</w:t>
            </w:r>
            <w:r>
              <w:t>]</w:t>
            </w:r>
          </w:p>
        </w:tc>
      </w:tr>
      <w:tr w:rsidR="001E4C5C" w:rsidTr="00612E52">
        <w:tc>
          <w:tcPr>
            <w:tcW w:w="2880" w:type="dxa"/>
          </w:tcPr>
          <w:p w:rsidR="001E4C5C" w:rsidRDefault="001E4C5C" w:rsidP="00612E52"/>
        </w:tc>
        <w:tc>
          <w:tcPr>
            <w:tcW w:w="6624" w:type="dxa"/>
          </w:tcPr>
          <w:p w:rsidR="001E4C5C" w:rsidRDefault="001E4C5C" w:rsidP="00BF616A">
            <w:pPr>
              <w:pStyle w:val="Heading3"/>
              <w:spacing w:before="0" w:after="0"/>
            </w:pPr>
            <w:r w:rsidRPr="00D25DE4">
              <w:t>The energy assessment must be conducted as follows dependent on the annual heat input to the facility:</w:t>
            </w:r>
            <w:r>
              <w:t xml:space="preserve">  </w:t>
            </w:r>
          </w:p>
          <w:p w:rsidR="001E4C5C" w:rsidRPr="00BB15B1" w:rsidRDefault="001E4C5C" w:rsidP="00BF616A">
            <w:pPr>
              <w:pStyle w:val="Heading4"/>
              <w:spacing w:before="0" w:after="0"/>
            </w:pPr>
            <w:r w:rsidRPr="00BB15B1">
              <w:t xml:space="preserve">For facilities with affected boilers using less than 300,000 </w:t>
            </w:r>
            <w:proofErr w:type="spellStart"/>
            <w:r w:rsidRPr="00BB15B1">
              <w:t>MM</w:t>
            </w:r>
            <w:r w:rsidR="00BF616A">
              <w:t>B</w:t>
            </w:r>
            <w:r w:rsidRPr="00BB15B1">
              <w:t>tu</w:t>
            </w:r>
            <w:proofErr w:type="spellEnd"/>
            <w:r w:rsidRPr="00BB15B1">
              <w:t xml:space="preserve"> (0.3 trillion </w:t>
            </w:r>
            <w:r w:rsidR="00BF616A">
              <w:t>B</w:t>
            </w:r>
            <w:r w:rsidRPr="00BB15B1">
              <w:t xml:space="preserve">tu) per year total heat input, the energy assessment must be no less than one day in length.  </w:t>
            </w:r>
            <w:proofErr w:type="gramStart"/>
            <w:r w:rsidRPr="00BB15B1">
              <w:t xml:space="preserve">The boiler system and </w:t>
            </w:r>
            <w:r w:rsidRPr="00BB15B1">
              <w:rPr>
                <w:i/>
              </w:rPr>
              <w:t>energy use system</w:t>
            </w:r>
            <w:r w:rsidRPr="00BB15B1">
              <w:t xml:space="preserve"> accounting for at least 50 percent of the affected boiler(s) energy output must be evaluated to identify energy savings opportunities.</w:t>
            </w:r>
            <w:proofErr w:type="gramEnd"/>
          </w:p>
          <w:p w:rsidR="001E4C5C" w:rsidRPr="00BB15B1" w:rsidRDefault="001E4C5C" w:rsidP="00BF616A">
            <w:pPr>
              <w:pStyle w:val="Heading4"/>
              <w:spacing w:before="0" w:after="0"/>
            </w:pPr>
            <w:r w:rsidRPr="00BB15B1">
              <w:t xml:space="preserve">For facilities with affected boilers and process heaters using greater than 300,000 </w:t>
            </w:r>
            <w:proofErr w:type="spellStart"/>
            <w:r w:rsidRPr="00BB15B1">
              <w:t>MM</w:t>
            </w:r>
            <w:r w:rsidR="00950E17">
              <w:t>B</w:t>
            </w:r>
            <w:r w:rsidRPr="00BB15B1">
              <w:t>tu</w:t>
            </w:r>
            <w:proofErr w:type="spellEnd"/>
            <w:r w:rsidRPr="00BB15B1">
              <w:t xml:space="preserve"> (0.3 trillion </w:t>
            </w:r>
            <w:r w:rsidR="00950E17">
              <w:t>B</w:t>
            </w:r>
            <w:r w:rsidRPr="00BB15B1">
              <w:t xml:space="preserve">tu), but less than 1,000,000  </w:t>
            </w:r>
            <w:proofErr w:type="spellStart"/>
            <w:r w:rsidRPr="00BB15B1">
              <w:t>MM</w:t>
            </w:r>
            <w:r w:rsidR="00950E17">
              <w:t>B</w:t>
            </w:r>
            <w:r w:rsidRPr="00BB15B1">
              <w:t>tu</w:t>
            </w:r>
            <w:proofErr w:type="spellEnd"/>
            <w:r w:rsidRPr="00BB15B1">
              <w:t xml:space="preserve"> (1 trillion </w:t>
            </w:r>
            <w:r w:rsidR="00950E17">
              <w:t>B</w:t>
            </w:r>
            <w:r w:rsidRPr="00BB15B1">
              <w:t xml:space="preserve">tu) per year total heat input, the energy assessment must be no less than three days in length.  </w:t>
            </w:r>
            <w:proofErr w:type="gramStart"/>
            <w:r w:rsidRPr="00BB15B1">
              <w:t xml:space="preserve">The boiler system and </w:t>
            </w:r>
            <w:r w:rsidRPr="00BB15B1">
              <w:rPr>
                <w:i/>
              </w:rPr>
              <w:t>energy use system</w:t>
            </w:r>
            <w:r w:rsidRPr="00BB15B1">
              <w:t xml:space="preserve"> accounting for at least 33 percent of the affected boiler(s) energy output must be evaluated to identify energy savings opportunities.</w:t>
            </w:r>
            <w:proofErr w:type="gramEnd"/>
          </w:p>
          <w:p w:rsidR="001E4C5C" w:rsidRDefault="001E4C5C" w:rsidP="008114BB">
            <w:pPr>
              <w:pStyle w:val="Heading4"/>
              <w:spacing w:before="0" w:after="0"/>
            </w:pPr>
            <w:proofErr w:type="gramStart"/>
            <w:r w:rsidRPr="00BB15B1">
              <w:lastRenderedPageBreak/>
              <w:t xml:space="preserve">For facilities with affected boilers and process heaters using more than 1,000,000 </w:t>
            </w:r>
            <w:proofErr w:type="spellStart"/>
            <w:r w:rsidRPr="00BB15B1">
              <w:t>MM</w:t>
            </w:r>
            <w:r w:rsidR="008114BB">
              <w:t>B</w:t>
            </w:r>
            <w:r w:rsidRPr="00BB15B1">
              <w:t>tu</w:t>
            </w:r>
            <w:proofErr w:type="spellEnd"/>
            <w:r w:rsidRPr="00BB15B1">
              <w:t xml:space="preserve"> (1 trillion </w:t>
            </w:r>
            <w:r w:rsidR="008114BB">
              <w:t>B</w:t>
            </w:r>
            <w:r w:rsidRPr="00BB15B1">
              <w:t>tu) per year total heat input.</w:t>
            </w:r>
            <w:proofErr w:type="gramEnd"/>
            <w:r w:rsidRPr="00BB15B1">
              <w:t xml:space="preserve">  </w:t>
            </w:r>
            <w:proofErr w:type="gramStart"/>
            <w:r w:rsidRPr="00BB15B1">
              <w:t xml:space="preserve">The boiler system and </w:t>
            </w:r>
            <w:r w:rsidRPr="00BB15B1">
              <w:rPr>
                <w:i/>
              </w:rPr>
              <w:t>energy use system</w:t>
            </w:r>
            <w:r w:rsidRPr="00BB15B1">
              <w:t xml:space="preserve"> accounting for at least 20 percent of the affected boiler(s) energy output must be evaluated to identify energy savings opportunities</w:t>
            </w:r>
            <w:r w:rsidR="00952C72">
              <w:t>.</w:t>
            </w:r>
            <w:proofErr w:type="gramEnd"/>
          </w:p>
        </w:tc>
      </w:tr>
      <w:tr w:rsidR="001E4C5C" w:rsidTr="00612E52">
        <w:tc>
          <w:tcPr>
            <w:tcW w:w="2880" w:type="dxa"/>
          </w:tcPr>
          <w:p w:rsidR="001E4C5C" w:rsidRDefault="001E4C5C" w:rsidP="00612E52"/>
        </w:tc>
        <w:tc>
          <w:tcPr>
            <w:tcW w:w="6624" w:type="dxa"/>
          </w:tcPr>
          <w:p w:rsidR="001E4C5C" w:rsidRDefault="001E4C5C" w:rsidP="00BF616A">
            <w:pPr>
              <w:pStyle w:val="Heading3"/>
              <w:spacing w:before="0" w:after="0"/>
            </w:pPr>
            <w:r w:rsidRPr="00D25DE4">
              <w:t>The energy assessment must include:</w:t>
            </w:r>
          </w:p>
          <w:p w:rsidR="001E4C5C" w:rsidRPr="00BB15B1" w:rsidRDefault="001E4C5C" w:rsidP="00BF616A">
            <w:pPr>
              <w:pStyle w:val="Heading4"/>
              <w:spacing w:before="0" w:after="0"/>
            </w:pPr>
            <w:r w:rsidRPr="00BB15B1">
              <w:t>A visual insp</w:t>
            </w:r>
            <w:r w:rsidR="00952C72">
              <w:t>ection of the boiler system;</w:t>
            </w:r>
          </w:p>
          <w:p w:rsidR="001E4C5C" w:rsidRPr="00DE5A47" w:rsidRDefault="001E4C5C" w:rsidP="00BF616A">
            <w:pPr>
              <w:pStyle w:val="Heading4"/>
              <w:spacing w:before="0" w:after="0"/>
            </w:pPr>
            <w:r w:rsidRPr="00BB15B1">
              <w:t xml:space="preserve">An evaluation of operating characteristics of the facility, specifications of </w:t>
            </w:r>
            <w:r w:rsidRPr="002D1331">
              <w:rPr>
                <w:i/>
              </w:rPr>
              <w:t>energy use systems</w:t>
            </w:r>
            <w:r w:rsidRPr="00BB15B1">
              <w:t>, operating and maintenance procedures, and</w:t>
            </w:r>
            <w:r w:rsidR="00952C72">
              <w:t xml:space="preserve"> unusual operating constraints;</w:t>
            </w:r>
          </w:p>
          <w:p w:rsidR="001E4C5C" w:rsidRPr="00D25DE4" w:rsidRDefault="001E4C5C" w:rsidP="00BF616A">
            <w:pPr>
              <w:pStyle w:val="Heading4"/>
              <w:spacing w:before="0" w:after="0"/>
            </w:pPr>
            <w:r w:rsidRPr="002D1331">
              <w:rPr>
                <w:i/>
              </w:rPr>
              <w:t>Energy use systems</w:t>
            </w:r>
            <w:r w:rsidRPr="00D25DE4">
              <w:t xml:space="preserve"> include, but are</w:t>
            </w:r>
            <w:r w:rsidR="00952C72">
              <w:t xml:space="preserve"> not limited to process heating, compressed air systems,</w:t>
            </w:r>
            <w:r w:rsidRPr="00D25DE4">
              <w:t xml:space="preserve"> machine drive (pumps, motors, fans)</w:t>
            </w:r>
            <w:r w:rsidR="00952C72">
              <w:t>, process cooling,</w:t>
            </w:r>
            <w:r w:rsidRPr="00D25DE4">
              <w:t xml:space="preserve"> facility heating, ventilation and </w:t>
            </w:r>
            <w:r w:rsidR="00952C72">
              <w:t>air conditioning (HVAC) systems, hot heater systems,</w:t>
            </w:r>
            <w:r w:rsidRPr="00D25DE4">
              <w:t xml:space="preserve"> building envelope</w:t>
            </w:r>
            <w:r w:rsidR="00952C72">
              <w:t>, and lighting;</w:t>
            </w:r>
          </w:p>
          <w:p w:rsidR="001E4C5C" w:rsidRPr="00BB15B1" w:rsidRDefault="001E4C5C" w:rsidP="00BF616A">
            <w:pPr>
              <w:pStyle w:val="Heading4"/>
              <w:spacing w:before="0" w:after="0"/>
            </w:pPr>
            <w:r w:rsidRPr="00BB15B1">
              <w:t>An inventory of major systems consuming energy from each affected boiler(s);</w:t>
            </w:r>
          </w:p>
          <w:p w:rsidR="001E4C5C" w:rsidRPr="00BB15B1" w:rsidRDefault="001E4C5C" w:rsidP="00BF616A">
            <w:pPr>
              <w:pStyle w:val="Heading4"/>
              <w:spacing w:before="0" w:after="0"/>
            </w:pPr>
            <w:r w:rsidRPr="00BB15B1">
              <w:t>A review of available architectural and engineering plans, facility operation and maintenance procedures and logs, and fuel usage;</w:t>
            </w:r>
          </w:p>
          <w:p w:rsidR="001E4C5C" w:rsidRPr="00BB15B1" w:rsidRDefault="001E4C5C" w:rsidP="00BF616A">
            <w:pPr>
              <w:pStyle w:val="Heading4"/>
              <w:spacing w:before="0" w:after="0"/>
            </w:pPr>
            <w:r w:rsidRPr="00BB15B1">
              <w:t>A list of major energy conservation measures; and</w:t>
            </w:r>
          </w:p>
          <w:p w:rsidR="001E4C5C" w:rsidRPr="00D25DE4" w:rsidRDefault="001E4C5C" w:rsidP="00BF616A">
            <w:pPr>
              <w:pStyle w:val="Heading4"/>
              <w:spacing w:before="0" w:after="0"/>
            </w:pPr>
            <w:bookmarkStart w:id="19" w:name="_Ref297708082"/>
            <w:r w:rsidRPr="00BB15B1">
              <w:t>A comprehensive report detailing the ways to improve efficiency, the cost of specific improvements, benefits, and the time frame for recouping those investments.</w:t>
            </w:r>
            <w:bookmarkEnd w:id="19"/>
            <w:r w:rsidRPr="00BB15B1">
              <w:t xml:space="preserve"> </w:t>
            </w:r>
            <w:r w:rsidRPr="00D25DE4">
              <w:t xml:space="preserve"> </w:t>
            </w:r>
          </w:p>
        </w:tc>
      </w:tr>
      <w:tr w:rsidR="001E4C5C" w:rsidTr="00612E52">
        <w:tc>
          <w:tcPr>
            <w:tcW w:w="2880" w:type="dxa"/>
          </w:tcPr>
          <w:p w:rsidR="001E4C5C" w:rsidRDefault="001E4C5C" w:rsidP="00D7229A">
            <w:pPr>
              <w:pStyle w:val="Heading2"/>
            </w:pPr>
            <w:r>
              <w:t xml:space="preserve">Notification of </w:t>
            </w:r>
            <w:r w:rsidR="00D7229A">
              <w:t>Compliance S</w:t>
            </w:r>
            <w:r>
              <w:t xml:space="preserve">tatus for the </w:t>
            </w:r>
            <w:r w:rsidR="00D7229A">
              <w:t>E</w:t>
            </w:r>
            <w:r>
              <w:t xml:space="preserve">nergy </w:t>
            </w:r>
            <w:r w:rsidR="00D7229A">
              <w:t>A</w:t>
            </w:r>
            <w:r>
              <w:t>ssessment</w:t>
            </w:r>
          </w:p>
        </w:tc>
        <w:tc>
          <w:tcPr>
            <w:tcW w:w="6624" w:type="dxa"/>
          </w:tcPr>
          <w:p w:rsidR="001E4C5C" w:rsidRPr="00D25DE4" w:rsidRDefault="001E4C5C" w:rsidP="00485D06">
            <w:pPr>
              <w:pStyle w:val="Bodytext"/>
            </w:pPr>
            <w:r w:rsidRPr="00D25DE4">
              <w:t xml:space="preserve">No later than July 19, 2014, the permittee must submit the Notification of Compliance Status including the statement, signed by the responsible official, that states:  “This facility has had an energy assessment performed according to </w:t>
            </w:r>
            <w:r>
              <w:t>40 CFR</w:t>
            </w:r>
            <w:r w:rsidRPr="00D25DE4">
              <w:t xml:space="preserve"> 63.11214(c).”  [</w:t>
            </w:r>
            <w:r>
              <w:t xml:space="preserve">40 CFR </w:t>
            </w:r>
            <w:r w:rsidRPr="00D25DE4">
              <w:t>63.11225(a)(4)(ii)]</w:t>
            </w:r>
          </w:p>
        </w:tc>
      </w:tr>
      <w:tr w:rsidR="00C764D0" w:rsidTr="00612E52">
        <w:tc>
          <w:tcPr>
            <w:tcW w:w="2880" w:type="dxa"/>
            <w:vMerge w:val="restart"/>
          </w:tcPr>
          <w:p w:rsidR="00C764D0" w:rsidRDefault="00C764D0" w:rsidP="00052967">
            <w:pPr>
              <w:pStyle w:val="Heading2"/>
              <w:spacing w:before="0" w:after="0"/>
            </w:pPr>
            <w:r>
              <w:t>Ongoing Reporting, Notification, and General Provision Requirements</w:t>
            </w:r>
          </w:p>
        </w:tc>
        <w:tc>
          <w:tcPr>
            <w:tcW w:w="6624" w:type="dxa"/>
          </w:tcPr>
          <w:p w:rsidR="00C764D0" w:rsidRPr="00D25DE4" w:rsidRDefault="00C764D0" w:rsidP="00052967">
            <w:pPr>
              <w:pStyle w:val="Heading3"/>
              <w:spacing w:before="0" w:after="0"/>
            </w:pPr>
            <w:bookmarkStart w:id="20" w:name="_Ref297709324"/>
            <w:r>
              <w:t xml:space="preserve">The permittee must prepare a biennial compliance report and include it with the annual report specified in Condition </w:t>
            </w:r>
            <w:r w:rsidR="0088274C">
              <w:fldChar w:fldCharType="begin"/>
            </w:r>
            <w:r>
              <w:instrText xml:space="preserve"> REF _Ref316471254 \r \h </w:instrText>
            </w:r>
            <w:r w:rsidR="0088274C">
              <w:fldChar w:fldCharType="separate"/>
            </w:r>
            <w:r w:rsidR="00E52DFD">
              <w:t>6.2</w:t>
            </w:r>
            <w:r w:rsidR="0088274C">
              <w:fldChar w:fldCharType="end"/>
            </w:r>
            <w:r>
              <w:t>.  The report must include the following:  [40 CFR 63.11225(b)]</w:t>
            </w:r>
            <w:bookmarkEnd w:id="20"/>
          </w:p>
        </w:tc>
      </w:tr>
      <w:tr w:rsidR="00C764D0" w:rsidTr="00612E52">
        <w:tc>
          <w:tcPr>
            <w:tcW w:w="2880" w:type="dxa"/>
            <w:vMerge/>
          </w:tcPr>
          <w:p w:rsidR="00C764D0" w:rsidRDefault="00C764D0" w:rsidP="00052967"/>
        </w:tc>
        <w:tc>
          <w:tcPr>
            <w:tcW w:w="6624" w:type="dxa"/>
          </w:tcPr>
          <w:p w:rsidR="00C764D0" w:rsidRPr="00BB15B1" w:rsidRDefault="00C764D0" w:rsidP="00052967">
            <w:pPr>
              <w:pStyle w:val="Heading4"/>
              <w:spacing w:before="0" w:after="0"/>
            </w:pPr>
            <w:r w:rsidRPr="00BB15B1">
              <w:t>Company name and address;</w:t>
            </w:r>
          </w:p>
          <w:p w:rsidR="00C764D0" w:rsidRPr="00BB15B1" w:rsidRDefault="00C764D0" w:rsidP="00052967">
            <w:pPr>
              <w:pStyle w:val="Heading4"/>
              <w:spacing w:before="0" w:after="0"/>
            </w:pPr>
            <w:r w:rsidRPr="00BB15B1">
              <w:t>Statement by a responsible offic</w:t>
            </w:r>
            <w:r>
              <w:t>ial</w:t>
            </w:r>
            <w:r w:rsidRPr="00BB15B1">
              <w:t>, with the official’s name, title, phone number, e-mail address and signature, certifying the truth</w:t>
            </w:r>
            <w:r>
              <w:t>,</w:t>
            </w:r>
            <w:r w:rsidRPr="00BB15B1">
              <w:t xml:space="preserve"> accuracy and completeness of the notification and a statement of whether the source has complied with all of the relevant standards and other requirements of 40 </w:t>
            </w:r>
            <w:r w:rsidRPr="00BB15B1">
              <w:lastRenderedPageBreak/>
              <w:t xml:space="preserve">CFR Part 63, </w:t>
            </w:r>
            <w:r>
              <w:t>S</w:t>
            </w:r>
            <w:r w:rsidRPr="00BB15B1">
              <w:t>ubpart JJJJJJ.</w:t>
            </w:r>
          </w:p>
          <w:p w:rsidR="00C764D0" w:rsidRDefault="00C764D0" w:rsidP="00052967">
            <w:pPr>
              <w:pStyle w:val="Heading4"/>
              <w:spacing w:before="0" w:after="0"/>
            </w:pPr>
            <w:r w:rsidRPr="00BB15B1">
              <w:t>If the source experiences any deviations from the applicable requirements during the reporting period, include a description of the deviations, the time periods during which the deviations occurred, and the corrective action taken.</w:t>
            </w:r>
          </w:p>
        </w:tc>
      </w:tr>
      <w:tr w:rsidR="001E4C5C" w:rsidTr="00612E52">
        <w:tc>
          <w:tcPr>
            <w:tcW w:w="2880" w:type="dxa"/>
          </w:tcPr>
          <w:p w:rsidR="001E4C5C" w:rsidRDefault="001E4C5C" w:rsidP="00612E52"/>
        </w:tc>
        <w:tc>
          <w:tcPr>
            <w:tcW w:w="6624" w:type="dxa"/>
          </w:tcPr>
          <w:p w:rsidR="001E4C5C" w:rsidRPr="00BB15B1" w:rsidRDefault="001E4C5C" w:rsidP="00D7229A">
            <w:pPr>
              <w:pStyle w:val="Heading3"/>
              <w:spacing w:before="0" w:after="0"/>
            </w:pPr>
            <w:r>
              <w:t>Notification 30 days prior to commencing combustion of solid waste including the following information:  [40 CFR 63.11225(f)]</w:t>
            </w:r>
          </w:p>
        </w:tc>
      </w:tr>
      <w:tr w:rsidR="001E4C5C" w:rsidTr="00612E52">
        <w:tc>
          <w:tcPr>
            <w:tcW w:w="2880" w:type="dxa"/>
          </w:tcPr>
          <w:p w:rsidR="001E4C5C" w:rsidRDefault="001E4C5C" w:rsidP="00612E52"/>
        </w:tc>
        <w:tc>
          <w:tcPr>
            <w:tcW w:w="6624" w:type="dxa"/>
          </w:tcPr>
          <w:p w:rsidR="001E4C5C" w:rsidRPr="00BB15B1" w:rsidRDefault="001E4C5C" w:rsidP="00D7229A">
            <w:pPr>
              <w:pStyle w:val="Heading4"/>
              <w:spacing w:before="0" w:after="0"/>
            </w:pPr>
            <w:r w:rsidRPr="00BB15B1">
              <w:t>The name of the owner or operator of the affected source, the location of the source, the boilers(s) that will commence burning solid waste, and the date of the notice;</w:t>
            </w:r>
          </w:p>
          <w:p w:rsidR="001E4C5C" w:rsidRPr="00BB15B1" w:rsidRDefault="001E4C5C" w:rsidP="00D7229A">
            <w:pPr>
              <w:pStyle w:val="Heading4"/>
              <w:spacing w:before="0" w:after="0"/>
            </w:pPr>
            <w:r w:rsidRPr="00BB15B1">
              <w:t xml:space="preserve">The currently applicable subcategory under 40 CFR Part 63, </w:t>
            </w:r>
            <w:r w:rsidR="00CE7544">
              <w:t>S</w:t>
            </w:r>
            <w:r w:rsidRPr="00BB15B1">
              <w:t>ubpart JJJJJJ;</w:t>
            </w:r>
          </w:p>
          <w:p w:rsidR="001E4C5C" w:rsidRPr="00BB15B1" w:rsidRDefault="001E4C5C" w:rsidP="00D7229A">
            <w:pPr>
              <w:pStyle w:val="Heading4"/>
              <w:spacing w:before="0" w:after="0"/>
            </w:pPr>
            <w:r w:rsidRPr="00BB15B1">
              <w:t>The date on which the boilers became subject to the currently applicable emission limits; and</w:t>
            </w:r>
          </w:p>
          <w:p w:rsidR="001E4C5C" w:rsidRDefault="001E4C5C" w:rsidP="00D7229A">
            <w:pPr>
              <w:pStyle w:val="Heading4"/>
              <w:spacing w:before="0" w:after="0"/>
            </w:pPr>
            <w:proofErr w:type="gramStart"/>
            <w:r w:rsidRPr="00BB15B1">
              <w:t>The date upon which combusting solid waste will commence.</w:t>
            </w:r>
            <w:proofErr w:type="gramEnd"/>
          </w:p>
        </w:tc>
      </w:tr>
      <w:tr w:rsidR="001E4C5C" w:rsidTr="00612E52">
        <w:tc>
          <w:tcPr>
            <w:tcW w:w="2880" w:type="dxa"/>
          </w:tcPr>
          <w:p w:rsidR="001E4C5C" w:rsidRDefault="001E4C5C" w:rsidP="00612E52"/>
        </w:tc>
        <w:tc>
          <w:tcPr>
            <w:tcW w:w="6624" w:type="dxa"/>
          </w:tcPr>
          <w:p w:rsidR="001E4C5C" w:rsidRPr="00BB15B1" w:rsidRDefault="001E4C5C" w:rsidP="00CE7544">
            <w:pPr>
              <w:pStyle w:val="Heading3"/>
              <w:spacing w:before="0" w:after="0"/>
            </w:pPr>
            <w:r>
              <w:t xml:space="preserve">Notification 30 days prior to switching to a fuel(s) that may result in the applicability of a different subcategory or a switch out of 40 CFR Part 63, </w:t>
            </w:r>
            <w:r w:rsidR="00CE7544">
              <w:t>S</w:t>
            </w:r>
            <w:r>
              <w:t>ubpart JJJJJJ due to a switch to 100 percent natural gas, including the following information:  [40 CFR 63.11225(g)]</w:t>
            </w:r>
          </w:p>
        </w:tc>
      </w:tr>
      <w:tr w:rsidR="001E4C5C" w:rsidTr="00612E52">
        <w:tc>
          <w:tcPr>
            <w:tcW w:w="2880" w:type="dxa"/>
          </w:tcPr>
          <w:p w:rsidR="001E4C5C" w:rsidRDefault="001E4C5C" w:rsidP="00612E52"/>
        </w:tc>
        <w:tc>
          <w:tcPr>
            <w:tcW w:w="6624" w:type="dxa"/>
          </w:tcPr>
          <w:p w:rsidR="001E4C5C" w:rsidRPr="00EC0EF8" w:rsidRDefault="001E4C5C" w:rsidP="00D7229A">
            <w:pPr>
              <w:pStyle w:val="Heading4"/>
              <w:spacing w:before="0" w:after="0"/>
            </w:pPr>
            <w:r w:rsidRPr="00EC0EF8">
              <w:t>The name of the owner or operator of the affected source, the location of the source, the boiler(s) that will switch fuels, and the date of the notice;</w:t>
            </w:r>
          </w:p>
          <w:p w:rsidR="001E4C5C" w:rsidRPr="00BB15B1" w:rsidRDefault="001E4C5C" w:rsidP="00D7229A">
            <w:pPr>
              <w:pStyle w:val="Heading4"/>
              <w:spacing w:before="0" w:after="0"/>
            </w:pPr>
            <w:r w:rsidRPr="00BB15B1">
              <w:t xml:space="preserve">The currently applicable subcategory under 40 CFR Part 63, </w:t>
            </w:r>
            <w:r w:rsidR="00681D46">
              <w:t>S</w:t>
            </w:r>
            <w:r w:rsidRPr="00BB15B1">
              <w:t>ubpart JJJJJJ;</w:t>
            </w:r>
          </w:p>
          <w:p w:rsidR="001E4C5C" w:rsidRPr="00BB15B1" w:rsidRDefault="001E4C5C" w:rsidP="00D7229A">
            <w:pPr>
              <w:pStyle w:val="Heading4"/>
              <w:spacing w:before="0" w:after="0"/>
            </w:pPr>
            <w:r w:rsidRPr="00BB15B1">
              <w:t>The date on which the boilers became subject to the currently applicable emission limits; and</w:t>
            </w:r>
          </w:p>
          <w:p w:rsidR="001E4C5C" w:rsidRDefault="001E4C5C" w:rsidP="00D7229A">
            <w:pPr>
              <w:pStyle w:val="Heading4"/>
              <w:spacing w:before="0" w:after="0"/>
            </w:pPr>
            <w:proofErr w:type="gramStart"/>
            <w:r w:rsidRPr="00BB15B1">
              <w:t>The date upon which the fuel switch will commence.</w:t>
            </w:r>
            <w:proofErr w:type="gramEnd"/>
          </w:p>
        </w:tc>
      </w:tr>
      <w:tr w:rsidR="001E4C5C" w:rsidTr="00612E52">
        <w:tc>
          <w:tcPr>
            <w:tcW w:w="2880" w:type="dxa"/>
          </w:tcPr>
          <w:p w:rsidR="001E4C5C" w:rsidRDefault="001E4C5C" w:rsidP="00612E52"/>
        </w:tc>
        <w:tc>
          <w:tcPr>
            <w:tcW w:w="6624" w:type="dxa"/>
          </w:tcPr>
          <w:p w:rsidR="001E4C5C" w:rsidRPr="00EC0EF8" w:rsidRDefault="001E4C5C" w:rsidP="00D7229A">
            <w:pPr>
              <w:pStyle w:val="Heading3"/>
              <w:spacing w:before="0" w:after="0"/>
            </w:pPr>
            <w:r>
              <w:t>The General Provisions of 40 CFR Part 63 are incorporated by reference in accordance with Table 8 of Subpart JJJJJJ.  [40 CFR 63.11235]</w:t>
            </w:r>
          </w:p>
        </w:tc>
      </w:tr>
    </w:tbl>
    <w:p w:rsidR="0084287B" w:rsidRDefault="0084287B"/>
    <w:p w:rsidR="0008637D" w:rsidRDefault="0008637D">
      <w:r>
        <w:br w:type="page"/>
      </w:r>
    </w:p>
    <w:p w:rsidR="00C5535B" w:rsidRDefault="00C5535B">
      <w:pPr>
        <w:pStyle w:val="Heading1"/>
      </w:pPr>
      <w:bookmarkStart w:id="21" w:name="_Toc481295399"/>
      <w:bookmarkStart w:id="22" w:name="_Toc321315432"/>
      <w:r>
        <w:lastRenderedPageBreak/>
        <w:t>plant site emission limits</w:t>
      </w:r>
      <w:bookmarkEnd w:id="21"/>
      <w:bookmarkEnd w:id="22"/>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C5535B">
        <w:trPr>
          <w:cantSplit/>
        </w:trPr>
        <w:tc>
          <w:tcPr>
            <w:tcW w:w="2880" w:type="dxa"/>
            <w:vMerge w:val="restart"/>
            <w:tcBorders>
              <w:top w:val="nil"/>
              <w:left w:val="nil"/>
              <w:bottom w:val="nil"/>
              <w:right w:val="nil"/>
            </w:tcBorders>
          </w:tcPr>
          <w:p w:rsidR="00C5535B" w:rsidRDefault="00C5535B">
            <w:pPr>
              <w:pStyle w:val="Heading2"/>
            </w:pPr>
            <w:r>
              <w:t>Plant Site Emission Limits (PSEL)</w:t>
            </w:r>
          </w:p>
        </w:tc>
        <w:tc>
          <w:tcPr>
            <w:tcW w:w="6624" w:type="dxa"/>
            <w:gridSpan w:val="3"/>
            <w:tcBorders>
              <w:top w:val="nil"/>
              <w:left w:val="nil"/>
              <w:bottom w:val="nil"/>
              <w:right w:val="nil"/>
            </w:tcBorders>
          </w:tcPr>
          <w:p w:rsidR="00C5535B" w:rsidRDefault="00C5535B">
            <w:pPr>
              <w:pStyle w:val="Bodytext"/>
            </w:pPr>
            <w:r>
              <w:t>Plant site emissions must not exceed the following:</w:t>
            </w:r>
          </w:p>
        </w:tc>
      </w:tr>
      <w:tr w:rsidR="00C5535B" w:rsidTr="0008637D">
        <w:trPr>
          <w:cantSplit/>
        </w:trPr>
        <w:tc>
          <w:tcPr>
            <w:tcW w:w="2880" w:type="dxa"/>
            <w:vMerge/>
            <w:tcBorders>
              <w:left w:val="nil"/>
              <w:bottom w:val="nil"/>
              <w:right w:val="single" w:sz="4" w:space="0" w:color="auto"/>
            </w:tcBorders>
          </w:tcPr>
          <w:p w:rsidR="00C5535B" w:rsidRDefault="00C5535B"/>
        </w:tc>
        <w:tc>
          <w:tcPr>
            <w:tcW w:w="2160" w:type="dxa"/>
            <w:tcBorders>
              <w:top w:val="single" w:sz="4" w:space="0" w:color="auto"/>
              <w:left w:val="nil"/>
              <w:bottom w:val="single" w:sz="4" w:space="0" w:color="auto"/>
            </w:tcBorders>
            <w:vAlign w:val="center"/>
          </w:tcPr>
          <w:p w:rsidR="00C5535B" w:rsidRDefault="00C5535B" w:rsidP="0008637D">
            <w:pPr>
              <w:spacing w:before="60" w:after="60"/>
              <w:ind w:left="-90"/>
              <w:jc w:val="center"/>
              <w:rPr>
                <w:b/>
              </w:rPr>
            </w:pPr>
            <w:r>
              <w:rPr>
                <w:b/>
              </w:rPr>
              <w:t>Pollutant</w:t>
            </w:r>
          </w:p>
        </w:tc>
        <w:tc>
          <w:tcPr>
            <w:tcW w:w="2160" w:type="dxa"/>
            <w:tcBorders>
              <w:top w:val="single" w:sz="4" w:space="0" w:color="auto"/>
              <w:bottom w:val="single" w:sz="4" w:space="0" w:color="auto"/>
            </w:tcBorders>
            <w:vAlign w:val="center"/>
          </w:tcPr>
          <w:p w:rsidR="00C5535B" w:rsidRDefault="00C5535B" w:rsidP="0008637D">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vAlign w:val="center"/>
          </w:tcPr>
          <w:p w:rsidR="00C5535B" w:rsidRDefault="00C5535B" w:rsidP="0008637D">
            <w:pPr>
              <w:pStyle w:val="Header"/>
              <w:tabs>
                <w:tab w:val="clear" w:pos="4320"/>
                <w:tab w:val="clear" w:pos="8640"/>
              </w:tabs>
              <w:spacing w:before="60" w:after="60"/>
              <w:jc w:val="center"/>
              <w:rPr>
                <w:b/>
              </w:rPr>
            </w:pPr>
            <w:r>
              <w:rPr>
                <w:b/>
              </w:rPr>
              <w:t>Units</w:t>
            </w:r>
          </w:p>
        </w:tc>
      </w:tr>
      <w:tr w:rsidR="00C5535B" w:rsidTr="0008637D">
        <w:trPr>
          <w:cantSplit/>
        </w:trPr>
        <w:tc>
          <w:tcPr>
            <w:tcW w:w="2880" w:type="dxa"/>
            <w:vMerge/>
            <w:tcBorders>
              <w:left w:val="nil"/>
              <w:bottom w:val="nil"/>
              <w:right w:val="single" w:sz="4" w:space="0" w:color="auto"/>
            </w:tcBorders>
          </w:tcPr>
          <w:p w:rsidR="00C5535B" w:rsidRDefault="00C5535B"/>
        </w:tc>
        <w:tc>
          <w:tcPr>
            <w:tcW w:w="2160" w:type="dxa"/>
            <w:tcBorders>
              <w:top w:val="nil"/>
              <w:left w:val="nil"/>
            </w:tcBorders>
            <w:vAlign w:val="center"/>
          </w:tcPr>
          <w:p w:rsidR="00C5535B" w:rsidRDefault="00C5535B" w:rsidP="0008637D">
            <w:pPr>
              <w:spacing w:before="60" w:after="60"/>
              <w:ind w:left="-90"/>
              <w:jc w:val="center"/>
            </w:pPr>
            <w:r>
              <w:t>PM</w:t>
            </w:r>
          </w:p>
        </w:tc>
        <w:tc>
          <w:tcPr>
            <w:tcW w:w="2160" w:type="dxa"/>
            <w:tcBorders>
              <w:top w:val="nil"/>
            </w:tcBorders>
            <w:vAlign w:val="center"/>
          </w:tcPr>
          <w:p w:rsidR="00C5535B" w:rsidRDefault="00ED16F2" w:rsidP="0008637D">
            <w:pPr>
              <w:pStyle w:val="Header"/>
              <w:tabs>
                <w:tab w:val="clear" w:pos="4320"/>
                <w:tab w:val="clear" w:pos="8640"/>
              </w:tabs>
              <w:spacing w:before="60" w:after="60"/>
              <w:jc w:val="center"/>
            </w:pPr>
            <w:r>
              <w:t>24</w:t>
            </w:r>
          </w:p>
        </w:tc>
        <w:tc>
          <w:tcPr>
            <w:tcW w:w="2304" w:type="dxa"/>
            <w:tcBorders>
              <w:top w:val="single" w:sz="4" w:space="0" w:color="auto"/>
              <w:right w:val="single" w:sz="4" w:space="0" w:color="auto"/>
            </w:tcBorders>
            <w:vAlign w:val="center"/>
          </w:tcPr>
          <w:p w:rsidR="00C5535B" w:rsidRDefault="00C5535B" w:rsidP="0008637D">
            <w:pPr>
              <w:pStyle w:val="Header"/>
              <w:tabs>
                <w:tab w:val="clear" w:pos="4320"/>
                <w:tab w:val="clear" w:pos="8640"/>
              </w:tabs>
              <w:spacing w:before="60" w:after="60"/>
              <w:jc w:val="center"/>
            </w:pPr>
            <w:r>
              <w:t>tons per year</w:t>
            </w:r>
          </w:p>
        </w:tc>
      </w:tr>
      <w:tr w:rsidR="00C5535B" w:rsidTr="0008637D">
        <w:trPr>
          <w:cantSplit/>
        </w:trPr>
        <w:tc>
          <w:tcPr>
            <w:tcW w:w="2880" w:type="dxa"/>
            <w:vMerge/>
            <w:tcBorders>
              <w:left w:val="nil"/>
              <w:bottom w:val="nil"/>
              <w:right w:val="single" w:sz="4" w:space="0" w:color="auto"/>
            </w:tcBorders>
          </w:tcPr>
          <w:p w:rsidR="00C5535B" w:rsidRDefault="00C5535B"/>
        </w:tc>
        <w:tc>
          <w:tcPr>
            <w:tcW w:w="2160" w:type="dxa"/>
            <w:tcBorders>
              <w:left w:val="nil"/>
            </w:tcBorders>
            <w:vAlign w:val="center"/>
          </w:tcPr>
          <w:p w:rsidR="00C5535B" w:rsidRDefault="00C5535B" w:rsidP="0008637D">
            <w:pPr>
              <w:spacing w:before="60" w:after="60"/>
              <w:ind w:left="-90"/>
              <w:jc w:val="center"/>
              <w:rPr>
                <w:vertAlign w:val="subscript"/>
              </w:rPr>
            </w:pPr>
            <w:r>
              <w:t>PM</w:t>
            </w:r>
            <w:r>
              <w:rPr>
                <w:vertAlign w:val="subscript"/>
              </w:rPr>
              <w:t>10</w:t>
            </w:r>
          </w:p>
        </w:tc>
        <w:tc>
          <w:tcPr>
            <w:tcW w:w="2160" w:type="dxa"/>
            <w:vAlign w:val="center"/>
          </w:tcPr>
          <w:p w:rsidR="00C5535B" w:rsidRDefault="00ED16F2" w:rsidP="0008637D">
            <w:pPr>
              <w:spacing w:before="60" w:after="60"/>
              <w:jc w:val="center"/>
            </w:pPr>
            <w:r>
              <w:t>1</w:t>
            </w:r>
            <w:r w:rsidR="009A2026">
              <w:t>4</w:t>
            </w:r>
          </w:p>
        </w:tc>
        <w:tc>
          <w:tcPr>
            <w:tcW w:w="2304" w:type="dxa"/>
            <w:tcBorders>
              <w:right w:val="single" w:sz="4" w:space="0" w:color="auto"/>
            </w:tcBorders>
            <w:vAlign w:val="center"/>
          </w:tcPr>
          <w:p w:rsidR="00C5535B" w:rsidRDefault="00C5535B" w:rsidP="0008637D">
            <w:pPr>
              <w:pStyle w:val="Header"/>
              <w:tabs>
                <w:tab w:val="clear" w:pos="4320"/>
                <w:tab w:val="clear" w:pos="8640"/>
              </w:tabs>
              <w:spacing w:before="60" w:after="60"/>
              <w:jc w:val="center"/>
            </w:pPr>
            <w:r>
              <w:t>tons per year</w:t>
            </w:r>
          </w:p>
        </w:tc>
      </w:tr>
      <w:tr w:rsidR="00AE4C83" w:rsidTr="0008637D">
        <w:trPr>
          <w:cantSplit/>
        </w:trPr>
        <w:tc>
          <w:tcPr>
            <w:tcW w:w="2880" w:type="dxa"/>
            <w:vMerge/>
            <w:tcBorders>
              <w:left w:val="nil"/>
              <w:bottom w:val="nil"/>
              <w:right w:val="single" w:sz="4" w:space="0" w:color="auto"/>
            </w:tcBorders>
          </w:tcPr>
          <w:p w:rsidR="00AE4C83" w:rsidRDefault="00AE4C83"/>
        </w:tc>
        <w:tc>
          <w:tcPr>
            <w:tcW w:w="2160" w:type="dxa"/>
            <w:tcBorders>
              <w:left w:val="nil"/>
            </w:tcBorders>
            <w:vAlign w:val="center"/>
          </w:tcPr>
          <w:p w:rsidR="00AE4C83" w:rsidRDefault="00AE4C83" w:rsidP="0008637D">
            <w:pPr>
              <w:spacing w:before="60" w:after="60"/>
              <w:ind w:left="-90"/>
              <w:jc w:val="center"/>
            </w:pPr>
            <w:r>
              <w:t>PM</w:t>
            </w:r>
            <w:r w:rsidRPr="00AE4C83">
              <w:rPr>
                <w:vertAlign w:val="subscript"/>
              </w:rPr>
              <w:t>2.5</w:t>
            </w:r>
          </w:p>
        </w:tc>
        <w:tc>
          <w:tcPr>
            <w:tcW w:w="2160" w:type="dxa"/>
            <w:vAlign w:val="center"/>
          </w:tcPr>
          <w:p w:rsidR="00AE4C83" w:rsidRDefault="001E4C5C" w:rsidP="0008637D">
            <w:pPr>
              <w:spacing w:before="60" w:after="60"/>
              <w:jc w:val="center"/>
            </w:pPr>
            <w:r>
              <w:t>13</w:t>
            </w:r>
          </w:p>
        </w:tc>
        <w:tc>
          <w:tcPr>
            <w:tcW w:w="2304" w:type="dxa"/>
            <w:tcBorders>
              <w:right w:val="single" w:sz="4" w:space="0" w:color="auto"/>
            </w:tcBorders>
            <w:vAlign w:val="center"/>
          </w:tcPr>
          <w:p w:rsidR="00AE4C83" w:rsidRDefault="00AE4C83" w:rsidP="0008637D">
            <w:pPr>
              <w:pStyle w:val="Header"/>
              <w:tabs>
                <w:tab w:val="clear" w:pos="4320"/>
                <w:tab w:val="clear" w:pos="8640"/>
              </w:tabs>
              <w:spacing w:before="60" w:after="60"/>
              <w:jc w:val="center"/>
            </w:pPr>
            <w:r>
              <w:t>tons per year</w:t>
            </w:r>
          </w:p>
        </w:tc>
      </w:tr>
      <w:tr w:rsidR="00C5535B" w:rsidTr="0008637D">
        <w:trPr>
          <w:cantSplit/>
        </w:trPr>
        <w:tc>
          <w:tcPr>
            <w:tcW w:w="2880" w:type="dxa"/>
            <w:vMerge/>
            <w:tcBorders>
              <w:left w:val="nil"/>
              <w:bottom w:val="nil"/>
              <w:right w:val="single" w:sz="4" w:space="0" w:color="auto"/>
            </w:tcBorders>
          </w:tcPr>
          <w:p w:rsidR="00C5535B" w:rsidRDefault="00C5535B"/>
        </w:tc>
        <w:tc>
          <w:tcPr>
            <w:tcW w:w="2160" w:type="dxa"/>
            <w:tcBorders>
              <w:left w:val="nil"/>
            </w:tcBorders>
            <w:vAlign w:val="center"/>
          </w:tcPr>
          <w:p w:rsidR="00C5535B" w:rsidRDefault="00C5535B" w:rsidP="0008637D">
            <w:pPr>
              <w:spacing w:before="60" w:after="60"/>
              <w:ind w:left="-90"/>
              <w:jc w:val="center"/>
              <w:rPr>
                <w:vertAlign w:val="subscript"/>
              </w:rPr>
            </w:pPr>
            <w:r>
              <w:t>SO</w:t>
            </w:r>
            <w:r>
              <w:rPr>
                <w:vertAlign w:val="subscript"/>
              </w:rPr>
              <w:t>2</w:t>
            </w:r>
          </w:p>
        </w:tc>
        <w:tc>
          <w:tcPr>
            <w:tcW w:w="2160" w:type="dxa"/>
            <w:vAlign w:val="center"/>
          </w:tcPr>
          <w:p w:rsidR="00C5535B" w:rsidRDefault="00ED16F2" w:rsidP="0008637D">
            <w:pPr>
              <w:pStyle w:val="Header"/>
              <w:tabs>
                <w:tab w:val="clear" w:pos="4320"/>
                <w:tab w:val="clear" w:pos="8640"/>
              </w:tabs>
              <w:spacing w:before="60" w:after="60"/>
              <w:jc w:val="center"/>
            </w:pPr>
            <w:r>
              <w:t>39</w:t>
            </w:r>
          </w:p>
        </w:tc>
        <w:tc>
          <w:tcPr>
            <w:tcW w:w="2304" w:type="dxa"/>
            <w:tcBorders>
              <w:right w:val="single" w:sz="4" w:space="0" w:color="auto"/>
            </w:tcBorders>
            <w:vAlign w:val="center"/>
          </w:tcPr>
          <w:p w:rsidR="00C5535B" w:rsidRDefault="00C5535B" w:rsidP="0008637D">
            <w:pPr>
              <w:pStyle w:val="Header"/>
              <w:tabs>
                <w:tab w:val="clear" w:pos="4320"/>
                <w:tab w:val="clear" w:pos="8640"/>
              </w:tabs>
              <w:spacing w:before="60" w:after="60"/>
              <w:jc w:val="center"/>
            </w:pPr>
            <w:r>
              <w:t>tons per year</w:t>
            </w:r>
          </w:p>
        </w:tc>
      </w:tr>
      <w:tr w:rsidR="00C5535B" w:rsidTr="0008637D">
        <w:trPr>
          <w:cantSplit/>
        </w:trPr>
        <w:tc>
          <w:tcPr>
            <w:tcW w:w="2880" w:type="dxa"/>
            <w:vMerge/>
            <w:tcBorders>
              <w:left w:val="nil"/>
              <w:bottom w:val="nil"/>
              <w:right w:val="single" w:sz="4" w:space="0" w:color="auto"/>
            </w:tcBorders>
          </w:tcPr>
          <w:p w:rsidR="00C5535B" w:rsidRDefault="00C5535B"/>
        </w:tc>
        <w:tc>
          <w:tcPr>
            <w:tcW w:w="2160" w:type="dxa"/>
            <w:tcBorders>
              <w:left w:val="nil"/>
            </w:tcBorders>
            <w:vAlign w:val="center"/>
          </w:tcPr>
          <w:p w:rsidR="00C5535B" w:rsidRDefault="00C5535B" w:rsidP="0008637D">
            <w:pPr>
              <w:spacing w:before="60" w:after="60"/>
              <w:ind w:left="-90"/>
              <w:jc w:val="center"/>
            </w:pPr>
            <w:proofErr w:type="spellStart"/>
            <w:r>
              <w:t>NO</w:t>
            </w:r>
            <w:r w:rsidR="0008637D">
              <w:rPr>
                <w:vertAlign w:val="subscript"/>
              </w:rPr>
              <w:t>x</w:t>
            </w:r>
            <w:proofErr w:type="spellEnd"/>
          </w:p>
        </w:tc>
        <w:tc>
          <w:tcPr>
            <w:tcW w:w="2160" w:type="dxa"/>
            <w:vAlign w:val="center"/>
          </w:tcPr>
          <w:p w:rsidR="00C5535B" w:rsidRDefault="00ED16F2" w:rsidP="0008637D">
            <w:pPr>
              <w:spacing w:before="60" w:after="60"/>
              <w:jc w:val="center"/>
            </w:pPr>
            <w:r>
              <w:t>39</w:t>
            </w:r>
          </w:p>
        </w:tc>
        <w:tc>
          <w:tcPr>
            <w:tcW w:w="2304" w:type="dxa"/>
            <w:tcBorders>
              <w:right w:val="single" w:sz="4" w:space="0" w:color="auto"/>
            </w:tcBorders>
            <w:vAlign w:val="center"/>
          </w:tcPr>
          <w:p w:rsidR="00C5535B" w:rsidRDefault="00C5535B" w:rsidP="0008637D">
            <w:pPr>
              <w:pStyle w:val="Header"/>
              <w:tabs>
                <w:tab w:val="clear" w:pos="4320"/>
                <w:tab w:val="clear" w:pos="8640"/>
              </w:tabs>
              <w:spacing w:before="60" w:after="60"/>
              <w:jc w:val="center"/>
            </w:pPr>
            <w:r>
              <w:t>tons per year</w:t>
            </w:r>
          </w:p>
        </w:tc>
      </w:tr>
      <w:tr w:rsidR="00C5535B" w:rsidTr="0008637D">
        <w:trPr>
          <w:cantSplit/>
        </w:trPr>
        <w:tc>
          <w:tcPr>
            <w:tcW w:w="2880" w:type="dxa"/>
            <w:vMerge/>
            <w:tcBorders>
              <w:left w:val="nil"/>
              <w:bottom w:val="nil"/>
              <w:right w:val="single" w:sz="4" w:space="0" w:color="auto"/>
            </w:tcBorders>
          </w:tcPr>
          <w:p w:rsidR="00C5535B" w:rsidRDefault="00C5535B"/>
        </w:tc>
        <w:tc>
          <w:tcPr>
            <w:tcW w:w="2160" w:type="dxa"/>
            <w:tcBorders>
              <w:left w:val="nil"/>
              <w:bottom w:val="nil"/>
            </w:tcBorders>
            <w:vAlign w:val="center"/>
          </w:tcPr>
          <w:p w:rsidR="00C5535B" w:rsidRDefault="00C5535B" w:rsidP="0008637D">
            <w:pPr>
              <w:spacing w:before="60" w:after="60"/>
              <w:ind w:left="-90"/>
              <w:jc w:val="center"/>
            </w:pPr>
            <w:r>
              <w:t>CO</w:t>
            </w:r>
          </w:p>
        </w:tc>
        <w:tc>
          <w:tcPr>
            <w:tcW w:w="2160" w:type="dxa"/>
            <w:tcBorders>
              <w:bottom w:val="nil"/>
            </w:tcBorders>
            <w:vAlign w:val="center"/>
          </w:tcPr>
          <w:p w:rsidR="00C5535B" w:rsidRDefault="00ED16F2" w:rsidP="0008637D">
            <w:pPr>
              <w:spacing w:before="60" w:after="60"/>
              <w:jc w:val="center"/>
            </w:pPr>
            <w:r>
              <w:t>99</w:t>
            </w:r>
          </w:p>
        </w:tc>
        <w:tc>
          <w:tcPr>
            <w:tcW w:w="2304" w:type="dxa"/>
            <w:tcBorders>
              <w:bottom w:val="nil"/>
              <w:right w:val="single" w:sz="4" w:space="0" w:color="auto"/>
            </w:tcBorders>
            <w:vAlign w:val="center"/>
          </w:tcPr>
          <w:p w:rsidR="00C5535B" w:rsidRDefault="00C5535B" w:rsidP="0008637D">
            <w:pPr>
              <w:pStyle w:val="Header"/>
              <w:tabs>
                <w:tab w:val="clear" w:pos="4320"/>
                <w:tab w:val="clear" w:pos="8640"/>
              </w:tabs>
              <w:spacing w:before="60" w:after="60"/>
              <w:jc w:val="center"/>
            </w:pPr>
            <w:r>
              <w:t>tons per year</w:t>
            </w:r>
          </w:p>
        </w:tc>
      </w:tr>
      <w:tr w:rsidR="00C5535B" w:rsidTr="0008637D">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vAlign w:val="center"/>
          </w:tcPr>
          <w:p w:rsidR="00C5535B" w:rsidRDefault="00C5535B" w:rsidP="0008637D">
            <w:pPr>
              <w:spacing w:before="60" w:after="60"/>
              <w:ind w:left="-90"/>
              <w:jc w:val="center"/>
            </w:pPr>
            <w:r>
              <w:t>VOC</w:t>
            </w:r>
          </w:p>
        </w:tc>
        <w:tc>
          <w:tcPr>
            <w:tcW w:w="2160" w:type="dxa"/>
            <w:tcBorders>
              <w:bottom w:val="single" w:sz="4" w:space="0" w:color="auto"/>
            </w:tcBorders>
            <w:vAlign w:val="center"/>
          </w:tcPr>
          <w:p w:rsidR="00C5535B" w:rsidRDefault="009A2026" w:rsidP="0008637D">
            <w:pPr>
              <w:spacing w:before="60" w:after="60"/>
              <w:jc w:val="center"/>
            </w:pPr>
            <w:r>
              <w:t>9</w:t>
            </w:r>
            <w:r w:rsidR="00ED16F2">
              <w:t>9</w:t>
            </w:r>
          </w:p>
        </w:tc>
        <w:tc>
          <w:tcPr>
            <w:tcW w:w="2304" w:type="dxa"/>
            <w:tcBorders>
              <w:bottom w:val="single" w:sz="4" w:space="0" w:color="auto"/>
              <w:right w:val="single" w:sz="4" w:space="0" w:color="auto"/>
            </w:tcBorders>
            <w:vAlign w:val="center"/>
          </w:tcPr>
          <w:p w:rsidR="00C5535B" w:rsidRDefault="00C5535B" w:rsidP="0008637D">
            <w:pPr>
              <w:pStyle w:val="Header"/>
              <w:tabs>
                <w:tab w:val="clear" w:pos="4320"/>
                <w:tab w:val="clear" w:pos="8640"/>
              </w:tabs>
              <w:spacing w:before="60" w:after="60"/>
              <w:jc w:val="center"/>
            </w:pPr>
            <w:r>
              <w:t>tons per year</w:t>
            </w:r>
          </w:p>
        </w:tc>
      </w:tr>
      <w:tr w:rsidR="00AE4C83" w:rsidTr="0008637D">
        <w:trPr>
          <w:cantSplit/>
        </w:trPr>
        <w:tc>
          <w:tcPr>
            <w:tcW w:w="2880" w:type="dxa"/>
            <w:tcBorders>
              <w:top w:val="nil"/>
              <w:left w:val="nil"/>
              <w:bottom w:val="nil"/>
              <w:right w:val="nil"/>
            </w:tcBorders>
          </w:tcPr>
          <w:p w:rsidR="00AE4C83" w:rsidRDefault="00AE4C83"/>
        </w:tc>
        <w:tc>
          <w:tcPr>
            <w:tcW w:w="2160" w:type="dxa"/>
            <w:tcBorders>
              <w:left w:val="single" w:sz="4" w:space="0" w:color="auto"/>
              <w:bottom w:val="single" w:sz="4" w:space="0" w:color="auto"/>
            </w:tcBorders>
            <w:vAlign w:val="center"/>
          </w:tcPr>
          <w:p w:rsidR="00AE4C83" w:rsidRDefault="00AE4C83" w:rsidP="0008637D">
            <w:pPr>
              <w:spacing w:before="60" w:after="60"/>
              <w:ind w:left="-90"/>
              <w:jc w:val="center"/>
            </w:pPr>
            <w:r>
              <w:t>Single HAP</w:t>
            </w:r>
          </w:p>
        </w:tc>
        <w:tc>
          <w:tcPr>
            <w:tcW w:w="2160" w:type="dxa"/>
            <w:tcBorders>
              <w:bottom w:val="single" w:sz="4" w:space="0" w:color="auto"/>
            </w:tcBorders>
            <w:vAlign w:val="center"/>
          </w:tcPr>
          <w:p w:rsidR="00AE4C83" w:rsidRDefault="00AE4C83" w:rsidP="0008637D">
            <w:pPr>
              <w:spacing w:before="60" w:after="60"/>
              <w:jc w:val="center"/>
            </w:pPr>
            <w:r>
              <w:t>9</w:t>
            </w:r>
          </w:p>
        </w:tc>
        <w:tc>
          <w:tcPr>
            <w:tcW w:w="2304" w:type="dxa"/>
            <w:tcBorders>
              <w:bottom w:val="single" w:sz="4" w:space="0" w:color="auto"/>
              <w:right w:val="single" w:sz="4" w:space="0" w:color="auto"/>
            </w:tcBorders>
            <w:vAlign w:val="center"/>
          </w:tcPr>
          <w:p w:rsidR="00AE4C83" w:rsidRDefault="00AE4C83" w:rsidP="0008637D">
            <w:pPr>
              <w:pStyle w:val="Header"/>
              <w:tabs>
                <w:tab w:val="clear" w:pos="4320"/>
                <w:tab w:val="clear" w:pos="8640"/>
              </w:tabs>
              <w:spacing w:before="60" w:after="60"/>
              <w:jc w:val="center"/>
            </w:pPr>
            <w:r>
              <w:t>tons per year</w:t>
            </w:r>
          </w:p>
        </w:tc>
      </w:tr>
      <w:tr w:rsidR="00AE4C83" w:rsidTr="0008637D">
        <w:trPr>
          <w:cantSplit/>
        </w:trPr>
        <w:tc>
          <w:tcPr>
            <w:tcW w:w="2880" w:type="dxa"/>
            <w:tcBorders>
              <w:top w:val="nil"/>
              <w:left w:val="nil"/>
              <w:bottom w:val="nil"/>
              <w:right w:val="nil"/>
            </w:tcBorders>
          </w:tcPr>
          <w:p w:rsidR="00AE4C83" w:rsidRDefault="00AE4C83"/>
        </w:tc>
        <w:tc>
          <w:tcPr>
            <w:tcW w:w="2160" w:type="dxa"/>
            <w:tcBorders>
              <w:left w:val="single" w:sz="4" w:space="0" w:color="auto"/>
              <w:bottom w:val="single" w:sz="4" w:space="0" w:color="auto"/>
            </w:tcBorders>
            <w:vAlign w:val="center"/>
          </w:tcPr>
          <w:p w:rsidR="00AE4C83" w:rsidRDefault="00AE4C83" w:rsidP="0008637D">
            <w:pPr>
              <w:spacing w:before="60" w:after="60"/>
              <w:ind w:left="-90"/>
              <w:jc w:val="center"/>
            </w:pPr>
            <w:r>
              <w:t>Total HAPS</w:t>
            </w:r>
          </w:p>
        </w:tc>
        <w:tc>
          <w:tcPr>
            <w:tcW w:w="2160" w:type="dxa"/>
            <w:tcBorders>
              <w:bottom w:val="single" w:sz="4" w:space="0" w:color="auto"/>
            </w:tcBorders>
            <w:vAlign w:val="center"/>
          </w:tcPr>
          <w:p w:rsidR="00AE4C83" w:rsidRDefault="00AE4C83" w:rsidP="0008637D">
            <w:pPr>
              <w:spacing w:before="60" w:after="60"/>
              <w:jc w:val="center"/>
            </w:pPr>
            <w:r>
              <w:t>24</w:t>
            </w:r>
          </w:p>
        </w:tc>
        <w:tc>
          <w:tcPr>
            <w:tcW w:w="2304" w:type="dxa"/>
            <w:tcBorders>
              <w:bottom w:val="single" w:sz="4" w:space="0" w:color="auto"/>
              <w:right w:val="single" w:sz="4" w:space="0" w:color="auto"/>
            </w:tcBorders>
            <w:vAlign w:val="center"/>
          </w:tcPr>
          <w:p w:rsidR="00AE4C83" w:rsidRDefault="00AE4C83" w:rsidP="0008637D">
            <w:pPr>
              <w:pStyle w:val="Header"/>
              <w:tabs>
                <w:tab w:val="clear" w:pos="4320"/>
                <w:tab w:val="clear" w:pos="8640"/>
              </w:tabs>
              <w:spacing w:before="60" w:after="60"/>
              <w:jc w:val="center"/>
            </w:pPr>
            <w:r>
              <w:t>tons per year</w:t>
            </w:r>
          </w:p>
        </w:tc>
      </w:tr>
      <w:tr w:rsidR="00C5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5535B" w:rsidRDefault="00C5535B">
            <w:pPr>
              <w:pStyle w:val="Heading2"/>
            </w:pPr>
            <w:r>
              <w:t>Annual Period</w:t>
            </w:r>
          </w:p>
        </w:tc>
        <w:tc>
          <w:tcPr>
            <w:tcW w:w="6624" w:type="dxa"/>
            <w:gridSpan w:val="3"/>
          </w:tcPr>
          <w:p w:rsidR="00C5535B" w:rsidRDefault="00C5535B" w:rsidP="0008637D">
            <w:pPr>
              <w:pStyle w:val="Bodytext"/>
            </w:pPr>
            <w:r>
              <w:t>The annual plant site emission limits apply to any 12-consecutive calendar month period.</w:t>
            </w:r>
          </w:p>
        </w:tc>
      </w:tr>
    </w:tbl>
    <w:p w:rsidR="00C5535B" w:rsidRDefault="00C5535B"/>
    <w:p w:rsidR="00621363" w:rsidRDefault="00621363"/>
    <w:p w:rsidR="0077149D" w:rsidRDefault="0077149D" w:rsidP="0077149D">
      <w:pPr>
        <w:pStyle w:val="Heading1"/>
      </w:pPr>
      <w:bookmarkStart w:id="23" w:name="_Toc526741950"/>
      <w:bookmarkStart w:id="24" w:name="_Toc2741283"/>
      <w:bookmarkStart w:id="25" w:name="_Toc321315433"/>
      <w:r>
        <w:t>compliance demonstration</w:t>
      </w:r>
      <w:bookmarkEnd w:id="23"/>
      <w:bookmarkEnd w:id="24"/>
      <w:bookmarkEnd w:id="25"/>
    </w:p>
    <w:p w:rsidR="0077149D" w:rsidRDefault="0077149D" w:rsidP="007714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880"/>
        <w:gridCol w:w="6624"/>
      </w:tblGrid>
      <w:tr w:rsidR="0077149D" w:rsidTr="00852881">
        <w:tc>
          <w:tcPr>
            <w:tcW w:w="2880" w:type="dxa"/>
            <w:tcBorders>
              <w:top w:val="nil"/>
              <w:left w:val="nil"/>
              <w:bottom w:val="nil"/>
              <w:right w:val="nil"/>
            </w:tcBorders>
          </w:tcPr>
          <w:p w:rsidR="0077149D" w:rsidRDefault="0077149D" w:rsidP="00852881">
            <w:pPr>
              <w:pStyle w:val="Heading2"/>
              <w:spacing w:before="0" w:after="0"/>
            </w:pPr>
            <w:r>
              <w:t>Monitoring Requirements</w:t>
            </w:r>
          </w:p>
        </w:tc>
        <w:tc>
          <w:tcPr>
            <w:tcW w:w="6624" w:type="dxa"/>
            <w:tcBorders>
              <w:top w:val="nil"/>
              <w:left w:val="nil"/>
              <w:bottom w:val="nil"/>
              <w:right w:val="nil"/>
            </w:tcBorders>
          </w:tcPr>
          <w:p w:rsidR="0077149D" w:rsidRDefault="0077149D" w:rsidP="0077149D">
            <w:pPr>
              <w:pStyle w:val="Bodytext"/>
            </w:pPr>
            <w:r>
              <w:t>The permittee must monitor the operation and maintenance of the plant and associated air contaminant control devices as follows:</w:t>
            </w:r>
          </w:p>
        </w:tc>
      </w:tr>
      <w:tr w:rsidR="0077149D" w:rsidTr="00852881">
        <w:tc>
          <w:tcPr>
            <w:tcW w:w="2880" w:type="dxa"/>
            <w:tcBorders>
              <w:top w:val="nil"/>
              <w:left w:val="nil"/>
              <w:bottom w:val="nil"/>
              <w:right w:val="nil"/>
            </w:tcBorders>
          </w:tcPr>
          <w:p w:rsidR="0077149D" w:rsidRDefault="0077149D" w:rsidP="00852881">
            <w:pPr>
              <w:rPr>
                <w:b/>
              </w:rPr>
            </w:pPr>
          </w:p>
        </w:tc>
        <w:tc>
          <w:tcPr>
            <w:tcW w:w="6624" w:type="dxa"/>
            <w:tcBorders>
              <w:top w:val="nil"/>
              <w:left w:val="nil"/>
              <w:bottom w:val="nil"/>
              <w:right w:val="nil"/>
            </w:tcBorders>
          </w:tcPr>
          <w:p w:rsidR="0077149D" w:rsidRDefault="0008637D" w:rsidP="00852881">
            <w:pPr>
              <w:pStyle w:val="Heading3"/>
              <w:spacing w:before="0" w:after="0"/>
            </w:pPr>
            <w:proofErr w:type="gramStart"/>
            <w:r>
              <w:t>All operating and production parameters to be reported to the Department annually as required in Condi</w:t>
            </w:r>
            <w:r w:rsidR="00852881">
              <w:t>t</w:t>
            </w:r>
            <w:r>
              <w:t>ion</w:t>
            </w:r>
            <w:r w:rsidR="00621363">
              <w:t xml:space="preserve"> </w:t>
            </w:r>
            <w:r w:rsidR="0088274C">
              <w:fldChar w:fldCharType="begin"/>
            </w:r>
            <w:r w:rsidR="00852881">
              <w:instrText xml:space="preserve"> REF _Ref316471941 \r \h </w:instrText>
            </w:r>
            <w:r w:rsidR="0088274C">
              <w:fldChar w:fldCharType="separate"/>
            </w:r>
            <w:r w:rsidR="00E52DFD">
              <w:t>6.2.a</w:t>
            </w:r>
            <w:r w:rsidR="0088274C">
              <w:fldChar w:fldCharType="end"/>
            </w:r>
            <w:r w:rsidR="00852881">
              <w:t>.</w:t>
            </w:r>
            <w:proofErr w:type="gramEnd"/>
          </w:p>
        </w:tc>
      </w:tr>
      <w:tr w:rsidR="001E4C5C" w:rsidTr="00852881">
        <w:trPr>
          <w:trHeight w:val="297"/>
        </w:trPr>
        <w:tc>
          <w:tcPr>
            <w:tcW w:w="2880" w:type="dxa"/>
            <w:tcBorders>
              <w:top w:val="nil"/>
              <w:left w:val="nil"/>
              <w:bottom w:val="nil"/>
              <w:right w:val="nil"/>
            </w:tcBorders>
          </w:tcPr>
          <w:p w:rsidR="001E4C5C" w:rsidRPr="00852881" w:rsidRDefault="001E4C5C" w:rsidP="00852881"/>
        </w:tc>
        <w:tc>
          <w:tcPr>
            <w:tcW w:w="6624" w:type="dxa"/>
            <w:tcBorders>
              <w:top w:val="nil"/>
              <w:left w:val="nil"/>
              <w:bottom w:val="nil"/>
              <w:right w:val="nil"/>
            </w:tcBorders>
          </w:tcPr>
          <w:p w:rsidR="001E4C5C" w:rsidRDefault="001E4C5C" w:rsidP="00852881">
            <w:pPr>
              <w:pStyle w:val="Heading3"/>
              <w:spacing w:before="0" w:after="0"/>
            </w:pPr>
            <w:r>
              <w:t>Records of excess emissions (recorded on occurrence).</w:t>
            </w:r>
          </w:p>
        </w:tc>
      </w:tr>
      <w:tr w:rsidR="0077149D" w:rsidTr="00852881">
        <w:tc>
          <w:tcPr>
            <w:tcW w:w="2880" w:type="dxa"/>
            <w:tcBorders>
              <w:top w:val="nil"/>
              <w:left w:val="nil"/>
              <w:bottom w:val="nil"/>
              <w:right w:val="nil"/>
            </w:tcBorders>
          </w:tcPr>
          <w:p w:rsidR="0077149D" w:rsidRDefault="0077149D" w:rsidP="00852881">
            <w:pPr>
              <w:rPr>
                <w:b/>
              </w:rPr>
            </w:pPr>
          </w:p>
        </w:tc>
        <w:tc>
          <w:tcPr>
            <w:tcW w:w="6624" w:type="dxa"/>
            <w:tcBorders>
              <w:top w:val="nil"/>
              <w:left w:val="nil"/>
              <w:bottom w:val="nil"/>
              <w:right w:val="nil"/>
            </w:tcBorders>
          </w:tcPr>
          <w:p w:rsidR="0077149D" w:rsidRDefault="0077149D" w:rsidP="00852881">
            <w:pPr>
              <w:pStyle w:val="Heading3"/>
              <w:spacing w:before="0" w:after="0"/>
            </w:pPr>
            <w:r>
              <w:t xml:space="preserve">A description of any maintenance to the </w:t>
            </w:r>
            <w:proofErr w:type="spellStart"/>
            <w:r>
              <w:t>Wellons</w:t>
            </w:r>
            <w:proofErr w:type="spellEnd"/>
            <w:r>
              <w:t xml:space="preserve"> backup boiler (recorded on occurrence).</w:t>
            </w:r>
          </w:p>
        </w:tc>
      </w:tr>
      <w:tr w:rsidR="0077149D" w:rsidTr="00852881">
        <w:tc>
          <w:tcPr>
            <w:tcW w:w="2880" w:type="dxa"/>
            <w:tcBorders>
              <w:top w:val="nil"/>
              <w:left w:val="nil"/>
              <w:bottom w:val="nil"/>
              <w:right w:val="nil"/>
            </w:tcBorders>
          </w:tcPr>
          <w:p w:rsidR="0077149D" w:rsidRDefault="0077149D" w:rsidP="0077149D">
            <w:pPr>
              <w:pStyle w:val="Heading2"/>
            </w:pPr>
            <w:bookmarkStart w:id="26" w:name="_Ref316473160"/>
            <w:r>
              <w:t>PSEL Compliance Monitoring</w:t>
            </w:r>
            <w:bookmarkEnd w:id="26"/>
          </w:p>
        </w:tc>
        <w:tc>
          <w:tcPr>
            <w:tcW w:w="6624" w:type="dxa"/>
            <w:tcBorders>
              <w:top w:val="nil"/>
              <w:left w:val="nil"/>
              <w:bottom w:val="nil"/>
              <w:right w:val="nil"/>
            </w:tcBorders>
          </w:tcPr>
          <w:p w:rsidR="0077149D" w:rsidRDefault="0077149D" w:rsidP="0077149D">
            <w:pPr>
              <w:pStyle w:val="Bodytext"/>
            </w:pPr>
            <w:r>
              <w:t>Compliance with the PSEL is determined for each 12-consecutive calendar month period based on the following calculation for each pollutant:</w:t>
            </w:r>
          </w:p>
          <w:p w:rsidR="0077149D" w:rsidRDefault="0077149D" w:rsidP="0077149D">
            <w:pPr>
              <w:spacing w:before="60" w:after="60"/>
              <w:ind w:left="720"/>
            </w:pPr>
            <w:r>
              <w:t>E</w:t>
            </w:r>
            <w:r>
              <w:tab/>
              <w:t>=</w:t>
            </w:r>
            <w:r>
              <w:tab/>
            </w:r>
            <w:r>
              <w:sym w:font="Symbol" w:char="F053"/>
            </w:r>
            <w:r>
              <w:t>(EF x P)/2,000 lbs</w:t>
            </w:r>
          </w:p>
          <w:p w:rsidR="0077149D" w:rsidRDefault="00852881" w:rsidP="0077149D">
            <w:pPr>
              <w:spacing w:before="60" w:after="60"/>
              <w:jc w:val="both"/>
            </w:pPr>
            <w:r>
              <w:t>W</w:t>
            </w:r>
            <w:r w:rsidR="0077149D">
              <w:t>here,</w:t>
            </w:r>
          </w:p>
          <w:p w:rsidR="0077149D" w:rsidRDefault="0077149D" w:rsidP="0077149D">
            <w:pPr>
              <w:tabs>
                <w:tab w:val="left" w:pos="1440"/>
              </w:tabs>
              <w:ind w:left="2160" w:hanging="1440"/>
            </w:pPr>
            <w:r>
              <w:t>E</w:t>
            </w:r>
            <w:r>
              <w:tab/>
              <w:t>=</w:t>
            </w:r>
            <w:r>
              <w:tab/>
              <w:t>Pollutant emissions (ton/yr);</w:t>
            </w:r>
          </w:p>
          <w:p w:rsidR="0077149D" w:rsidRDefault="0077149D" w:rsidP="00852881">
            <w:pPr>
              <w:tabs>
                <w:tab w:val="left" w:pos="1440"/>
              </w:tabs>
              <w:ind w:left="2160" w:hanging="1440"/>
            </w:pPr>
            <w:r>
              <w:t>EF</w:t>
            </w:r>
            <w:r>
              <w:tab/>
              <w:t>=</w:t>
            </w:r>
            <w:r>
              <w:tab/>
              <w:t xml:space="preserve">Pollutant emission factor (see Condition </w:t>
            </w:r>
            <w:r w:rsidR="0088274C">
              <w:fldChar w:fldCharType="begin"/>
            </w:r>
            <w:r w:rsidR="00852881">
              <w:instrText xml:space="preserve"> REF _Ref316472253 \r \h </w:instrText>
            </w:r>
            <w:r w:rsidR="0088274C">
              <w:fldChar w:fldCharType="separate"/>
            </w:r>
            <w:r w:rsidR="00E52DFD">
              <w:t>10.0</w:t>
            </w:r>
            <w:r w:rsidR="0088274C">
              <w:fldChar w:fldCharType="end"/>
            </w:r>
            <w:r>
              <w:t>)</w:t>
            </w:r>
          </w:p>
          <w:p w:rsidR="00852881" w:rsidRDefault="00852881" w:rsidP="00852881">
            <w:pPr>
              <w:tabs>
                <w:tab w:val="left" w:pos="1440"/>
              </w:tabs>
              <w:ind w:left="2160" w:hanging="1440"/>
            </w:pPr>
          </w:p>
          <w:p w:rsidR="00852881" w:rsidRDefault="00852881" w:rsidP="00852881">
            <w:pPr>
              <w:tabs>
                <w:tab w:val="left" w:pos="1440"/>
              </w:tabs>
              <w:ind w:left="2160" w:hanging="1440"/>
            </w:pPr>
          </w:p>
          <w:p w:rsidR="00852881" w:rsidRDefault="00852881" w:rsidP="00852881">
            <w:pPr>
              <w:tabs>
                <w:tab w:val="left" w:pos="1440"/>
              </w:tabs>
              <w:ind w:left="2160" w:hanging="1440"/>
            </w:pPr>
          </w:p>
        </w:tc>
      </w:tr>
      <w:tr w:rsidR="0077149D" w:rsidTr="00852881">
        <w:tc>
          <w:tcPr>
            <w:tcW w:w="2880" w:type="dxa"/>
            <w:tcBorders>
              <w:top w:val="nil"/>
              <w:left w:val="nil"/>
              <w:bottom w:val="nil"/>
              <w:right w:val="nil"/>
            </w:tcBorders>
          </w:tcPr>
          <w:p w:rsidR="0077149D" w:rsidRDefault="0077149D" w:rsidP="0077149D">
            <w:pPr>
              <w:pStyle w:val="Heading2"/>
            </w:pPr>
            <w:r>
              <w:lastRenderedPageBreak/>
              <w:t>Emission Factors</w:t>
            </w:r>
          </w:p>
        </w:tc>
        <w:tc>
          <w:tcPr>
            <w:tcW w:w="6624" w:type="dxa"/>
            <w:tcBorders>
              <w:top w:val="nil"/>
              <w:left w:val="nil"/>
              <w:bottom w:val="nil"/>
              <w:right w:val="nil"/>
            </w:tcBorders>
          </w:tcPr>
          <w:p w:rsidR="0077149D" w:rsidRDefault="0077149D" w:rsidP="001566E5">
            <w:pPr>
              <w:pStyle w:val="Bodytext"/>
            </w:pPr>
            <w:r>
              <w:t xml:space="preserve">The permittee must use the default emission factors provided in Condition </w:t>
            </w:r>
            <w:r w:rsidR="0088274C">
              <w:fldChar w:fldCharType="begin"/>
            </w:r>
            <w:r w:rsidR="001566E5">
              <w:instrText xml:space="preserve"> REF _Ref316472253 \r \h </w:instrText>
            </w:r>
            <w:r w:rsidR="0088274C">
              <w:fldChar w:fldCharType="separate"/>
            </w:r>
            <w:r w:rsidR="00E52DFD">
              <w:t>10.0</w:t>
            </w:r>
            <w:r w:rsidR="0088274C">
              <w:fldChar w:fldCharType="end"/>
            </w:r>
            <w:r>
              <w:t xml:space="preserve"> for calculating pollutant emissions, unless alternative emission factors are approved by the Department.  The permittee may request or the Department may require using alternative emission factors provided they are based on actual test data or other documentation (e.g., AP-42 compilation of emission factors) that has been reviewed and approved by the Department.</w:t>
            </w:r>
          </w:p>
        </w:tc>
      </w:tr>
    </w:tbl>
    <w:p w:rsidR="00C5535B" w:rsidRDefault="00C5535B"/>
    <w:p w:rsidR="000C609D" w:rsidRDefault="000C609D"/>
    <w:p w:rsidR="00C5535B" w:rsidRDefault="00C5535B">
      <w:pPr>
        <w:pStyle w:val="Heading1"/>
      </w:pPr>
      <w:bookmarkStart w:id="27" w:name="_Toc481295406"/>
      <w:bookmarkStart w:id="28" w:name="_Toc321315434"/>
      <w:r>
        <w:t>recordkeeping requirements</w:t>
      </w:r>
      <w:bookmarkEnd w:id="27"/>
      <w:bookmarkEnd w:id="28"/>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3E26">
        <w:tc>
          <w:tcPr>
            <w:tcW w:w="2880" w:type="dxa"/>
            <w:vMerge w:val="restart"/>
            <w:tcBorders>
              <w:top w:val="nil"/>
              <w:left w:val="nil"/>
              <w:bottom w:val="nil"/>
              <w:right w:val="nil"/>
            </w:tcBorders>
          </w:tcPr>
          <w:p w:rsidR="00B63E26" w:rsidRDefault="00B63E26">
            <w:pPr>
              <w:pStyle w:val="Heading2"/>
            </w:pPr>
            <w:r>
              <w:t>Operation and Maintenance</w:t>
            </w:r>
          </w:p>
        </w:tc>
        <w:tc>
          <w:tcPr>
            <w:tcW w:w="6624" w:type="dxa"/>
            <w:tcBorders>
              <w:top w:val="nil"/>
              <w:left w:val="nil"/>
              <w:bottom w:val="nil"/>
              <w:right w:val="nil"/>
            </w:tcBorders>
          </w:tcPr>
          <w:p w:rsidR="00B63E26" w:rsidRDefault="00B63E26">
            <w:pPr>
              <w:pStyle w:val="Bodytext"/>
            </w:pPr>
            <w:r>
              <w:t>The permittee must maintain the following records related to the operation and maintenance of the plant and associated air contaminant control devices:</w:t>
            </w:r>
          </w:p>
        </w:tc>
      </w:tr>
      <w:tr w:rsidR="00B63E26">
        <w:tc>
          <w:tcPr>
            <w:tcW w:w="2880" w:type="dxa"/>
            <w:vMerge/>
            <w:tcBorders>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91DAC" w:rsidP="001566E5">
            <w:pPr>
              <w:pStyle w:val="Heading3"/>
              <w:spacing w:before="0" w:after="0"/>
            </w:pPr>
            <w:r>
              <w:t xml:space="preserve">Steam production of the </w:t>
            </w:r>
            <w:proofErr w:type="spellStart"/>
            <w:r>
              <w:t>Wellons</w:t>
            </w:r>
            <w:proofErr w:type="spellEnd"/>
            <w:r>
              <w:t xml:space="preserve"> backup boiler (lbs/month)</w:t>
            </w:r>
            <w:r w:rsidR="001566E5">
              <w:t>;</w:t>
            </w:r>
          </w:p>
        </w:tc>
      </w:tr>
      <w:tr w:rsidR="00B63E26">
        <w:tc>
          <w:tcPr>
            <w:tcW w:w="2880" w:type="dxa"/>
            <w:vMerge/>
            <w:tcBorders>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91DAC" w:rsidP="001566E5">
            <w:pPr>
              <w:pStyle w:val="Heading3"/>
              <w:spacing w:before="0" w:after="0"/>
            </w:pPr>
            <w:r>
              <w:t>Amount of lumber, by species, kiln dried (bd. ft</w:t>
            </w:r>
            <w:proofErr w:type="gramStart"/>
            <w:r>
              <w:t>./</w:t>
            </w:r>
            <w:proofErr w:type="gramEnd"/>
            <w:r>
              <w:t>month)</w:t>
            </w:r>
            <w:r w:rsidR="001566E5">
              <w:t>;</w:t>
            </w:r>
          </w:p>
        </w:tc>
      </w:tr>
      <w:tr w:rsidR="00B63E26">
        <w:tc>
          <w:tcPr>
            <w:tcW w:w="2880" w:type="dxa"/>
            <w:vMerge/>
            <w:tcBorders>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91DAC" w:rsidP="001566E5">
            <w:pPr>
              <w:pStyle w:val="Heading3"/>
              <w:spacing w:before="0" w:after="0"/>
            </w:pPr>
            <w:proofErr w:type="gramStart"/>
            <w:r>
              <w:t>Cyclone throughput (lbs/month)</w:t>
            </w:r>
            <w:r w:rsidR="001566E5">
              <w:t>.</w:t>
            </w:r>
            <w:proofErr w:type="gramEnd"/>
          </w:p>
        </w:tc>
      </w:tr>
      <w:tr w:rsidR="00C5535B">
        <w:tc>
          <w:tcPr>
            <w:tcW w:w="2880" w:type="dxa"/>
            <w:tcBorders>
              <w:top w:val="nil"/>
              <w:left w:val="nil"/>
              <w:bottom w:val="nil"/>
              <w:right w:val="nil"/>
            </w:tcBorders>
          </w:tcPr>
          <w:p w:rsidR="00C5535B" w:rsidRDefault="00C5535B">
            <w:pPr>
              <w:pStyle w:val="Heading2"/>
            </w:pPr>
            <w:r>
              <w:t>Excess Emissions</w:t>
            </w:r>
          </w:p>
        </w:tc>
        <w:tc>
          <w:tcPr>
            <w:tcW w:w="6624" w:type="dxa"/>
            <w:tcBorders>
              <w:top w:val="nil"/>
              <w:left w:val="nil"/>
              <w:bottom w:val="nil"/>
              <w:right w:val="nil"/>
            </w:tcBorders>
          </w:tcPr>
          <w:p w:rsidR="00C5535B" w:rsidRDefault="00C5535B">
            <w:pPr>
              <w:pStyle w:val="Bodytext"/>
            </w:pPr>
            <w:r>
              <w:t>The permittee must maintain records of excess emissions as defined in OAR 340-214-0300 through 340-214-0340 (recorded on occurrence).  Typically, excess emissions are caused by process upsets, startups, shutdowns, or scheduled maintenance.  In many cases, excess emissions are evident when visible emissions are greater than 20% opacity for 3 minutes or more in any 60-minute period.</w:t>
            </w:r>
            <w:r w:rsidR="00B63E26">
              <w:t xml:space="preserve">  If there is an ongoing excess emission caused by an upset or breakdown, the permittee must cease operation of the </w:t>
            </w:r>
            <w:r w:rsidR="00495651">
              <w:t>e</w:t>
            </w:r>
            <w:r w:rsidR="00B63E26">
              <w:t xml:space="preserve">quipment or facility no later than 48 hours after the beginning of the excess emissions, unless continued operation is approved by the </w:t>
            </w:r>
            <w:r w:rsidR="00495651">
              <w:t>D</w:t>
            </w:r>
            <w:r w:rsidR="00B63E26">
              <w:t>epartment in accordance with OAR 340-214-0330(4).</w:t>
            </w:r>
          </w:p>
        </w:tc>
      </w:tr>
      <w:tr w:rsidR="00C5535B">
        <w:trPr>
          <w:trHeight w:val="1098"/>
        </w:trPr>
        <w:tc>
          <w:tcPr>
            <w:tcW w:w="2880" w:type="dxa"/>
            <w:tcBorders>
              <w:top w:val="nil"/>
              <w:left w:val="nil"/>
              <w:bottom w:val="nil"/>
              <w:right w:val="nil"/>
            </w:tcBorders>
          </w:tcPr>
          <w:p w:rsidR="00C5535B" w:rsidRDefault="00C5535B">
            <w:pPr>
              <w:pStyle w:val="Heading2"/>
            </w:pPr>
            <w:r>
              <w:t>Complaint Log</w:t>
            </w:r>
          </w:p>
        </w:tc>
        <w:tc>
          <w:tcPr>
            <w:tcW w:w="6624" w:type="dxa"/>
            <w:tcBorders>
              <w:top w:val="nil"/>
              <w:left w:val="nil"/>
              <w:bottom w:val="nil"/>
              <w:right w:val="nil"/>
            </w:tcBorders>
          </w:tcPr>
          <w:p w:rsidR="00C5535B" w:rsidRDefault="00C5535B">
            <w:pPr>
              <w:pStyle w:val="Bodytext"/>
            </w:pPr>
            <w:bookmarkStart w:id="29" w:name="_Ref384632355"/>
            <w:r>
              <w:t xml:space="preserve">The permittee must maintain a log of all written complaints and complaints received via telephone that specifically refer to air pollution concerns associated to the permitted facility.  The log must include a record of the </w:t>
            </w:r>
            <w:proofErr w:type="spellStart"/>
            <w:r>
              <w:t>permittee’s</w:t>
            </w:r>
            <w:proofErr w:type="spellEnd"/>
            <w:r>
              <w:t xml:space="preserve"> actions to investigate the validity of each complaint and </w:t>
            </w:r>
            <w:bookmarkEnd w:id="29"/>
            <w:r>
              <w:t>a record of actions taken for complaint resolution.</w:t>
            </w:r>
          </w:p>
        </w:tc>
      </w:tr>
      <w:tr w:rsidR="00C5535B">
        <w:tc>
          <w:tcPr>
            <w:tcW w:w="2880" w:type="dxa"/>
            <w:tcBorders>
              <w:top w:val="nil"/>
              <w:left w:val="nil"/>
              <w:bottom w:val="nil"/>
              <w:right w:val="nil"/>
            </w:tcBorders>
          </w:tcPr>
          <w:p w:rsidR="00C5535B" w:rsidRDefault="00C5535B">
            <w:pPr>
              <w:pStyle w:val="Heading2"/>
            </w:pPr>
            <w:r>
              <w:t>Retention of Records</w:t>
            </w:r>
          </w:p>
        </w:tc>
        <w:tc>
          <w:tcPr>
            <w:tcW w:w="6624" w:type="dxa"/>
            <w:tcBorders>
              <w:top w:val="nil"/>
              <w:left w:val="nil"/>
              <w:bottom w:val="nil"/>
              <w:right w:val="nil"/>
            </w:tcBorders>
          </w:tcPr>
          <w:p w:rsidR="00C5535B" w:rsidRDefault="00C5535B">
            <w:pPr>
              <w:pStyle w:val="Bodytext"/>
            </w:pPr>
            <w:r>
              <w:t>Unless otherwise specified, all records must be maintained on site for a period of two (2) years and made available to the Department upon request.</w:t>
            </w:r>
          </w:p>
        </w:tc>
      </w:tr>
    </w:tbl>
    <w:p w:rsidR="00C5535B" w:rsidRDefault="00C5535B"/>
    <w:p w:rsidR="005C345E" w:rsidRDefault="005C345E">
      <w:r>
        <w:br w:type="page"/>
      </w:r>
    </w:p>
    <w:p w:rsidR="00C5535B" w:rsidRDefault="00C5535B">
      <w:pPr>
        <w:pStyle w:val="Heading1"/>
      </w:pPr>
      <w:bookmarkStart w:id="30" w:name="_Toc481295407"/>
      <w:bookmarkStart w:id="31" w:name="_Toc321315435"/>
      <w:r>
        <w:lastRenderedPageBreak/>
        <w:t>reporting requirements</w:t>
      </w:r>
      <w:bookmarkEnd w:id="30"/>
      <w:bookmarkEnd w:id="31"/>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F16D1">
        <w:tc>
          <w:tcPr>
            <w:tcW w:w="2880" w:type="dxa"/>
            <w:tcBorders>
              <w:top w:val="nil"/>
              <w:left w:val="nil"/>
              <w:bottom w:val="nil"/>
              <w:right w:val="nil"/>
            </w:tcBorders>
          </w:tcPr>
          <w:p w:rsidR="000F16D1" w:rsidRDefault="000F16D1">
            <w:pPr>
              <w:pStyle w:val="Heading2"/>
            </w:pPr>
            <w:r>
              <w:t>Excess Emissions</w:t>
            </w:r>
          </w:p>
        </w:tc>
        <w:tc>
          <w:tcPr>
            <w:tcW w:w="6624" w:type="dxa"/>
            <w:tcBorders>
              <w:top w:val="nil"/>
              <w:left w:val="nil"/>
              <w:bottom w:val="nil"/>
              <w:right w:val="nil"/>
            </w:tcBorders>
          </w:tcPr>
          <w:p w:rsidR="000F16D1" w:rsidRDefault="000F16D1" w:rsidP="000F16D1">
            <w:pPr>
              <w:pStyle w:val="Bodytext"/>
            </w:pPr>
            <w:r>
              <w:t>The permittee must notify the Department of excess emissions events if the excess emission is of a nature that could endanger public health.</w:t>
            </w:r>
          </w:p>
        </w:tc>
      </w:tr>
      <w:tr w:rsidR="000F16D1">
        <w:tc>
          <w:tcPr>
            <w:tcW w:w="2880" w:type="dxa"/>
            <w:tcBorders>
              <w:top w:val="nil"/>
              <w:left w:val="nil"/>
              <w:bottom w:val="nil"/>
              <w:right w:val="nil"/>
            </w:tcBorders>
          </w:tcPr>
          <w:p w:rsidR="000F16D1" w:rsidRDefault="000F16D1" w:rsidP="001521EB">
            <w:pPr>
              <w:rPr>
                <w:b/>
              </w:rPr>
            </w:pPr>
          </w:p>
        </w:tc>
        <w:tc>
          <w:tcPr>
            <w:tcW w:w="6624" w:type="dxa"/>
            <w:tcBorders>
              <w:top w:val="nil"/>
              <w:left w:val="nil"/>
              <w:bottom w:val="nil"/>
              <w:right w:val="nil"/>
            </w:tcBorders>
          </w:tcPr>
          <w:p w:rsidR="000F16D1" w:rsidRDefault="000F16D1" w:rsidP="001521EB">
            <w:pPr>
              <w:pStyle w:val="Heading3"/>
              <w:spacing w:before="0" w:after="0"/>
            </w:pPr>
            <w:r>
              <w:t xml:space="preserve">Such notice must be provided as soon as possible, but never more than one hour after becoming aware of the problem.  Notice must be made to the regional office identified in Condition </w:t>
            </w:r>
            <w:r w:rsidR="0088274C">
              <w:fldChar w:fldCharType="begin"/>
            </w:r>
            <w:r w:rsidR="001521EB">
              <w:instrText xml:space="preserve"> REF _Ref512738196 \r \h </w:instrText>
            </w:r>
            <w:r w:rsidR="0088274C">
              <w:fldChar w:fldCharType="separate"/>
            </w:r>
            <w:r w:rsidR="00E52DFD">
              <w:t>7.4</w:t>
            </w:r>
            <w:r w:rsidR="0088274C">
              <w:fldChar w:fldCharType="end"/>
            </w:r>
            <w:r>
              <w:t xml:space="preserve"> by e-mail, telephone, facsimile, or in person.</w:t>
            </w:r>
          </w:p>
        </w:tc>
      </w:tr>
      <w:tr w:rsidR="00C5535B">
        <w:tc>
          <w:tcPr>
            <w:tcW w:w="2880" w:type="dxa"/>
            <w:tcBorders>
              <w:top w:val="nil"/>
              <w:left w:val="nil"/>
              <w:bottom w:val="nil"/>
              <w:right w:val="nil"/>
            </w:tcBorders>
          </w:tcPr>
          <w:p w:rsidR="00C5535B" w:rsidRDefault="00C5535B" w:rsidP="001521EB">
            <w:pPr>
              <w:rPr>
                <w:b/>
              </w:rPr>
            </w:pPr>
          </w:p>
        </w:tc>
        <w:tc>
          <w:tcPr>
            <w:tcW w:w="6624" w:type="dxa"/>
            <w:tcBorders>
              <w:top w:val="nil"/>
              <w:left w:val="nil"/>
              <w:bottom w:val="nil"/>
              <w:right w:val="nil"/>
            </w:tcBorders>
          </w:tcPr>
          <w:p w:rsidR="00C5535B" w:rsidRDefault="00C5535B" w:rsidP="001521EB">
            <w:pPr>
              <w:pStyle w:val="Heading3"/>
              <w:spacing w:before="0" w:after="0"/>
            </w:pPr>
            <w:r>
              <w:t>If the excess emissions occur during non-business hours, the permittee must notify the Department by calling the Oregon Emergency Response System (OERS).  The current number is 1-800-452-0311.</w:t>
            </w:r>
          </w:p>
        </w:tc>
      </w:tr>
      <w:tr w:rsidR="00C5535B">
        <w:tc>
          <w:tcPr>
            <w:tcW w:w="2880" w:type="dxa"/>
            <w:tcBorders>
              <w:top w:val="nil"/>
              <w:left w:val="nil"/>
              <w:bottom w:val="nil"/>
              <w:right w:val="nil"/>
            </w:tcBorders>
          </w:tcPr>
          <w:p w:rsidR="00C5535B" w:rsidRDefault="00C5535B" w:rsidP="001521EB">
            <w:pPr>
              <w:rPr>
                <w:b/>
              </w:rPr>
            </w:pPr>
          </w:p>
        </w:tc>
        <w:tc>
          <w:tcPr>
            <w:tcW w:w="6624" w:type="dxa"/>
            <w:tcBorders>
              <w:top w:val="nil"/>
              <w:left w:val="nil"/>
              <w:bottom w:val="nil"/>
              <w:right w:val="nil"/>
            </w:tcBorders>
          </w:tcPr>
          <w:p w:rsidR="00C5535B" w:rsidRDefault="00C5535B" w:rsidP="001521EB">
            <w:pPr>
              <w:pStyle w:val="Heading3"/>
              <w:spacing w:before="0" w:after="0"/>
            </w:pPr>
            <w:r>
              <w:t>The permittee must also submit follow-up reports when required by the Department.</w:t>
            </w:r>
          </w:p>
        </w:tc>
      </w:tr>
      <w:tr w:rsidR="00EB2B73">
        <w:tc>
          <w:tcPr>
            <w:tcW w:w="2880" w:type="dxa"/>
            <w:tcBorders>
              <w:top w:val="nil"/>
              <w:left w:val="nil"/>
              <w:bottom w:val="nil"/>
              <w:right w:val="nil"/>
            </w:tcBorders>
          </w:tcPr>
          <w:p w:rsidR="00EB2B73" w:rsidRDefault="00EB2B73">
            <w:pPr>
              <w:pStyle w:val="Heading2"/>
            </w:pPr>
            <w:bookmarkStart w:id="32" w:name="_Ref316471254"/>
            <w:r>
              <w:t>Annual Report</w:t>
            </w:r>
            <w:bookmarkEnd w:id="32"/>
          </w:p>
        </w:tc>
        <w:tc>
          <w:tcPr>
            <w:tcW w:w="6624" w:type="dxa"/>
            <w:tcBorders>
              <w:top w:val="nil"/>
              <w:left w:val="nil"/>
              <w:bottom w:val="nil"/>
              <w:right w:val="nil"/>
            </w:tcBorders>
          </w:tcPr>
          <w:p w:rsidR="00EB2B73" w:rsidRDefault="00EB2B73" w:rsidP="00C5535B">
            <w:pPr>
              <w:pStyle w:val="Bodytext"/>
            </w:pPr>
            <w:r>
              <w:t xml:space="preserve">For each year this permit is in effect, the permittee must submit to the Department by </w:t>
            </w:r>
            <w:r>
              <w:rPr>
                <w:b/>
              </w:rPr>
              <w:t>February 15</w:t>
            </w:r>
            <w:r>
              <w:t xml:space="preserve"> two (2) copies of the following information for the previous calendar year:</w:t>
            </w:r>
          </w:p>
        </w:tc>
      </w:tr>
      <w:tr w:rsidR="00C5535B">
        <w:tc>
          <w:tcPr>
            <w:tcW w:w="2880" w:type="dxa"/>
            <w:tcBorders>
              <w:top w:val="nil"/>
              <w:left w:val="nil"/>
              <w:bottom w:val="nil"/>
              <w:right w:val="nil"/>
            </w:tcBorders>
          </w:tcPr>
          <w:p w:rsidR="00C5535B" w:rsidRDefault="00C5535B" w:rsidP="00005DFE">
            <w:pPr>
              <w:rPr>
                <w:b/>
              </w:rPr>
            </w:pPr>
          </w:p>
        </w:tc>
        <w:tc>
          <w:tcPr>
            <w:tcW w:w="6624" w:type="dxa"/>
            <w:tcBorders>
              <w:top w:val="nil"/>
              <w:left w:val="nil"/>
              <w:bottom w:val="nil"/>
              <w:right w:val="nil"/>
            </w:tcBorders>
          </w:tcPr>
          <w:p w:rsidR="00C5535B" w:rsidRDefault="00C5535B" w:rsidP="00005DFE">
            <w:pPr>
              <w:pStyle w:val="Heading3"/>
              <w:spacing w:before="0" w:after="0"/>
            </w:pPr>
            <w:bookmarkStart w:id="33" w:name="_Ref316471941"/>
            <w:r>
              <w:t>Operating parameters:</w:t>
            </w:r>
            <w:bookmarkEnd w:id="33"/>
          </w:p>
        </w:tc>
      </w:tr>
      <w:tr w:rsidR="00C5535B" w:rsidTr="00005DFE">
        <w:trPr>
          <w:trHeight w:val="243"/>
        </w:trPr>
        <w:tc>
          <w:tcPr>
            <w:tcW w:w="2880" w:type="dxa"/>
            <w:tcBorders>
              <w:top w:val="nil"/>
              <w:left w:val="nil"/>
              <w:bottom w:val="nil"/>
              <w:right w:val="nil"/>
            </w:tcBorders>
          </w:tcPr>
          <w:p w:rsidR="00C5535B" w:rsidRDefault="00C5535B" w:rsidP="00005DFE">
            <w:pPr>
              <w:rPr>
                <w:b/>
              </w:rPr>
            </w:pPr>
          </w:p>
        </w:tc>
        <w:tc>
          <w:tcPr>
            <w:tcW w:w="6624" w:type="dxa"/>
            <w:tcBorders>
              <w:top w:val="nil"/>
              <w:left w:val="nil"/>
              <w:bottom w:val="nil"/>
              <w:right w:val="nil"/>
            </w:tcBorders>
          </w:tcPr>
          <w:p w:rsidR="00C5535B" w:rsidRDefault="00B91DAC" w:rsidP="00005DFE">
            <w:pPr>
              <w:pStyle w:val="Heading4"/>
              <w:tabs>
                <w:tab w:val="num" w:pos="1440"/>
              </w:tabs>
              <w:spacing w:before="0" w:after="0"/>
            </w:pPr>
            <w:r>
              <w:t>Sawmill production (bd. ft</w:t>
            </w:r>
            <w:proofErr w:type="gramStart"/>
            <w:r>
              <w:t>./</w:t>
            </w:r>
            <w:proofErr w:type="gramEnd"/>
            <w:r>
              <w:t>yr)</w:t>
            </w:r>
            <w:r w:rsidR="00005DFE">
              <w:t>;</w:t>
            </w:r>
          </w:p>
        </w:tc>
      </w:tr>
      <w:tr w:rsidR="00C5535B">
        <w:tc>
          <w:tcPr>
            <w:tcW w:w="2880" w:type="dxa"/>
            <w:tcBorders>
              <w:top w:val="nil"/>
              <w:left w:val="nil"/>
              <w:bottom w:val="nil"/>
              <w:right w:val="nil"/>
            </w:tcBorders>
          </w:tcPr>
          <w:p w:rsidR="00C5535B" w:rsidRDefault="00C5535B" w:rsidP="00005DFE">
            <w:pPr>
              <w:rPr>
                <w:b/>
              </w:rPr>
            </w:pPr>
          </w:p>
        </w:tc>
        <w:tc>
          <w:tcPr>
            <w:tcW w:w="6624" w:type="dxa"/>
            <w:tcBorders>
              <w:top w:val="nil"/>
              <w:left w:val="nil"/>
              <w:bottom w:val="nil"/>
              <w:right w:val="nil"/>
            </w:tcBorders>
          </w:tcPr>
          <w:p w:rsidR="00C5535B" w:rsidRDefault="00B91DAC" w:rsidP="00005DFE">
            <w:pPr>
              <w:pStyle w:val="Heading4"/>
              <w:tabs>
                <w:tab w:val="num" w:pos="1440"/>
              </w:tabs>
              <w:spacing w:before="0" w:after="0"/>
            </w:pPr>
            <w:r>
              <w:t>Annual steam production for the backup boiler (lbs/yr)</w:t>
            </w:r>
            <w:r w:rsidR="00005DFE">
              <w:t>;</w:t>
            </w:r>
          </w:p>
        </w:tc>
      </w:tr>
      <w:tr w:rsidR="00C5535B">
        <w:tc>
          <w:tcPr>
            <w:tcW w:w="2880" w:type="dxa"/>
            <w:tcBorders>
              <w:top w:val="nil"/>
              <w:left w:val="nil"/>
              <w:bottom w:val="nil"/>
              <w:right w:val="nil"/>
            </w:tcBorders>
          </w:tcPr>
          <w:p w:rsidR="00C5535B" w:rsidRDefault="00C5535B" w:rsidP="00005DFE">
            <w:pPr>
              <w:rPr>
                <w:b/>
              </w:rPr>
            </w:pPr>
          </w:p>
        </w:tc>
        <w:tc>
          <w:tcPr>
            <w:tcW w:w="6624" w:type="dxa"/>
            <w:tcBorders>
              <w:top w:val="nil"/>
              <w:left w:val="nil"/>
              <w:bottom w:val="nil"/>
              <w:right w:val="nil"/>
            </w:tcBorders>
          </w:tcPr>
          <w:p w:rsidR="00C5535B" w:rsidRDefault="00B91DAC" w:rsidP="00005DFE">
            <w:pPr>
              <w:pStyle w:val="Heading4"/>
              <w:tabs>
                <w:tab w:val="num" w:pos="1440"/>
              </w:tabs>
              <w:spacing w:before="0" w:after="0"/>
            </w:pPr>
            <w:r>
              <w:t xml:space="preserve">Type and amount of </w:t>
            </w:r>
            <w:proofErr w:type="spellStart"/>
            <w:r>
              <w:t>woodwaste</w:t>
            </w:r>
            <w:proofErr w:type="spellEnd"/>
            <w:r>
              <w:t xml:space="preserve"> processed through the c</w:t>
            </w:r>
            <w:r w:rsidR="00005DFE">
              <w:t>yclones and Target Box (BDT/yr);</w:t>
            </w:r>
          </w:p>
          <w:p w:rsidR="00BB4FE6" w:rsidRDefault="00BB4FE6" w:rsidP="00005DFE">
            <w:pPr>
              <w:pStyle w:val="Heading4"/>
              <w:spacing w:before="0" w:after="0"/>
            </w:pPr>
            <w:r>
              <w:t>Amount of wood dried i</w:t>
            </w:r>
            <w:r w:rsidR="00005DFE">
              <w:t>n the kilns by species (MBF/yr);</w:t>
            </w:r>
          </w:p>
          <w:p w:rsidR="00BB4FE6" w:rsidRPr="00BB4FE6" w:rsidRDefault="00BB4FE6" w:rsidP="00D13FE7">
            <w:pPr>
              <w:pStyle w:val="Heading4"/>
              <w:spacing w:before="0" w:after="0"/>
            </w:pPr>
            <w:r>
              <w:t xml:space="preserve">Annual emissions as calculated according to </w:t>
            </w:r>
            <w:r w:rsidR="00D13FE7">
              <w:t>C</w:t>
            </w:r>
            <w:r>
              <w:t xml:space="preserve">ondition </w:t>
            </w:r>
            <w:r w:rsidR="0088274C">
              <w:fldChar w:fldCharType="begin"/>
            </w:r>
            <w:r w:rsidR="00D13FE7">
              <w:instrText xml:space="preserve"> REF _Ref316473160 \r \h </w:instrText>
            </w:r>
            <w:r w:rsidR="0088274C">
              <w:fldChar w:fldCharType="separate"/>
            </w:r>
            <w:r w:rsidR="00E52DFD">
              <w:t>4.2</w:t>
            </w:r>
            <w:r w:rsidR="0088274C">
              <w:fldChar w:fldCharType="end"/>
            </w:r>
            <w:r>
              <w:t>.</w:t>
            </w:r>
          </w:p>
        </w:tc>
      </w:tr>
      <w:tr w:rsidR="00C37826">
        <w:tc>
          <w:tcPr>
            <w:tcW w:w="2880" w:type="dxa"/>
            <w:tcBorders>
              <w:top w:val="nil"/>
              <w:left w:val="nil"/>
              <w:bottom w:val="nil"/>
              <w:right w:val="nil"/>
            </w:tcBorders>
          </w:tcPr>
          <w:p w:rsidR="00C37826" w:rsidRDefault="00C37826" w:rsidP="00005DFE">
            <w:pPr>
              <w:rPr>
                <w:b/>
              </w:rPr>
            </w:pPr>
          </w:p>
        </w:tc>
        <w:tc>
          <w:tcPr>
            <w:tcW w:w="6624" w:type="dxa"/>
            <w:tcBorders>
              <w:top w:val="nil"/>
              <w:left w:val="nil"/>
              <w:bottom w:val="nil"/>
              <w:right w:val="nil"/>
            </w:tcBorders>
          </w:tcPr>
          <w:p w:rsidR="00C37826" w:rsidRDefault="00C37826" w:rsidP="00005DFE">
            <w:pPr>
              <w:pStyle w:val="Heading3"/>
              <w:spacing w:before="0" w:after="0"/>
            </w:pPr>
            <w:proofErr w:type="gramStart"/>
            <w:r>
              <w:t>Records of all planned and unplanned excess emissions events.</w:t>
            </w:r>
            <w:proofErr w:type="gramEnd"/>
          </w:p>
        </w:tc>
      </w:tr>
      <w:tr w:rsidR="00C37826">
        <w:tc>
          <w:tcPr>
            <w:tcW w:w="2880" w:type="dxa"/>
            <w:tcBorders>
              <w:top w:val="nil"/>
              <w:left w:val="nil"/>
              <w:bottom w:val="nil"/>
              <w:right w:val="nil"/>
            </w:tcBorders>
          </w:tcPr>
          <w:p w:rsidR="00C37826" w:rsidRDefault="00C37826" w:rsidP="00005DFE">
            <w:pPr>
              <w:rPr>
                <w:b/>
              </w:rPr>
            </w:pPr>
          </w:p>
        </w:tc>
        <w:tc>
          <w:tcPr>
            <w:tcW w:w="6624" w:type="dxa"/>
            <w:tcBorders>
              <w:top w:val="nil"/>
              <w:left w:val="nil"/>
              <w:bottom w:val="nil"/>
              <w:right w:val="nil"/>
            </w:tcBorders>
          </w:tcPr>
          <w:p w:rsidR="00C37826" w:rsidRDefault="00C37826" w:rsidP="00005DFE">
            <w:pPr>
              <w:pStyle w:val="Heading3"/>
              <w:spacing w:before="0" w:after="0"/>
            </w:pPr>
            <w:proofErr w:type="gramStart"/>
            <w:r>
              <w:t>Summary of complaints relating to air quality received by permittee during the year.</w:t>
            </w:r>
            <w:proofErr w:type="gramEnd"/>
          </w:p>
        </w:tc>
      </w:tr>
      <w:tr w:rsidR="00C37826">
        <w:tc>
          <w:tcPr>
            <w:tcW w:w="2880" w:type="dxa"/>
            <w:tcBorders>
              <w:top w:val="nil"/>
              <w:left w:val="nil"/>
              <w:bottom w:val="nil"/>
              <w:right w:val="nil"/>
            </w:tcBorders>
          </w:tcPr>
          <w:p w:rsidR="00C37826" w:rsidRDefault="00C37826" w:rsidP="00005DFE">
            <w:pPr>
              <w:rPr>
                <w:b/>
              </w:rPr>
            </w:pPr>
          </w:p>
        </w:tc>
        <w:tc>
          <w:tcPr>
            <w:tcW w:w="6624" w:type="dxa"/>
            <w:tcBorders>
              <w:top w:val="nil"/>
              <w:left w:val="nil"/>
              <w:bottom w:val="nil"/>
              <w:right w:val="nil"/>
            </w:tcBorders>
          </w:tcPr>
          <w:p w:rsidR="00C37826" w:rsidRDefault="00C37826" w:rsidP="00005DFE">
            <w:pPr>
              <w:pStyle w:val="Heading3"/>
              <w:spacing w:before="0" w:after="0"/>
            </w:pPr>
            <w:r>
              <w:t>List permanent changes made in plant process, production levels, and pollution control equipment which affected air contaminant emissions.</w:t>
            </w:r>
          </w:p>
        </w:tc>
      </w:tr>
      <w:tr w:rsidR="001521EB">
        <w:tc>
          <w:tcPr>
            <w:tcW w:w="2880" w:type="dxa"/>
            <w:tcBorders>
              <w:top w:val="nil"/>
              <w:left w:val="nil"/>
              <w:bottom w:val="nil"/>
              <w:right w:val="nil"/>
            </w:tcBorders>
          </w:tcPr>
          <w:p w:rsidR="001521EB" w:rsidRDefault="001521EB" w:rsidP="00005DFE">
            <w:pPr>
              <w:rPr>
                <w:b/>
              </w:rPr>
            </w:pPr>
          </w:p>
        </w:tc>
        <w:tc>
          <w:tcPr>
            <w:tcW w:w="6624" w:type="dxa"/>
            <w:tcBorders>
              <w:top w:val="nil"/>
              <w:left w:val="nil"/>
              <w:bottom w:val="nil"/>
              <w:right w:val="nil"/>
            </w:tcBorders>
          </w:tcPr>
          <w:p w:rsidR="001521EB" w:rsidRDefault="001521EB" w:rsidP="00005DFE">
            <w:pPr>
              <w:pStyle w:val="Heading3"/>
              <w:spacing w:before="0" w:after="0"/>
            </w:pPr>
            <w:r w:rsidRPr="00FE4484">
              <w:t>List major maintenance performed on pollution control equipment.</w:t>
            </w:r>
          </w:p>
        </w:tc>
      </w:tr>
      <w:tr w:rsidR="00C37826">
        <w:tc>
          <w:tcPr>
            <w:tcW w:w="2880" w:type="dxa"/>
            <w:tcBorders>
              <w:top w:val="nil"/>
              <w:left w:val="nil"/>
              <w:bottom w:val="nil"/>
              <w:right w:val="nil"/>
            </w:tcBorders>
          </w:tcPr>
          <w:p w:rsidR="00C37826" w:rsidRDefault="00F91EC0" w:rsidP="00F91EC0">
            <w:pPr>
              <w:pStyle w:val="Heading2"/>
            </w:pPr>
            <w:r>
              <w:t>Greenhouse Gas Report</w:t>
            </w:r>
          </w:p>
        </w:tc>
        <w:tc>
          <w:tcPr>
            <w:tcW w:w="6624" w:type="dxa"/>
            <w:tcBorders>
              <w:top w:val="nil"/>
              <w:left w:val="nil"/>
              <w:bottom w:val="nil"/>
              <w:right w:val="nil"/>
            </w:tcBorders>
          </w:tcPr>
          <w:p w:rsidR="00F91EC0" w:rsidRDefault="00F91EC0" w:rsidP="00F91EC0">
            <w:pPr>
              <w:pStyle w:val="Heading3"/>
              <w:numPr>
                <w:ilvl w:val="2"/>
                <w:numId w:val="0"/>
              </w:numPr>
              <w:tabs>
                <w:tab w:val="num" w:pos="0"/>
              </w:tabs>
            </w:pPr>
            <w:r>
              <w:t>For each calendar year that the greenhouse emissions (as CO</w:t>
            </w:r>
            <w:r>
              <w:rPr>
                <w:vertAlign w:val="subscript"/>
              </w:rPr>
              <w:t>2</w:t>
            </w:r>
            <w:r>
              <w:t>e) equal or exceed 2,756 tons for CH</w:t>
            </w:r>
            <w:r w:rsidRPr="00532BBB">
              <w:rPr>
                <w:vertAlign w:val="subscript"/>
              </w:rPr>
              <w:t>4</w:t>
            </w:r>
            <w:r>
              <w:t xml:space="preserve"> + N</w:t>
            </w:r>
            <w:r w:rsidRPr="00532BBB">
              <w:rPr>
                <w:vertAlign w:val="subscript"/>
              </w:rPr>
              <w:t>2</w:t>
            </w:r>
            <w:r>
              <w:t>O, the permittee must submit to the Department by March 31 of the following year a greenhouse gas report using the EZ-</w:t>
            </w:r>
            <w:proofErr w:type="spellStart"/>
            <w:r>
              <w:t>Filer</w:t>
            </w:r>
            <w:proofErr w:type="spellEnd"/>
            <w:r>
              <w:t xml:space="preserve"> program online at: </w:t>
            </w:r>
          </w:p>
          <w:p w:rsidR="00F91EC0" w:rsidRPr="00F91EC0" w:rsidRDefault="0088274C" w:rsidP="00C46EA2">
            <w:hyperlink r:id="rId8" w:history="1">
              <w:r w:rsidR="00F91EC0" w:rsidRPr="00447C41">
                <w:rPr>
                  <w:rStyle w:val="Hyperlink"/>
                </w:rPr>
                <w:t>http://deq12.deq.state.or.us/GHGonlineReporting/</w:t>
              </w:r>
            </w:hyperlink>
          </w:p>
        </w:tc>
      </w:tr>
      <w:tr w:rsidR="00C37826">
        <w:trPr>
          <w:cantSplit/>
        </w:trPr>
        <w:tc>
          <w:tcPr>
            <w:tcW w:w="2880" w:type="dxa"/>
            <w:vMerge w:val="restart"/>
            <w:tcBorders>
              <w:top w:val="nil"/>
              <w:left w:val="nil"/>
              <w:bottom w:val="nil"/>
              <w:right w:val="nil"/>
            </w:tcBorders>
          </w:tcPr>
          <w:p w:rsidR="00C37826" w:rsidRDefault="00C37826">
            <w:pPr>
              <w:pStyle w:val="Heading2"/>
            </w:pPr>
            <w:r>
              <w:lastRenderedPageBreak/>
              <w:t>Notice of Change of Ownership or Company Name</w:t>
            </w:r>
          </w:p>
        </w:tc>
        <w:tc>
          <w:tcPr>
            <w:tcW w:w="6624" w:type="dxa"/>
            <w:tcBorders>
              <w:top w:val="nil"/>
              <w:left w:val="nil"/>
              <w:bottom w:val="nil"/>
              <w:right w:val="nil"/>
            </w:tcBorders>
          </w:tcPr>
          <w:p w:rsidR="00C37826" w:rsidRDefault="00C37826" w:rsidP="00B26099">
            <w:pPr>
              <w:pStyle w:val="Bodytext"/>
            </w:pPr>
            <w:r>
              <w:t>The permittee must notify the Department in writing using a Departmental “</w:t>
            </w:r>
            <w:r w:rsidR="00B26099">
              <w:t>Transfer</w:t>
            </w:r>
            <w:r>
              <w:t xml:space="preserve"> Application</w:t>
            </w:r>
            <w:r w:rsidR="00B26099">
              <w:t>”</w:t>
            </w:r>
            <w:r>
              <w:t xml:space="preserve"> </w:t>
            </w:r>
            <w:r w:rsidR="00B26099">
              <w:t>f</w:t>
            </w:r>
            <w:r>
              <w:t>orm</w:t>
            </w:r>
            <w:r w:rsidR="00B26099">
              <w:t xml:space="preserve"> </w:t>
            </w:r>
            <w:r w:rsidR="00B26099" w:rsidRPr="00B26099">
              <w:rPr>
                <w:i/>
                <w:sz w:val="20"/>
              </w:rPr>
              <w:t>(AQ103)</w:t>
            </w:r>
            <w:r>
              <w:t xml:space="preserve"> within 60 days after the following:</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rsidP="00B26099">
            <w:pPr>
              <w:pStyle w:val="Heading3"/>
              <w:spacing w:before="0" w:after="0"/>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rsidP="00B26099">
            <w:pPr>
              <w:pStyle w:val="Heading3"/>
              <w:spacing w:before="0" w:after="0"/>
            </w:pPr>
            <w:proofErr w:type="gramStart"/>
            <w:r>
              <w:t>Sale or exchange of the activity or facility.</w:t>
            </w:r>
            <w:proofErr w:type="gramEnd"/>
          </w:p>
        </w:tc>
      </w:tr>
      <w:tr w:rsidR="00C37826">
        <w:tc>
          <w:tcPr>
            <w:tcW w:w="2880" w:type="dxa"/>
            <w:tcBorders>
              <w:top w:val="nil"/>
              <w:left w:val="nil"/>
              <w:bottom w:val="nil"/>
              <w:right w:val="nil"/>
            </w:tcBorders>
          </w:tcPr>
          <w:p w:rsidR="00C37826" w:rsidRDefault="00C37826">
            <w:pPr>
              <w:pStyle w:val="Heading2"/>
            </w:pPr>
            <w:r>
              <w:t>Construction or Modification Notices</w:t>
            </w:r>
          </w:p>
        </w:tc>
        <w:tc>
          <w:tcPr>
            <w:tcW w:w="6624" w:type="dxa"/>
            <w:tcBorders>
              <w:top w:val="nil"/>
              <w:left w:val="nil"/>
              <w:bottom w:val="nil"/>
              <w:right w:val="nil"/>
            </w:tcBorders>
          </w:tcPr>
          <w:p w:rsidR="00C37826" w:rsidRDefault="00C37826" w:rsidP="0002744B">
            <w:pPr>
              <w:pStyle w:val="Bodytext"/>
            </w:pPr>
            <w:r>
              <w:t xml:space="preserve">The permittee must notify the Department in writing using a Departmental “Notice of </w:t>
            </w:r>
            <w:r w:rsidR="0002744B">
              <w:t xml:space="preserve">Intent to </w:t>
            </w:r>
            <w:r>
              <w:t>Construct</w:t>
            </w:r>
            <w:r w:rsidR="0002744B">
              <w:t>” f</w:t>
            </w:r>
            <w:r>
              <w:t>orm</w:t>
            </w:r>
            <w:r w:rsidR="0002744B">
              <w:t xml:space="preserve"> </w:t>
            </w:r>
            <w:r w:rsidR="0002744B" w:rsidRPr="0002744B">
              <w:rPr>
                <w:i/>
                <w:sz w:val="20"/>
              </w:rPr>
              <w:t>(AQ104)</w:t>
            </w:r>
            <w:r w:rsidR="0002744B">
              <w:t xml:space="preserve"> </w:t>
            </w:r>
            <w:r>
              <w:t>and obtain approval in accordance with OAR 340-210-0205 through 340-210-0250 before:</w:t>
            </w:r>
          </w:p>
        </w:tc>
      </w:tr>
      <w:tr w:rsidR="00C37826">
        <w:trPr>
          <w:cantSplit/>
        </w:trPr>
        <w:tc>
          <w:tcPr>
            <w:tcW w:w="2880" w:type="dxa"/>
            <w:vMerge w:val="restart"/>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rsidP="0002744B">
            <w:pPr>
              <w:pStyle w:val="Heading3"/>
              <w:spacing w:before="0" w:after="0"/>
            </w:pPr>
            <w:r>
              <w:t>Constructing, installing, or establishing a new stationary source that will cause an increase in any regulated pollutant emissions;</w:t>
            </w:r>
          </w:p>
        </w:tc>
      </w:tr>
      <w:tr w:rsidR="00C37826">
        <w:trPr>
          <w:cantSplit/>
        </w:trPr>
        <w:tc>
          <w:tcPr>
            <w:tcW w:w="2880" w:type="dxa"/>
            <w:vMerge/>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rsidP="0002744B">
            <w:pPr>
              <w:pStyle w:val="Heading3"/>
              <w:spacing w:before="0" w:after="0"/>
            </w:pPr>
            <w:r>
              <w:t>Making any physical change or change in operation of an existing stationary source that will cause an increase, on an hourly basis at full production, in any regulated pollutant emissions; or</w:t>
            </w:r>
          </w:p>
        </w:tc>
      </w:tr>
      <w:tr w:rsidR="00C37826">
        <w:trPr>
          <w:cantSplit/>
          <w:trHeight w:val="306"/>
        </w:trPr>
        <w:tc>
          <w:tcPr>
            <w:tcW w:w="2880" w:type="dxa"/>
            <w:vMerge/>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rsidP="0002744B">
            <w:pPr>
              <w:pStyle w:val="Heading3"/>
              <w:spacing w:before="0" w:after="0"/>
            </w:pPr>
            <w:r>
              <w:t>Constructing or modifying any air pollution control equipment.</w:t>
            </w:r>
          </w:p>
        </w:tc>
      </w:tr>
      <w:tr w:rsidR="00C37826">
        <w:tc>
          <w:tcPr>
            <w:tcW w:w="2880" w:type="dxa"/>
            <w:tcBorders>
              <w:top w:val="nil"/>
              <w:left w:val="nil"/>
              <w:bottom w:val="nil"/>
              <w:right w:val="nil"/>
            </w:tcBorders>
          </w:tcPr>
          <w:p w:rsidR="00C37826" w:rsidRDefault="00C37826">
            <w:pPr>
              <w:pStyle w:val="Heading2"/>
            </w:pPr>
            <w:r>
              <w:t>Where to Send Reports and Notices</w:t>
            </w:r>
          </w:p>
        </w:tc>
        <w:tc>
          <w:tcPr>
            <w:tcW w:w="6624" w:type="dxa"/>
            <w:tcBorders>
              <w:top w:val="nil"/>
              <w:left w:val="nil"/>
              <w:bottom w:val="nil"/>
              <w:right w:val="nil"/>
            </w:tcBorders>
          </w:tcPr>
          <w:p w:rsidR="00C37826" w:rsidRDefault="00C37826" w:rsidP="0002744B">
            <w:pPr>
              <w:pStyle w:val="Bodytext"/>
            </w:pPr>
            <w:r>
              <w:t xml:space="preserve">The reports, with the permit number prominently displayed, must be sent to the Permit Coordinator for the region where the source is located as identified in </w:t>
            </w:r>
            <w:r>
              <w:rPr>
                <w:caps/>
              </w:rPr>
              <w:t>c</w:t>
            </w:r>
            <w:r>
              <w:t xml:space="preserve">ondition </w:t>
            </w:r>
            <w:r w:rsidR="0088274C">
              <w:fldChar w:fldCharType="begin"/>
            </w:r>
            <w:r w:rsidR="0002744B">
              <w:instrText xml:space="preserve"> REF _Ref510578991 \r \h </w:instrText>
            </w:r>
            <w:r w:rsidR="0088274C">
              <w:fldChar w:fldCharType="separate"/>
            </w:r>
            <w:r w:rsidR="00E52DFD">
              <w:t>7.3</w:t>
            </w:r>
            <w:r w:rsidR="0088274C">
              <w:fldChar w:fldCharType="end"/>
            </w:r>
            <w:r>
              <w:t>.</w:t>
            </w:r>
          </w:p>
        </w:tc>
      </w:tr>
    </w:tbl>
    <w:p w:rsidR="00C5535B" w:rsidRDefault="00C5535B"/>
    <w:p w:rsidR="00C5535B" w:rsidRDefault="00C5535B"/>
    <w:p w:rsidR="00C5535B" w:rsidRDefault="00C5535B">
      <w:pPr>
        <w:pStyle w:val="Heading1"/>
      </w:pPr>
      <w:bookmarkStart w:id="34" w:name="_Toc512936670"/>
      <w:bookmarkStart w:id="35" w:name="_Toc321315436"/>
      <w:r>
        <w:t>Administrative requirements</w:t>
      </w:r>
      <w:bookmarkEnd w:id="34"/>
      <w:bookmarkEnd w:id="35"/>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 Renewal Application</w:t>
            </w:r>
          </w:p>
        </w:tc>
        <w:tc>
          <w:tcPr>
            <w:tcW w:w="6624" w:type="dxa"/>
            <w:tcBorders>
              <w:top w:val="nil"/>
              <w:left w:val="nil"/>
              <w:bottom w:val="nil"/>
              <w:right w:val="nil"/>
            </w:tcBorders>
          </w:tcPr>
          <w:p w:rsidR="00C5535B" w:rsidRDefault="00C5535B" w:rsidP="006478CB">
            <w:pPr>
              <w:pStyle w:val="Bodytext"/>
            </w:pPr>
            <w:bookmarkStart w:id="36" w:name="_Toc463428251"/>
            <w:r>
              <w:t>The completed application package for renewal of this permit is due on</w:t>
            </w:r>
            <w:r w:rsidR="006478CB">
              <w:t xml:space="preserve"> </w:t>
            </w:r>
            <w:r w:rsidR="006478CB" w:rsidRPr="006478CB">
              <w:rPr>
                <w:b/>
              </w:rPr>
              <w:t>March 1, 2017</w:t>
            </w:r>
            <w:r>
              <w:t xml:space="preserve">.  Two (2) copies of the application must be submitted to the </w:t>
            </w:r>
            <w:bookmarkEnd w:id="36"/>
            <w:r>
              <w:t xml:space="preserve">DEQ Permit Coordinator listed in </w:t>
            </w:r>
            <w:r w:rsidR="00087693">
              <w:t>C</w:t>
            </w:r>
            <w:r>
              <w:t xml:space="preserve">ondition </w:t>
            </w:r>
            <w:r w:rsidR="00087693">
              <w:t xml:space="preserve">No. </w:t>
            </w:r>
            <w:r w:rsidR="0088274C">
              <w:fldChar w:fldCharType="begin"/>
            </w:r>
            <w:r w:rsidR="002C5BD8">
              <w:instrText xml:space="preserve"> REF _Ref510578991 \r \h </w:instrText>
            </w:r>
            <w:r w:rsidR="0088274C">
              <w:fldChar w:fldCharType="separate"/>
            </w:r>
            <w:r w:rsidR="00E52DFD">
              <w:t>7.3</w:t>
            </w:r>
            <w:r w:rsidR="0088274C">
              <w:fldChar w:fldCharType="end"/>
            </w:r>
          </w:p>
        </w:tc>
      </w:tr>
      <w:tr w:rsidR="00C5535B">
        <w:tc>
          <w:tcPr>
            <w:tcW w:w="2880" w:type="dxa"/>
            <w:tcBorders>
              <w:top w:val="nil"/>
              <w:left w:val="nil"/>
              <w:bottom w:val="nil"/>
              <w:right w:val="nil"/>
            </w:tcBorders>
          </w:tcPr>
          <w:p w:rsidR="00C5535B" w:rsidRDefault="00C5535B">
            <w:pPr>
              <w:pStyle w:val="Heading2"/>
            </w:pPr>
            <w:r>
              <w:t>Permit Modifications</w:t>
            </w:r>
          </w:p>
        </w:tc>
        <w:tc>
          <w:tcPr>
            <w:tcW w:w="6624" w:type="dxa"/>
            <w:tcBorders>
              <w:top w:val="nil"/>
              <w:left w:val="nil"/>
              <w:bottom w:val="nil"/>
              <w:right w:val="nil"/>
            </w:tcBorders>
          </w:tcPr>
          <w:p w:rsidR="00C5535B" w:rsidRDefault="00C5535B">
            <w:pPr>
              <w:pStyle w:val="Bodytext"/>
            </w:pPr>
            <w:r>
              <w:t xml:space="preserve">Application for a modification of this permit must be submitted not less than </w:t>
            </w:r>
            <w:r>
              <w:rPr>
                <w:b/>
              </w:rPr>
              <w:t>60</w:t>
            </w:r>
            <w:r>
              <w:t xml:space="preserve"> days prior to the source modific</w:t>
            </w:r>
            <w:r w:rsidR="002C5BD8">
              <w:t xml:space="preserve">ation.  A special activity fee </w:t>
            </w:r>
            <w:r>
              <w:t>must be submitted with an application for the permit modification.  The fees and two (2) copies of the application must be submitted to the Business Office of the Department.</w:t>
            </w:r>
          </w:p>
        </w:tc>
      </w:tr>
      <w:tr w:rsidR="00C5535B">
        <w:tc>
          <w:tcPr>
            <w:tcW w:w="2880" w:type="dxa"/>
            <w:tcBorders>
              <w:top w:val="nil"/>
              <w:left w:val="nil"/>
              <w:bottom w:val="nil"/>
              <w:right w:val="nil"/>
            </w:tcBorders>
          </w:tcPr>
          <w:p w:rsidR="00C5535B" w:rsidRDefault="00C5535B" w:rsidP="002C5BD8">
            <w:pPr>
              <w:pStyle w:val="Heading2"/>
            </w:pPr>
            <w:bookmarkStart w:id="37" w:name="_Ref510578991"/>
            <w:bookmarkStart w:id="38" w:name="_Ref510949031"/>
            <w:r>
              <w:t>Permit Coordinator</w:t>
            </w:r>
            <w:r w:rsidR="002C5BD8">
              <w:t>’s</w:t>
            </w:r>
            <w:r>
              <w:t xml:space="preserve"> Address</w:t>
            </w:r>
            <w:bookmarkEnd w:id="37"/>
            <w:bookmarkEnd w:id="38"/>
          </w:p>
        </w:tc>
        <w:tc>
          <w:tcPr>
            <w:tcW w:w="6624" w:type="dxa"/>
            <w:tcBorders>
              <w:top w:val="nil"/>
              <w:left w:val="nil"/>
              <w:bottom w:val="nil"/>
              <w:right w:val="nil"/>
            </w:tcBorders>
          </w:tcPr>
          <w:p w:rsidR="00C5535B" w:rsidRDefault="00C5535B" w:rsidP="002C5BD8">
            <w:pPr>
              <w:pStyle w:val="Bodytext"/>
            </w:pPr>
            <w:r>
              <w:t>All reports, notices and applications should be directed to the Permit Coordinator for the area where the source is located.  The Permit Coordinator</w:t>
            </w:r>
            <w:r w:rsidR="002C5BD8">
              <w:t>’s</w:t>
            </w:r>
            <w:r>
              <w:t xml:space="preserve"> address </w:t>
            </w:r>
            <w:r w:rsidR="002C5BD8">
              <w:t>is</w:t>
            </w:r>
            <w:r>
              <w:t xml:space="preserve"> as follows:</w:t>
            </w:r>
          </w:p>
        </w:tc>
      </w:tr>
    </w:tbl>
    <w:p w:rsidR="002C5BD8" w:rsidRDefault="002C5BD8"/>
    <w:p w:rsidR="002C5BD8" w:rsidRDefault="002C5BD8">
      <w:r>
        <w:br w:type="page"/>
      </w:r>
    </w:p>
    <w:p w:rsidR="00C5535B" w:rsidRDefault="00C5535B"/>
    <w:tbl>
      <w:tblPr>
        <w:tblW w:w="0" w:type="auto"/>
        <w:tblInd w:w="28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6570"/>
      </w:tblGrid>
      <w:tr w:rsidR="00ED16F2">
        <w:trPr>
          <w:cantSplit/>
        </w:trPr>
        <w:tc>
          <w:tcPr>
            <w:tcW w:w="6570" w:type="dxa"/>
          </w:tcPr>
          <w:p w:rsidR="00ED16F2" w:rsidRDefault="00ED16F2">
            <w:pPr>
              <w:rPr>
                <w:b/>
              </w:rPr>
            </w:pPr>
            <w:r>
              <w:rPr>
                <w:b/>
              </w:rPr>
              <w:t>Permit Coordinator</w:t>
            </w:r>
            <w:r w:rsidR="002C5BD8">
              <w:rPr>
                <w:b/>
              </w:rPr>
              <w:t>’s</w:t>
            </w:r>
            <w:r>
              <w:rPr>
                <w:b/>
              </w:rPr>
              <w:t xml:space="preserve"> Address and Telephone</w:t>
            </w:r>
          </w:p>
        </w:tc>
      </w:tr>
      <w:tr w:rsidR="00ED16F2">
        <w:trPr>
          <w:cantSplit/>
        </w:trPr>
        <w:tc>
          <w:tcPr>
            <w:tcW w:w="6570" w:type="dxa"/>
          </w:tcPr>
          <w:p w:rsidR="00ED16F2" w:rsidRDefault="00ED16F2" w:rsidP="00ED16F2">
            <w:r>
              <w:t>Department of Environmental Quality</w:t>
            </w:r>
          </w:p>
          <w:p w:rsidR="00ED16F2" w:rsidRDefault="00ED16F2" w:rsidP="00ED16F2">
            <w:r>
              <w:t>Eastern Region</w:t>
            </w:r>
            <w:r w:rsidR="002C5BD8">
              <w:t xml:space="preserve"> – Bend Office</w:t>
            </w:r>
          </w:p>
          <w:p w:rsidR="00ED16F2" w:rsidRDefault="00AE4C83" w:rsidP="00ED16F2">
            <w:r>
              <w:t>475 NE Bellevue Dr</w:t>
            </w:r>
            <w:r w:rsidR="000500BD">
              <w:t>.</w:t>
            </w:r>
            <w:r w:rsidR="00ED16F2">
              <w:t>, Suite 1</w:t>
            </w:r>
            <w:r w:rsidR="000252D5">
              <w:t>1</w:t>
            </w:r>
            <w:r>
              <w:t>0</w:t>
            </w:r>
          </w:p>
          <w:p w:rsidR="00ED16F2" w:rsidRDefault="00ED16F2" w:rsidP="00ED16F2">
            <w:pPr>
              <w:rPr>
                <w:caps/>
              </w:rPr>
            </w:pPr>
            <w:r>
              <w:rPr>
                <w:caps/>
              </w:rPr>
              <w:t>B</w:t>
            </w:r>
            <w:r>
              <w:rPr>
                <w:szCs w:val="24"/>
              </w:rPr>
              <w:t>end</w:t>
            </w:r>
            <w:r>
              <w:rPr>
                <w:caps/>
              </w:rPr>
              <w:t>, OR</w:t>
            </w:r>
            <w:r w:rsidR="002C5BD8">
              <w:rPr>
                <w:caps/>
              </w:rPr>
              <w:t xml:space="preserve"> </w:t>
            </w:r>
            <w:r>
              <w:rPr>
                <w:caps/>
              </w:rPr>
              <w:t xml:space="preserve"> 97701</w:t>
            </w:r>
          </w:p>
          <w:p w:rsidR="00ED16F2" w:rsidRDefault="00ED16F2" w:rsidP="002C5BD8">
            <w:r>
              <w:t xml:space="preserve">Telephone: (541) </w:t>
            </w:r>
            <w:r w:rsidR="002C5BD8">
              <w:t>633-2021</w:t>
            </w:r>
          </w:p>
        </w:tc>
      </w:tr>
    </w:tbl>
    <w:p w:rsidR="00C5535B" w:rsidRDefault="00C5535B">
      <w:bookmarkStart w:id="39" w:name="_Ref5105789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bookmarkStart w:id="40" w:name="_Ref512738196"/>
            <w:r>
              <w:t>Department Contacts</w:t>
            </w:r>
            <w:bookmarkEnd w:id="39"/>
            <w:bookmarkEnd w:id="40"/>
          </w:p>
        </w:tc>
        <w:tc>
          <w:tcPr>
            <w:tcW w:w="6624" w:type="dxa"/>
            <w:tcBorders>
              <w:top w:val="nil"/>
              <w:left w:val="nil"/>
              <w:bottom w:val="nil"/>
              <w:right w:val="nil"/>
            </w:tcBorders>
          </w:tcPr>
          <w:p w:rsidR="00C5535B" w:rsidRDefault="00C5535B" w:rsidP="002C5BD8">
            <w:pPr>
              <w:pStyle w:val="Bodytext"/>
            </w:pPr>
            <w:r>
              <w:t>Information about air quality permits and the Department’s regulations may be obtained from the DEQ web page at</w:t>
            </w:r>
            <w:r w:rsidR="002C5BD8">
              <w:t xml:space="preserve"> </w:t>
            </w:r>
            <w:hyperlink r:id="rId9" w:history="1">
              <w:r w:rsidR="002C5BD8" w:rsidRPr="006A211F">
                <w:rPr>
                  <w:rStyle w:val="Hyperlink"/>
                </w:rPr>
                <w:t>www.oregon.gov/DEQ</w:t>
              </w:r>
            </w:hyperlink>
            <w:r>
              <w:t>.</w:t>
            </w:r>
            <w:r w:rsidR="002C5BD8">
              <w:t xml:space="preserve"> </w:t>
            </w:r>
            <w:r>
              <w:t xml:space="preserve"> All inquiries about this permit should be directed to the regional office for the area where the source is located.  The Department’s regional office </w:t>
            </w:r>
            <w:r w:rsidR="002C5BD8">
              <w:t>is</w:t>
            </w:r>
            <w:r>
              <w:t xml:space="preserve"> as follows:</w:t>
            </w:r>
          </w:p>
        </w:tc>
      </w:tr>
    </w:tbl>
    <w:p w:rsidR="00E03473" w:rsidRDefault="00E03473" w:rsidP="00BD50DD">
      <w:pPr>
        <w:jc w:val="center"/>
      </w:pPr>
    </w:p>
    <w:tbl>
      <w:tblPr>
        <w:tblW w:w="0" w:type="auto"/>
        <w:tblInd w:w="28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6570"/>
      </w:tblGrid>
      <w:tr w:rsidR="00BD50DD">
        <w:trPr>
          <w:cantSplit/>
          <w:tblHeader/>
        </w:trPr>
        <w:tc>
          <w:tcPr>
            <w:tcW w:w="6570" w:type="dxa"/>
          </w:tcPr>
          <w:p w:rsidR="00BD50DD" w:rsidRDefault="002C5BD8" w:rsidP="00BD50DD">
            <w:pPr>
              <w:jc w:val="center"/>
              <w:rPr>
                <w:b/>
              </w:rPr>
            </w:pPr>
            <w:r>
              <w:rPr>
                <w:b/>
              </w:rPr>
              <w:t xml:space="preserve">Regional </w:t>
            </w:r>
            <w:r w:rsidR="00BD50DD">
              <w:rPr>
                <w:b/>
              </w:rPr>
              <w:t>Office Address and Telephone</w:t>
            </w:r>
          </w:p>
        </w:tc>
      </w:tr>
      <w:tr w:rsidR="00BD50DD">
        <w:trPr>
          <w:cantSplit/>
        </w:trPr>
        <w:tc>
          <w:tcPr>
            <w:tcW w:w="6570" w:type="dxa"/>
          </w:tcPr>
          <w:p w:rsidR="00BD50DD" w:rsidRDefault="00BD50DD" w:rsidP="0084287B">
            <w:r>
              <w:t>Department of Environmental Quality</w:t>
            </w:r>
          </w:p>
          <w:p w:rsidR="00BD50DD" w:rsidRDefault="00BD50DD" w:rsidP="0084287B">
            <w:pPr>
              <w:tabs>
                <w:tab w:val="left" w:pos="1050"/>
                <w:tab w:val="center" w:pos="2268"/>
              </w:tabs>
            </w:pPr>
            <w:r>
              <w:t>Pendleton Office</w:t>
            </w:r>
          </w:p>
          <w:p w:rsidR="00BD50DD" w:rsidRDefault="00BD50DD" w:rsidP="0084287B">
            <w:smartTag w:uri="urn:schemas-microsoft-com:office:smarttags" w:element="Street">
              <w:smartTag w:uri="urn:schemas-microsoft-com:office:smarttags" w:element="address">
                <w:r>
                  <w:t>700 SE Emigrant Avenue, Suite 330</w:t>
                </w:r>
              </w:smartTag>
            </w:smartTag>
          </w:p>
          <w:p w:rsidR="00BD50DD" w:rsidRDefault="00BD50DD" w:rsidP="0084287B">
            <w:r>
              <w:t xml:space="preserve">Pendleton, OR </w:t>
            </w:r>
            <w:r w:rsidR="002C5BD8">
              <w:t xml:space="preserve"> </w:t>
            </w:r>
            <w:r>
              <w:t>97801-2597</w:t>
            </w:r>
          </w:p>
          <w:p w:rsidR="00BD50DD" w:rsidRDefault="00BD50DD" w:rsidP="0084287B">
            <w:r>
              <w:t>Telephone: (541) 276-4063</w:t>
            </w:r>
          </w:p>
        </w:tc>
      </w:tr>
    </w:tbl>
    <w:p w:rsidR="00BD50DD" w:rsidRDefault="00BD50DD" w:rsidP="00E03473"/>
    <w:p w:rsidR="00E03473" w:rsidRPr="00E03473" w:rsidRDefault="00E03473" w:rsidP="00E03473"/>
    <w:p w:rsidR="00C5535B" w:rsidRDefault="00C5535B" w:rsidP="00BD50DD">
      <w:pPr>
        <w:pStyle w:val="Heading1"/>
      </w:pPr>
      <w:bookmarkStart w:id="41" w:name="_Toc321315437"/>
      <w:r>
        <w:t>fees</w:t>
      </w:r>
      <w:bookmarkEnd w:id="41"/>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Annual Compliance Fee</w:t>
            </w:r>
          </w:p>
        </w:tc>
        <w:tc>
          <w:tcPr>
            <w:tcW w:w="6624" w:type="dxa"/>
            <w:tcBorders>
              <w:top w:val="nil"/>
              <w:left w:val="nil"/>
              <w:bottom w:val="nil"/>
              <w:right w:val="nil"/>
            </w:tcBorders>
          </w:tcPr>
          <w:p w:rsidR="00C5535B" w:rsidRDefault="00C5535B">
            <w:pPr>
              <w:pStyle w:val="Bodytext"/>
            </w:pPr>
            <w:r>
              <w:t xml:space="preserve">The Annual Fee specified in OAR 340-216-0020, Table 2, </w:t>
            </w:r>
            <w:proofErr w:type="gramStart"/>
            <w:r>
              <w:t>Part</w:t>
            </w:r>
            <w:proofErr w:type="gramEnd"/>
            <w:r>
              <w:t xml:space="preserve"> 2 for a Standard ACDP is due on </w:t>
            </w:r>
            <w:r>
              <w:rPr>
                <w:b/>
              </w:rPr>
              <w:t>December 1</w:t>
            </w:r>
            <w:r>
              <w:t xml:space="preserve"> of each year this permit is in effect.  An invoice indicating the amount, as determined by Department regulations, will be mailed prior to the above date.</w:t>
            </w:r>
          </w:p>
        </w:tc>
      </w:tr>
      <w:tr w:rsidR="00C5535B">
        <w:tc>
          <w:tcPr>
            <w:tcW w:w="2880" w:type="dxa"/>
            <w:tcBorders>
              <w:top w:val="nil"/>
              <w:left w:val="nil"/>
              <w:bottom w:val="nil"/>
              <w:right w:val="nil"/>
            </w:tcBorders>
          </w:tcPr>
          <w:p w:rsidR="00C5535B" w:rsidRDefault="00C5535B">
            <w:pPr>
              <w:pStyle w:val="Heading2"/>
            </w:pPr>
            <w:r>
              <w:t>Change of Ownership or Company Name Fee</w:t>
            </w:r>
          </w:p>
        </w:tc>
        <w:tc>
          <w:tcPr>
            <w:tcW w:w="6624" w:type="dxa"/>
            <w:tcBorders>
              <w:top w:val="nil"/>
              <w:left w:val="nil"/>
              <w:bottom w:val="nil"/>
              <w:right w:val="nil"/>
            </w:tcBorders>
          </w:tcPr>
          <w:p w:rsidR="00C5535B" w:rsidRDefault="00C5535B">
            <w:pPr>
              <w:pStyle w:val="Bodytext"/>
            </w:pPr>
            <w:r>
              <w:t xml:space="preserve">The non-technical permit modification fee specified in OAR 340-216-0020, Table 2, </w:t>
            </w:r>
            <w:proofErr w:type="gramStart"/>
            <w:r>
              <w:t>Part</w:t>
            </w:r>
            <w:proofErr w:type="gramEnd"/>
            <w:r>
              <w:t xml:space="preserve"> 3(a) is due with an application for changing the ownership or the name of the company.</w:t>
            </w:r>
          </w:p>
        </w:tc>
      </w:tr>
      <w:tr w:rsidR="00C5535B">
        <w:tc>
          <w:tcPr>
            <w:tcW w:w="2880" w:type="dxa"/>
            <w:tcBorders>
              <w:top w:val="nil"/>
              <w:left w:val="nil"/>
              <w:bottom w:val="nil"/>
              <w:right w:val="nil"/>
            </w:tcBorders>
          </w:tcPr>
          <w:p w:rsidR="00C5535B" w:rsidRDefault="00C5535B">
            <w:pPr>
              <w:pStyle w:val="Heading2"/>
            </w:pPr>
            <w:r>
              <w:t>Special Activity Fees</w:t>
            </w:r>
          </w:p>
        </w:tc>
        <w:tc>
          <w:tcPr>
            <w:tcW w:w="6624" w:type="dxa"/>
            <w:tcBorders>
              <w:top w:val="nil"/>
              <w:left w:val="nil"/>
              <w:bottom w:val="nil"/>
              <w:right w:val="nil"/>
            </w:tcBorders>
          </w:tcPr>
          <w:p w:rsidR="00C5535B" w:rsidRDefault="00C5535B">
            <w:pPr>
              <w:pStyle w:val="Bodytext"/>
            </w:pPr>
            <w:r>
              <w:t xml:space="preserve">The special activity fees specified in OAR 340-216-0020, Table 2, Part 3 (b through </w:t>
            </w:r>
            <w:proofErr w:type="spellStart"/>
            <w:r>
              <w:t>i</w:t>
            </w:r>
            <w:proofErr w:type="spellEnd"/>
            <w:r>
              <w:t>) are due with an application to modify the permit.</w:t>
            </w:r>
          </w:p>
        </w:tc>
      </w:tr>
      <w:tr w:rsidR="00C5535B">
        <w:tc>
          <w:tcPr>
            <w:tcW w:w="2880" w:type="dxa"/>
            <w:tcBorders>
              <w:top w:val="nil"/>
              <w:left w:val="nil"/>
              <w:bottom w:val="nil"/>
              <w:right w:val="nil"/>
            </w:tcBorders>
          </w:tcPr>
          <w:p w:rsidR="00C5535B" w:rsidRDefault="00C5535B">
            <w:pPr>
              <w:pStyle w:val="Heading2"/>
            </w:pPr>
            <w:r>
              <w:t>Where to Submit Fees</w:t>
            </w:r>
          </w:p>
        </w:tc>
        <w:tc>
          <w:tcPr>
            <w:tcW w:w="6624" w:type="dxa"/>
            <w:tcBorders>
              <w:top w:val="nil"/>
              <w:left w:val="nil"/>
              <w:bottom w:val="nil"/>
              <w:right w:val="nil"/>
            </w:tcBorders>
          </w:tcPr>
          <w:p w:rsidR="00C5535B" w:rsidRDefault="00C5535B" w:rsidP="00CB151E">
            <w:pPr>
              <w:pStyle w:val="Bodytext"/>
              <w:spacing w:before="0" w:after="0"/>
            </w:pPr>
            <w:r>
              <w:t>Fees must be submitted to:</w:t>
            </w:r>
          </w:p>
          <w:p w:rsidR="00C5535B" w:rsidRDefault="00C5535B" w:rsidP="00CB151E">
            <w:r>
              <w:t>Department of Environmental Quality</w:t>
            </w:r>
          </w:p>
          <w:p w:rsidR="00C5535B" w:rsidRDefault="00C5535B" w:rsidP="00CB151E">
            <w:r>
              <w:t>Business Office</w:t>
            </w:r>
          </w:p>
          <w:p w:rsidR="00C5535B" w:rsidRDefault="00C5535B" w:rsidP="00CB151E">
            <w:smartTag w:uri="urn:schemas-microsoft-com:office:smarttags" w:element="Street">
              <w:smartTag w:uri="urn:schemas-microsoft-com:office:smarttags" w:element="address">
                <w:r>
                  <w:t>811 SW Sixth Avenue</w:t>
                </w:r>
              </w:smartTag>
            </w:smartTag>
          </w:p>
          <w:p w:rsidR="00C5535B" w:rsidRDefault="00C5535B" w:rsidP="00CB151E">
            <w:r>
              <w:t>Portland, O</w:t>
            </w:r>
            <w:r w:rsidR="00CB151E">
              <w:t xml:space="preserve">R </w:t>
            </w:r>
            <w:r>
              <w:t xml:space="preserve"> 97204-1390</w:t>
            </w:r>
          </w:p>
        </w:tc>
      </w:tr>
    </w:tbl>
    <w:p w:rsidR="00C5535B" w:rsidRDefault="00C5535B"/>
    <w:p w:rsidR="00E03473" w:rsidRDefault="00E03473" w:rsidP="00E03473">
      <w:pPr>
        <w:pStyle w:val="Heading1"/>
      </w:pPr>
      <w:bookmarkStart w:id="42" w:name="_Toc321315438"/>
      <w:r>
        <w:lastRenderedPageBreak/>
        <w:t>General conditions and disclaimers</w:t>
      </w:r>
      <w:bookmarkEnd w:id="42"/>
    </w:p>
    <w:p w:rsidR="00E03473" w:rsidRDefault="00E03473" w:rsidP="00E034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E03473" w:rsidTr="00612E52">
        <w:tc>
          <w:tcPr>
            <w:tcW w:w="2880" w:type="dxa"/>
            <w:tcBorders>
              <w:top w:val="nil"/>
              <w:left w:val="nil"/>
              <w:bottom w:val="nil"/>
              <w:right w:val="nil"/>
            </w:tcBorders>
          </w:tcPr>
          <w:p w:rsidR="00E03473" w:rsidRDefault="00E03473" w:rsidP="00612E52">
            <w:pPr>
              <w:pStyle w:val="Heading2"/>
            </w:pPr>
            <w:r>
              <w:t>Permitted Activities</w:t>
            </w:r>
          </w:p>
        </w:tc>
        <w:tc>
          <w:tcPr>
            <w:tcW w:w="6624" w:type="dxa"/>
            <w:tcBorders>
              <w:top w:val="nil"/>
              <w:left w:val="nil"/>
              <w:bottom w:val="nil"/>
              <w:right w:val="nil"/>
            </w:tcBorders>
          </w:tcPr>
          <w:p w:rsidR="00E03473" w:rsidRDefault="00E03473" w:rsidP="00612E52">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E03473" w:rsidTr="00D6267B">
        <w:trPr>
          <w:trHeight w:val="981"/>
        </w:trPr>
        <w:tc>
          <w:tcPr>
            <w:tcW w:w="2880" w:type="dxa"/>
            <w:tcBorders>
              <w:top w:val="nil"/>
              <w:left w:val="nil"/>
              <w:bottom w:val="nil"/>
              <w:right w:val="nil"/>
            </w:tcBorders>
          </w:tcPr>
          <w:p w:rsidR="00E03473" w:rsidRDefault="00E03473" w:rsidP="00612E52">
            <w:pPr>
              <w:pStyle w:val="Heading2"/>
            </w:pPr>
            <w:r>
              <w:t>Other Regulations</w:t>
            </w:r>
          </w:p>
        </w:tc>
        <w:tc>
          <w:tcPr>
            <w:tcW w:w="6624" w:type="dxa"/>
            <w:tcBorders>
              <w:top w:val="nil"/>
              <w:left w:val="nil"/>
              <w:bottom w:val="nil"/>
              <w:right w:val="nil"/>
            </w:tcBorders>
          </w:tcPr>
          <w:p w:rsidR="00E03473" w:rsidRDefault="00E03473" w:rsidP="00612E52">
            <w:pPr>
              <w:pStyle w:val="Bodytext"/>
            </w:pPr>
            <w:r>
              <w:t>In addition to the specific requirements listed in this permit, the permittee must comply with all other legal requirements enforceable by the Department.</w:t>
            </w:r>
          </w:p>
        </w:tc>
      </w:tr>
    </w:tbl>
    <w:p w:rsidR="00E03473" w:rsidRPr="00ED1F14" w:rsidRDefault="00E03473" w:rsidP="00E03473">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E03473" w:rsidTr="00612E52">
        <w:tc>
          <w:tcPr>
            <w:tcW w:w="2880" w:type="dxa"/>
            <w:tcBorders>
              <w:top w:val="nil"/>
              <w:left w:val="nil"/>
              <w:bottom w:val="nil"/>
              <w:right w:val="nil"/>
            </w:tcBorders>
          </w:tcPr>
          <w:p w:rsidR="00E03473" w:rsidRDefault="00E03473" w:rsidP="00612E52">
            <w:pPr>
              <w:pStyle w:val="Heading2"/>
            </w:pPr>
            <w:r>
              <w:t>Conflicting Conditions</w:t>
            </w:r>
          </w:p>
        </w:tc>
        <w:tc>
          <w:tcPr>
            <w:tcW w:w="6624" w:type="dxa"/>
            <w:tcBorders>
              <w:top w:val="nil"/>
              <w:left w:val="nil"/>
              <w:bottom w:val="nil"/>
              <w:right w:val="nil"/>
            </w:tcBorders>
          </w:tcPr>
          <w:p w:rsidR="00E03473" w:rsidRDefault="00E03473" w:rsidP="00612E52">
            <w:pPr>
              <w:pStyle w:val="Bodytext"/>
            </w:pPr>
            <w:r>
              <w:t>In any instance in which there is an apparent conflict relative to conditions in this permit, the most stringent conditions apply.</w:t>
            </w:r>
          </w:p>
        </w:tc>
      </w:tr>
      <w:tr w:rsidR="00E03473" w:rsidTr="00612E52">
        <w:tc>
          <w:tcPr>
            <w:tcW w:w="2880" w:type="dxa"/>
            <w:tcBorders>
              <w:top w:val="nil"/>
              <w:left w:val="nil"/>
              <w:bottom w:val="nil"/>
              <w:right w:val="nil"/>
            </w:tcBorders>
          </w:tcPr>
          <w:p w:rsidR="00E03473" w:rsidRDefault="00E03473" w:rsidP="00612E52">
            <w:pPr>
              <w:pStyle w:val="Heading2"/>
            </w:pPr>
            <w:r>
              <w:t>Masking of Emissions</w:t>
            </w:r>
          </w:p>
        </w:tc>
        <w:tc>
          <w:tcPr>
            <w:tcW w:w="6624" w:type="dxa"/>
            <w:tcBorders>
              <w:top w:val="nil"/>
              <w:left w:val="nil"/>
              <w:bottom w:val="nil"/>
              <w:right w:val="nil"/>
            </w:tcBorders>
          </w:tcPr>
          <w:p w:rsidR="00E03473" w:rsidRDefault="00E03473" w:rsidP="00D6267B">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E03473" w:rsidTr="00612E52">
        <w:tc>
          <w:tcPr>
            <w:tcW w:w="2880" w:type="dxa"/>
            <w:tcBorders>
              <w:top w:val="nil"/>
              <w:left w:val="nil"/>
              <w:bottom w:val="nil"/>
              <w:right w:val="nil"/>
            </w:tcBorders>
          </w:tcPr>
          <w:p w:rsidR="00E03473" w:rsidRDefault="00E03473" w:rsidP="00612E52">
            <w:pPr>
              <w:pStyle w:val="Heading2"/>
            </w:pPr>
            <w:r>
              <w:t>Department Access</w:t>
            </w:r>
          </w:p>
        </w:tc>
        <w:tc>
          <w:tcPr>
            <w:tcW w:w="6624" w:type="dxa"/>
            <w:tcBorders>
              <w:top w:val="nil"/>
              <w:left w:val="nil"/>
              <w:bottom w:val="nil"/>
              <w:right w:val="nil"/>
            </w:tcBorders>
          </w:tcPr>
          <w:p w:rsidR="00E03473" w:rsidRDefault="00E03473" w:rsidP="00612E52">
            <w:pPr>
              <w:pStyle w:val="Bodytext"/>
            </w:pPr>
            <w:r>
              <w:t>The permittee must allow the Department’s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E03473" w:rsidTr="00612E52">
        <w:tc>
          <w:tcPr>
            <w:tcW w:w="2880" w:type="dxa"/>
            <w:tcBorders>
              <w:top w:val="nil"/>
              <w:left w:val="nil"/>
              <w:bottom w:val="nil"/>
              <w:right w:val="nil"/>
            </w:tcBorders>
          </w:tcPr>
          <w:p w:rsidR="00E03473" w:rsidRDefault="00E03473" w:rsidP="00612E52">
            <w:pPr>
              <w:pStyle w:val="Heading2"/>
            </w:pPr>
            <w:r>
              <w:t>Permit Availability</w:t>
            </w:r>
          </w:p>
        </w:tc>
        <w:tc>
          <w:tcPr>
            <w:tcW w:w="6624" w:type="dxa"/>
            <w:tcBorders>
              <w:top w:val="nil"/>
              <w:left w:val="nil"/>
              <w:bottom w:val="nil"/>
              <w:right w:val="nil"/>
            </w:tcBorders>
          </w:tcPr>
          <w:p w:rsidR="00E03473" w:rsidRDefault="00E03473" w:rsidP="00612E52">
            <w:pPr>
              <w:pStyle w:val="Bodytext"/>
            </w:pPr>
            <w:r>
              <w:t>The permittee must have a copy of the permit available at the facility at all times.</w:t>
            </w:r>
          </w:p>
        </w:tc>
      </w:tr>
    </w:tbl>
    <w:p w:rsidR="00E03473" w:rsidRPr="00ED1F14" w:rsidRDefault="00E03473" w:rsidP="00E03473">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E03473" w:rsidTr="00612E52">
        <w:tc>
          <w:tcPr>
            <w:tcW w:w="2880" w:type="dxa"/>
            <w:tcBorders>
              <w:top w:val="nil"/>
              <w:left w:val="nil"/>
              <w:bottom w:val="nil"/>
              <w:right w:val="nil"/>
            </w:tcBorders>
          </w:tcPr>
          <w:p w:rsidR="00E03473" w:rsidRDefault="00E03473" w:rsidP="00612E52">
            <w:pPr>
              <w:pStyle w:val="Heading2"/>
            </w:pPr>
            <w:r>
              <w:t>Open Burning</w:t>
            </w:r>
          </w:p>
        </w:tc>
        <w:tc>
          <w:tcPr>
            <w:tcW w:w="6624" w:type="dxa"/>
            <w:tcBorders>
              <w:top w:val="nil"/>
              <w:left w:val="nil"/>
              <w:bottom w:val="nil"/>
              <w:right w:val="nil"/>
            </w:tcBorders>
          </w:tcPr>
          <w:p w:rsidR="00E03473" w:rsidRDefault="00E03473" w:rsidP="00612E52">
            <w:pPr>
              <w:pStyle w:val="Bodytext"/>
            </w:pPr>
            <w:r>
              <w:t>The permittee may not conduct any open burning except as allowed by OAR 340 Division 264.</w:t>
            </w:r>
          </w:p>
        </w:tc>
      </w:tr>
      <w:tr w:rsidR="00E03473" w:rsidTr="00612E52">
        <w:tc>
          <w:tcPr>
            <w:tcW w:w="2880" w:type="dxa"/>
            <w:tcBorders>
              <w:top w:val="nil"/>
              <w:left w:val="nil"/>
              <w:bottom w:val="nil"/>
              <w:right w:val="nil"/>
            </w:tcBorders>
          </w:tcPr>
          <w:p w:rsidR="00E03473" w:rsidRDefault="00E03473" w:rsidP="00612E52">
            <w:pPr>
              <w:pStyle w:val="Heading2"/>
            </w:pPr>
            <w:r>
              <w:t>Asbestos</w:t>
            </w:r>
          </w:p>
        </w:tc>
        <w:tc>
          <w:tcPr>
            <w:tcW w:w="6624" w:type="dxa"/>
            <w:tcBorders>
              <w:top w:val="nil"/>
              <w:left w:val="nil"/>
              <w:bottom w:val="nil"/>
              <w:right w:val="nil"/>
            </w:tcBorders>
          </w:tcPr>
          <w:p w:rsidR="00E03473" w:rsidRDefault="00E03473" w:rsidP="00D6267B">
            <w:pPr>
              <w:pStyle w:val="Bodytext"/>
            </w:pPr>
            <w:r>
              <w:t>The permittee must comply with the asbestos abatement requirements in OAR 340, Division 248 for all activities involving asbestos-containing materials, including, but not limit</w:t>
            </w:r>
            <w:r w:rsidR="00D6267B">
              <w:t>ed</w:t>
            </w:r>
            <w:r>
              <w:t xml:space="preserve"> to, demolition, renovation, repair, construction and maintenance.</w:t>
            </w:r>
          </w:p>
        </w:tc>
      </w:tr>
      <w:tr w:rsidR="00E03473" w:rsidTr="00612E52">
        <w:tc>
          <w:tcPr>
            <w:tcW w:w="2880" w:type="dxa"/>
            <w:tcBorders>
              <w:top w:val="nil"/>
              <w:left w:val="nil"/>
              <w:bottom w:val="nil"/>
              <w:right w:val="nil"/>
            </w:tcBorders>
          </w:tcPr>
          <w:p w:rsidR="00E03473" w:rsidRDefault="00E03473" w:rsidP="00612E52">
            <w:pPr>
              <w:pStyle w:val="Heading2"/>
            </w:pPr>
            <w:r>
              <w:t>Property Rights</w:t>
            </w:r>
          </w:p>
        </w:tc>
        <w:tc>
          <w:tcPr>
            <w:tcW w:w="6624" w:type="dxa"/>
            <w:tcBorders>
              <w:top w:val="nil"/>
              <w:left w:val="nil"/>
              <w:bottom w:val="nil"/>
              <w:right w:val="nil"/>
            </w:tcBorders>
          </w:tcPr>
          <w:p w:rsidR="00AB617B" w:rsidRDefault="00E03473" w:rsidP="00D6267B">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AB617B" w:rsidTr="00612E52">
        <w:tc>
          <w:tcPr>
            <w:tcW w:w="2880" w:type="dxa"/>
            <w:tcBorders>
              <w:top w:val="nil"/>
              <w:left w:val="nil"/>
              <w:bottom w:val="nil"/>
              <w:right w:val="nil"/>
            </w:tcBorders>
          </w:tcPr>
          <w:p w:rsidR="00AB617B" w:rsidRDefault="00AB617B" w:rsidP="00612E52">
            <w:pPr>
              <w:pStyle w:val="Heading2"/>
            </w:pPr>
            <w:r>
              <w:t>Permit Expiration</w:t>
            </w:r>
          </w:p>
        </w:tc>
        <w:tc>
          <w:tcPr>
            <w:tcW w:w="6624" w:type="dxa"/>
            <w:tcBorders>
              <w:top w:val="nil"/>
              <w:left w:val="nil"/>
              <w:bottom w:val="nil"/>
              <w:right w:val="nil"/>
            </w:tcBorders>
          </w:tcPr>
          <w:p w:rsidR="00AB617B" w:rsidRDefault="005C03BB" w:rsidP="005C03BB">
            <w:pPr>
              <w:pStyle w:val="Heading3"/>
              <w:spacing w:before="0" w:after="0"/>
            </w:pPr>
            <w:r>
              <w:t>A source may not be operated after the expiration date of the permit, unless any of the following occur prior to the expiration date of the permit:</w:t>
            </w:r>
          </w:p>
          <w:p w:rsidR="005C03BB" w:rsidRDefault="005C03BB" w:rsidP="005C03BB">
            <w:pPr>
              <w:pStyle w:val="ListParagraph"/>
              <w:numPr>
                <w:ilvl w:val="0"/>
                <w:numId w:val="31"/>
              </w:numPr>
            </w:pPr>
            <w:r>
              <w:t>a timely and complete application for renewal or an Oregon Title V Operating Permit has been submitted; or</w:t>
            </w:r>
          </w:p>
          <w:p w:rsidR="005C03BB" w:rsidRDefault="005C03BB" w:rsidP="005C03BB">
            <w:pPr>
              <w:pStyle w:val="ListParagraph"/>
              <w:numPr>
                <w:ilvl w:val="0"/>
                <w:numId w:val="31"/>
              </w:numPr>
            </w:pPr>
            <w:r>
              <w:lastRenderedPageBreak/>
              <w:t>Another type of permit (ACDP or Oregon Title V Operating Permit) has been issued authorizing operation of the source.</w:t>
            </w:r>
          </w:p>
          <w:p w:rsidR="005C03BB" w:rsidRPr="005C03BB" w:rsidRDefault="005C03BB" w:rsidP="005C03BB">
            <w:pPr>
              <w:pStyle w:val="Heading3"/>
              <w:spacing w:before="0" w:after="0"/>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E03473" w:rsidTr="00612E52">
        <w:tc>
          <w:tcPr>
            <w:tcW w:w="2880" w:type="dxa"/>
            <w:tcBorders>
              <w:top w:val="nil"/>
              <w:left w:val="nil"/>
              <w:bottom w:val="nil"/>
              <w:right w:val="nil"/>
            </w:tcBorders>
          </w:tcPr>
          <w:p w:rsidR="00E03473" w:rsidRDefault="00E03473" w:rsidP="00385E9F">
            <w:pPr>
              <w:pStyle w:val="Heading2"/>
            </w:pPr>
            <w:r>
              <w:lastRenderedPageBreak/>
              <w:t>Termination, Revocation or Modification</w:t>
            </w:r>
          </w:p>
        </w:tc>
        <w:tc>
          <w:tcPr>
            <w:tcW w:w="6624" w:type="dxa"/>
            <w:tcBorders>
              <w:top w:val="nil"/>
              <w:left w:val="nil"/>
              <w:bottom w:val="nil"/>
              <w:right w:val="nil"/>
            </w:tcBorders>
          </w:tcPr>
          <w:p w:rsidR="00E03473" w:rsidRDefault="00385E9F" w:rsidP="00612E52">
            <w:pPr>
              <w:pStyle w:val="Bodytext"/>
            </w:pPr>
            <w:r>
              <w:t>DEQ</w:t>
            </w:r>
            <w:r w:rsidR="00E03473">
              <w:t xml:space="preserve"> may modify or revoke this permit pursuant to OAR 340-216-0082 and 340-216-0084.</w:t>
            </w:r>
          </w:p>
        </w:tc>
      </w:tr>
    </w:tbl>
    <w:p w:rsidR="00E03473" w:rsidRDefault="00E03473"/>
    <w:p w:rsidR="00C5535B" w:rsidRDefault="00C5535B"/>
    <w:p w:rsidR="00C5535B" w:rsidRDefault="00C5535B">
      <w:pPr>
        <w:pStyle w:val="Heading1"/>
      </w:pPr>
      <w:bookmarkStart w:id="43" w:name="_Ref516385059"/>
      <w:bookmarkStart w:id="44" w:name="_Ref516385134"/>
      <w:bookmarkStart w:id="45" w:name="_Ref516396553"/>
      <w:bookmarkStart w:id="46" w:name="_Ref316472253"/>
      <w:bookmarkStart w:id="47" w:name="_Toc321315439"/>
      <w:r>
        <w:t>Emission Factors</w:t>
      </w:r>
      <w:bookmarkEnd w:id="43"/>
      <w:bookmarkEnd w:id="44"/>
      <w:bookmarkEnd w:id="45"/>
      <w:bookmarkEnd w:id="46"/>
      <w:bookmarkEnd w:id="47"/>
    </w:p>
    <w:p w:rsidR="00C5535B" w:rsidRDefault="00C5535B"/>
    <w:p w:rsidR="00DB0983" w:rsidRPr="00193587" w:rsidRDefault="00DB0983" w:rsidP="00193587">
      <w:pPr>
        <w:pStyle w:val="Heading3"/>
        <w:numPr>
          <w:ilvl w:val="0"/>
          <w:numId w:val="0"/>
        </w:numPr>
        <w:rPr>
          <w:b/>
        </w:rPr>
      </w:pPr>
      <w:r w:rsidRPr="00193587">
        <w:rPr>
          <w:b/>
        </w:rPr>
        <w:t xml:space="preserve">Criteria </w:t>
      </w:r>
      <w:r w:rsidR="00193587">
        <w:rPr>
          <w:b/>
        </w:rPr>
        <w:t>P</w:t>
      </w:r>
      <w:r w:rsidRPr="00193587">
        <w:rPr>
          <w:b/>
        </w:rPr>
        <w:t>ollutants:</w:t>
      </w:r>
    </w:p>
    <w:p w:rsidR="00DB0983" w:rsidRPr="00DB0983" w:rsidRDefault="00DB0983" w:rsidP="00DB09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016"/>
        <w:gridCol w:w="1584"/>
        <w:gridCol w:w="1872"/>
        <w:gridCol w:w="1872"/>
      </w:tblGrid>
      <w:tr w:rsidR="00C5535B" w:rsidTr="00912B6C">
        <w:tc>
          <w:tcPr>
            <w:tcW w:w="2160" w:type="dxa"/>
            <w:tcBorders>
              <w:top w:val="double" w:sz="4" w:space="0" w:color="auto"/>
              <w:left w:val="double" w:sz="4" w:space="0" w:color="auto"/>
              <w:bottom w:val="double" w:sz="4" w:space="0" w:color="auto"/>
              <w:right w:val="single" w:sz="4" w:space="0" w:color="auto"/>
            </w:tcBorders>
            <w:vAlign w:val="center"/>
          </w:tcPr>
          <w:p w:rsidR="00C5535B" w:rsidRDefault="00C5535B" w:rsidP="00912B6C">
            <w:pPr>
              <w:spacing w:before="60" w:after="60"/>
              <w:jc w:val="center"/>
              <w:rPr>
                <w:b/>
              </w:rPr>
            </w:pPr>
            <w:r>
              <w:rPr>
                <w:b/>
              </w:rPr>
              <w:t xml:space="preserve">Emissions </w:t>
            </w:r>
            <w:r w:rsidR="00912B6C">
              <w:rPr>
                <w:b/>
              </w:rPr>
              <w:t>D</w:t>
            </w:r>
            <w:r>
              <w:rPr>
                <w:b/>
              </w:rPr>
              <w:t xml:space="preserve">evice or </w:t>
            </w:r>
            <w:r w:rsidR="00912B6C">
              <w:rPr>
                <w:b/>
              </w:rPr>
              <w:t>A</w:t>
            </w:r>
            <w:r>
              <w:rPr>
                <w:b/>
              </w:rPr>
              <w:t>ctivity</w:t>
            </w:r>
          </w:p>
        </w:tc>
        <w:tc>
          <w:tcPr>
            <w:tcW w:w="2016" w:type="dxa"/>
            <w:tcBorders>
              <w:top w:val="double" w:sz="4" w:space="0" w:color="auto"/>
              <w:left w:val="nil"/>
              <w:bottom w:val="nil"/>
              <w:right w:val="single" w:sz="4" w:space="0" w:color="auto"/>
            </w:tcBorders>
            <w:vAlign w:val="center"/>
          </w:tcPr>
          <w:p w:rsidR="00C5535B" w:rsidRDefault="00C5535B" w:rsidP="00912B6C">
            <w:pPr>
              <w:spacing w:before="60" w:after="60"/>
              <w:jc w:val="center"/>
              <w:rPr>
                <w:b/>
              </w:rPr>
            </w:pPr>
            <w:r>
              <w:rPr>
                <w:b/>
              </w:rPr>
              <w:t>Pollutant</w:t>
            </w:r>
          </w:p>
        </w:tc>
        <w:tc>
          <w:tcPr>
            <w:tcW w:w="1584" w:type="dxa"/>
            <w:tcBorders>
              <w:top w:val="double" w:sz="4" w:space="0" w:color="auto"/>
              <w:left w:val="nil"/>
              <w:bottom w:val="nil"/>
              <w:right w:val="single" w:sz="4" w:space="0" w:color="auto"/>
            </w:tcBorders>
            <w:vAlign w:val="center"/>
          </w:tcPr>
          <w:p w:rsidR="00C5535B" w:rsidRDefault="00C5535B" w:rsidP="00912B6C">
            <w:pPr>
              <w:spacing w:before="60" w:after="60"/>
              <w:jc w:val="center"/>
              <w:rPr>
                <w:b/>
              </w:rPr>
            </w:pPr>
            <w:r>
              <w:rPr>
                <w:b/>
              </w:rPr>
              <w:t>Emission Factor (EF)</w:t>
            </w:r>
          </w:p>
        </w:tc>
        <w:tc>
          <w:tcPr>
            <w:tcW w:w="1872" w:type="dxa"/>
            <w:tcBorders>
              <w:top w:val="double" w:sz="4" w:space="0" w:color="auto"/>
              <w:left w:val="nil"/>
              <w:bottom w:val="double" w:sz="4" w:space="0" w:color="auto"/>
              <w:right w:val="single" w:sz="4" w:space="0" w:color="auto"/>
            </w:tcBorders>
            <w:vAlign w:val="center"/>
          </w:tcPr>
          <w:p w:rsidR="00C5535B" w:rsidRDefault="00C5535B" w:rsidP="00912B6C">
            <w:pPr>
              <w:spacing w:before="60" w:after="60"/>
              <w:jc w:val="center"/>
              <w:rPr>
                <w:b/>
              </w:rPr>
            </w:pPr>
            <w:r>
              <w:rPr>
                <w:b/>
              </w:rPr>
              <w:t xml:space="preserve">EF </w:t>
            </w:r>
            <w:r w:rsidR="00912B6C">
              <w:rPr>
                <w:b/>
              </w:rPr>
              <w:t>U</w:t>
            </w:r>
            <w:r>
              <w:rPr>
                <w:b/>
              </w:rPr>
              <w:t>nits</w:t>
            </w:r>
          </w:p>
        </w:tc>
        <w:tc>
          <w:tcPr>
            <w:tcW w:w="1872" w:type="dxa"/>
            <w:tcBorders>
              <w:top w:val="double" w:sz="4" w:space="0" w:color="auto"/>
              <w:left w:val="nil"/>
              <w:bottom w:val="nil"/>
              <w:right w:val="double" w:sz="4" w:space="0" w:color="auto"/>
            </w:tcBorders>
            <w:vAlign w:val="center"/>
          </w:tcPr>
          <w:p w:rsidR="00C5535B" w:rsidRDefault="00C5535B" w:rsidP="00912B6C">
            <w:pPr>
              <w:spacing w:before="60" w:after="60"/>
              <w:jc w:val="center"/>
              <w:rPr>
                <w:b/>
              </w:rPr>
            </w:pPr>
            <w:r>
              <w:rPr>
                <w:b/>
              </w:rPr>
              <w:t>EF Reference</w:t>
            </w:r>
          </w:p>
        </w:tc>
      </w:tr>
      <w:tr w:rsidR="00DB0983" w:rsidTr="00912B6C">
        <w:tc>
          <w:tcPr>
            <w:tcW w:w="2160" w:type="dxa"/>
            <w:vMerge w:val="restart"/>
            <w:tcBorders>
              <w:top w:val="double" w:sz="4" w:space="0" w:color="auto"/>
              <w:left w:val="double" w:sz="4" w:space="0" w:color="auto"/>
              <w:right w:val="nil"/>
            </w:tcBorders>
            <w:vAlign w:val="center"/>
          </w:tcPr>
          <w:p w:rsidR="00DB0983" w:rsidRDefault="00DB0983" w:rsidP="00912B6C">
            <w:pPr>
              <w:spacing w:before="60" w:after="60"/>
              <w:jc w:val="center"/>
            </w:pPr>
            <w:proofErr w:type="spellStart"/>
            <w:r>
              <w:t>Wellons</w:t>
            </w:r>
            <w:proofErr w:type="spellEnd"/>
            <w:r>
              <w:t xml:space="preserve"> HF Boiler</w:t>
            </w:r>
          </w:p>
        </w:tc>
        <w:tc>
          <w:tcPr>
            <w:tcW w:w="2016" w:type="dxa"/>
            <w:tcBorders>
              <w:top w:val="double" w:sz="4" w:space="0" w:color="auto"/>
              <w:left w:val="single" w:sz="4" w:space="0" w:color="auto"/>
              <w:bottom w:val="single" w:sz="4" w:space="0" w:color="auto"/>
              <w:right w:val="single" w:sz="4" w:space="0" w:color="auto"/>
            </w:tcBorders>
            <w:vAlign w:val="center"/>
          </w:tcPr>
          <w:p w:rsidR="00DB0983" w:rsidRDefault="00DB0983" w:rsidP="00912B6C">
            <w:pPr>
              <w:spacing w:before="60" w:after="60"/>
              <w:jc w:val="center"/>
            </w:pPr>
            <w:r>
              <w:t>PM</w:t>
            </w:r>
          </w:p>
        </w:tc>
        <w:tc>
          <w:tcPr>
            <w:tcW w:w="1584" w:type="dxa"/>
            <w:tcBorders>
              <w:top w:val="doub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0.4</w:t>
            </w:r>
          </w:p>
        </w:tc>
        <w:tc>
          <w:tcPr>
            <w:tcW w:w="1872" w:type="dxa"/>
            <w:vMerge w:val="restart"/>
            <w:tcBorders>
              <w:top w:val="double" w:sz="4" w:space="0" w:color="auto"/>
              <w:left w:val="nil"/>
              <w:right w:val="single" w:sz="4" w:space="0" w:color="auto"/>
            </w:tcBorders>
            <w:vAlign w:val="center"/>
          </w:tcPr>
          <w:p w:rsidR="00DB0983" w:rsidRDefault="00DB0983" w:rsidP="00912B6C">
            <w:pPr>
              <w:spacing w:before="60" w:after="60"/>
              <w:jc w:val="center"/>
            </w:pPr>
            <w:r>
              <w:t>lb/</w:t>
            </w:r>
            <w:proofErr w:type="spellStart"/>
            <w:r>
              <w:t>Mlb</w:t>
            </w:r>
            <w:proofErr w:type="spellEnd"/>
            <w:r>
              <w:t xml:space="preserve"> Steam</w:t>
            </w:r>
          </w:p>
        </w:tc>
        <w:tc>
          <w:tcPr>
            <w:tcW w:w="1872" w:type="dxa"/>
            <w:vMerge w:val="restart"/>
            <w:tcBorders>
              <w:top w:val="double" w:sz="4" w:space="0" w:color="auto"/>
              <w:left w:val="nil"/>
              <w:right w:val="double" w:sz="4" w:space="0" w:color="auto"/>
            </w:tcBorders>
            <w:vAlign w:val="center"/>
          </w:tcPr>
          <w:p w:rsidR="00DB0983" w:rsidRDefault="00DB0983" w:rsidP="00912B6C">
            <w:pPr>
              <w:spacing w:before="60" w:after="60"/>
              <w:jc w:val="center"/>
            </w:pPr>
            <w:r>
              <w:t xml:space="preserve">DEQ </w:t>
            </w:r>
            <w:proofErr w:type="spellStart"/>
            <w:r w:rsidR="00912B6C">
              <w:t>E</w:t>
            </w:r>
            <w:r>
              <w:t>estimate</w:t>
            </w:r>
            <w:proofErr w:type="spellEnd"/>
            <w:r>
              <w:t>*</w:t>
            </w:r>
          </w:p>
        </w:tc>
      </w:tr>
      <w:tr w:rsidR="00DB0983" w:rsidTr="00912B6C">
        <w:tc>
          <w:tcPr>
            <w:tcW w:w="2160" w:type="dxa"/>
            <w:vMerge/>
            <w:tcBorders>
              <w:left w:val="doub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Pr="00E03473" w:rsidRDefault="00DB0983" w:rsidP="00912B6C">
            <w:pPr>
              <w:spacing w:before="60" w:after="60"/>
              <w:jc w:val="center"/>
              <w:rPr>
                <w:szCs w:val="24"/>
              </w:rPr>
            </w:pPr>
            <w:r w:rsidRPr="00BD50DD">
              <w:rPr>
                <w:szCs w:val="24"/>
              </w:rPr>
              <w:t>PM</w:t>
            </w:r>
            <w:r w:rsidRPr="00BD50DD">
              <w:rPr>
                <w:szCs w:val="24"/>
                <w:vertAlign w:val="subscript"/>
              </w:rPr>
              <w:t>10</w:t>
            </w:r>
            <w:r>
              <w:rPr>
                <w:szCs w:val="24"/>
              </w:rPr>
              <w:t>, PM</w:t>
            </w:r>
            <w:r>
              <w:rPr>
                <w:szCs w:val="24"/>
                <w:vertAlign w:val="subscript"/>
              </w:rPr>
              <w:t>2.5</w:t>
            </w:r>
          </w:p>
        </w:tc>
        <w:tc>
          <w:tcPr>
            <w:tcW w:w="1584" w:type="dxa"/>
            <w:tcBorders>
              <w:top w:val="nil"/>
              <w:left w:val="nil"/>
              <w:bottom w:val="nil"/>
              <w:right w:val="single" w:sz="4" w:space="0" w:color="auto"/>
            </w:tcBorders>
            <w:vAlign w:val="center"/>
          </w:tcPr>
          <w:p w:rsidR="00DB0983" w:rsidRDefault="00DB0983" w:rsidP="00912B6C">
            <w:pPr>
              <w:tabs>
                <w:tab w:val="decimal" w:pos="720"/>
              </w:tabs>
              <w:spacing w:before="60" w:after="60"/>
              <w:jc w:val="center"/>
            </w:pPr>
            <w:r>
              <w:t>0.34</w:t>
            </w:r>
          </w:p>
        </w:tc>
        <w:tc>
          <w:tcPr>
            <w:tcW w:w="1872" w:type="dxa"/>
            <w:vMerge/>
            <w:tcBorders>
              <w:left w:val="nil"/>
              <w:right w:val="single" w:sz="4" w:space="0" w:color="auto"/>
            </w:tcBorders>
            <w:vAlign w:val="center"/>
          </w:tcPr>
          <w:p w:rsidR="00DB0983" w:rsidRDefault="00DB0983" w:rsidP="00912B6C">
            <w:pPr>
              <w:spacing w:before="60" w:after="60"/>
              <w:jc w:val="center"/>
            </w:pPr>
          </w:p>
        </w:tc>
        <w:tc>
          <w:tcPr>
            <w:tcW w:w="1872" w:type="dxa"/>
            <w:vMerge/>
            <w:tcBorders>
              <w:left w:val="nil"/>
              <w:right w:val="double" w:sz="4" w:space="0" w:color="auto"/>
            </w:tcBorders>
            <w:vAlign w:val="center"/>
          </w:tcPr>
          <w:p w:rsidR="00DB0983" w:rsidRDefault="00DB0983" w:rsidP="00912B6C">
            <w:pPr>
              <w:spacing w:before="60" w:after="60"/>
              <w:jc w:val="center"/>
            </w:pPr>
          </w:p>
        </w:tc>
      </w:tr>
      <w:tr w:rsidR="00DB0983" w:rsidTr="00912B6C">
        <w:tc>
          <w:tcPr>
            <w:tcW w:w="2160" w:type="dxa"/>
            <w:vMerge/>
            <w:tcBorders>
              <w:left w:val="doub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912B6C">
            <w:pPr>
              <w:spacing w:before="60" w:after="60"/>
              <w:jc w:val="center"/>
            </w:pPr>
            <w:r>
              <w:t>SO</w:t>
            </w:r>
            <w:r w:rsidRPr="00BD50DD">
              <w:rPr>
                <w:szCs w:val="24"/>
                <w:vertAlign w:val="subscript"/>
              </w:rPr>
              <w:t>2</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0.014</w:t>
            </w:r>
          </w:p>
        </w:tc>
        <w:tc>
          <w:tcPr>
            <w:tcW w:w="1872" w:type="dxa"/>
            <w:vMerge/>
            <w:tcBorders>
              <w:left w:val="nil"/>
              <w:right w:val="single" w:sz="4" w:space="0" w:color="auto"/>
            </w:tcBorders>
            <w:vAlign w:val="center"/>
          </w:tcPr>
          <w:p w:rsidR="00DB0983" w:rsidRDefault="00DB0983" w:rsidP="00912B6C">
            <w:pPr>
              <w:spacing w:before="60" w:after="60"/>
              <w:jc w:val="center"/>
            </w:pPr>
          </w:p>
        </w:tc>
        <w:tc>
          <w:tcPr>
            <w:tcW w:w="1872" w:type="dxa"/>
            <w:vMerge/>
            <w:tcBorders>
              <w:left w:val="nil"/>
              <w:right w:val="double" w:sz="4" w:space="0" w:color="auto"/>
            </w:tcBorders>
            <w:vAlign w:val="center"/>
          </w:tcPr>
          <w:p w:rsidR="00DB0983" w:rsidRDefault="00DB0983" w:rsidP="00912B6C">
            <w:pPr>
              <w:tabs>
                <w:tab w:val="left" w:pos="915"/>
              </w:tabs>
              <w:spacing w:before="60" w:after="60"/>
              <w:jc w:val="center"/>
            </w:pPr>
          </w:p>
        </w:tc>
      </w:tr>
      <w:tr w:rsidR="00DB0983" w:rsidTr="00912B6C">
        <w:tc>
          <w:tcPr>
            <w:tcW w:w="2160" w:type="dxa"/>
            <w:vMerge/>
            <w:tcBorders>
              <w:left w:val="double" w:sz="4" w:space="0" w:color="auto"/>
              <w:right w:val="nil"/>
            </w:tcBorders>
            <w:vAlign w:val="center"/>
          </w:tcPr>
          <w:p w:rsidR="00DB0983" w:rsidRDefault="00DB0983" w:rsidP="00912B6C">
            <w:pPr>
              <w:spacing w:before="60" w:after="60"/>
              <w:jc w:val="center"/>
            </w:pPr>
          </w:p>
        </w:tc>
        <w:tc>
          <w:tcPr>
            <w:tcW w:w="2016" w:type="dxa"/>
            <w:tcBorders>
              <w:top w:val="nil"/>
              <w:left w:val="single" w:sz="4" w:space="0" w:color="auto"/>
              <w:bottom w:val="nil"/>
              <w:right w:val="single" w:sz="4" w:space="0" w:color="auto"/>
            </w:tcBorders>
            <w:vAlign w:val="center"/>
          </w:tcPr>
          <w:p w:rsidR="00DB0983" w:rsidRDefault="00DB0983" w:rsidP="00912B6C">
            <w:pPr>
              <w:spacing w:before="60" w:after="60"/>
              <w:jc w:val="center"/>
            </w:pPr>
            <w:proofErr w:type="spellStart"/>
            <w:r>
              <w:t>NO</w:t>
            </w:r>
            <w:r w:rsidR="00912B6C">
              <w:rPr>
                <w:szCs w:val="24"/>
                <w:vertAlign w:val="subscript"/>
              </w:rPr>
              <w:t>x</w:t>
            </w:r>
            <w:proofErr w:type="spellEnd"/>
          </w:p>
        </w:tc>
        <w:tc>
          <w:tcPr>
            <w:tcW w:w="1584" w:type="dxa"/>
            <w:tcBorders>
              <w:top w:val="nil"/>
              <w:left w:val="nil"/>
              <w:bottom w:val="nil"/>
              <w:right w:val="single" w:sz="4" w:space="0" w:color="auto"/>
            </w:tcBorders>
            <w:vAlign w:val="center"/>
          </w:tcPr>
          <w:p w:rsidR="00DB0983" w:rsidRDefault="00DB0983" w:rsidP="00912B6C">
            <w:pPr>
              <w:tabs>
                <w:tab w:val="decimal" w:pos="720"/>
              </w:tabs>
              <w:spacing w:before="60" w:after="60"/>
              <w:jc w:val="center"/>
            </w:pPr>
            <w:r>
              <w:t>0.31</w:t>
            </w:r>
          </w:p>
        </w:tc>
        <w:tc>
          <w:tcPr>
            <w:tcW w:w="1872" w:type="dxa"/>
            <w:vMerge/>
            <w:tcBorders>
              <w:left w:val="nil"/>
              <w:right w:val="single" w:sz="4" w:space="0" w:color="auto"/>
            </w:tcBorders>
            <w:vAlign w:val="center"/>
          </w:tcPr>
          <w:p w:rsidR="00DB0983" w:rsidRDefault="00DB0983" w:rsidP="00912B6C">
            <w:pPr>
              <w:spacing w:before="60" w:after="60"/>
              <w:jc w:val="center"/>
            </w:pPr>
          </w:p>
        </w:tc>
        <w:tc>
          <w:tcPr>
            <w:tcW w:w="1872" w:type="dxa"/>
            <w:vMerge/>
            <w:tcBorders>
              <w:left w:val="nil"/>
              <w:right w:val="double" w:sz="4" w:space="0" w:color="auto"/>
            </w:tcBorders>
            <w:vAlign w:val="center"/>
          </w:tcPr>
          <w:p w:rsidR="00DB0983" w:rsidRDefault="00DB0983" w:rsidP="00912B6C">
            <w:pPr>
              <w:spacing w:before="60" w:after="60"/>
              <w:jc w:val="center"/>
            </w:pPr>
          </w:p>
        </w:tc>
      </w:tr>
      <w:tr w:rsidR="00DB0983" w:rsidTr="00912B6C">
        <w:tc>
          <w:tcPr>
            <w:tcW w:w="2160" w:type="dxa"/>
            <w:vMerge/>
            <w:tcBorders>
              <w:left w:val="doub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912B6C">
            <w:pPr>
              <w:spacing w:before="60" w:after="60"/>
              <w:jc w:val="center"/>
            </w:pPr>
            <w:r>
              <w:t>CO</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1.0</w:t>
            </w:r>
          </w:p>
        </w:tc>
        <w:tc>
          <w:tcPr>
            <w:tcW w:w="1872" w:type="dxa"/>
            <w:vMerge/>
            <w:tcBorders>
              <w:left w:val="nil"/>
              <w:right w:val="single" w:sz="4" w:space="0" w:color="auto"/>
            </w:tcBorders>
            <w:vAlign w:val="center"/>
          </w:tcPr>
          <w:p w:rsidR="00DB0983" w:rsidRDefault="00DB0983" w:rsidP="00912B6C">
            <w:pPr>
              <w:spacing w:before="60" w:after="60"/>
              <w:jc w:val="center"/>
            </w:pPr>
          </w:p>
        </w:tc>
        <w:tc>
          <w:tcPr>
            <w:tcW w:w="1872" w:type="dxa"/>
            <w:vMerge/>
            <w:tcBorders>
              <w:left w:val="nil"/>
              <w:bottom w:val="single" w:sz="4" w:space="0" w:color="auto"/>
              <w:right w:val="double" w:sz="4" w:space="0" w:color="auto"/>
            </w:tcBorders>
            <w:vAlign w:val="center"/>
          </w:tcPr>
          <w:p w:rsidR="00DB0983" w:rsidRDefault="00DB0983" w:rsidP="00912B6C">
            <w:pPr>
              <w:spacing w:before="60" w:after="60"/>
              <w:jc w:val="center"/>
            </w:pPr>
          </w:p>
        </w:tc>
      </w:tr>
      <w:tr w:rsidR="00E03473" w:rsidTr="00912B6C">
        <w:tc>
          <w:tcPr>
            <w:tcW w:w="2160" w:type="dxa"/>
            <w:vMerge/>
            <w:tcBorders>
              <w:left w:val="double" w:sz="4" w:space="0" w:color="auto"/>
              <w:bottom w:val="single" w:sz="4" w:space="0" w:color="auto"/>
              <w:right w:val="nil"/>
            </w:tcBorders>
            <w:vAlign w:val="center"/>
          </w:tcPr>
          <w:p w:rsidR="00E03473" w:rsidRDefault="00E0347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E03473" w:rsidRDefault="00E03473" w:rsidP="00912B6C">
            <w:pPr>
              <w:spacing w:before="60" w:after="60"/>
              <w:jc w:val="center"/>
            </w:pPr>
            <w:r>
              <w:t>VOC</w:t>
            </w:r>
          </w:p>
        </w:tc>
        <w:tc>
          <w:tcPr>
            <w:tcW w:w="1584" w:type="dxa"/>
            <w:tcBorders>
              <w:top w:val="single" w:sz="4" w:space="0" w:color="auto"/>
              <w:left w:val="nil"/>
              <w:bottom w:val="single" w:sz="4" w:space="0" w:color="auto"/>
              <w:right w:val="single" w:sz="4" w:space="0" w:color="auto"/>
            </w:tcBorders>
            <w:vAlign w:val="center"/>
          </w:tcPr>
          <w:p w:rsidR="00E03473" w:rsidRDefault="00E03473" w:rsidP="00912B6C">
            <w:pPr>
              <w:tabs>
                <w:tab w:val="decimal" w:pos="720"/>
              </w:tabs>
              <w:spacing w:before="60" w:after="60"/>
              <w:jc w:val="center"/>
            </w:pPr>
            <w:r>
              <w:t>0.02</w:t>
            </w:r>
          </w:p>
        </w:tc>
        <w:tc>
          <w:tcPr>
            <w:tcW w:w="1872" w:type="dxa"/>
            <w:vMerge/>
            <w:tcBorders>
              <w:left w:val="nil"/>
              <w:bottom w:val="single" w:sz="4" w:space="0" w:color="auto"/>
              <w:right w:val="single" w:sz="4" w:space="0" w:color="auto"/>
            </w:tcBorders>
            <w:vAlign w:val="center"/>
          </w:tcPr>
          <w:p w:rsidR="00E03473" w:rsidRDefault="00E03473" w:rsidP="00912B6C">
            <w:pPr>
              <w:spacing w:before="60" w:after="60"/>
              <w:jc w:val="center"/>
            </w:pPr>
          </w:p>
        </w:tc>
        <w:tc>
          <w:tcPr>
            <w:tcW w:w="1872" w:type="dxa"/>
            <w:tcBorders>
              <w:top w:val="single" w:sz="4" w:space="0" w:color="auto"/>
              <w:left w:val="nil"/>
              <w:bottom w:val="single" w:sz="4" w:space="0" w:color="auto"/>
              <w:right w:val="double" w:sz="4" w:space="0" w:color="auto"/>
            </w:tcBorders>
            <w:vAlign w:val="center"/>
          </w:tcPr>
          <w:p w:rsidR="00E03473" w:rsidRDefault="00E03473" w:rsidP="00912B6C">
            <w:pPr>
              <w:spacing w:before="60" w:after="60"/>
              <w:jc w:val="center"/>
            </w:pPr>
            <w:r>
              <w:t>1996 NCASI</w:t>
            </w:r>
          </w:p>
        </w:tc>
      </w:tr>
      <w:tr w:rsidR="00DB0983" w:rsidTr="00912B6C">
        <w:tc>
          <w:tcPr>
            <w:tcW w:w="2160" w:type="dxa"/>
            <w:vMerge w:val="restart"/>
            <w:tcBorders>
              <w:top w:val="single" w:sz="4" w:space="0" w:color="auto"/>
              <w:left w:val="double" w:sz="4" w:space="0" w:color="auto"/>
              <w:right w:val="nil"/>
            </w:tcBorders>
            <w:vAlign w:val="center"/>
          </w:tcPr>
          <w:p w:rsidR="00DB0983" w:rsidRDefault="00DB0983" w:rsidP="00912B6C">
            <w:pPr>
              <w:spacing w:before="60" w:after="60"/>
              <w:jc w:val="center"/>
            </w:pPr>
            <w:r>
              <w:t>Cyclones</w:t>
            </w: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912B6C">
            <w:pPr>
              <w:spacing w:before="60" w:after="60"/>
              <w:jc w:val="center"/>
            </w:pPr>
            <w:r>
              <w:t>PM</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0.5</w:t>
            </w:r>
          </w:p>
        </w:tc>
        <w:tc>
          <w:tcPr>
            <w:tcW w:w="1872" w:type="dxa"/>
            <w:vMerge w:val="restart"/>
            <w:tcBorders>
              <w:top w:val="single" w:sz="4" w:space="0" w:color="auto"/>
              <w:left w:val="nil"/>
              <w:right w:val="single" w:sz="4" w:space="0" w:color="auto"/>
            </w:tcBorders>
            <w:vAlign w:val="center"/>
          </w:tcPr>
          <w:p w:rsidR="00DB0983" w:rsidRDefault="00DB0983" w:rsidP="00912B6C">
            <w:pPr>
              <w:spacing w:before="60" w:after="60"/>
              <w:jc w:val="center"/>
            </w:pPr>
            <w:r>
              <w:t>lb/ton</w:t>
            </w:r>
          </w:p>
        </w:tc>
        <w:tc>
          <w:tcPr>
            <w:tcW w:w="1872" w:type="dxa"/>
            <w:vMerge w:val="restart"/>
            <w:tcBorders>
              <w:top w:val="single" w:sz="4" w:space="0" w:color="auto"/>
              <w:left w:val="nil"/>
              <w:right w:val="double" w:sz="4" w:space="0" w:color="auto"/>
            </w:tcBorders>
            <w:vAlign w:val="center"/>
          </w:tcPr>
          <w:p w:rsidR="00DB0983" w:rsidRDefault="00DB0983" w:rsidP="00912B6C">
            <w:pPr>
              <w:spacing w:before="60" w:after="60"/>
              <w:jc w:val="center"/>
            </w:pPr>
            <w:r>
              <w:t>DEQ Estimate</w:t>
            </w:r>
          </w:p>
        </w:tc>
      </w:tr>
      <w:tr w:rsidR="00DB0983" w:rsidTr="00912B6C">
        <w:tc>
          <w:tcPr>
            <w:tcW w:w="2160" w:type="dxa"/>
            <w:vMerge/>
            <w:tcBorders>
              <w:left w:val="double" w:sz="4" w:space="0" w:color="auto"/>
              <w:bottom w:val="sing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Pr="00E03473" w:rsidRDefault="00DB0983" w:rsidP="00912B6C">
            <w:pPr>
              <w:spacing w:before="60" w:after="60"/>
              <w:jc w:val="center"/>
              <w:rPr>
                <w:szCs w:val="24"/>
              </w:rPr>
            </w:pPr>
            <w:r w:rsidRPr="00BD50DD">
              <w:rPr>
                <w:szCs w:val="24"/>
              </w:rPr>
              <w:t>PM</w:t>
            </w:r>
            <w:r w:rsidRPr="00BD50DD">
              <w:rPr>
                <w:szCs w:val="24"/>
                <w:vertAlign w:val="subscript"/>
              </w:rPr>
              <w:t>10</w:t>
            </w:r>
            <w:r>
              <w:rPr>
                <w:szCs w:val="24"/>
              </w:rPr>
              <w:t>, PM</w:t>
            </w:r>
            <w:r>
              <w:rPr>
                <w:szCs w:val="24"/>
                <w:vertAlign w:val="subscript"/>
              </w:rPr>
              <w:t>2.5</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0.25</w:t>
            </w:r>
          </w:p>
        </w:tc>
        <w:tc>
          <w:tcPr>
            <w:tcW w:w="1872" w:type="dxa"/>
            <w:vMerge/>
            <w:tcBorders>
              <w:left w:val="nil"/>
              <w:bottom w:val="single" w:sz="4" w:space="0" w:color="auto"/>
              <w:right w:val="single" w:sz="4" w:space="0" w:color="auto"/>
            </w:tcBorders>
            <w:vAlign w:val="center"/>
          </w:tcPr>
          <w:p w:rsidR="00DB0983" w:rsidRDefault="00DB0983" w:rsidP="00912B6C">
            <w:pPr>
              <w:spacing w:before="60" w:after="60"/>
              <w:jc w:val="center"/>
            </w:pPr>
          </w:p>
        </w:tc>
        <w:tc>
          <w:tcPr>
            <w:tcW w:w="1872" w:type="dxa"/>
            <w:vMerge/>
            <w:tcBorders>
              <w:left w:val="nil"/>
              <w:right w:val="double" w:sz="4" w:space="0" w:color="auto"/>
            </w:tcBorders>
            <w:vAlign w:val="center"/>
          </w:tcPr>
          <w:p w:rsidR="00DB0983" w:rsidRDefault="00DB0983" w:rsidP="00912B6C">
            <w:pPr>
              <w:spacing w:before="60" w:after="60"/>
              <w:jc w:val="center"/>
            </w:pPr>
          </w:p>
        </w:tc>
      </w:tr>
      <w:tr w:rsidR="00DB0983" w:rsidTr="00912B6C">
        <w:tc>
          <w:tcPr>
            <w:tcW w:w="2160" w:type="dxa"/>
            <w:vMerge w:val="restart"/>
            <w:tcBorders>
              <w:top w:val="single" w:sz="4" w:space="0" w:color="auto"/>
              <w:left w:val="double" w:sz="4" w:space="0" w:color="auto"/>
              <w:right w:val="nil"/>
            </w:tcBorders>
            <w:vAlign w:val="center"/>
          </w:tcPr>
          <w:p w:rsidR="00DB0983" w:rsidRDefault="00DB0983" w:rsidP="00912B6C">
            <w:pPr>
              <w:spacing w:before="60" w:after="60"/>
              <w:jc w:val="center"/>
            </w:pPr>
            <w:r>
              <w:t>Target Box</w:t>
            </w: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912B6C">
            <w:pPr>
              <w:spacing w:before="60" w:after="60"/>
              <w:jc w:val="center"/>
            </w:pPr>
            <w:r>
              <w:t>PM</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0.1</w:t>
            </w:r>
          </w:p>
        </w:tc>
        <w:tc>
          <w:tcPr>
            <w:tcW w:w="1872" w:type="dxa"/>
            <w:vMerge w:val="restart"/>
            <w:tcBorders>
              <w:top w:val="single" w:sz="4" w:space="0" w:color="auto"/>
              <w:left w:val="nil"/>
              <w:right w:val="single" w:sz="4" w:space="0" w:color="auto"/>
            </w:tcBorders>
            <w:vAlign w:val="center"/>
          </w:tcPr>
          <w:p w:rsidR="00DB0983" w:rsidRDefault="00DB0983" w:rsidP="00912B6C">
            <w:pPr>
              <w:spacing w:before="60" w:after="60"/>
              <w:jc w:val="center"/>
            </w:pPr>
            <w:r>
              <w:t>lb/ton</w:t>
            </w:r>
          </w:p>
        </w:tc>
        <w:tc>
          <w:tcPr>
            <w:tcW w:w="1872" w:type="dxa"/>
            <w:vMerge/>
            <w:tcBorders>
              <w:left w:val="nil"/>
              <w:right w:val="double" w:sz="4" w:space="0" w:color="auto"/>
            </w:tcBorders>
            <w:vAlign w:val="center"/>
          </w:tcPr>
          <w:p w:rsidR="00DB0983" w:rsidRDefault="00DB0983" w:rsidP="00912B6C">
            <w:pPr>
              <w:spacing w:before="60" w:after="60"/>
              <w:jc w:val="center"/>
            </w:pPr>
          </w:p>
        </w:tc>
      </w:tr>
      <w:tr w:rsidR="00DB0983" w:rsidTr="00912B6C">
        <w:tc>
          <w:tcPr>
            <w:tcW w:w="2160" w:type="dxa"/>
            <w:vMerge/>
            <w:tcBorders>
              <w:left w:val="double" w:sz="4" w:space="0" w:color="auto"/>
              <w:bottom w:val="sing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Pr="00E03473" w:rsidRDefault="00DB0983" w:rsidP="00912B6C">
            <w:pPr>
              <w:spacing w:before="60" w:after="60"/>
              <w:jc w:val="center"/>
              <w:rPr>
                <w:szCs w:val="24"/>
              </w:rPr>
            </w:pPr>
            <w:r w:rsidRPr="00BD50DD">
              <w:rPr>
                <w:szCs w:val="24"/>
              </w:rPr>
              <w:t>PM</w:t>
            </w:r>
            <w:r w:rsidRPr="00BD50DD">
              <w:rPr>
                <w:szCs w:val="24"/>
                <w:vertAlign w:val="subscript"/>
              </w:rPr>
              <w:t>10</w:t>
            </w:r>
            <w:r>
              <w:rPr>
                <w:szCs w:val="24"/>
              </w:rPr>
              <w:t>, PM</w:t>
            </w:r>
            <w:r>
              <w:rPr>
                <w:szCs w:val="24"/>
                <w:vertAlign w:val="subscript"/>
              </w:rPr>
              <w:t>2.5</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0.05</w:t>
            </w:r>
          </w:p>
        </w:tc>
        <w:tc>
          <w:tcPr>
            <w:tcW w:w="1872" w:type="dxa"/>
            <w:vMerge/>
            <w:tcBorders>
              <w:left w:val="nil"/>
              <w:bottom w:val="single" w:sz="4" w:space="0" w:color="auto"/>
              <w:right w:val="single" w:sz="4" w:space="0" w:color="auto"/>
            </w:tcBorders>
            <w:vAlign w:val="center"/>
          </w:tcPr>
          <w:p w:rsidR="00DB0983" w:rsidRDefault="00DB0983" w:rsidP="00912B6C">
            <w:pPr>
              <w:spacing w:before="60" w:after="60"/>
              <w:jc w:val="center"/>
            </w:pPr>
          </w:p>
        </w:tc>
        <w:tc>
          <w:tcPr>
            <w:tcW w:w="1872" w:type="dxa"/>
            <w:vMerge/>
            <w:tcBorders>
              <w:left w:val="nil"/>
              <w:bottom w:val="single" w:sz="4" w:space="0" w:color="auto"/>
              <w:right w:val="double" w:sz="4" w:space="0" w:color="auto"/>
            </w:tcBorders>
            <w:vAlign w:val="center"/>
          </w:tcPr>
          <w:p w:rsidR="00DB0983" w:rsidRDefault="00DB0983" w:rsidP="00912B6C">
            <w:pPr>
              <w:spacing w:before="60" w:after="60"/>
              <w:jc w:val="center"/>
            </w:pPr>
          </w:p>
        </w:tc>
      </w:tr>
      <w:tr w:rsidR="00DB0983" w:rsidTr="00912B6C">
        <w:tc>
          <w:tcPr>
            <w:tcW w:w="2160" w:type="dxa"/>
            <w:vMerge w:val="restart"/>
            <w:tcBorders>
              <w:top w:val="single" w:sz="4" w:space="0" w:color="auto"/>
              <w:left w:val="double" w:sz="4" w:space="0" w:color="auto"/>
              <w:right w:val="nil"/>
            </w:tcBorders>
            <w:vAlign w:val="center"/>
          </w:tcPr>
          <w:p w:rsidR="00DB0983" w:rsidRDefault="00DB0983" w:rsidP="00912B6C">
            <w:pPr>
              <w:spacing w:before="60" w:after="60"/>
              <w:jc w:val="center"/>
            </w:pPr>
            <w:r>
              <w:t>Kilns</w:t>
            </w:r>
          </w:p>
        </w:tc>
        <w:tc>
          <w:tcPr>
            <w:tcW w:w="2016" w:type="dxa"/>
            <w:tcBorders>
              <w:top w:val="single" w:sz="4" w:space="0" w:color="auto"/>
              <w:left w:val="single" w:sz="4" w:space="0" w:color="auto"/>
              <w:bottom w:val="single" w:sz="4" w:space="0" w:color="auto"/>
              <w:right w:val="single" w:sz="4" w:space="0" w:color="auto"/>
            </w:tcBorders>
            <w:vAlign w:val="center"/>
          </w:tcPr>
          <w:p w:rsidR="00DB0983" w:rsidRPr="00E03473" w:rsidRDefault="00DB0983" w:rsidP="00912B6C">
            <w:pPr>
              <w:spacing w:before="60" w:after="60"/>
              <w:jc w:val="center"/>
              <w:rPr>
                <w:szCs w:val="24"/>
              </w:rPr>
            </w:pPr>
            <w:r>
              <w:rPr>
                <w:szCs w:val="24"/>
              </w:rPr>
              <w:t xml:space="preserve">PM, </w:t>
            </w:r>
            <w:r w:rsidRPr="00BD50DD">
              <w:rPr>
                <w:szCs w:val="24"/>
              </w:rPr>
              <w:t>PM</w:t>
            </w:r>
            <w:r w:rsidRPr="00BD50DD">
              <w:rPr>
                <w:szCs w:val="24"/>
                <w:vertAlign w:val="subscript"/>
              </w:rPr>
              <w:t>10</w:t>
            </w:r>
            <w:r>
              <w:rPr>
                <w:szCs w:val="24"/>
              </w:rPr>
              <w:t>, PM</w:t>
            </w:r>
            <w:r>
              <w:rPr>
                <w:szCs w:val="24"/>
                <w:vertAlign w:val="subscript"/>
              </w:rPr>
              <w:t>2.5</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0.02</w:t>
            </w:r>
          </w:p>
        </w:tc>
        <w:tc>
          <w:tcPr>
            <w:tcW w:w="1872" w:type="dxa"/>
            <w:vMerge w:val="restart"/>
            <w:tcBorders>
              <w:top w:val="single" w:sz="4" w:space="0" w:color="auto"/>
              <w:left w:val="nil"/>
              <w:right w:val="single" w:sz="4" w:space="0" w:color="auto"/>
            </w:tcBorders>
            <w:vAlign w:val="center"/>
          </w:tcPr>
          <w:p w:rsidR="00DB0983" w:rsidRDefault="00DB0983" w:rsidP="00912B6C">
            <w:pPr>
              <w:spacing w:before="60" w:after="60"/>
              <w:jc w:val="center"/>
            </w:pPr>
            <w:r>
              <w:t>lb/M board feet</w:t>
            </w:r>
          </w:p>
        </w:tc>
        <w:tc>
          <w:tcPr>
            <w:tcW w:w="1872" w:type="dxa"/>
            <w:vMerge w:val="restart"/>
            <w:tcBorders>
              <w:top w:val="single" w:sz="4" w:space="0" w:color="auto"/>
              <w:left w:val="nil"/>
              <w:right w:val="double" w:sz="4" w:space="0" w:color="auto"/>
            </w:tcBorders>
            <w:vAlign w:val="center"/>
          </w:tcPr>
          <w:p w:rsidR="00DB0983" w:rsidRDefault="00DB0983" w:rsidP="00912B6C">
            <w:pPr>
              <w:spacing w:before="60" w:after="60"/>
              <w:jc w:val="center"/>
            </w:pPr>
            <w:r>
              <w:t>1996 NCASI Study</w:t>
            </w:r>
          </w:p>
        </w:tc>
      </w:tr>
      <w:tr w:rsidR="00DB0983" w:rsidTr="00912B6C">
        <w:tc>
          <w:tcPr>
            <w:tcW w:w="2160" w:type="dxa"/>
            <w:vMerge/>
            <w:tcBorders>
              <w:left w:val="doub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912B6C">
            <w:pPr>
              <w:spacing w:before="60" w:after="60"/>
              <w:jc w:val="center"/>
            </w:pPr>
            <w:r>
              <w:t>VOC (Pine)</w:t>
            </w:r>
          </w:p>
        </w:tc>
        <w:tc>
          <w:tcPr>
            <w:tcW w:w="1584" w:type="dxa"/>
            <w:tcBorders>
              <w:top w:val="single" w:sz="4" w:space="0" w:color="auto"/>
              <w:left w:val="nil"/>
              <w:bottom w:val="single" w:sz="4" w:space="0" w:color="auto"/>
              <w:right w:val="single" w:sz="4" w:space="0" w:color="auto"/>
            </w:tcBorders>
            <w:vAlign w:val="center"/>
          </w:tcPr>
          <w:p w:rsidR="00DB0983" w:rsidRDefault="00DB0983" w:rsidP="00912B6C">
            <w:pPr>
              <w:tabs>
                <w:tab w:val="decimal" w:pos="720"/>
              </w:tabs>
              <w:spacing w:before="60" w:after="60"/>
              <w:jc w:val="center"/>
            </w:pPr>
            <w:r>
              <w:t>2.0</w:t>
            </w:r>
          </w:p>
        </w:tc>
        <w:tc>
          <w:tcPr>
            <w:tcW w:w="1872" w:type="dxa"/>
            <w:vMerge/>
            <w:tcBorders>
              <w:left w:val="nil"/>
              <w:right w:val="single" w:sz="4" w:space="0" w:color="auto"/>
            </w:tcBorders>
            <w:vAlign w:val="center"/>
          </w:tcPr>
          <w:p w:rsidR="00DB0983" w:rsidRDefault="00DB0983" w:rsidP="00912B6C">
            <w:pPr>
              <w:spacing w:before="60" w:after="60"/>
              <w:jc w:val="center"/>
            </w:pPr>
          </w:p>
        </w:tc>
        <w:tc>
          <w:tcPr>
            <w:tcW w:w="1872" w:type="dxa"/>
            <w:vMerge/>
            <w:tcBorders>
              <w:left w:val="nil"/>
              <w:right w:val="double" w:sz="4" w:space="0" w:color="auto"/>
            </w:tcBorders>
            <w:vAlign w:val="center"/>
          </w:tcPr>
          <w:p w:rsidR="00DB0983" w:rsidRDefault="00DB0983" w:rsidP="00912B6C">
            <w:pPr>
              <w:spacing w:before="60" w:after="60"/>
              <w:jc w:val="center"/>
            </w:pPr>
          </w:p>
        </w:tc>
      </w:tr>
      <w:tr w:rsidR="00DB0983" w:rsidTr="00912B6C">
        <w:tc>
          <w:tcPr>
            <w:tcW w:w="2160" w:type="dxa"/>
            <w:vMerge/>
            <w:tcBorders>
              <w:left w:val="double" w:sz="4" w:space="0" w:color="auto"/>
              <w:bottom w:val="double" w:sz="4" w:space="0" w:color="auto"/>
              <w:right w:val="nil"/>
            </w:tcBorders>
            <w:vAlign w:val="center"/>
          </w:tcPr>
          <w:p w:rsidR="00DB0983" w:rsidRDefault="00DB0983" w:rsidP="00912B6C">
            <w:pPr>
              <w:spacing w:before="60" w:after="60"/>
              <w:jc w:val="center"/>
            </w:pPr>
          </w:p>
        </w:tc>
        <w:tc>
          <w:tcPr>
            <w:tcW w:w="2016" w:type="dxa"/>
            <w:tcBorders>
              <w:top w:val="single" w:sz="4" w:space="0" w:color="auto"/>
              <w:left w:val="single" w:sz="4" w:space="0" w:color="auto"/>
              <w:bottom w:val="double" w:sz="4" w:space="0" w:color="auto"/>
              <w:right w:val="single" w:sz="4" w:space="0" w:color="auto"/>
            </w:tcBorders>
            <w:vAlign w:val="center"/>
          </w:tcPr>
          <w:p w:rsidR="00DB0983" w:rsidRDefault="00DB0983" w:rsidP="00912B6C">
            <w:pPr>
              <w:spacing w:before="60" w:after="60"/>
              <w:jc w:val="center"/>
            </w:pPr>
            <w:r>
              <w:t>VOC (Fir)</w:t>
            </w:r>
          </w:p>
        </w:tc>
        <w:tc>
          <w:tcPr>
            <w:tcW w:w="1584" w:type="dxa"/>
            <w:tcBorders>
              <w:top w:val="single" w:sz="4" w:space="0" w:color="auto"/>
              <w:left w:val="nil"/>
              <w:bottom w:val="double" w:sz="4" w:space="0" w:color="auto"/>
              <w:right w:val="single" w:sz="4" w:space="0" w:color="auto"/>
            </w:tcBorders>
            <w:vAlign w:val="center"/>
          </w:tcPr>
          <w:p w:rsidR="00DB0983" w:rsidRDefault="00DB0983" w:rsidP="00912B6C">
            <w:pPr>
              <w:tabs>
                <w:tab w:val="decimal" w:pos="720"/>
              </w:tabs>
              <w:spacing w:before="60" w:after="60"/>
              <w:jc w:val="center"/>
            </w:pPr>
            <w:r>
              <w:t>0.6</w:t>
            </w:r>
          </w:p>
        </w:tc>
        <w:tc>
          <w:tcPr>
            <w:tcW w:w="1872" w:type="dxa"/>
            <w:vMerge/>
            <w:tcBorders>
              <w:left w:val="nil"/>
              <w:bottom w:val="double" w:sz="4" w:space="0" w:color="auto"/>
              <w:right w:val="single" w:sz="4" w:space="0" w:color="auto"/>
            </w:tcBorders>
            <w:vAlign w:val="center"/>
          </w:tcPr>
          <w:p w:rsidR="00DB0983" w:rsidRDefault="00DB0983" w:rsidP="00912B6C">
            <w:pPr>
              <w:spacing w:before="60" w:after="60"/>
              <w:jc w:val="center"/>
            </w:pPr>
          </w:p>
        </w:tc>
        <w:tc>
          <w:tcPr>
            <w:tcW w:w="1872" w:type="dxa"/>
            <w:vMerge/>
            <w:tcBorders>
              <w:left w:val="nil"/>
              <w:bottom w:val="double" w:sz="4" w:space="0" w:color="auto"/>
              <w:right w:val="double" w:sz="4" w:space="0" w:color="auto"/>
            </w:tcBorders>
            <w:vAlign w:val="center"/>
          </w:tcPr>
          <w:p w:rsidR="00DB0983" w:rsidRDefault="00DB0983" w:rsidP="00912B6C">
            <w:pPr>
              <w:spacing w:before="60" w:after="60"/>
              <w:jc w:val="center"/>
            </w:pPr>
          </w:p>
        </w:tc>
      </w:tr>
    </w:tbl>
    <w:p w:rsidR="00C5535B" w:rsidRPr="00E33805" w:rsidRDefault="00E33805" w:rsidP="00E33805">
      <w:pPr>
        <w:ind w:left="360"/>
        <w:rPr>
          <w:vertAlign w:val="subscript"/>
        </w:rPr>
      </w:pPr>
      <w:r>
        <w:t>*Assumes 85% of PM is PM</w:t>
      </w:r>
      <w:r w:rsidRPr="00E33805">
        <w:rPr>
          <w:vertAlign w:val="subscript"/>
        </w:rPr>
        <w:t>10</w:t>
      </w:r>
      <w:r w:rsidRPr="00E33805">
        <w:t>.  Also assumes that 100% of PM</w:t>
      </w:r>
      <w:r w:rsidRPr="00E33805">
        <w:rPr>
          <w:vertAlign w:val="subscript"/>
        </w:rPr>
        <w:t>2.5</w:t>
      </w:r>
      <w:r>
        <w:rPr>
          <w:vertAlign w:val="subscript"/>
        </w:rPr>
        <w:t xml:space="preserve"> </w:t>
      </w:r>
      <w:r w:rsidRPr="00E33805">
        <w:t>is PM</w:t>
      </w:r>
      <w:r>
        <w:rPr>
          <w:vertAlign w:val="subscript"/>
        </w:rPr>
        <w:t>10.</w:t>
      </w:r>
    </w:p>
    <w:p w:rsidR="00AE4C83" w:rsidRDefault="00AE4C83"/>
    <w:p w:rsidR="00AE4C83" w:rsidRPr="00193587" w:rsidRDefault="006F30DF" w:rsidP="00193587">
      <w:pPr>
        <w:pStyle w:val="Heading3"/>
        <w:numPr>
          <w:ilvl w:val="0"/>
          <w:numId w:val="0"/>
        </w:numPr>
        <w:rPr>
          <w:b/>
        </w:rPr>
      </w:pPr>
      <w:r>
        <w:br w:type="page"/>
      </w:r>
      <w:r w:rsidR="00DB0983" w:rsidRPr="00193587">
        <w:rPr>
          <w:b/>
        </w:rPr>
        <w:lastRenderedPageBreak/>
        <w:t xml:space="preserve">Hazardous </w:t>
      </w:r>
      <w:r w:rsidR="00193587" w:rsidRPr="00193587">
        <w:rPr>
          <w:b/>
        </w:rPr>
        <w:t>A</w:t>
      </w:r>
      <w:r w:rsidR="00DB0983" w:rsidRPr="00193587">
        <w:rPr>
          <w:b/>
        </w:rPr>
        <w:t xml:space="preserve">ir </w:t>
      </w:r>
      <w:r w:rsidR="00193587" w:rsidRPr="00193587">
        <w:rPr>
          <w:b/>
        </w:rPr>
        <w:t>P</w:t>
      </w:r>
      <w:r w:rsidR="00DB0983" w:rsidRPr="00193587">
        <w:rPr>
          <w:b/>
        </w:rPr>
        <w:t>ollutants:</w:t>
      </w:r>
    </w:p>
    <w:p w:rsidR="00DB0983" w:rsidRPr="00DB0983" w:rsidRDefault="00DB0983" w:rsidP="00DB09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016"/>
        <w:gridCol w:w="1584"/>
        <w:gridCol w:w="1872"/>
        <w:gridCol w:w="1872"/>
      </w:tblGrid>
      <w:tr w:rsidR="00DB0983" w:rsidTr="00193587">
        <w:tc>
          <w:tcPr>
            <w:tcW w:w="2160" w:type="dxa"/>
            <w:tcBorders>
              <w:top w:val="double" w:sz="4" w:space="0" w:color="auto"/>
              <w:left w:val="double" w:sz="4" w:space="0" w:color="auto"/>
              <w:bottom w:val="double" w:sz="4" w:space="0" w:color="auto"/>
              <w:right w:val="single" w:sz="4" w:space="0" w:color="auto"/>
            </w:tcBorders>
            <w:vAlign w:val="center"/>
          </w:tcPr>
          <w:p w:rsidR="00DB0983" w:rsidRDefault="00DB0983" w:rsidP="00193587">
            <w:pPr>
              <w:spacing w:before="60" w:after="60"/>
              <w:jc w:val="center"/>
              <w:rPr>
                <w:b/>
              </w:rPr>
            </w:pPr>
            <w:r>
              <w:rPr>
                <w:b/>
              </w:rPr>
              <w:t xml:space="preserve">Emissions </w:t>
            </w:r>
            <w:r w:rsidR="00193587">
              <w:rPr>
                <w:b/>
              </w:rPr>
              <w:t>D</w:t>
            </w:r>
            <w:r>
              <w:rPr>
                <w:b/>
              </w:rPr>
              <w:t xml:space="preserve">evice or </w:t>
            </w:r>
            <w:r w:rsidR="00193587">
              <w:rPr>
                <w:b/>
              </w:rPr>
              <w:t>A</w:t>
            </w:r>
            <w:r>
              <w:rPr>
                <w:b/>
              </w:rPr>
              <w:t>ctivity</w:t>
            </w:r>
          </w:p>
        </w:tc>
        <w:tc>
          <w:tcPr>
            <w:tcW w:w="2016" w:type="dxa"/>
            <w:tcBorders>
              <w:top w:val="double" w:sz="4" w:space="0" w:color="auto"/>
              <w:left w:val="nil"/>
              <w:bottom w:val="nil"/>
              <w:right w:val="single" w:sz="4" w:space="0" w:color="auto"/>
            </w:tcBorders>
            <w:vAlign w:val="center"/>
          </w:tcPr>
          <w:p w:rsidR="00DB0983" w:rsidRDefault="00DB0983" w:rsidP="00193587">
            <w:pPr>
              <w:spacing w:before="60" w:after="60"/>
              <w:jc w:val="center"/>
              <w:rPr>
                <w:b/>
              </w:rPr>
            </w:pPr>
            <w:r>
              <w:rPr>
                <w:b/>
              </w:rPr>
              <w:t>Pollutant</w:t>
            </w:r>
          </w:p>
        </w:tc>
        <w:tc>
          <w:tcPr>
            <w:tcW w:w="1584" w:type="dxa"/>
            <w:tcBorders>
              <w:top w:val="double" w:sz="4" w:space="0" w:color="auto"/>
              <w:left w:val="nil"/>
              <w:bottom w:val="nil"/>
              <w:right w:val="single" w:sz="4" w:space="0" w:color="auto"/>
            </w:tcBorders>
            <w:vAlign w:val="center"/>
          </w:tcPr>
          <w:p w:rsidR="00DB0983" w:rsidRDefault="00DB0983" w:rsidP="00193587">
            <w:pPr>
              <w:spacing w:before="60" w:after="60"/>
              <w:jc w:val="center"/>
              <w:rPr>
                <w:b/>
              </w:rPr>
            </w:pPr>
            <w:r>
              <w:rPr>
                <w:b/>
              </w:rPr>
              <w:t>Emission Factor (EF)</w:t>
            </w:r>
          </w:p>
        </w:tc>
        <w:tc>
          <w:tcPr>
            <w:tcW w:w="1872" w:type="dxa"/>
            <w:tcBorders>
              <w:top w:val="double" w:sz="4" w:space="0" w:color="auto"/>
              <w:left w:val="nil"/>
              <w:bottom w:val="double" w:sz="4" w:space="0" w:color="auto"/>
              <w:right w:val="single" w:sz="4" w:space="0" w:color="auto"/>
            </w:tcBorders>
            <w:vAlign w:val="center"/>
          </w:tcPr>
          <w:p w:rsidR="00DB0983" w:rsidRDefault="00DB0983" w:rsidP="00193587">
            <w:pPr>
              <w:spacing w:before="60" w:after="60"/>
              <w:jc w:val="center"/>
              <w:rPr>
                <w:b/>
              </w:rPr>
            </w:pPr>
            <w:r>
              <w:rPr>
                <w:b/>
              </w:rPr>
              <w:t xml:space="preserve">EF </w:t>
            </w:r>
            <w:r w:rsidR="00193587">
              <w:rPr>
                <w:b/>
              </w:rPr>
              <w:t>U</w:t>
            </w:r>
            <w:r>
              <w:rPr>
                <w:b/>
              </w:rPr>
              <w:t>nits</w:t>
            </w:r>
          </w:p>
        </w:tc>
        <w:tc>
          <w:tcPr>
            <w:tcW w:w="1872" w:type="dxa"/>
            <w:tcBorders>
              <w:top w:val="double" w:sz="4" w:space="0" w:color="auto"/>
              <w:left w:val="nil"/>
              <w:bottom w:val="nil"/>
              <w:right w:val="double" w:sz="4" w:space="0" w:color="auto"/>
            </w:tcBorders>
            <w:vAlign w:val="center"/>
          </w:tcPr>
          <w:p w:rsidR="00DB0983" w:rsidRDefault="00DB0983" w:rsidP="00193587">
            <w:pPr>
              <w:spacing w:before="60" w:after="60"/>
              <w:jc w:val="center"/>
              <w:rPr>
                <w:b/>
              </w:rPr>
            </w:pPr>
            <w:r>
              <w:rPr>
                <w:b/>
              </w:rPr>
              <w:t>EF Reference</w:t>
            </w:r>
          </w:p>
        </w:tc>
      </w:tr>
      <w:tr w:rsidR="00DB0983" w:rsidTr="00193587">
        <w:tc>
          <w:tcPr>
            <w:tcW w:w="2160" w:type="dxa"/>
            <w:vMerge w:val="restart"/>
            <w:tcBorders>
              <w:top w:val="double" w:sz="4" w:space="0" w:color="auto"/>
              <w:left w:val="double" w:sz="4" w:space="0" w:color="auto"/>
              <w:right w:val="nil"/>
            </w:tcBorders>
            <w:vAlign w:val="center"/>
          </w:tcPr>
          <w:p w:rsidR="00DB0983" w:rsidRDefault="00DB0983" w:rsidP="00193587">
            <w:pPr>
              <w:spacing w:before="60" w:after="60"/>
              <w:jc w:val="center"/>
            </w:pPr>
            <w:r>
              <w:t>Kilns</w:t>
            </w:r>
          </w:p>
        </w:tc>
        <w:tc>
          <w:tcPr>
            <w:tcW w:w="2016" w:type="dxa"/>
            <w:tcBorders>
              <w:top w:val="double" w:sz="4" w:space="0" w:color="auto"/>
              <w:left w:val="single" w:sz="4" w:space="0" w:color="auto"/>
              <w:bottom w:val="single" w:sz="4" w:space="0" w:color="auto"/>
              <w:right w:val="single" w:sz="4" w:space="0" w:color="auto"/>
            </w:tcBorders>
            <w:vAlign w:val="center"/>
          </w:tcPr>
          <w:p w:rsidR="00DB0983" w:rsidRDefault="00DB0983" w:rsidP="00193587">
            <w:pPr>
              <w:spacing w:before="60" w:after="60"/>
              <w:jc w:val="center"/>
            </w:pPr>
            <w:r>
              <w:t>Methanol</w:t>
            </w:r>
          </w:p>
        </w:tc>
        <w:tc>
          <w:tcPr>
            <w:tcW w:w="1584" w:type="dxa"/>
            <w:tcBorders>
              <w:top w:val="double" w:sz="4" w:space="0" w:color="auto"/>
              <w:left w:val="nil"/>
              <w:bottom w:val="single" w:sz="4" w:space="0" w:color="auto"/>
              <w:right w:val="single" w:sz="4" w:space="0" w:color="auto"/>
            </w:tcBorders>
            <w:vAlign w:val="center"/>
          </w:tcPr>
          <w:p w:rsidR="00DB0983" w:rsidRDefault="00DB0983" w:rsidP="00193587">
            <w:pPr>
              <w:spacing w:before="60" w:after="60"/>
              <w:jc w:val="center"/>
            </w:pPr>
            <w:r>
              <w:t>183</w:t>
            </w:r>
          </w:p>
        </w:tc>
        <w:tc>
          <w:tcPr>
            <w:tcW w:w="1872" w:type="dxa"/>
            <w:vMerge w:val="restart"/>
            <w:tcBorders>
              <w:top w:val="double" w:sz="4" w:space="0" w:color="auto"/>
              <w:left w:val="nil"/>
              <w:right w:val="single" w:sz="4" w:space="0" w:color="auto"/>
            </w:tcBorders>
            <w:vAlign w:val="center"/>
          </w:tcPr>
          <w:p w:rsidR="00DB0983" w:rsidRDefault="00DB0983" w:rsidP="00193587">
            <w:pPr>
              <w:spacing w:before="60" w:after="60"/>
              <w:jc w:val="center"/>
            </w:pPr>
            <w:r>
              <w:t>lb/million board feet</w:t>
            </w:r>
          </w:p>
        </w:tc>
        <w:tc>
          <w:tcPr>
            <w:tcW w:w="1872" w:type="dxa"/>
            <w:vMerge w:val="restart"/>
            <w:tcBorders>
              <w:top w:val="double" w:sz="4" w:space="0" w:color="auto"/>
              <w:left w:val="nil"/>
              <w:right w:val="double" w:sz="4" w:space="0" w:color="auto"/>
            </w:tcBorders>
            <w:vAlign w:val="center"/>
          </w:tcPr>
          <w:p w:rsidR="00DB0983" w:rsidRDefault="006F30DF" w:rsidP="00193587">
            <w:pPr>
              <w:spacing w:before="60" w:after="60"/>
              <w:jc w:val="center"/>
            </w:pPr>
            <w:r>
              <w:t>OSU/NCASI 2007 dry kiln studies</w:t>
            </w:r>
          </w:p>
        </w:tc>
      </w:tr>
      <w:tr w:rsidR="00DB0983" w:rsidTr="00193587">
        <w:tc>
          <w:tcPr>
            <w:tcW w:w="2160" w:type="dxa"/>
            <w:vMerge/>
            <w:tcBorders>
              <w:left w:val="double" w:sz="4" w:space="0" w:color="auto"/>
              <w:right w:val="nil"/>
            </w:tcBorders>
            <w:vAlign w:val="center"/>
          </w:tcPr>
          <w:p w:rsidR="00DB0983" w:rsidRDefault="00DB0983"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Pr="00E03473" w:rsidRDefault="00DB0983" w:rsidP="00193587">
            <w:pPr>
              <w:spacing w:before="60" w:after="60"/>
              <w:jc w:val="center"/>
              <w:rPr>
                <w:szCs w:val="24"/>
              </w:rPr>
            </w:pPr>
            <w:r>
              <w:rPr>
                <w:szCs w:val="24"/>
              </w:rPr>
              <w:t>Formaldehyde</w:t>
            </w:r>
          </w:p>
        </w:tc>
        <w:tc>
          <w:tcPr>
            <w:tcW w:w="1584" w:type="dxa"/>
            <w:tcBorders>
              <w:top w:val="nil"/>
              <w:left w:val="nil"/>
              <w:bottom w:val="nil"/>
              <w:right w:val="single" w:sz="4" w:space="0" w:color="auto"/>
            </w:tcBorders>
            <w:vAlign w:val="center"/>
          </w:tcPr>
          <w:p w:rsidR="00DB0983" w:rsidRDefault="00DB0983" w:rsidP="00193587">
            <w:pPr>
              <w:spacing w:before="60" w:after="60"/>
              <w:jc w:val="center"/>
            </w:pPr>
            <w:r>
              <w:t>2.8</w:t>
            </w:r>
          </w:p>
        </w:tc>
        <w:tc>
          <w:tcPr>
            <w:tcW w:w="1872" w:type="dxa"/>
            <w:vMerge/>
            <w:tcBorders>
              <w:left w:val="nil"/>
              <w:right w:val="single" w:sz="4" w:space="0" w:color="auto"/>
            </w:tcBorders>
            <w:vAlign w:val="center"/>
          </w:tcPr>
          <w:p w:rsidR="00DB0983" w:rsidRDefault="00DB0983" w:rsidP="00193587">
            <w:pPr>
              <w:spacing w:before="60" w:after="60"/>
              <w:jc w:val="center"/>
            </w:pPr>
          </w:p>
        </w:tc>
        <w:tc>
          <w:tcPr>
            <w:tcW w:w="1872" w:type="dxa"/>
            <w:vMerge/>
            <w:tcBorders>
              <w:left w:val="nil"/>
              <w:right w:val="double" w:sz="4" w:space="0" w:color="auto"/>
            </w:tcBorders>
            <w:vAlign w:val="center"/>
          </w:tcPr>
          <w:p w:rsidR="00DB0983" w:rsidRDefault="00DB0983" w:rsidP="00193587">
            <w:pPr>
              <w:spacing w:before="60" w:after="60"/>
              <w:jc w:val="center"/>
            </w:pPr>
          </w:p>
        </w:tc>
      </w:tr>
      <w:tr w:rsidR="00DB0983" w:rsidTr="00193587">
        <w:tc>
          <w:tcPr>
            <w:tcW w:w="2160" w:type="dxa"/>
            <w:vMerge/>
            <w:tcBorders>
              <w:left w:val="double" w:sz="4" w:space="0" w:color="auto"/>
              <w:right w:val="nil"/>
            </w:tcBorders>
            <w:vAlign w:val="center"/>
          </w:tcPr>
          <w:p w:rsidR="00DB0983" w:rsidRDefault="00DB0983"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193587">
            <w:pPr>
              <w:spacing w:before="60" w:after="60"/>
              <w:jc w:val="center"/>
            </w:pPr>
            <w:r>
              <w:t>Acetaldehyde</w:t>
            </w:r>
          </w:p>
        </w:tc>
        <w:tc>
          <w:tcPr>
            <w:tcW w:w="1584" w:type="dxa"/>
            <w:tcBorders>
              <w:top w:val="single" w:sz="4" w:space="0" w:color="auto"/>
              <w:left w:val="nil"/>
              <w:bottom w:val="single" w:sz="4" w:space="0" w:color="auto"/>
              <w:right w:val="single" w:sz="4" w:space="0" w:color="auto"/>
            </w:tcBorders>
            <w:vAlign w:val="center"/>
          </w:tcPr>
          <w:p w:rsidR="00DB0983" w:rsidRDefault="00DB0983" w:rsidP="00193587">
            <w:pPr>
              <w:spacing w:before="60" w:after="60"/>
              <w:jc w:val="center"/>
            </w:pPr>
            <w:r>
              <w:t>113</w:t>
            </w:r>
          </w:p>
        </w:tc>
        <w:tc>
          <w:tcPr>
            <w:tcW w:w="1872" w:type="dxa"/>
            <w:vMerge/>
            <w:tcBorders>
              <w:left w:val="nil"/>
              <w:right w:val="single" w:sz="4" w:space="0" w:color="auto"/>
            </w:tcBorders>
            <w:vAlign w:val="center"/>
          </w:tcPr>
          <w:p w:rsidR="00DB0983" w:rsidRDefault="00DB0983" w:rsidP="00193587">
            <w:pPr>
              <w:spacing w:before="60" w:after="60"/>
              <w:jc w:val="center"/>
            </w:pPr>
          </w:p>
        </w:tc>
        <w:tc>
          <w:tcPr>
            <w:tcW w:w="1872" w:type="dxa"/>
            <w:vMerge/>
            <w:tcBorders>
              <w:left w:val="nil"/>
              <w:right w:val="double" w:sz="4" w:space="0" w:color="auto"/>
            </w:tcBorders>
            <w:vAlign w:val="center"/>
          </w:tcPr>
          <w:p w:rsidR="00DB0983" w:rsidRDefault="00DB0983" w:rsidP="00193587">
            <w:pPr>
              <w:tabs>
                <w:tab w:val="left" w:pos="915"/>
              </w:tabs>
              <w:spacing w:before="60" w:after="60"/>
              <w:jc w:val="center"/>
            </w:pPr>
          </w:p>
        </w:tc>
      </w:tr>
      <w:tr w:rsidR="00DB0983" w:rsidTr="00193587">
        <w:tc>
          <w:tcPr>
            <w:tcW w:w="2160" w:type="dxa"/>
            <w:vMerge/>
            <w:tcBorders>
              <w:left w:val="double" w:sz="4" w:space="0" w:color="auto"/>
              <w:right w:val="nil"/>
            </w:tcBorders>
            <w:vAlign w:val="center"/>
          </w:tcPr>
          <w:p w:rsidR="00DB0983" w:rsidRDefault="00DB0983" w:rsidP="00193587">
            <w:pPr>
              <w:spacing w:before="60" w:after="60"/>
              <w:jc w:val="center"/>
            </w:pPr>
          </w:p>
        </w:tc>
        <w:tc>
          <w:tcPr>
            <w:tcW w:w="2016" w:type="dxa"/>
            <w:tcBorders>
              <w:top w:val="nil"/>
              <w:left w:val="single" w:sz="4" w:space="0" w:color="auto"/>
              <w:bottom w:val="nil"/>
              <w:right w:val="single" w:sz="4" w:space="0" w:color="auto"/>
            </w:tcBorders>
            <w:vAlign w:val="center"/>
          </w:tcPr>
          <w:p w:rsidR="00DB0983" w:rsidRDefault="00DB0983" w:rsidP="00193587">
            <w:pPr>
              <w:spacing w:before="60" w:after="60"/>
              <w:jc w:val="center"/>
            </w:pPr>
            <w:proofErr w:type="spellStart"/>
            <w:r>
              <w:t>Propionaldehyde</w:t>
            </w:r>
            <w:proofErr w:type="spellEnd"/>
          </w:p>
        </w:tc>
        <w:tc>
          <w:tcPr>
            <w:tcW w:w="1584" w:type="dxa"/>
            <w:tcBorders>
              <w:top w:val="nil"/>
              <w:left w:val="nil"/>
              <w:bottom w:val="nil"/>
              <w:right w:val="single" w:sz="4" w:space="0" w:color="auto"/>
            </w:tcBorders>
            <w:vAlign w:val="center"/>
          </w:tcPr>
          <w:p w:rsidR="00DB0983" w:rsidRDefault="00DB0983" w:rsidP="00193587">
            <w:pPr>
              <w:spacing w:before="60" w:after="60"/>
              <w:jc w:val="center"/>
            </w:pPr>
            <w:r>
              <w:t>1</w:t>
            </w:r>
            <w:r w:rsidR="006F30DF">
              <w:t>.0</w:t>
            </w:r>
          </w:p>
        </w:tc>
        <w:tc>
          <w:tcPr>
            <w:tcW w:w="1872" w:type="dxa"/>
            <w:vMerge/>
            <w:tcBorders>
              <w:left w:val="nil"/>
              <w:right w:val="single" w:sz="4" w:space="0" w:color="auto"/>
            </w:tcBorders>
            <w:vAlign w:val="center"/>
          </w:tcPr>
          <w:p w:rsidR="00DB0983" w:rsidRDefault="00DB0983" w:rsidP="00193587">
            <w:pPr>
              <w:spacing w:before="60" w:after="60"/>
              <w:jc w:val="center"/>
            </w:pPr>
          </w:p>
        </w:tc>
        <w:tc>
          <w:tcPr>
            <w:tcW w:w="1872" w:type="dxa"/>
            <w:vMerge/>
            <w:tcBorders>
              <w:left w:val="nil"/>
              <w:right w:val="double" w:sz="4" w:space="0" w:color="auto"/>
            </w:tcBorders>
            <w:vAlign w:val="center"/>
          </w:tcPr>
          <w:p w:rsidR="00DB0983" w:rsidRDefault="00DB0983" w:rsidP="00193587">
            <w:pPr>
              <w:spacing w:before="60" w:after="60"/>
              <w:jc w:val="center"/>
            </w:pPr>
          </w:p>
        </w:tc>
      </w:tr>
      <w:tr w:rsidR="00DB0983" w:rsidTr="00193587">
        <w:tc>
          <w:tcPr>
            <w:tcW w:w="2160" w:type="dxa"/>
            <w:vMerge/>
            <w:tcBorders>
              <w:left w:val="double" w:sz="4" w:space="0" w:color="auto"/>
              <w:right w:val="nil"/>
            </w:tcBorders>
            <w:vAlign w:val="center"/>
          </w:tcPr>
          <w:p w:rsidR="00DB0983" w:rsidRDefault="00DB0983"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DB0983" w:rsidRDefault="00DB0983" w:rsidP="00193587">
            <w:pPr>
              <w:spacing w:before="60" w:after="60"/>
              <w:jc w:val="center"/>
            </w:pPr>
            <w:proofErr w:type="spellStart"/>
            <w:r>
              <w:t>Acrolein</w:t>
            </w:r>
            <w:proofErr w:type="spellEnd"/>
          </w:p>
        </w:tc>
        <w:tc>
          <w:tcPr>
            <w:tcW w:w="1584" w:type="dxa"/>
            <w:tcBorders>
              <w:top w:val="single" w:sz="4" w:space="0" w:color="auto"/>
              <w:left w:val="nil"/>
              <w:bottom w:val="single" w:sz="4" w:space="0" w:color="auto"/>
              <w:right w:val="single" w:sz="4" w:space="0" w:color="auto"/>
            </w:tcBorders>
            <w:vAlign w:val="center"/>
          </w:tcPr>
          <w:p w:rsidR="00DB0983" w:rsidRDefault="00DB0983" w:rsidP="00193587">
            <w:pPr>
              <w:spacing w:before="60" w:after="60"/>
              <w:jc w:val="center"/>
            </w:pPr>
            <w:r>
              <w:t>1.6</w:t>
            </w:r>
          </w:p>
        </w:tc>
        <w:tc>
          <w:tcPr>
            <w:tcW w:w="1872" w:type="dxa"/>
            <w:vMerge/>
            <w:tcBorders>
              <w:left w:val="nil"/>
              <w:right w:val="single" w:sz="4" w:space="0" w:color="auto"/>
            </w:tcBorders>
            <w:vAlign w:val="center"/>
          </w:tcPr>
          <w:p w:rsidR="00DB0983" w:rsidRDefault="00DB0983" w:rsidP="00193587">
            <w:pPr>
              <w:spacing w:before="60" w:after="60"/>
              <w:jc w:val="center"/>
            </w:pPr>
          </w:p>
        </w:tc>
        <w:tc>
          <w:tcPr>
            <w:tcW w:w="1872" w:type="dxa"/>
            <w:vMerge/>
            <w:tcBorders>
              <w:left w:val="nil"/>
              <w:bottom w:val="single" w:sz="4" w:space="0" w:color="auto"/>
              <w:right w:val="double" w:sz="4" w:space="0" w:color="auto"/>
            </w:tcBorders>
            <w:vAlign w:val="center"/>
          </w:tcPr>
          <w:p w:rsidR="00DB0983" w:rsidRDefault="00DB0983" w:rsidP="00193587">
            <w:pPr>
              <w:spacing w:before="60" w:after="60"/>
              <w:jc w:val="center"/>
            </w:pPr>
          </w:p>
        </w:tc>
      </w:tr>
      <w:tr w:rsidR="006F30DF" w:rsidTr="00193587">
        <w:tc>
          <w:tcPr>
            <w:tcW w:w="2160" w:type="dxa"/>
            <w:vMerge w:val="restart"/>
            <w:tcBorders>
              <w:top w:val="single" w:sz="4" w:space="0" w:color="auto"/>
              <w:left w:val="double" w:sz="4" w:space="0" w:color="auto"/>
              <w:right w:val="nil"/>
            </w:tcBorders>
            <w:vAlign w:val="center"/>
          </w:tcPr>
          <w:p w:rsidR="006F30DF" w:rsidRDefault="006F30DF" w:rsidP="00193587">
            <w:pPr>
              <w:spacing w:before="60" w:after="60"/>
              <w:jc w:val="center"/>
            </w:pPr>
            <w:proofErr w:type="spellStart"/>
            <w:r>
              <w:t>Wellons</w:t>
            </w:r>
            <w:proofErr w:type="spellEnd"/>
            <w:r>
              <w:t xml:space="preserve"> </w:t>
            </w:r>
            <w:r w:rsidR="00193587">
              <w:t>B</w:t>
            </w:r>
            <w:r>
              <w:t>oiler</w:t>
            </w: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r>
              <w:t>Methanol</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0.91</w:t>
            </w:r>
          </w:p>
        </w:tc>
        <w:tc>
          <w:tcPr>
            <w:tcW w:w="1872" w:type="dxa"/>
            <w:vMerge w:val="restart"/>
            <w:tcBorders>
              <w:top w:val="single" w:sz="4" w:space="0" w:color="auto"/>
              <w:left w:val="nil"/>
              <w:right w:val="single" w:sz="4" w:space="0" w:color="auto"/>
            </w:tcBorders>
            <w:vAlign w:val="center"/>
          </w:tcPr>
          <w:p w:rsidR="006F30DF" w:rsidRDefault="006F30DF" w:rsidP="00193587">
            <w:pPr>
              <w:spacing w:before="60" w:after="60"/>
              <w:jc w:val="center"/>
            </w:pPr>
            <w:r>
              <w:t>lb/million lb steam</w:t>
            </w:r>
          </w:p>
        </w:tc>
        <w:tc>
          <w:tcPr>
            <w:tcW w:w="1872" w:type="dxa"/>
            <w:vMerge w:val="restart"/>
            <w:tcBorders>
              <w:top w:val="single" w:sz="4" w:space="0" w:color="auto"/>
              <w:left w:val="nil"/>
              <w:right w:val="double" w:sz="4" w:space="0" w:color="auto"/>
            </w:tcBorders>
            <w:vAlign w:val="center"/>
          </w:tcPr>
          <w:p w:rsidR="006F30DF" w:rsidRDefault="006F30DF" w:rsidP="00193587">
            <w:pPr>
              <w:spacing w:before="60" w:after="60"/>
              <w:jc w:val="center"/>
            </w:pPr>
            <w:r>
              <w:t>AP-42</w:t>
            </w: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Pr="00E03473" w:rsidRDefault="006F30DF" w:rsidP="00193587">
            <w:pPr>
              <w:spacing w:before="60" w:after="60"/>
              <w:jc w:val="center"/>
              <w:rPr>
                <w:szCs w:val="24"/>
              </w:rPr>
            </w:pPr>
            <w:r>
              <w:rPr>
                <w:szCs w:val="24"/>
              </w:rPr>
              <w:t>Formaldehyde</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1.4</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r>
              <w:t>Acetaldehyde</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0.91</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proofErr w:type="spellStart"/>
            <w:r>
              <w:t>Propionaldehyde</w:t>
            </w:r>
            <w:proofErr w:type="spellEnd"/>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0.05</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proofErr w:type="spellStart"/>
            <w:r>
              <w:t>Acrolein</w:t>
            </w:r>
            <w:proofErr w:type="spellEnd"/>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0.02</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r>
              <w:t>Benzene</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3.63</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r>
              <w:t>Styrene</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2.1</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r>
              <w:t>Toluene</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1.0</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single" w:sz="4" w:space="0" w:color="auto"/>
              <w:right w:val="single" w:sz="4" w:space="0" w:color="auto"/>
            </w:tcBorders>
            <w:vAlign w:val="center"/>
          </w:tcPr>
          <w:p w:rsidR="006F30DF" w:rsidRDefault="006F30DF" w:rsidP="00193587">
            <w:pPr>
              <w:spacing w:before="60" w:after="60"/>
              <w:jc w:val="center"/>
            </w:pPr>
            <w:r>
              <w:t>Chlorine</w:t>
            </w:r>
          </w:p>
        </w:tc>
        <w:tc>
          <w:tcPr>
            <w:tcW w:w="1584" w:type="dxa"/>
            <w:tcBorders>
              <w:top w:val="single" w:sz="4" w:space="0" w:color="auto"/>
              <w:left w:val="nil"/>
              <w:bottom w:val="single" w:sz="4" w:space="0" w:color="auto"/>
              <w:right w:val="single" w:sz="4" w:space="0" w:color="auto"/>
            </w:tcBorders>
            <w:vAlign w:val="center"/>
          </w:tcPr>
          <w:p w:rsidR="006F30DF" w:rsidRDefault="006F30DF" w:rsidP="00193587">
            <w:pPr>
              <w:spacing w:before="60" w:after="60"/>
              <w:jc w:val="center"/>
            </w:pPr>
            <w:r>
              <w:t>0.87</w:t>
            </w:r>
          </w:p>
        </w:tc>
        <w:tc>
          <w:tcPr>
            <w:tcW w:w="1872" w:type="dxa"/>
            <w:vMerge/>
            <w:tcBorders>
              <w:left w:val="nil"/>
              <w:right w:val="single" w:sz="4" w:space="0" w:color="auto"/>
            </w:tcBorders>
            <w:vAlign w:val="center"/>
          </w:tcPr>
          <w:p w:rsidR="006F30DF" w:rsidRDefault="006F30DF" w:rsidP="00193587">
            <w:pPr>
              <w:spacing w:before="60" w:after="60"/>
              <w:jc w:val="center"/>
            </w:pPr>
          </w:p>
        </w:tc>
        <w:tc>
          <w:tcPr>
            <w:tcW w:w="1872" w:type="dxa"/>
            <w:vMerge/>
            <w:tcBorders>
              <w:left w:val="nil"/>
              <w:right w:val="double" w:sz="4" w:space="0" w:color="auto"/>
            </w:tcBorders>
            <w:vAlign w:val="center"/>
          </w:tcPr>
          <w:p w:rsidR="006F30DF" w:rsidRDefault="006F30DF" w:rsidP="00193587">
            <w:pPr>
              <w:spacing w:before="60" w:after="60"/>
              <w:jc w:val="center"/>
            </w:pPr>
          </w:p>
        </w:tc>
      </w:tr>
      <w:tr w:rsidR="006F30DF" w:rsidTr="00193587">
        <w:tc>
          <w:tcPr>
            <w:tcW w:w="2160" w:type="dxa"/>
            <w:vMerge/>
            <w:tcBorders>
              <w:left w:val="double" w:sz="4" w:space="0" w:color="auto"/>
              <w:bottom w:val="double" w:sz="4" w:space="0" w:color="auto"/>
              <w:right w:val="nil"/>
            </w:tcBorders>
            <w:vAlign w:val="center"/>
          </w:tcPr>
          <w:p w:rsidR="006F30DF" w:rsidRDefault="006F30DF" w:rsidP="00193587">
            <w:pPr>
              <w:spacing w:before="60" w:after="60"/>
              <w:jc w:val="center"/>
            </w:pPr>
          </w:p>
        </w:tc>
        <w:tc>
          <w:tcPr>
            <w:tcW w:w="2016" w:type="dxa"/>
            <w:tcBorders>
              <w:top w:val="single" w:sz="4" w:space="0" w:color="auto"/>
              <w:left w:val="single" w:sz="4" w:space="0" w:color="auto"/>
              <w:bottom w:val="double" w:sz="4" w:space="0" w:color="auto"/>
              <w:right w:val="single" w:sz="4" w:space="0" w:color="auto"/>
            </w:tcBorders>
            <w:vAlign w:val="center"/>
          </w:tcPr>
          <w:p w:rsidR="006F30DF" w:rsidRDefault="006F30DF" w:rsidP="00193587">
            <w:pPr>
              <w:spacing w:before="60" w:after="60"/>
              <w:jc w:val="center"/>
            </w:pPr>
            <w:r>
              <w:t xml:space="preserve">Hydrogen </w:t>
            </w:r>
            <w:r w:rsidR="00193587">
              <w:t>C</w:t>
            </w:r>
            <w:r>
              <w:t>hloride</w:t>
            </w:r>
          </w:p>
        </w:tc>
        <w:tc>
          <w:tcPr>
            <w:tcW w:w="1584" w:type="dxa"/>
            <w:tcBorders>
              <w:top w:val="single" w:sz="4" w:space="0" w:color="auto"/>
              <w:left w:val="nil"/>
              <w:bottom w:val="double" w:sz="4" w:space="0" w:color="auto"/>
              <w:right w:val="single" w:sz="4" w:space="0" w:color="auto"/>
            </w:tcBorders>
            <w:vAlign w:val="center"/>
          </w:tcPr>
          <w:p w:rsidR="006F30DF" w:rsidRDefault="006F30DF" w:rsidP="00193587">
            <w:pPr>
              <w:spacing w:before="60" w:after="60"/>
              <w:jc w:val="center"/>
            </w:pPr>
            <w:r>
              <w:t>0.74</w:t>
            </w:r>
          </w:p>
        </w:tc>
        <w:tc>
          <w:tcPr>
            <w:tcW w:w="1872" w:type="dxa"/>
            <w:vMerge/>
            <w:tcBorders>
              <w:left w:val="nil"/>
              <w:bottom w:val="double" w:sz="4" w:space="0" w:color="auto"/>
              <w:right w:val="single" w:sz="4" w:space="0" w:color="auto"/>
            </w:tcBorders>
            <w:vAlign w:val="center"/>
          </w:tcPr>
          <w:p w:rsidR="006F30DF" w:rsidRDefault="006F30DF" w:rsidP="00193587">
            <w:pPr>
              <w:spacing w:before="60" w:after="60"/>
              <w:jc w:val="center"/>
            </w:pPr>
          </w:p>
        </w:tc>
        <w:tc>
          <w:tcPr>
            <w:tcW w:w="1872" w:type="dxa"/>
            <w:vMerge/>
            <w:tcBorders>
              <w:left w:val="nil"/>
              <w:bottom w:val="double" w:sz="4" w:space="0" w:color="auto"/>
              <w:right w:val="double" w:sz="4" w:space="0" w:color="auto"/>
            </w:tcBorders>
            <w:vAlign w:val="center"/>
          </w:tcPr>
          <w:p w:rsidR="006F30DF" w:rsidRDefault="006F30DF" w:rsidP="00193587">
            <w:pPr>
              <w:spacing w:before="60" w:after="60"/>
              <w:jc w:val="center"/>
            </w:pPr>
          </w:p>
        </w:tc>
      </w:tr>
    </w:tbl>
    <w:p w:rsidR="00DB0983" w:rsidRDefault="00DB0983" w:rsidP="00DB0983"/>
    <w:p w:rsidR="00DB0983" w:rsidRPr="00DB0983" w:rsidRDefault="00DB0983" w:rsidP="00DB0983"/>
    <w:p w:rsidR="00C5535B" w:rsidRDefault="00C5535B">
      <w:pPr>
        <w:pStyle w:val="Heading1"/>
      </w:pPr>
      <w:bookmarkStart w:id="48" w:name="_Ref516385121"/>
      <w:bookmarkStart w:id="49" w:name="_Toc321315440"/>
      <w:r>
        <w:t>Process/Production Records</w:t>
      </w:r>
      <w:bookmarkEnd w:id="48"/>
      <w:bookmarkEnd w:id="49"/>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C5535B" w:rsidTr="00193587">
        <w:tc>
          <w:tcPr>
            <w:tcW w:w="3168" w:type="dxa"/>
            <w:tcBorders>
              <w:top w:val="double" w:sz="4" w:space="0" w:color="auto"/>
              <w:left w:val="double" w:sz="4" w:space="0" w:color="auto"/>
              <w:bottom w:val="nil"/>
              <w:right w:val="nil"/>
            </w:tcBorders>
            <w:vAlign w:val="center"/>
          </w:tcPr>
          <w:p w:rsidR="00C5535B" w:rsidRDefault="00C5535B" w:rsidP="00193587">
            <w:pPr>
              <w:spacing w:before="60" w:after="60"/>
              <w:jc w:val="center"/>
              <w:rPr>
                <w:b/>
              </w:rPr>
            </w:pPr>
            <w:r>
              <w:rPr>
                <w:b/>
              </w:rPr>
              <w:t xml:space="preserve">Emissions </w:t>
            </w:r>
            <w:r w:rsidR="00193587">
              <w:rPr>
                <w:b/>
              </w:rPr>
              <w:t>D</w:t>
            </w:r>
            <w:r>
              <w:rPr>
                <w:b/>
              </w:rPr>
              <w:t xml:space="preserve">evice or </w:t>
            </w:r>
            <w:r w:rsidR="00193587">
              <w:rPr>
                <w:b/>
              </w:rPr>
              <w:t>A</w:t>
            </w:r>
            <w:r>
              <w:rPr>
                <w:b/>
              </w:rPr>
              <w:t>ctivity</w:t>
            </w:r>
          </w:p>
        </w:tc>
        <w:tc>
          <w:tcPr>
            <w:tcW w:w="3168" w:type="dxa"/>
            <w:tcBorders>
              <w:top w:val="double" w:sz="4" w:space="0" w:color="auto"/>
              <w:left w:val="single" w:sz="4" w:space="0" w:color="auto"/>
              <w:bottom w:val="nil"/>
              <w:right w:val="single" w:sz="4" w:space="0" w:color="auto"/>
            </w:tcBorders>
            <w:vAlign w:val="center"/>
          </w:tcPr>
          <w:p w:rsidR="00C5535B" w:rsidRDefault="00C5535B" w:rsidP="00193587">
            <w:pPr>
              <w:spacing w:before="60" w:after="60"/>
              <w:jc w:val="center"/>
              <w:rPr>
                <w:b/>
              </w:rPr>
            </w:pPr>
            <w:r>
              <w:rPr>
                <w:b/>
              </w:rPr>
              <w:t xml:space="preserve">Process or </w:t>
            </w:r>
            <w:r w:rsidR="00193587">
              <w:rPr>
                <w:b/>
              </w:rPr>
              <w:t>Production P</w:t>
            </w:r>
            <w:r>
              <w:rPr>
                <w:b/>
              </w:rPr>
              <w:t>arameter</w:t>
            </w:r>
          </w:p>
        </w:tc>
        <w:tc>
          <w:tcPr>
            <w:tcW w:w="3168" w:type="dxa"/>
            <w:tcBorders>
              <w:top w:val="double" w:sz="4" w:space="0" w:color="auto"/>
              <w:left w:val="nil"/>
              <w:bottom w:val="double" w:sz="4" w:space="0" w:color="auto"/>
              <w:right w:val="double" w:sz="4" w:space="0" w:color="auto"/>
            </w:tcBorders>
            <w:vAlign w:val="center"/>
          </w:tcPr>
          <w:p w:rsidR="00C5535B" w:rsidRDefault="00C5535B" w:rsidP="00193587">
            <w:pPr>
              <w:spacing w:before="60" w:after="60"/>
              <w:jc w:val="center"/>
              <w:rPr>
                <w:b/>
              </w:rPr>
            </w:pPr>
            <w:r>
              <w:rPr>
                <w:b/>
              </w:rPr>
              <w:t>Frequency</w:t>
            </w:r>
          </w:p>
        </w:tc>
      </w:tr>
      <w:tr w:rsidR="00193587" w:rsidTr="00193587">
        <w:trPr>
          <w:cantSplit/>
        </w:trPr>
        <w:tc>
          <w:tcPr>
            <w:tcW w:w="3168" w:type="dxa"/>
            <w:tcBorders>
              <w:top w:val="double" w:sz="4" w:space="0" w:color="auto"/>
              <w:left w:val="double" w:sz="4" w:space="0" w:color="auto"/>
              <w:bottom w:val="single" w:sz="4" w:space="0" w:color="auto"/>
              <w:right w:val="nil"/>
            </w:tcBorders>
            <w:vAlign w:val="center"/>
          </w:tcPr>
          <w:p w:rsidR="00193587" w:rsidRDefault="00193587" w:rsidP="00193587">
            <w:pPr>
              <w:spacing w:before="60" w:after="60"/>
              <w:jc w:val="center"/>
            </w:pPr>
            <w:r>
              <w:t>Backup HF Boiler</w:t>
            </w:r>
          </w:p>
        </w:tc>
        <w:tc>
          <w:tcPr>
            <w:tcW w:w="3168" w:type="dxa"/>
            <w:tcBorders>
              <w:top w:val="double" w:sz="4" w:space="0" w:color="auto"/>
              <w:left w:val="single" w:sz="4" w:space="0" w:color="auto"/>
              <w:bottom w:val="single" w:sz="4" w:space="0" w:color="auto"/>
              <w:right w:val="single" w:sz="4" w:space="0" w:color="auto"/>
            </w:tcBorders>
            <w:vAlign w:val="center"/>
          </w:tcPr>
          <w:p w:rsidR="00193587" w:rsidRDefault="00193587" w:rsidP="00193587">
            <w:pPr>
              <w:spacing w:before="60" w:after="60"/>
              <w:jc w:val="center"/>
            </w:pPr>
            <w:r>
              <w:t>Pounds of Steam</w:t>
            </w:r>
          </w:p>
        </w:tc>
        <w:tc>
          <w:tcPr>
            <w:tcW w:w="3168" w:type="dxa"/>
            <w:vMerge w:val="restart"/>
            <w:tcBorders>
              <w:top w:val="double" w:sz="4" w:space="0" w:color="auto"/>
              <w:left w:val="nil"/>
              <w:right w:val="double" w:sz="4" w:space="0" w:color="auto"/>
            </w:tcBorders>
            <w:vAlign w:val="center"/>
          </w:tcPr>
          <w:p w:rsidR="00193587" w:rsidRDefault="00193587" w:rsidP="00193587">
            <w:pPr>
              <w:tabs>
                <w:tab w:val="center" w:pos="1476"/>
              </w:tabs>
              <w:spacing w:before="60" w:after="60"/>
              <w:jc w:val="center"/>
            </w:pPr>
            <w:r>
              <w:t>Monthly</w:t>
            </w:r>
          </w:p>
        </w:tc>
      </w:tr>
      <w:tr w:rsidR="00193587" w:rsidTr="00193587">
        <w:tc>
          <w:tcPr>
            <w:tcW w:w="3168" w:type="dxa"/>
            <w:tcBorders>
              <w:top w:val="nil"/>
              <w:left w:val="double" w:sz="4" w:space="0" w:color="auto"/>
              <w:bottom w:val="nil"/>
              <w:right w:val="nil"/>
            </w:tcBorders>
            <w:vAlign w:val="center"/>
          </w:tcPr>
          <w:p w:rsidR="00193587" w:rsidRDefault="00193587" w:rsidP="00193587">
            <w:pPr>
              <w:spacing w:before="60" w:after="60"/>
              <w:jc w:val="center"/>
            </w:pPr>
            <w:r>
              <w:t>Cyclone Throughput</w:t>
            </w:r>
          </w:p>
        </w:tc>
        <w:tc>
          <w:tcPr>
            <w:tcW w:w="3168" w:type="dxa"/>
            <w:tcBorders>
              <w:top w:val="nil"/>
              <w:left w:val="single" w:sz="4" w:space="0" w:color="auto"/>
              <w:bottom w:val="nil"/>
              <w:right w:val="single" w:sz="4" w:space="0" w:color="auto"/>
            </w:tcBorders>
            <w:vAlign w:val="center"/>
          </w:tcPr>
          <w:p w:rsidR="00193587" w:rsidRPr="00BB4FE6" w:rsidRDefault="00193587" w:rsidP="00193587">
            <w:pPr>
              <w:spacing w:before="60" w:after="60"/>
              <w:jc w:val="center"/>
              <w:rPr>
                <w:szCs w:val="24"/>
              </w:rPr>
            </w:pPr>
            <w:r w:rsidRPr="00BB4FE6">
              <w:rPr>
                <w:szCs w:val="24"/>
              </w:rPr>
              <w:t xml:space="preserve">Bone </w:t>
            </w:r>
            <w:r>
              <w:rPr>
                <w:szCs w:val="24"/>
              </w:rPr>
              <w:t>D</w:t>
            </w:r>
            <w:r w:rsidRPr="00BB4FE6">
              <w:rPr>
                <w:szCs w:val="24"/>
              </w:rPr>
              <w:t>ry Tons</w:t>
            </w:r>
          </w:p>
        </w:tc>
        <w:tc>
          <w:tcPr>
            <w:tcW w:w="3168" w:type="dxa"/>
            <w:vMerge/>
            <w:tcBorders>
              <w:left w:val="nil"/>
              <w:right w:val="double" w:sz="4" w:space="0" w:color="auto"/>
            </w:tcBorders>
            <w:vAlign w:val="center"/>
          </w:tcPr>
          <w:p w:rsidR="00193587" w:rsidRDefault="00193587" w:rsidP="00193587">
            <w:pPr>
              <w:spacing w:before="60" w:after="60"/>
              <w:jc w:val="center"/>
            </w:pPr>
          </w:p>
        </w:tc>
      </w:tr>
      <w:tr w:rsidR="00193587" w:rsidTr="00193587">
        <w:tc>
          <w:tcPr>
            <w:tcW w:w="3168" w:type="dxa"/>
            <w:tcBorders>
              <w:top w:val="single" w:sz="4" w:space="0" w:color="auto"/>
              <w:left w:val="double" w:sz="4" w:space="0" w:color="auto"/>
              <w:bottom w:val="single" w:sz="4" w:space="0" w:color="auto"/>
              <w:right w:val="nil"/>
            </w:tcBorders>
            <w:vAlign w:val="center"/>
          </w:tcPr>
          <w:p w:rsidR="00193587" w:rsidRDefault="00193587" w:rsidP="00193587">
            <w:pPr>
              <w:spacing w:before="60" w:after="60"/>
              <w:jc w:val="center"/>
            </w:pPr>
            <w:r>
              <w:t>Target Box Throughput</w:t>
            </w:r>
          </w:p>
        </w:tc>
        <w:tc>
          <w:tcPr>
            <w:tcW w:w="3168" w:type="dxa"/>
            <w:tcBorders>
              <w:top w:val="single" w:sz="4" w:space="0" w:color="auto"/>
              <w:left w:val="single" w:sz="4" w:space="0" w:color="auto"/>
              <w:bottom w:val="single" w:sz="4" w:space="0" w:color="auto"/>
              <w:right w:val="single" w:sz="4" w:space="0" w:color="auto"/>
            </w:tcBorders>
            <w:vAlign w:val="center"/>
          </w:tcPr>
          <w:p w:rsidR="00193587" w:rsidRDefault="00193587" w:rsidP="00193587">
            <w:pPr>
              <w:spacing w:before="60" w:after="60"/>
              <w:jc w:val="center"/>
            </w:pPr>
            <w:r>
              <w:t>Bone Dry Tons</w:t>
            </w:r>
          </w:p>
        </w:tc>
        <w:tc>
          <w:tcPr>
            <w:tcW w:w="3168" w:type="dxa"/>
            <w:vMerge/>
            <w:tcBorders>
              <w:left w:val="nil"/>
              <w:right w:val="double" w:sz="4" w:space="0" w:color="auto"/>
            </w:tcBorders>
            <w:vAlign w:val="center"/>
          </w:tcPr>
          <w:p w:rsidR="00193587" w:rsidRDefault="00193587" w:rsidP="00193587">
            <w:pPr>
              <w:spacing w:before="60" w:after="60"/>
              <w:jc w:val="center"/>
            </w:pPr>
          </w:p>
        </w:tc>
      </w:tr>
      <w:tr w:rsidR="00193587" w:rsidTr="00193587">
        <w:tc>
          <w:tcPr>
            <w:tcW w:w="3168" w:type="dxa"/>
            <w:vMerge w:val="restart"/>
            <w:tcBorders>
              <w:top w:val="single" w:sz="4" w:space="0" w:color="auto"/>
              <w:left w:val="double" w:sz="4" w:space="0" w:color="auto"/>
              <w:right w:val="nil"/>
            </w:tcBorders>
            <w:vAlign w:val="center"/>
          </w:tcPr>
          <w:p w:rsidR="00193587" w:rsidRDefault="00193587" w:rsidP="00193587">
            <w:pPr>
              <w:spacing w:before="60" w:after="60"/>
              <w:jc w:val="center"/>
            </w:pPr>
            <w:r>
              <w:t>Kiln Drying</w:t>
            </w:r>
          </w:p>
        </w:tc>
        <w:tc>
          <w:tcPr>
            <w:tcW w:w="3168" w:type="dxa"/>
            <w:tcBorders>
              <w:top w:val="nil"/>
              <w:left w:val="single" w:sz="4" w:space="0" w:color="auto"/>
              <w:bottom w:val="single" w:sz="4" w:space="0" w:color="auto"/>
              <w:right w:val="single" w:sz="4" w:space="0" w:color="auto"/>
            </w:tcBorders>
            <w:vAlign w:val="center"/>
          </w:tcPr>
          <w:p w:rsidR="00193587" w:rsidRDefault="00193587" w:rsidP="00193587">
            <w:pPr>
              <w:spacing w:before="60" w:after="60"/>
              <w:jc w:val="center"/>
            </w:pPr>
            <w:r>
              <w:t>M Board Feet of Fir Dried</w:t>
            </w:r>
          </w:p>
        </w:tc>
        <w:tc>
          <w:tcPr>
            <w:tcW w:w="3168" w:type="dxa"/>
            <w:vMerge/>
            <w:tcBorders>
              <w:left w:val="nil"/>
              <w:right w:val="double" w:sz="4" w:space="0" w:color="auto"/>
            </w:tcBorders>
            <w:vAlign w:val="center"/>
          </w:tcPr>
          <w:p w:rsidR="00193587" w:rsidRDefault="00193587" w:rsidP="00193587">
            <w:pPr>
              <w:spacing w:before="60" w:after="60"/>
              <w:jc w:val="center"/>
            </w:pPr>
          </w:p>
        </w:tc>
      </w:tr>
      <w:tr w:rsidR="00193587" w:rsidTr="00193587">
        <w:tc>
          <w:tcPr>
            <w:tcW w:w="3168" w:type="dxa"/>
            <w:vMerge/>
            <w:tcBorders>
              <w:left w:val="double" w:sz="4" w:space="0" w:color="auto"/>
              <w:bottom w:val="double" w:sz="4" w:space="0" w:color="auto"/>
              <w:right w:val="nil"/>
            </w:tcBorders>
            <w:vAlign w:val="center"/>
          </w:tcPr>
          <w:p w:rsidR="00193587" w:rsidRDefault="00193587" w:rsidP="00193587">
            <w:pPr>
              <w:spacing w:before="60" w:after="60"/>
              <w:jc w:val="center"/>
            </w:pPr>
          </w:p>
        </w:tc>
        <w:tc>
          <w:tcPr>
            <w:tcW w:w="3168" w:type="dxa"/>
            <w:tcBorders>
              <w:top w:val="single" w:sz="4" w:space="0" w:color="auto"/>
              <w:left w:val="single" w:sz="4" w:space="0" w:color="auto"/>
              <w:bottom w:val="double" w:sz="4" w:space="0" w:color="auto"/>
              <w:right w:val="single" w:sz="4" w:space="0" w:color="auto"/>
            </w:tcBorders>
            <w:vAlign w:val="center"/>
          </w:tcPr>
          <w:p w:rsidR="00193587" w:rsidRDefault="00193587" w:rsidP="00193587">
            <w:pPr>
              <w:spacing w:before="60" w:after="60"/>
              <w:jc w:val="center"/>
            </w:pPr>
            <w:r>
              <w:t>M Board Feet of Pine Dried</w:t>
            </w:r>
          </w:p>
        </w:tc>
        <w:tc>
          <w:tcPr>
            <w:tcW w:w="3168" w:type="dxa"/>
            <w:vMerge/>
            <w:tcBorders>
              <w:left w:val="nil"/>
              <w:bottom w:val="double" w:sz="4" w:space="0" w:color="auto"/>
              <w:right w:val="double" w:sz="4" w:space="0" w:color="auto"/>
            </w:tcBorders>
            <w:vAlign w:val="center"/>
          </w:tcPr>
          <w:p w:rsidR="00193587" w:rsidRDefault="00193587" w:rsidP="00193587">
            <w:pPr>
              <w:spacing w:before="60" w:after="60"/>
              <w:jc w:val="center"/>
            </w:pPr>
          </w:p>
        </w:tc>
      </w:tr>
    </w:tbl>
    <w:p w:rsidR="00C5535B" w:rsidRDefault="00C5535B"/>
    <w:p w:rsidR="00C5535B" w:rsidRDefault="00C5535B"/>
    <w:p w:rsidR="009F3F90" w:rsidRDefault="00C5535B" w:rsidP="009F3F90">
      <w:pPr>
        <w:pStyle w:val="Heading1"/>
        <w:tabs>
          <w:tab w:val="clear" w:pos="864"/>
          <w:tab w:val="num" w:pos="1134"/>
        </w:tabs>
        <w:ind w:left="1134"/>
      </w:pPr>
      <w:r>
        <w:br w:type="page"/>
      </w:r>
      <w:bookmarkStart w:id="50" w:name="_Toc314048432"/>
      <w:bookmarkStart w:id="51" w:name="_Toc314048434"/>
      <w:bookmarkStart w:id="52" w:name="_Toc314048435"/>
      <w:bookmarkStart w:id="53" w:name="_Toc314048438"/>
      <w:bookmarkStart w:id="54" w:name="_Toc314048439"/>
      <w:bookmarkStart w:id="55" w:name="_Toc314048442"/>
      <w:bookmarkStart w:id="56" w:name="_Toc314048443"/>
      <w:bookmarkStart w:id="57" w:name="_Toc314048446"/>
      <w:bookmarkStart w:id="58" w:name="_Toc314048447"/>
      <w:bookmarkStart w:id="59" w:name="_Toc314048450"/>
      <w:bookmarkStart w:id="60" w:name="_Toc314048451"/>
      <w:bookmarkStart w:id="61" w:name="_Toc314048454"/>
      <w:bookmarkStart w:id="62" w:name="_Toc314048455"/>
      <w:bookmarkStart w:id="63" w:name="_Toc314048458"/>
      <w:bookmarkStart w:id="64" w:name="_Toc314048459"/>
      <w:bookmarkStart w:id="65" w:name="_Toc314048462"/>
      <w:bookmarkStart w:id="66" w:name="_Toc314048463"/>
      <w:bookmarkStart w:id="67" w:name="_Toc314048466"/>
      <w:bookmarkStart w:id="68" w:name="_Toc314048467"/>
      <w:bookmarkStart w:id="69" w:name="_Toc314048470"/>
      <w:bookmarkStart w:id="70" w:name="_Toc314048471"/>
      <w:bookmarkStart w:id="71" w:name="_Toc314048474"/>
      <w:bookmarkStart w:id="72" w:name="_Toc314048475"/>
      <w:bookmarkStart w:id="73" w:name="_Toc314048478"/>
      <w:bookmarkStart w:id="74" w:name="_Toc314048479"/>
      <w:bookmarkStart w:id="75" w:name="_Toc314048482"/>
      <w:bookmarkStart w:id="76" w:name="_Toc314048483"/>
      <w:bookmarkStart w:id="77" w:name="_Toc314048486"/>
      <w:bookmarkStart w:id="78" w:name="_Toc314048487"/>
      <w:bookmarkStart w:id="79" w:name="_Toc314048490"/>
      <w:bookmarkStart w:id="80" w:name="_Toc314048491"/>
      <w:bookmarkStart w:id="81" w:name="_Toc314048494"/>
      <w:bookmarkStart w:id="82" w:name="_Toc314048495"/>
      <w:bookmarkStart w:id="83" w:name="_Toc314048498"/>
      <w:bookmarkStart w:id="84" w:name="_Toc314048499"/>
      <w:bookmarkStart w:id="85" w:name="_Toc314048502"/>
      <w:bookmarkStart w:id="86" w:name="_Toc314048503"/>
      <w:bookmarkStart w:id="87" w:name="_Toc314048506"/>
      <w:bookmarkStart w:id="88" w:name="_Toc314048507"/>
      <w:bookmarkStart w:id="89" w:name="_Toc314048510"/>
      <w:bookmarkStart w:id="90" w:name="_Toc314048511"/>
      <w:bookmarkStart w:id="91" w:name="_Toc314048512"/>
      <w:bookmarkStart w:id="92" w:name="_Toc314048514"/>
      <w:bookmarkStart w:id="93" w:name="_Toc314048515"/>
      <w:bookmarkStart w:id="94" w:name="_Toc314048518"/>
      <w:bookmarkStart w:id="95" w:name="_Toc314048519"/>
      <w:bookmarkStart w:id="96" w:name="_Toc314048522"/>
      <w:bookmarkStart w:id="97" w:name="_Toc314048523"/>
      <w:bookmarkStart w:id="98" w:name="_Toc314048524"/>
      <w:bookmarkStart w:id="99" w:name="_Toc314048526"/>
      <w:bookmarkStart w:id="100" w:name="_Toc314048527"/>
      <w:bookmarkStart w:id="101" w:name="_Toc314048530"/>
      <w:bookmarkStart w:id="102" w:name="_Toc314048531"/>
      <w:bookmarkStart w:id="103" w:name="_Toc314048534"/>
      <w:bookmarkStart w:id="104" w:name="_Toc314048535"/>
      <w:bookmarkStart w:id="105" w:name="_Toc314048538"/>
      <w:bookmarkStart w:id="106" w:name="_Toc314048539"/>
      <w:bookmarkStart w:id="107" w:name="_Toc314048542"/>
      <w:bookmarkStart w:id="108" w:name="_Toc314048543"/>
      <w:bookmarkStart w:id="109" w:name="_Toc314048546"/>
      <w:bookmarkStart w:id="110" w:name="_Toc314048547"/>
      <w:bookmarkStart w:id="111" w:name="_Toc314048550"/>
      <w:bookmarkStart w:id="112" w:name="_Toc314048551"/>
      <w:bookmarkStart w:id="113" w:name="_Toc314048552"/>
      <w:bookmarkStart w:id="114" w:name="_Toc314048554"/>
      <w:bookmarkStart w:id="115" w:name="_Toc314048555"/>
      <w:bookmarkStart w:id="116" w:name="_Toc314048556"/>
      <w:bookmarkStart w:id="117" w:name="_Toc314048558"/>
      <w:bookmarkStart w:id="118" w:name="_Toc314048559"/>
      <w:bookmarkStart w:id="119" w:name="_Toc314048562"/>
      <w:bookmarkStart w:id="120" w:name="_Toc314048563"/>
      <w:bookmarkStart w:id="121" w:name="_Toc314048566"/>
      <w:bookmarkStart w:id="122" w:name="_Toc314048567"/>
      <w:bookmarkStart w:id="123" w:name="_Toc314048570"/>
      <w:bookmarkStart w:id="124" w:name="_Toc314048571"/>
      <w:bookmarkStart w:id="125" w:name="_Toc314048575"/>
      <w:bookmarkStart w:id="126" w:name="_Toc314048576"/>
      <w:bookmarkStart w:id="127" w:name="_Toc314048580"/>
      <w:bookmarkStart w:id="128" w:name="_Toc314048581"/>
      <w:bookmarkStart w:id="129" w:name="_Toc314048585"/>
      <w:bookmarkStart w:id="130" w:name="_Toc314048586"/>
      <w:bookmarkStart w:id="131" w:name="_Toc314048590"/>
      <w:bookmarkStart w:id="132" w:name="_Toc314048591"/>
      <w:bookmarkStart w:id="133" w:name="_Toc314048595"/>
      <w:bookmarkStart w:id="134" w:name="_Toc314048596"/>
      <w:bookmarkStart w:id="135" w:name="_Toc314048600"/>
      <w:bookmarkStart w:id="136" w:name="_Toc314048601"/>
      <w:bookmarkStart w:id="137" w:name="_Toc314048603"/>
      <w:bookmarkStart w:id="138" w:name="_Toc314048605"/>
      <w:bookmarkStart w:id="139" w:name="_Toc314048606"/>
      <w:bookmarkStart w:id="140" w:name="_Toc314048610"/>
      <w:bookmarkStart w:id="141" w:name="_Toc314048611"/>
      <w:bookmarkStart w:id="142" w:name="_Toc314048615"/>
      <w:bookmarkStart w:id="143" w:name="_Toc314048616"/>
      <w:bookmarkStart w:id="144" w:name="_Toc314048620"/>
      <w:bookmarkStart w:id="145" w:name="_Toc314048621"/>
      <w:bookmarkStart w:id="146" w:name="_Toc314048625"/>
      <w:bookmarkStart w:id="147" w:name="_Toc314048626"/>
      <w:bookmarkStart w:id="148" w:name="_Toc314048629"/>
      <w:bookmarkStart w:id="149" w:name="_Toc314048645"/>
      <w:bookmarkStart w:id="150" w:name="_Toc314048690"/>
      <w:bookmarkStart w:id="151" w:name="_Toc314048699"/>
      <w:bookmarkStart w:id="152" w:name="_Toc314048720"/>
      <w:bookmarkStart w:id="153" w:name="_Toc314048723"/>
      <w:bookmarkStart w:id="154" w:name="_Toc314048753"/>
      <w:bookmarkStart w:id="155" w:name="_Toc3213154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009F3F90">
        <w:lastRenderedPageBreak/>
        <w:t>Abbreviations, acronyms and definitions</w:t>
      </w:r>
      <w:bookmarkEnd w:id="155"/>
    </w:p>
    <w:p w:rsidR="009F3F90" w:rsidRDefault="009F3F90" w:rsidP="009F3F90"/>
    <w:p w:rsidR="009F3F90" w:rsidRDefault="009F3F90" w:rsidP="009F3F90">
      <w:pPr>
        <w:numPr>
          <w:ilvl w:val="3"/>
          <w:numId w:val="27"/>
        </w:numPr>
        <w:suppressAutoHyphens/>
        <w:spacing w:before="40" w:after="40"/>
        <w:sectPr w:rsidR="009F3F90">
          <w:headerReference w:type="default" r:id="rId10"/>
          <w:type w:val="continuous"/>
          <w:pgSz w:w="12240" w:h="15840"/>
          <w:pgMar w:top="1800" w:right="1440"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9F3F90" w:rsidTr="00B21F0B">
        <w:tc>
          <w:tcPr>
            <w:tcW w:w="1420" w:type="dxa"/>
            <w:tcBorders>
              <w:top w:val="nil"/>
              <w:left w:val="nil"/>
              <w:bottom w:val="nil"/>
              <w:right w:val="nil"/>
            </w:tcBorders>
          </w:tcPr>
          <w:p w:rsidR="009F3F90" w:rsidRDefault="009F3F90" w:rsidP="00B21F0B">
            <w:pPr>
              <w:pStyle w:val="Bodytext"/>
            </w:pPr>
            <w:r>
              <w:lastRenderedPageBreak/>
              <w:t>ACDP</w:t>
            </w:r>
          </w:p>
        </w:tc>
        <w:tc>
          <w:tcPr>
            <w:tcW w:w="3188" w:type="dxa"/>
            <w:tcBorders>
              <w:top w:val="nil"/>
              <w:left w:val="nil"/>
              <w:bottom w:val="nil"/>
              <w:right w:val="nil"/>
            </w:tcBorders>
          </w:tcPr>
          <w:p w:rsidR="009F3F90" w:rsidRDefault="009F3F90" w:rsidP="00B21F0B">
            <w:pPr>
              <w:pStyle w:val="Bodytext"/>
            </w:pPr>
            <w:r>
              <w:t>Air Contaminant Discharge Permit</w:t>
            </w:r>
          </w:p>
        </w:tc>
      </w:tr>
      <w:tr w:rsidR="009F3F90" w:rsidTr="00B21F0B">
        <w:tc>
          <w:tcPr>
            <w:tcW w:w="1420" w:type="dxa"/>
            <w:tcBorders>
              <w:top w:val="nil"/>
              <w:left w:val="nil"/>
              <w:bottom w:val="nil"/>
              <w:right w:val="nil"/>
            </w:tcBorders>
          </w:tcPr>
          <w:p w:rsidR="009F3F90" w:rsidRDefault="009F3F90" w:rsidP="00B21F0B">
            <w:pPr>
              <w:pStyle w:val="Bodytext"/>
            </w:pPr>
            <w:r>
              <w:t>ASTM</w:t>
            </w:r>
          </w:p>
        </w:tc>
        <w:tc>
          <w:tcPr>
            <w:tcW w:w="3188" w:type="dxa"/>
            <w:tcBorders>
              <w:top w:val="nil"/>
              <w:left w:val="nil"/>
              <w:bottom w:val="nil"/>
              <w:right w:val="nil"/>
            </w:tcBorders>
          </w:tcPr>
          <w:p w:rsidR="009F3F90" w:rsidRDefault="009F3F90" w:rsidP="00B21F0B">
            <w:pPr>
              <w:pStyle w:val="Bodytext"/>
            </w:pPr>
            <w:r>
              <w:t>American Society for Testing and Materials</w:t>
            </w:r>
          </w:p>
        </w:tc>
      </w:tr>
      <w:tr w:rsidR="009F3F90" w:rsidTr="00B21F0B">
        <w:tc>
          <w:tcPr>
            <w:tcW w:w="1420" w:type="dxa"/>
            <w:tcBorders>
              <w:top w:val="nil"/>
              <w:left w:val="nil"/>
              <w:bottom w:val="nil"/>
              <w:right w:val="nil"/>
            </w:tcBorders>
          </w:tcPr>
          <w:p w:rsidR="009F3F90" w:rsidRDefault="009F3F90" w:rsidP="00B21F0B">
            <w:pPr>
              <w:pStyle w:val="Bodytext"/>
            </w:pPr>
            <w:r>
              <w:t>AQMA</w:t>
            </w:r>
          </w:p>
        </w:tc>
        <w:tc>
          <w:tcPr>
            <w:tcW w:w="3188" w:type="dxa"/>
            <w:tcBorders>
              <w:top w:val="nil"/>
              <w:left w:val="nil"/>
              <w:bottom w:val="nil"/>
              <w:right w:val="nil"/>
            </w:tcBorders>
          </w:tcPr>
          <w:p w:rsidR="009F3F90" w:rsidRDefault="009F3F90" w:rsidP="00B21F0B">
            <w:pPr>
              <w:pStyle w:val="Bodytext"/>
            </w:pPr>
            <w:r>
              <w:t>Air Quality Maintenance Area</w:t>
            </w:r>
          </w:p>
        </w:tc>
      </w:tr>
      <w:tr w:rsidR="009F3F90" w:rsidTr="00B21F0B">
        <w:tc>
          <w:tcPr>
            <w:tcW w:w="1420" w:type="dxa"/>
            <w:tcBorders>
              <w:top w:val="nil"/>
              <w:left w:val="nil"/>
              <w:bottom w:val="nil"/>
              <w:right w:val="nil"/>
            </w:tcBorders>
          </w:tcPr>
          <w:p w:rsidR="009F3F90" w:rsidRDefault="009F3F90" w:rsidP="00B21F0B">
            <w:pPr>
              <w:pStyle w:val="Bodytext"/>
            </w:pPr>
            <w:r>
              <w:t>calendar year</w:t>
            </w:r>
          </w:p>
        </w:tc>
        <w:tc>
          <w:tcPr>
            <w:tcW w:w="3188" w:type="dxa"/>
            <w:tcBorders>
              <w:top w:val="nil"/>
              <w:left w:val="nil"/>
              <w:bottom w:val="nil"/>
              <w:right w:val="nil"/>
            </w:tcBorders>
          </w:tcPr>
          <w:p w:rsidR="009F3F90" w:rsidRDefault="009F3F90" w:rsidP="00B21F0B">
            <w:pPr>
              <w:pStyle w:val="Bodytext"/>
            </w:pPr>
            <w:r>
              <w:t>The 12-month period beginning January 1st and ending December 31st</w:t>
            </w:r>
          </w:p>
        </w:tc>
      </w:tr>
      <w:tr w:rsidR="009F3F90" w:rsidTr="00B21F0B">
        <w:tc>
          <w:tcPr>
            <w:tcW w:w="1420" w:type="dxa"/>
            <w:tcBorders>
              <w:top w:val="nil"/>
              <w:left w:val="nil"/>
              <w:bottom w:val="nil"/>
              <w:right w:val="nil"/>
            </w:tcBorders>
          </w:tcPr>
          <w:p w:rsidR="009F3F90" w:rsidRDefault="009F3F90" w:rsidP="00B21F0B">
            <w:pPr>
              <w:pStyle w:val="Bodytext"/>
            </w:pPr>
            <w:r>
              <w:t>CFR</w:t>
            </w:r>
          </w:p>
        </w:tc>
        <w:tc>
          <w:tcPr>
            <w:tcW w:w="3188" w:type="dxa"/>
            <w:tcBorders>
              <w:top w:val="nil"/>
              <w:left w:val="nil"/>
              <w:bottom w:val="nil"/>
              <w:right w:val="nil"/>
            </w:tcBorders>
          </w:tcPr>
          <w:p w:rsidR="009F3F90" w:rsidRDefault="009F3F90" w:rsidP="00B21F0B">
            <w:pPr>
              <w:pStyle w:val="Bodytext"/>
            </w:pPr>
            <w:r>
              <w:t>Code of Federal Regulations</w:t>
            </w:r>
          </w:p>
        </w:tc>
      </w:tr>
      <w:tr w:rsidR="009F3F90" w:rsidTr="00B21F0B">
        <w:tc>
          <w:tcPr>
            <w:tcW w:w="1420" w:type="dxa"/>
            <w:tcBorders>
              <w:top w:val="nil"/>
              <w:left w:val="nil"/>
              <w:bottom w:val="nil"/>
              <w:right w:val="nil"/>
            </w:tcBorders>
          </w:tcPr>
          <w:p w:rsidR="009F3F90" w:rsidRPr="00902780" w:rsidRDefault="009F3F90" w:rsidP="00B21F0B">
            <w:pPr>
              <w:pStyle w:val="Bodytext"/>
            </w:pPr>
            <w:r>
              <w:t>CO</w:t>
            </w:r>
          </w:p>
        </w:tc>
        <w:tc>
          <w:tcPr>
            <w:tcW w:w="3188" w:type="dxa"/>
            <w:tcBorders>
              <w:top w:val="nil"/>
              <w:left w:val="nil"/>
              <w:bottom w:val="nil"/>
              <w:right w:val="nil"/>
            </w:tcBorders>
          </w:tcPr>
          <w:p w:rsidR="009F3F90" w:rsidRDefault="004954CA" w:rsidP="004954CA">
            <w:pPr>
              <w:pStyle w:val="Bodytext"/>
            </w:pPr>
            <w:r>
              <w:t>C</w:t>
            </w:r>
            <w:r w:rsidR="009F3F90">
              <w:t xml:space="preserve">arbon </w:t>
            </w:r>
            <w:r>
              <w:t>M</w:t>
            </w:r>
            <w:r w:rsidR="009F3F90">
              <w:t>onoxide</w:t>
            </w:r>
          </w:p>
        </w:tc>
      </w:tr>
      <w:tr w:rsidR="009F3F90" w:rsidTr="00B21F0B">
        <w:tc>
          <w:tcPr>
            <w:tcW w:w="1420" w:type="dxa"/>
            <w:tcBorders>
              <w:top w:val="nil"/>
              <w:left w:val="nil"/>
              <w:bottom w:val="nil"/>
              <w:right w:val="nil"/>
            </w:tcBorders>
          </w:tcPr>
          <w:p w:rsidR="009F3F90" w:rsidRDefault="009F3F90" w:rsidP="00B21F0B">
            <w:pPr>
              <w:pStyle w:val="Bodytext"/>
            </w:pPr>
            <w:r>
              <w:t>CO</w:t>
            </w:r>
            <w:r>
              <w:rPr>
                <w:vertAlign w:val="subscript"/>
              </w:rPr>
              <w:t>2</w:t>
            </w:r>
            <w:r>
              <w:t>e</w:t>
            </w:r>
          </w:p>
        </w:tc>
        <w:tc>
          <w:tcPr>
            <w:tcW w:w="3188" w:type="dxa"/>
            <w:tcBorders>
              <w:top w:val="nil"/>
              <w:left w:val="nil"/>
              <w:bottom w:val="nil"/>
              <w:right w:val="nil"/>
            </w:tcBorders>
          </w:tcPr>
          <w:p w:rsidR="009F3F90" w:rsidRDefault="004954CA" w:rsidP="004954CA">
            <w:pPr>
              <w:pStyle w:val="Bodytext"/>
            </w:pPr>
            <w:r>
              <w:t>C</w:t>
            </w:r>
            <w:r w:rsidR="009F3F90">
              <w:t xml:space="preserve">arbon </w:t>
            </w:r>
            <w:r>
              <w:t>D</w:t>
            </w:r>
            <w:r w:rsidR="009F3F90">
              <w:t xml:space="preserve">ioxide </w:t>
            </w:r>
            <w:r>
              <w:t>E</w:t>
            </w:r>
            <w:r w:rsidR="009F3F90">
              <w:t>quivalent</w:t>
            </w:r>
          </w:p>
        </w:tc>
      </w:tr>
      <w:tr w:rsidR="009F3F90" w:rsidTr="00B21F0B">
        <w:tc>
          <w:tcPr>
            <w:tcW w:w="1420" w:type="dxa"/>
            <w:tcBorders>
              <w:top w:val="nil"/>
              <w:left w:val="nil"/>
              <w:bottom w:val="nil"/>
              <w:right w:val="nil"/>
            </w:tcBorders>
          </w:tcPr>
          <w:p w:rsidR="009F3F90" w:rsidRDefault="009F3F90" w:rsidP="00B21F0B">
            <w:pPr>
              <w:pStyle w:val="Bodytext"/>
            </w:pPr>
            <w:r>
              <w:t>DEQ</w:t>
            </w:r>
          </w:p>
        </w:tc>
        <w:tc>
          <w:tcPr>
            <w:tcW w:w="3188" w:type="dxa"/>
            <w:tcBorders>
              <w:top w:val="nil"/>
              <w:left w:val="nil"/>
              <w:bottom w:val="nil"/>
              <w:right w:val="nil"/>
            </w:tcBorders>
          </w:tcPr>
          <w:p w:rsidR="009F3F90" w:rsidRDefault="009F3F90" w:rsidP="00B21F0B">
            <w:pPr>
              <w:pStyle w:val="Bodytext"/>
            </w:pPr>
            <w:r>
              <w:t>Oregon Department of Environmental Quality</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Dscf</w:t>
            </w:r>
            <w:proofErr w:type="spellEnd"/>
          </w:p>
        </w:tc>
        <w:tc>
          <w:tcPr>
            <w:tcW w:w="3188" w:type="dxa"/>
            <w:tcBorders>
              <w:top w:val="nil"/>
              <w:left w:val="nil"/>
              <w:bottom w:val="nil"/>
              <w:right w:val="nil"/>
            </w:tcBorders>
          </w:tcPr>
          <w:p w:rsidR="009F3F90" w:rsidRDefault="004954CA" w:rsidP="00B21F0B">
            <w:pPr>
              <w:pStyle w:val="Bodytext"/>
            </w:pPr>
            <w:r>
              <w:t>D</w:t>
            </w:r>
            <w:r w:rsidR="009F3F90">
              <w:t>ry standard cubic foot</w:t>
            </w:r>
          </w:p>
        </w:tc>
      </w:tr>
      <w:tr w:rsidR="009F3F90" w:rsidTr="00B21F0B">
        <w:tc>
          <w:tcPr>
            <w:tcW w:w="1420" w:type="dxa"/>
            <w:tcBorders>
              <w:top w:val="nil"/>
              <w:left w:val="nil"/>
              <w:bottom w:val="nil"/>
              <w:right w:val="nil"/>
            </w:tcBorders>
          </w:tcPr>
          <w:p w:rsidR="009F3F90" w:rsidRDefault="009F3F90" w:rsidP="00B21F0B">
            <w:pPr>
              <w:pStyle w:val="Bodytext"/>
            </w:pPr>
            <w:r>
              <w:t>EPA</w:t>
            </w:r>
          </w:p>
        </w:tc>
        <w:tc>
          <w:tcPr>
            <w:tcW w:w="3188" w:type="dxa"/>
            <w:tcBorders>
              <w:top w:val="nil"/>
              <w:left w:val="nil"/>
              <w:bottom w:val="nil"/>
              <w:right w:val="nil"/>
            </w:tcBorders>
          </w:tcPr>
          <w:p w:rsidR="009F3F90" w:rsidRDefault="009F3F90" w:rsidP="00B21F0B">
            <w:pPr>
              <w:pStyle w:val="Bodytext"/>
            </w:pPr>
            <w:r>
              <w:t>US Environmental Protection Agency</w:t>
            </w:r>
          </w:p>
        </w:tc>
      </w:tr>
      <w:tr w:rsidR="009F3F90" w:rsidTr="00B21F0B">
        <w:tc>
          <w:tcPr>
            <w:tcW w:w="1420" w:type="dxa"/>
            <w:tcBorders>
              <w:top w:val="nil"/>
              <w:left w:val="nil"/>
              <w:bottom w:val="nil"/>
              <w:right w:val="nil"/>
            </w:tcBorders>
          </w:tcPr>
          <w:p w:rsidR="009F3F90" w:rsidRDefault="009F3F90" w:rsidP="00B21F0B">
            <w:pPr>
              <w:pStyle w:val="Bodytext"/>
            </w:pPr>
            <w:r>
              <w:t>FCAA</w:t>
            </w:r>
          </w:p>
        </w:tc>
        <w:tc>
          <w:tcPr>
            <w:tcW w:w="3188" w:type="dxa"/>
            <w:tcBorders>
              <w:top w:val="nil"/>
              <w:left w:val="nil"/>
              <w:bottom w:val="nil"/>
              <w:right w:val="nil"/>
            </w:tcBorders>
          </w:tcPr>
          <w:p w:rsidR="009F3F90" w:rsidRDefault="009F3F90" w:rsidP="00B21F0B">
            <w:pPr>
              <w:pStyle w:val="Bodytext"/>
            </w:pPr>
            <w:r>
              <w:t>Federal Clean Air Act</w:t>
            </w:r>
          </w:p>
        </w:tc>
      </w:tr>
      <w:tr w:rsidR="009F3F90" w:rsidTr="00B21F0B">
        <w:tc>
          <w:tcPr>
            <w:tcW w:w="1420" w:type="dxa"/>
            <w:tcBorders>
              <w:top w:val="nil"/>
              <w:left w:val="nil"/>
              <w:bottom w:val="nil"/>
              <w:right w:val="nil"/>
            </w:tcBorders>
          </w:tcPr>
          <w:p w:rsidR="009F3F90" w:rsidRDefault="009F3F90" w:rsidP="00B21F0B">
            <w:pPr>
              <w:pStyle w:val="Bodytext"/>
            </w:pPr>
            <w:r>
              <w:t>Gal</w:t>
            </w:r>
          </w:p>
        </w:tc>
        <w:tc>
          <w:tcPr>
            <w:tcW w:w="3188" w:type="dxa"/>
            <w:tcBorders>
              <w:top w:val="nil"/>
              <w:left w:val="nil"/>
              <w:bottom w:val="nil"/>
              <w:right w:val="nil"/>
            </w:tcBorders>
          </w:tcPr>
          <w:p w:rsidR="009F3F90" w:rsidRDefault="004954CA" w:rsidP="00B21F0B">
            <w:pPr>
              <w:pStyle w:val="Bodytext"/>
            </w:pPr>
            <w:r>
              <w:t>G</w:t>
            </w:r>
            <w:r w:rsidR="009F3F90">
              <w:t>allon(s)</w:t>
            </w:r>
          </w:p>
        </w:tc>
      </w:tr>
      <w:tr w:rsidR="009F3F90" w:rsidTr="00B21F0B">
        <w:tc>
          <w:tcPr>
            <w:tcW w:w="1420" w:type="dxa"/>
            <w:tcBorders>
              <w:top w:val="nil"/>
              <w:left w:val="nil"/>
              <w:bottom w:val="nil"/>
              <w:right w:val="nil"/>
            </w:tcBorders>
          </w:tcPr>
          <w:p w:rsidR="009F3F90" w:rsidRDefault="009F3F90" w:rsidP="00B21F0B">
            <w:pPr>
              <w:pStyle w:val="Bodytext"/>
            </w:pPr>
            <w:r>
              <w:t>GHG</w:t>
            </w:r>
          </w:p>
        </w:tc>
        <w:tc>
          <w:tcPr>
            <w:tcW w:w="3188" w:type="dxa"/>
            <w:tcBorders>
              <w:top w:val="nil"/>
              <w:left w:val="nil"/>
              <w:bottom w:val="nil"/>
              <w:right w:val="nil"/>
            </w:tcBorders>
          </w:tcPr>
          <w:p w:rsidR="009F3F90" w:rsidRDefault="004954CA" w:rsidP="004954CA">
            <w:pPr>
              <w:pStyle w:val="Bodytext"/>
            </w:pPr>
            <w:r>
              <w:t>G</w:t>
            </w:r>
            <w:r w:rsidR="009F3F90">
              <w:t xml:space="preserve">reenhouse </w:t>
            </w:r>
            <w:r>
              <w:t>G</w:t>
            </w:r>
            <w:r w:rsidR="009F3F90">
              <w:t>as</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gr</w:t>
            </w:r>
            <w:proofErr w:type="spellEnd"/>
            <w:r>
              <w:t>/</w:t>
            </w:r>
            <w:proofErr w:type="spellStart"/>
            <w:r>
              <w:t>dscf</w:t>
            </w:r>
            <w:proofErr w:type="spellEnd"/>
          </w:p>
        </w:tc>
        <w:tc>
          <w:tcPr>
            <w:tcW w:w="3188" w:type="dxa"/>
            <w:tcBorders>
              <w:top w:val="nil"/>
              <w:left w:val="nil"/>
              <w:bottom w:val="nil"/>
              <w:right w:val="nil"/>
            </w:tcBorders>
          </w:tcPr>
          <w:p w:rsidR="009F3F90" w:rsidRDefault="009F3F90" w:rsidP="00B21F0B">
            <w:pPr>
              <w:pStyle w:val="Bodytext"/>
            </w:pPr>
            <w:r>
              <w:t>grains per dry standard cubic foot</w:t>
            </w:r>
          </w:p>
        </w:tc>
      </w:tr>
      <w:tr w:rsidR="009F3F90" w:rsidTr="00B21F0B">
        <w:tc>
          <w:tcPr>
            <w:tcW w:w="1420" w:type="dxa"/>
            <w:tcBorders>
              <w:top w:val="nil"/>
              <w:left w:val="nil"/>
              <w:bottom w:val="nil"/>
              <w:right w:val="nil"/>
            </w:tcBorders>
          </w:tcPr>
          <w:p w:rsidR="009F3F90" w:rsidRDefault="009F3F90" w:rsidP="00B21F0B">
            <w:pPr>
              <w:pStyle w:val="Bodytext"/>
            </w:pPr>
            <w:r>
              <w:t>HAP</w:t>
            </w:r>
          </w:p>
        </w:tc>
        <w:tc>
          <w:tcPr>
            <w:tcW w:w="3188" w:type="dxa"/>
            <w:tcBorders>
              <w:top w:val="nil"/>
              <w:left w:val="nil"/>
              <w:bottom w:val="nil"/>
              <w:right w:val="nil"/>
            </w:tcBorders>
          </w:tcPr>
          <w:p w:rsidR="009F3F90" w:rsidRDefault="009F3F90" w:rsidP="00B21F0B">
            <w:pPr>
              <w:pStyle w:val="Bodytext"/>
            </w:pPr>
            <w:r>
              <w:t>Hazardous Air Pollutant as defined by OAR 340-244-0040</w:t>
            </w:r>
          </w:p>
        </w:tc>
      </w:tr>
      <w:tr w:rsidR="009F3F90" w:rsidTr="00B21F0B">
        <w:tc>
          <w:tcPr>
            <w:tcW w:w="1420" w:type="dxa"/>
            <w:tcBorders>
              <w:top w:val="nil"/>
              <w:left w:val="nil"/>
              <w:bottom w:val="nil"/>
              <w:right w:val="nil"/>
            </w:tcBorders>
          </w:tcPr>
          <w:p w:rsidR="009F3F90" w:rsidRDefault="009F3F90" w:rsidP="00B21F0B">
            <w:pPr>
              <w:pStyle w:val="Bodytext"/>
            </w:pPr>
            <w:r>
              <w:t>I&amp;M</w:t>
            </w:r>
          </w:p>
        </w:tc>
        <w:tc>
          <w:tcPr>
            <w:tcW w:w="3188" w:type="dxa"/>
            <w:tcBorders>
              <w:top w:val="nil"/>
              <w:left w:val="nil"/>
              <w:bottom w:val="nil"/>
              <w:right w:val="nil"/>
            </w:tcBorders>
          </w:tcPr>
          <w:p w:rsidR="009F3F90" w:rsidRDefault="004954CA" w:rsidP="004954CA">
            <w:pPr>
              <w:pStyle w:val="Bodytext"/>
            </w:pPr>
            <w:r>
              <w:t>I</w:t>
            </w:r>
            <w:r w:rsidR="009F3F90">
              <w:t xml:space="preserve">nspection and </w:t>
            </w:r>
            <w:r>
              <w:t>M</w:t>
            </w:r>
            <w:r w:rsidR="009F3F90">
              <w:t>aintenance</w:t>
            </w:r>
          </w:p>
        </w:tc>
      </w:tr>
      <w:tr w:rsidR="009F3F90" w:rsidTr="00B21F0B">
        <w:tc>
          <w:tcPr>
            <w:tcW w:w="1420" w:type="dxa"/>
            <w:tcBorders>
              <w:top w:val="nil"/>
              <w:left w:val="nil"/>
              <w:bottom w:val="nil"/>
              <w:right w:val="nil"/>
            </w:tcBorders>
          </w:tcPr>
          <w:p w:rsidR="009F3F90" w:rsidRDefault="009F3F90" w:rsidP="00B21F0B">
            <w:pPr>
              <w:pStyle w:val="Bodytext"/>
            </w:pPr>
            <w:r>
              <w:t>Lb</w:t>
            </w:r>
          </w:p>
        </w:tc>
        <w:tc>
          <w:tcPr>
            <w:tcW w:w="3188" w:type="dxa"/>
            <w:tcBorders>
              <w:top w:val="nil"/>
              <w:left w:val="nil"/>
              <w:bottom w:val="nil"/>
              <w:right w:val="nil"/>
            </w:tcBorders>
          </w:tcPr>
          <w:p w:rsidR="009F3F90" w:rsidRDefault="004954CA" w:rsidP="00B21F0B">
            <w:pPr>
              <w:pStyle w:val="Bodytext"/>
            </w:pPr>
            <w:r>
              <w:t>P</w:t>
            </w:r>
            <w:r w:rsidR="009F3F90">
              <w:t>ound(s)</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MMBtu</w:t>
            </w:r>
            <w:proofErr w:type="spellEnd"/>
          </w:p>
        </w:tc>
        <w:tc>
          <w:tcPr>
            <w:tcW w:w="3188" w:type="dxa"/>
            <w:tcBorders>
              <w:top w:val="nil"/>
              <w:left w:val="nil"/>
              <w:bottom w:val="nil"/>
              <w:right w:val="nil"/>
            </w:tcBorders>
          </w:tcPr>
          <w:p w:rsidR="009F3F90" w:rsidRDefault="004954CA" w:rsidP="00B21F0B">
            <w:pPr>
              <w:pStyle w:val="Bodytext"/>
            </w:pPr>
            <w:r>
              <w:t>M</w:t>
            </w:r>
            <w:r w:rsidR="009F3F90">
              <w:t>illion British thermal units</w:t>
            </w:r>
          </w:p>
        </w:tc>
      </w:tr>
      <w:tr w:rsidR="009F3F90" w:rsidTr="00B21F0B">
        <w:tc>
          <w:tcPr>
            <w:tcW w:w="1420" w:type="dxa"/>
            <w:tcBorders>
              <w:top w:val="nil"/>
              <w:left w:val="nil"/>
              <w:bottom w:val="nil"/>
              <w:right w:val="nil"/>
            </w:tcBorders>
          </w:tcPr>
          <w:p w:rsidR="009F3F90" w:rsidRDefault="009F3F90" w:rsidP="00B21F0B">
            <w:pPr>
              <w:pStyle w:val="Bodytext"/>
            </w:pPr>
            <w:r>
              <w:t>NA</w:t>
            </w:r>
          </w:p>
        </w:tc>
        <w:tc>
          <w:tcPr>
            <w:tcW w:w="3188" w:type="dxa"/>
            <w:tcBorders>
              <w:top w:val="nil"/>
              <w:left w:val="nil"/>
              <w:bottom w:val="nil"/>
              <w:right w:val="nil"/>
            </w:tcBorders>
          </w:tcPr>
          <w:p w:rsidR="009F3F90" w:rsidRDefault="004954CA" w:rsidP="004954CA">
            <w:pPr>
              <w:pStyle w:val="Bodytext"/>
            </w:pPr>
            <w:r>
              <w:t>N</w:t>
            </w:r>
            <w:r w:rsidR="009F3F90">
              <w:t xml:space="preserve">ot </w:t>
            </w:r>
            <w:r>
              <w:t>A</w:t>
            </w:r>
            <w:r w:rsidR="009F3F90">
              <w:t>pplicable</w:t>
            </w:r>
          </w:p>
        </w:tc>
      </w:tr>
      <w:tr w:rsidR="009F3F90" w:rsidTr="00B21F0B">
        <w:tc>
          <w:tcPr>
            <w:tcW w:w="1420" w:type="dxa"/>
            <w:tcBorders>
              <w:top w:val="nil"/>
              <w:left w:val="nil"/>
              <w:bottom w:val="nil"/>
              <w:right w:val="nil"/>
            </w:tcBorders>
          </w:tcPr>
          <w:p w:rsidR="009F3F90" w:rsidRDefault="009F3F90" w:rsidP="00B21F0B">
            <w:pPr>
              <w:pStyle w:val="Bodytext"/>
            </w:pPr>
            <w:r>
              <w:t>NESHAP</w:t>
            </w:r>
          </w:p>
        </w:tc>
        <w:tc>
          <w:tcPr>
            <w:tcW w:w="3188" w:type="dxa"/>
            <w:tcBorders>
              <w:top w:val="nil"/>
              <w:left w:val="nil"/>
              <w:bottom w:val="nil"/>
              <w:right w:val="nil"/>
            </w:tcBorders>
          </w:tcPr>
          <w:p w:rsidR="009F3F90" w:rsidRDefault="009F3F90" w:rsidP="00B21F0B">
            <w:pPr>
              <w:pStyle w:val="Bodytext"/>
            </w:pPr>
            <w:r>
              <w:t>National Emissions Standards for Hazardous Air Pollutants</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NO</w:t>
            </w:r>
            <w:r>
              <w:rPr>
                <w:vertAlign w:val="subscript"/>
              </w:rPr>
              <w:t>x</w:t>
            </w:r>
            <w:proofErr w:type="spellEnd"/>
          </w:p>
        </w:tc>
        <w:tc>
          <w:tcPr>
            <w:tcW w:w="3188" w:type="dxa"/>
            <w:tcBorders>
              <w:top w:val="nil"/>
              <w:left w:val="nil"/>
              <w:bottom w:val="nil"/>
              <w:right w:val="nil"/>
            </w:tcBorders>
          </w:tcPr>
          <w:p w:rsidR="009F3F90" w:rsidRDefault="004954CA" w:rsidP="004954CA">
            <w:pPr>
              <w:pStyle w:val="Bodytext"/>
            </w:pPr>
            <w:r>
              <w:t>N</w:t>
            </w:r>
            <w:r w:rsidR="009F3F90">
              <w:t xml:space="preserve">itrogen </w:t>
            </w:r>
            <w:r>
              <w:t>O</w:t>
            </w:r>
            <w:r w:rsidR="009F3F90">
              <w:t>xides</w:t>
            </w:r>
          </w:p>
        </w:tc>
      </w:tr>
      <w:tr w:rsidR="009F3F90" w:rsidTr="00B21F0B">
        <w:tc>
          <w:tcPr>
            <w:tcW w:w="1420" w:type="dxa"/>
            <w:tcBorders>
              <w:top w:val="nil"/>
              <w:left w:val="nil"/>
              <w:bottom w:val="nil"/>
              <w:right w:val="nil"/>
            </w:tcBorders>
          </w:tcPr>
          <w:p w:rsidR="009F3F90" w:rsidRDefault="009F3F90" w:rsidP="00B21F0B">
            <w:pPr>
              <w:pStyle w:val="Bodytext"/>
            </w:pPr>
            <w:r>
              <w:t>NSPS</w:t>
            </w:r>
          </w:p>
        </w:tc>
        <w:tc>
          <w:tcPr>
            <w:tcW w:w="3188" w:type="dxa"/>
            <w:tcBorders>
              <w:top w:val="nil"/>
              <w:left w:val="nil"/>
              <w:bottom w:val="nil"/>
              <w:right w:val="nil"/>
            </w:tcBorders>
          </w:tcPr>
          <w:p w:rsidR="009F3F90" w:rsidRDefault="009F3F90" w:rsidP="00B21F0B">
            <w:pPr>
              <w:pStyle w:val="Bodytext"/>
            </w:pPr>
            <w:r>
              <w:t>New Source Performance Standard</w:t>
            </w:r>
          </w:p>
        </w:tc>
      </w:tr>
      <w:tr w:rsidR="009F3F90" w:rsidTr="00B21F0B">
        <w:tc>
          <w:tcPr>
            <w:tcW w:w="1420" w:type="dxa"/>
            <w:tcBorders>
              <w:top w:val="nil"/>
              <w:left w:val="nil"/>
              <w:bottom w:val="nil"/>
              <w:right w:val="nil"/>
            </w:tcBorders>
          </w:tcPr>
          <w:p w:rsidR="009F3F90" w:rsidRDefault="009F3F90" w:rsidP="00B21F0B">
            <w:pPr>
              <w:pStyle w:val="Bodytext"/>
            </w:pPr>
            <w:r>
              <w:lastRenderedPageBreak/>
              <w:t>NSR</w:t>
            </w:r>
          </w:p>
        </w:tc>
        <w:tc>
          <w:tcPr>
            <w:tcW w:w="3188" w:type="dxa"/>
            <w:tcBorders>
              <w:top w:val="nil"/>
              <w:left w:val="nil"/>
              <w:bottom w:val="nil"/>
              <w:right w:val="nil"/>
            </w:tcBorders>
          </w:tcPr>
          <w:p w:rsidR="009F3F90" w:rsidRDefault="009F3F90" w:rsidP="00B21F0B">
            <w:pPr>
              <w:pStyle w:val="Bodytext"/>
            </w:pPr>
            <w:r>
              <w:t>New Source Review</w:t>
            </w:r>
          </w:p>
        </w:tc>
      </w:tr>
      <w:tr w:rsidR="009F3F90" w:rsidTr="00B21F0B">
        <w:tc>
          <w:tcPr>
            <w:tcW w:w="1420" w:type="dxa"/>
            <w:tcBorders>
              <w:top w:val="nil"/>
              <w:left w:val="nil"/>
              <w:bottom w:val="nil"/>
              <w:right w:val="nil"/>
            </w:tcBorders>
          </w:tcPr>
          <w:p w:rsidR="009F3F90" w:rsidRDefault="009F3F90" w:rsidP="00B21F0B">
            <w:pPr>
              <w:pStyle w:val="Bodytext"/>
            </w:pPr>
            <w:r>
              <w:t>O</w:t>
            </w:r>
            <w:r>
              <w:rPr>
                <w:vertAlign w:val="subscript"/>
              </w:rPr>
              <w:t>2</w:t>
            </w:r>
          </w:p>
        </w:tc>
        <w:tc>
          <w:tcPr>
            <w:tcW w:w="3188" w:type="dxa"/>
            <w:tcBorders>
              <w:top w:val="nil"/>
              <w:left w:val="nil"/>
              <w:bottom w:val="nil"/>
              <w:right w:val="nil"/>
            </w:tcBorders>
          </w:tcPr>
          <w:p w:rsidR="009F3F90" w:rsidRDefault="004954CA" w:rsidP="00B21F0B">
            <w:pPr>
              <w:pStyle w:val="Bodytext"/>
            </w:pPr>
            <w:r>
              <w:t>O</w:t>
            </w:r>
            <w:r w:rsidR="009F3F90">
              <w:t>xygen</w:t>
            </w:r>
          </w:p>
        </w:tc>
      </w:tr>
      <w:tr w:rsidR="009F3F90" w:rsidTr="00B21F0B">
        <w:tc>
          <w:tcPr>
            <w:tcW w:w="1420" w:type="dxa"/>
            <w:tcBorders>
              <w:top w:val="nil"/>
              <w:left w:val="nil"/>
              <w:bottom w:val="nil"/>
              <w:right w:val="nil"/>
            </w:tcBorders>
          </w:tcPr>
          <w:p w:rsidR="009F3F90" w:rsidRDefault="009F3F90" w:rsidP="00B21F0B">
            <w:pPr>
              <w:pStyle w:val="Bodytext"/>
            </w:pPr>
            <w:r>
              <w:t>OAR</w:t>
            </w:r>
          </w:p>
        </w:tc>
        <w:tc>
          <w:tcPr>
            <w:tcW w:w="3188" w:type="dxa"/>
            <w:tcBorders>
              <w:top w:val="nil"/>
              <w:left w:val="nil"/>
              <w:bottom w:val="nil"/>
              <w:right w:val="nil"/>
            </w:tcBorders>
          </w:tcPr>
          <w:p w:rsidR="009F3F90" w:rsidRDefault="009F3F90" w:rsidP="00B21F0B">
            <w:pPr>
              <w:pStyle w:val="Bodytext"/>
            </w:pPr>
            <w:smartTag w:uri="urn:schemas-microsoft-com:office:smarttags" w:element="State">
              <w:smartTag w:uri="urn:schemas-microsoft-com:office:smarttags" w:element="place">
                <w:r>
                  <w:t>Oregon</w:t>
                </w:r>
              </w:smartTag>
            </w:smartTag>
            <w:r>
              <w:t xml:space="preserve"> Administrative Rules</w:t>
            </w:r>
          </w:p>
        </w:tc>
      </w:tr>
      <w:tr w:rsidR="009F3F90" w:rsidTr="00B21F0B">
        <w:tc>
          <w:tcPr>
            <w:tcW w:w="1420" w:type="dxa"/>
            <w:tcBorders>
              <w:top w:val="nil"/>
              <w:left w:val="nil"/>
              <w:bottom w:val="nil"/>
              <w:right w:val="nil"/>
            </w:tcBorders>
          </w:tcPr>
          <w:p w:rsidR="009F3F90" w:rsidRDefault="009F3F90" w:rsidP="00B21F0B">
            <w:pPr>
              <w:pStyle w:val="Bodytext"/>
            </w:pPr>
            <w:r>
              <w:t>ORS</w:t>
            </w:r>
          </w:p>
        </w:tc>
        <w:tc>
          <w:tcPr>
            <w:tcW w:w="3188" w:type="dxa"/>
            <w:tcBorders>
              <w:top w:val="nil"/>
              <w:left w:val="nil"/>
              <w:bottom w:val="nil"/>
              <w:right w:val="nil"/>
            </w:tcBorders>
          </w:tcPr>
          <w:p w:rsidR="009F3F90" w:rsidRDefault="009F3F90" w:rsidP="00B21F0B">
            <w:pPr>
              <w:pStyle w:val="Bodytext"/>
            </w:pPr>
            <w:smartTag w:uri="urn:schemas-microsoft-com:office:smarttags" w:element="State">
              <w:smartTag w:uri="urn:schemas-microsoft-com:office:smarttags" w:element="place">
                <w:r>
                  <w:t>Oregon</w:t>
                </w:r>
              </w:smartTag>
            </w:smartTag>
            <w:r>
              <w:t xml:space="preserve"> Revised Statutes</w:t>
            </w:r>
          </w:p>
        </w:tc>
      </w:tr>
      <w:tr w:rsidR="009F3F90" w:rsidTr="00B21F0B">
        <w:tc>
          <w:tcPr>
            <w:tcW w:w="1420" w:type="dxa"/>
            <w:tcBorders>
              <w:top w:val="nil"/>
              <w:left w:val="nil"/>
              <w:bottom w:val="nil"/>
              <w:right w:val="nil"/>
            </w:tcBorders>
          </w:tcPr>
          <w:p w:rsidR="009F3F90" w:rsidRDefault="009F3F90" w:rsidP="00B21F0B">
            <w:pPr>
              <w:pStyle w:val="Bodytext"/>
            </w:pPr>
            <w:r>
              <w:t>O&amp;M</w:t>
            </w:r>
          </w:p>
        </w:tc>
        <w:tc>
          <w:tcPr>
            <w:tcW w:w="3188" w:type="dxa"/>
            <w:tcBorders>
              <w:top w:val="nil"/>
              <w:left w:val="nil"/>
              <w:bottom w:val="nil"/>
              <w:right w:val="nil"/>
            </w:tcBorders>
          </w:tcPr>
          <w:p w:rsidR="009F3F90" w:rsidRDefault="004954CA" w:rsidP="004954CA">
            <w:pPr>
              <w:pStyle w:val="Bodytext"/>
            </w:pPr>
            <w:r>
              <w:t>O</w:t>
            </w:r>
            <w:r w:rsidR="009F3F90">
              <w:t xml:space="preserve">peration and </w:t>
            </w:r>
            <w:r>
              <w:t>M</w:t>
            </w:r>
            <w:r w:rsidR="009F3F90">
              <w:t>aintenance</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Pb</w:t>
            </w:r>
            <w:proofErr w:type="spellEnd"/>
          </w:p>
        </w:tc>
        <w:tc>
          <w:tcPr>
            <w:tcW w:w="3188" w:type="dxa"/>
            <w:tcBorders>
              <w:top w:val="nil"/>
              <w:left w:val="nil"/>
              <w:bottom w:val="nil"/>
              <w:right w:val="nil"/>
            </w:tcBorders>
          </w:tcPr>
          <w:p w:rsidR="009F3F90" w:rsidRDefault="004954CA" w:rsidP="00B21F0B">
            <w:pPr>
              <w:pStyle w:val="Bodytext"/>
            </w:pPr>
            <w:r>
              <w:t>L</w:t>
            </w:r>
            <w:r w:rsidR="009F3F90">
              <w:t>ead</w:t>
            </w:r>
          </w:p>
        </w:tc>
      </w:tr>
      <w:tr w:rsidR="009F3F90" w:rsidTr="00B21F0B">
        <w:tc>
          <w:tcPr>
            <w:tcW w:w="1420" w:type="dxa"/>
            <w:tcBorders>
              <w:top w:val="nil"/>
              <w:left w:val="nil"/>
              <w:bottom w:val="nil"/>
              <w:right w:val="nil"/>
            </w:tcBorders>
          </w:tcPr>
          <w:p w:rsidR="009F3F90" w:rsidRDefault="009F3F90" w:rsidP="00B21F0B">
            <w:pPr>
              <w:pStyle w:val="Bodytext"/>
            </w:pPr>
            <w:r>
              <w:t>PCD</w:t>
            </w:r>
          </w:p>
        </w:tc>
        <w:tc>
          <w:tcPr>
            <w:tcW w:w="3188" w:type="dxa"/>
            <w:tcBorders>
              <w:top w:val="nil"/>
              <w:left w:val="nil"/>
              <w:bottom w:val="nil"/>
              <w:right w:val="nil"/>
            </w:tcBorders>
          </w:tcPr>
          <w:p w:rsidR="009F3F90" w:rsidRDefault="004954CA" w:rsidP="004954CA">
            <w:pPr>
              <w:pStyle w:val="Bodytext"/>
            </w:pPr>
            <w:r>
              <w:t>P</w:t>
            </w:r>
            <w:r w:rsidR="009F3F90">
              <w:t xml:space="preserve">ollution </w:t>
            </w:r>
            <w:r>
              <w:t>C</w:t>
            </w:r>
            <w:r w:rsidR="009F3F90">
              <w:t xml:space="preserve">ontrol </w:t>
            </w:r>
            <w:r>
              <w:t>D</w:t>
            </w:r>
            <w:r w:rsidR="009F3F90">
              <w:t>evice</w:t>
            </w:r>
          </w:p>
        </w:tc>
      </w:tr>
      <w:tr w:rsidR="009F3F90" w:rsidTr="00B21F0B">
        <w:tc>
          <w:tcPr>
            <w:tcW w:w="1420" w:type="dxa"/>
            <w:tcBorders>
              <w:top w:val="nil"/>
              <w:left w:val="nil"/>
              <w:bottom w:val="nil"/>
              <w:right w:val="nil"/>
            </w:tcBorders>
          </w:tcPr>
          <w:p w:rsidR="009F3F90" w:rsidRDefault="009F3F90" w:rsidP="00B21F0B">
            <w:pPr>
              <w:pStyle w:val="Bodytext"/>
            </w:pPr>
            <w:r>
              <w:t>PM</w:t>
            </w:r>
          </w:p>
        </w:tc>
        <w:tc>
          <w:tcPr>
            <w:tcW w:w="3188" w:type="dxa"/>
            <w:tcBorders>
              <w:top w:val="nil"/>
              <w:left w:val="nil"/>
              <w:bottom w:val="nil"/>
              <w:right w:val="nil"/>
            </w:tcBorders>
          </w:tcPr>
          <w:p w:rsidR="009F3F90" w:rsidRDefault="004954CA" w:rsidP="004954CA">
            <w:pPr>
              <w:pStyle w:val="Bodytext"/>
            </w:pPr>
            <w:r>
              <w:t>P</w:t>
            </w:r>
            <w:r w:rsidR="009F3F90">
              <w:t xml:space="preserve">articulate </w:t>
            </w:r>
            <w:r>
              <w:t>M</w:t>
            </w:r>
            <w:r w:rsidR="009F3F90">
              <w:t>atter</w:t>
            </w:r>
          </w:p>
        </w:tc>
      </w:tr>
      <w:tr w:rsidR="009F3F90" w:rsidTr="00B21F0B">
        <w:tc>
          <w:tcPr>
            <w:tcW w:w="1420" w:type="dxa"/>
            <w:tcBorders>
              <w:top w:val="nil"/>
              <w:left w:val="nil"/>
              <w:bottom w:val="nil"/>
              <w:right w:val="nil"/>
            </w:tcBorders>
          </w:tcPr>
          <w:p w:rsidR="009F3F90" w:rsidRPr="00902780" w:rsidRDefault="009F3F90" w:rsidP="00B21F0B">
            <w:pPr>
              <w:pStyle w:val="Bodytext"/>
              <w:rPr>
                <w:vertAlign w:val="subscript"/>
              </w:rPr>
            </w:pPr>
            <w:r>
              <w:t>PM</w:t>
            </w:r>
            <w:r>
              <w:rPr>
                <w:vertAlign w:val="subscript"/>
              </w:rPr>
              <w:t>10</w:t>
            </w:r>
          </w:p>
        </w:tc>
        <w:tc>
          <w:tcPr>
            <w:tcW w:w="3188" w:type="dxa"/>
            <w:tcBorders>
              <w:top w:val="nil"/>
              <w:left w:val="nil"/>
              <w:bottom w:val="nil"/>
              <w:right w:val="nil"/>
            </w:tcBorders>
          </w:tcPr>
          <w:p w:rsidR="009F3F90" w:rsidRDefault="004954CA" w:rsidP="004954CA">
            <w:pPr>
              <w:pStyle w:val="Bodytext"/>
            </w:pPr>
            <w:r>
              <w:t>P</w:t>
            </w:r>
            <w:r w:rsidR="009F3F90">
              <w:t xml:space="preserve">articulate </w:t>
            </w:r>
            <w:r>
              <w:t>M</w:t>
            </w:r>
            <w:r w:rsidR="009F3F90">
              <w:t>atter less than 10 microns in size</w:t>
            </w:r>
          </w:p>
        </w:tc>
      </w:tr>
      <w:tr w:rsidR="009F3F90" w:rsidTr="00B21F0B">
        <w:tc>
          <w:tcPr>
            <w:tcW w:w="1420" w:type="dxa"/>
            <w:tcBorders>
              <w:top w:val="nil"/>
              <w:left w:val="nil"/>
              <w:bottom w:val="nil"/>
              <w:right w:val="nil"/>
            </w:tcBorders>
          </w:tcPr>
          <w:p w:rsidR="009F3F90" w:rsidRDefault="009F3F90" w:rsidP="00B21F0B">
            <w:pPr>
              <w:pStyle w:val="Bodytext"/>
            </w:pPr>
            <w:r>
              <w:t>PM</w:t>
            </w:r>
            <w:r>
              <w:rPr>
                <w:vertAlign w:val="subscript"/>
              </w:rPr>
              <w:t>2.5</w:t>
            </w:r>
          </w:p>
        </w:tc>
        <w:tc>
          <w:tcPr>
            <w:tcW w:w="3188" w:type="dxa"/>
            <w:tcBorders>
              <w:top w:val="nil"/>
              <w:left w:val="nil"/>
              <w:bottom w:val="nil"/>
              <w:right w:val="nil"/>
            </w:tcBorders>
          </w:tcPr>
          <w:p w:rsidR="009F3F90" w:rsidRDefault="004954CA" w:rsidP="004954CA">
            <w:pPr>
              <w:pStyle w:val="Bodytext"/>
            </w:pPr>
            <w:r>
              <w:t>P</w:t>
            </w:r>
            <w:r w:rsidR="009F3F90">
              <w:t xml:space="preserve">articulate </w:t>
            </w:r>
            <w:r>
              <w:t>M</w:t>
            </w:r>
            <w:r w:rsidR="009F3F90">
              <w:t>atter less than 2.5 microns in size</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ppm</w:t>
            </w:r>
            <w:proofErr w:type="spellEnd"/>
          </w:p>
        </w:tc>
        <w:tc>
          <w:tcPr>
            <w:tcW w:w="3188" w:type="dxa"/>
            <w:tcBorders>
              <w:top w:val="nil"/>
              <w:left w:val="nil"/>
              <w:bottom w:val="nil"/>
              <w:right w:val="nil"/>
            </w:tcBorders>
          </w:tcPr>
          <w:p w:rsidR="009F3F90" w:rsidRDefault="009F3F90" w:rsidP="00B21F0B">
            <w:pPr>
              <w:pStyle w:val="Bodytext"/>
            </w:pPr>
            <w:r>
              <w:t>part per million</w:t>
            </w:r>
          </w:p>
        </w:tc>
      </w:tr>
      <w:tr w:rsidR="009F3F90" w:rsidTr="00B21F0B">
        <w:tc>
          <w:tcPr>
            <w:tcW w:w="1420" w:type="dxa"/>
            <w:tcBorders>
              <w:top w:val="nil"/>
              <w:left w:val="nil"/>
              <w:bottom w:val="nil"/>
              <w:right w:val="nil"/>
            </w:tcBorders>
          </w:tcPr>
          <w:p w:rsidR="009F3F90" w:rsidRDefault="009F3F90" w:rsidP="00B21F0B">
            <w:pPr>
              <w:pStyle w:val="Bodytext"/>
            </w:pPr>
            <w:r>
              <w:t>PSD</w:t>
            </w:r>
          </w:p>
        </w:tc>
        <w:tc>
          <w:tcPr>
            <w:tcW w:w="3188" w:type="dxa"/>
            <w:tcBorders>
              <w:top w:val="nil"/>
              <w:left w:val="nil"/>
              <w:bottom w:val="nil"/>
              <w:right w:val="nil"/>
            </w:tcBorders>
          </w:tcPr>
          <w:p w:rsidR="009F3F90" w:rsidRDefault="009F3F90" w:rsidP="00B21F0B">
            <w:pPr>
              <w:pStyle w:val="Bodytext"/>
            </w:pPr>
            <w:r>
              <w:t>Prevention of Significant Deterioration</w:t>
            </w:r>
          </w:p>
        </w:tc>
      </w:tr>
      <w:tr w:rsidR="009F3F90" w:rsidTr="00B21F0B">
        <w:tc>
          <w:tcPr>
            <w:tcW w:w="1420" w:type="dxa"/>
            <w:tcBorders>
              <w:top w:val="nil"/>
              <w:left w:val="nil"/>
              <w:bottom w:val="nil"/>
              <w:right w:val="nil"/>
            </w:tcBorders>
          </w:tcPr>
          <w:p w:rsidR="009F3F90" w:rsidRDefault="009F3F90" w:rsidP="00B21F0B">
            <w:pPr>
              <w:pStyle w:val="Bodytext"/>
            </w:pPr>
            <w:r>
              <w:t>PSEL</w:t>
            </w:r>
          </w:p>
        </w:tc>
        <w:tc>
          <w:tcPr>
            <w:tcW w:w="3188" w:type="dxa"/>
            <w:tcBorders>
              <w:top w:val="nil"/>
              <w:left w:val="nil"/>
              <w:bottom w:val="nil"/>
              <w:right w:val="nil"/>
            </w:tcBorders>
          </w:tcPr>
          <w:p w:rsidR="009F3F90" w:rsidRDefault="009F3F90" w:rsidP="00B21F0B">
            <w:pPr>
              <w:pStyle w:val="Bodytext"/>
            </w:pPr>
            <w:r>
              <w:t>Plant Site Emission Limit</w:t>
            </w:r>
          </w:p>
        </w:tc>
      </w:tr>
      <w:tr w:rsidR="009F3F90" w:rsidTr="00B21F0B">
        <w:tc>
          <w:tcPr>
            <w:tcW w:w="1420" w:type="dxa"/>
            <w:tcBorders>
              <w:top w:val="nil"/>
              <w:left w:val="nil"/>
              <w:bottom w:val="nil"/>
              <w:right w:val="nil"/>
            </w:tcBorders>
          </w:tcPr>
          <w:p w:rsidR="009F3F90" w:rsidRDefault="009F3F90" w:rsidP="00B21F0B">
            <w:pPr>
              <w:pStyle w:val="Bodytext"/>
            </w:pPr>
            <w:r>
              <w:t>PTE</w:t>
            </w:r>
          </w:p>
        </w:tc>
        <w:tc>
          <w:tcPr>
            <w:tcW w:w="3188" w:type="dxa"/>
            <w:tcBorders>
              <w:top w:val="nil"/>
              <w:left w:val="nil"/>
              <w:bottom w:val="nil"/>
              <w:right w:val="nil"/>
            </w:tcBorders>
          </w:tcPr>
          <w:p w:rsidR="009F3F90" w:rsidRDefault="009F3F90" w:rsidP="00B21F0B">
            <w:pPr>
              <w:pStyle w:val="Bodytext"/>
            </w:pPr>
            <w:r>
              <w:t>Potential to Emit</w:t>
            </w:r>
          </w:p>
        </w:tc>
      </w:tr>
      <w:tr w:rsidR="009F3F90" w:rsidTr="00B21F0B">
        <w:tc>
          <w:tcPr>
            <w:tcW w:w="1420" w:type="dxa"/>
            <w:tcBorders>
              <w:top w:val="nil"/>
              <w:left w:val="nil"/>
              <w:bottom w:val="nil"/>
              <w:right w:val="nil"/>
            </w:tcBorders>
          </w:tcPr>
          <w:p w:rsidR="009F3F90" w:rsidRDefault="009F3F90" w:rsidP="00B21F0B">
            <w:pPr>
              <w:pStyle w:val="Bodytext"/>
            </w:pPr>
            <w:r>
              <w:t>RACT</w:t>
            </w:r>
          </w:p>
        </w:tc>
        <w:tc>
          <w:tcPr>
            <w:tcW w:w="3188" w:type="dxa"/>
            <w:tcBorders>
              <w:top w:val="nil"/>
              <w:left w:val="nil"/>
              <w:bottom w:val="nil"/>
              <w:right w:val="nil"/>
            </w:tcBorders>
          </w:tcPr>
          <w:p w:rsidR="009F3F90" w:rsidRDefault="009F3F90" w:rsidP="00B21F0B">
            <w:pPr>
              <w:pStyle w:val="Bodytext"/>
            </w:pPr>
            <w:r>
              <w:t>Reasonably Available Control Technology</w:t>
            </w:r>
          </w:p>
        </w:tc>
      </w:tr>
      <w:tr w:rsidR="009F3F90" w:rsidTr="00B21F0B">
        <w:tc>
          <w:tcPr>
            <w:tcW w:w="1420" w:type="dxa"/>
            <w:tcBorders>
              <w:top w:val="nil"/>
              <w:left w:val="nil"/>
              <w:bottom w:val="nil"/>
              <w:right w:val="nil"/>
            </w:tcBorders>
          </w:tcPr>
          <w:p w:rsidR="009F3F90" w:rsidRDefault="009F3F90" w:rsidP="00B21F0B">
            <w:pPr>
              <w:pStyle w:val="Bodytext"/>
            </w:pPr>
            <w:proofErr w:type="spellStart"/>
            <w:r>
              <w:t>scf</w:t>
            </w:r>
            <w:proofErr w:type="spellEnd"/>
          </w:p>
        </w:tc>
        <w:tc>
          <w:tcPr>
            <w:tcW w:w="3188" w:type="dxa"/>
            <w:tcBorders>
              <w:top w:val="nil"/>
              <w:left w:val="nil"/>
              <w:bottom w:val="nil"/>
              <w:right w:val="nil"/>
            </w:tcBorders>
          </w:tcPr>
          <w:p w:rsidR="009F3F90" w:rsidRDefault="009F3F90" w:rsidP="00B21F0B">
            <w:pPr>
              <w:pStyle w:val="Bodytext"/>
            </w:pPr>
            <w:r>
              <w:t>standard cubic foot</w:t>
            </w:r>
          </w:p>
        </w:tc>
      </w:tr>
      <w:tr w:rsidR="009F3F90" w:rsidTr="00B21F0B">
        <w:tc>
          <w:tcPr>
            <w:tcW w:w="1420" w:type="dxa"/>
            <w:tcBorders>
              <w:top w:val="nil"/>
              <w:left w:val="nil"/>
              <w:bottom w:val="nil"/>
              <w:right w:val="nil"/>
            </w:tcBorders>
          </w:tcPr>
          <w:p w:rsidR="009F3F90" w:rsidRDefault="009F3F90" w:rsidP="00B21F0B">
            <w:pPr>
              <w:pStyle w:val="Bodytext"/>
            </w:pPr>
            <w:r>
              <w:t>SER</w:t>
            </w:r>
          </w:p>
        </w:tc>
        <w:tc>
          <w:tcPr>
            <w:tcW w:w="3188" w:type="dxa"/>
            <w:tcBorders>
              <w:top w:val="nil"/>
              <w:left w:val="nil"/>
              <w:bottom w:val="nil"/>
              <w:right w:val="nil"/>
            </w:tcBorders>
          </w:tcPr>
          <w:p w:rsidR="009F3F90" w:rsidRDefault="009F3F90" w:rsidP="00B21F0B">
            <w:pPr>
              <w:pStyle w:val="Bodytext"/>
            </w:pPr>
            <w:r>
              <w:t>Significant Emission Rate</w:t>
            </w:r>
          </w:p>
        </w:tc>
      </w:tr>
      <w:tr w:rsidR="009F3F90" w:rsidTr="00B21F0B">
        <w:tc>
          <w:tcPr>
            <w:tcW w:w="1420" w:type="dxa"/>
            <w:tcBorders>
              <w:top w:val="nil"/>
              <w:left w:val="nil"/>
              <w:bottom w:val="nil"/>
              <w:right w:val="nil"/>
            </w:tcBorders>
          </w:tcPr>
          <w:p w:rsidR="009F3F90" w:rsidRDefault="009F3F90" w:rsidP="00B21F0B">
            <w:pPr>
              <w:pStyle w:val="Bodytext"/>
            </w:pPr>
            <w:r>
              <w:t>SIC</w:t>
            </w:r>
          </w:p>
        </w:tc>
        <w:tc>
          <w:tcPr>
            <w:tcW w:w="3188" w:type="dxa"/>
            <w:tcBorders>
              <w:top w:val="nil"/>
              <w:left w:val="nil"/>
              <w:bottom w:val="nil"/>
              <w:right w:val="nil"/>
            </w:tcBorders>
          </w:tcPr>
          <w:p w:rsidR="009F3F90" w:rsidRDefault="009F3F90" w:rsidP="00B21F0B">
            <w:pPr>
              <w:pStyle w:val="Bodytext"/>
            </w:pPr>
            <w:r>
              <w:t>Standard Industrial Code</w:t>
            </w:r>
          </w:p>
        </w:tc>
      </w:tr>
      <w:tr w:rsidR="009F3F90" w:rsidTr="00B21F0B">
        <w:tc>
          <w:tcPr>
            <w:tcW w:w="1420" w:type="dxa"/>
            <w:tcBorders>
              <w:top w:val="nil"/>
              <w:left w:val="nil"/>
              <w:bottom w:val="nil"/>
              <w:right w:val="nil"/>
            </w:tcBorders>
          </w:tcPr>
          <w:p w:rsidR="009F3F90" w:rsidRDefault="009F3F90" w:rsidP="00B21F0B">
            <w:pPr>
              <w:pStyle w:val="Bodytext"/>
            </w:pPr>
            <w:r>
              <w:t>SIP</w:t>
            </w:r>
          </w:p>
        </w:tc>
        <w:tc>
          <w:tcPr>
            <w:tcW w:w="3188" w:type="dxa"/>
            <w:tcBorders>
              <w:top w:val="nil"/>
              <w:left w:val="nil"/>
              <w:bottom w:val="nil"/>
              <w:right w:val="nil"/>
            </w:tcBorders>
          </w:tcPr>
          <w:p w:rsidR="009F3F90" w:rsidRDefault="009F3F90" w:rsidP="00B21F0B">
            <w:pPr>
              <w:pStyle w:val="Bodytext"/>
            </w:pPr>
            <w:r>
              <w:t>State Implementation Plan</w:t>
            </w:r>
          </w:p>
        </w:tc>
      </w:tr>
      <w:tr w:rsidR="009F3F90" w:rsidTr="00B21F0B">
        <w:tc>
          <w:tcPr>
            <w:tcW w:w="1420" w:type="dxa"/>
            <w:tcBorders>
              <w:top w:val="nil"/>
              <w:left w:val="nil"/>
              <w:bottom w:val="nil"/>
              <w:right w:val="nil"/>
            </w:tcBorders>
          </w:tcPr>
          <w:p w:rsidR="009F3F90" w:rsidRDefault="009F3F90" w:rsidP="00B21F0B">
            <w:pPr>
              <w:pStyle w:val="Bodytext"/>
            </w:pPr>
            <w:r>
              <w:t>SO</w:t>
            </w:r>
            <w:r>
              <w:rPr>
                <w:vertAlign w:val="subscript"/>
              </w:rPr>
              <w:t>2</w:t>
            </w:r>
          </w:p>
        </w:tc>
        <w:tc>
          <w:tcPr>
            <w:tcW w:w="3188" w:type="dxa"/>
            <w:tcBorders>
              <w:top w:val="nil"/>
              <w:left w:val="nil"/>
              <w:bottom w:val="nil"/>
              <w:right w:val="nil"/>
            </w:tcBorders>
          </w:tcPr>
          <w:p w:rsidR="009F3F90" w:rsidRDefault="004954CA" w:rsidP="004954CA">
            <w:pPr>
              <w:pStyle w:val="Bodytext"/>
            </w:pPr>
            <w:r>
              <w:t>S</w:t>
            </w:r>
            <w:r w:rsidR="009F3F90">
              <w:t xml:space="preserve">ulfur </w:t>
            </w:r>
            <w:r>
              <w:t>D</w:t>
            </w:r>
            <w:r w:rsidR="009F3F90">
              <w:t>ioxide</w:t>
            </w:r>
          </w:p>
        </w:tc>
      </w:tr>
      <w:tr w:rsidR="009F3F90" w:rsidTr="00B21F0B">
        <w:tc>
          <w:tcPr>
            <w:tcW w:w="1420" w:type="dxa"/>
            <w:tcBorders>
              <w:top w:val="nil"/>
              <w:left w:val="nil"/>
              <w:bottom w:val="nil"/>
              <w:right w:val="nil"/>
            </w:tcBorders>
          </w:tcPr>
          <w:p w:rsidR="009F3F90" w:rsidRDefault="009F3F90" w:rsidP="00B21F0B">
            <w:pPr>
              <w:pStyle w:val="Bodytext"/>
            </w:pPr>
            <w:r>
              <w:t>Special Control Area</w:t>
            </w:r>
          </w:p>
        </w:tc>
        <w:tc>
          <w:tcPr>
            <w:tcW w:w="3188" w:type="dxa"/>
            <w:tcBorders>
              <w:top w:val="nil"/>
              <w:left w:val="nil"/>
              <w:bottom w:val="nil"/>
              <w:right w:val="nil"/>
            </w:tcBorders>
          </w:tcPr>
          <w:p w:rsidR="009F3F90" w:rsidRDefault="009F3F90" w:rsidP="00B21F0B">
            <w:pPr>
              <w:pStyle w:val="Bodytext"/>
            </w:pPr>
            <w:r>
              <w:t>as defined in OAR 340-204-0070</w:t>
            </w:r>
          </w:p>
        </w:tc>
      </w:tr>
      <w:tr w:rsidR="009F3F90" w:rsidTr="00B21F0B">
        <w:tc>
          <w:tcPr>
            <w:tcW w:w="1420" w:type="dxa"/>
            <w:tcBorders>
              <w:top w:val="nil"/>
              <w:left w:val="nil"/>
              <w:bottom w:val="nil"/>
              <w:right w:val="nil"/>
            </w:tcBorders>
          </w:tcPr>
          <w:p w:rsidR="009F3F90" w:rsidRDefault="009F3F90" w:rsidP="00B21F0B">
            <w:pPr>
              <w:pStyle w:val="Bodytext"/>
            </w:pPr>
            <w:r>
              <w:t>VE</w:t>
            </w:r>
          </w:p>
        </w:tc>
        <w:tc>
          <w:tcPr>
            <w:tcW w:w="3188" w:type="dxa"/>
            <w:tcBorders>
              <w:top w:val="nil"/>
              <w:left w:val="nil"/>
              <w:bottom w:val="nil"/>
              <w:right w:val="nil"/>
            </w:tcBorders>
          </w:tcPr>
          <w:p w:rsidR="009F3F90" w:rsidRDefault="004954CA" w:rsidP="004954CA">
            <w:pPr>
              <w:pStyle w:val="Bodytext"/>
            </w:pPr>
            <w:proofErr w:type="spellStart"/>
            <w:r>
              <w:t>V</w:t>
            </w:r>
            <w:r w:rsidR="009F3F90">
              <w:t>isible</w:t>
            </w:r>
            <w:r>
              <w:t>E</w:t>
            </w:r>
            <w:r w:rsidR="009F3F90">
              <w:t>emissions</w:t>
            </w:r>
            <w:proofErr w:type="spellEnd"/>
          </w:p>
        </w:tc>
      </w:tr>
      <w:tr w:rsidR="009F3F90" w:rsidTr="00B21F0B">
        <w:tc>
          <w:tcPr>
            <w:tcW w:w="1420" w:type="dxa"/>
            <w:tcBorders>
              <w:top w:val="nil"/>
              <w:left w:val="nil"/>
              <w:bottom w:val="nil"/>
              <w:right w:val="nil"/>
            </w:tcBorders>
          </w:tcPr>
          <w:p w:rsidR="009F3F90" w:rsidRDefault="009F3F90" w:rsidP="00B21F0B">
            <w:pPr>
              <w:pStyle w:val="Bodytext"/>
            </w:pPr>
            <w:r>
              <w:t>VOC</w:t>
            </w:r>
          </w:p>
        </w:tc>
        <w:tc>
          <w:tcPr>
            <w:tcW w:w="3188" w:type="dxa"/>
            <w:tcBorders>
              <w:top w:val="nil"/>
              <w:left w:val="nil"/>
              <w:bottom w:val="nil"/>
              <w:right w:val="nil"/>
            </w:tcBorders>
          </w:tcPr>
          <w:p w:rsidR="009F3F90" w:rsidRDefault="004954CA" w:rsidP="004954CA">
            <w:pPr>
              <w:pStyle w:val="Bodytext"/>
            </w:pPr>
            <w:r>
              <w:t>V</w:t>
            </w:r>
            <w:r w:rsidR="009F3F90">
              <w:t xml:space="preserve">olatile </w:t>
            </w:r>
            <w:r>
              <w:t>O</w:t>
            </w:r>
            <w:r w:rsidR="009F3F90">
              <w:t xml:space="preserve">rganic </w:t>
            </w:r>
            <w:r>
              <w:t>C</w:t>
            </w:r>
            <w:r w:rsidR="009F3F90">
              <w:t>ompound</w:t>
            </w:r>
          </w:p>
        </w:tc>
      </w:tr>
      <w:tr w:rsidR="009F3F90" w:rsidTr="00B21F0B">
        <w:tc>
          <w:tcPr>
            <w:tcW w:w="1420" w:type="dxa"/>
            <w:tcBorders>
              <w:top w:val="nil"/>
              <w:left w:val="nil"/>
              <w:bottom w:val="nil"/>
              <w:right w:val="nil"/>
            </w:tcBorders>
          </w:tcPr>
          <w:p w:rsidR="009F3F90" w:rsidRDefault="009F3F90" w:rsidP="00B21F0B">
            <w:pPr>
              <w:pStyle w:val="Bodytext"/>
            </w:pPr>
            <w:r>
              <w:t>year</w:t>
            </w:r>
          </w:p>
        </w:tc>
        <w:tc>
          <w:tcPr>
            <w:tcW w:w="3188" w:type="dxa"/>
            <w:tcBorders>
              <w:top w:val="nil"/>
              <w:left w:val="nil"/>
              <w:bottom w:val="nil"/>
              <w:right w:val="nil"/>
            </w:tcBorders>
          </w:tcPr>
          <w:p w:rsidR="009F3F90" w:rsidRDefault="009F3F90" w:rsidP="00B21F0B">
            <w:pPr>
              <w:pStyle w:val="Bodytext"/>
            </w:pPr>
            <w:r>
              <w:t>A period consisting of any 12- consecutive calendar months</w:t>
            </w:r>
          </w:p>
        </w:tc>
      </w:tr>
    </w:tbl>
    <w:p w:rsidR="009F3F90" w:rsidRDefault="009F3F90" w:rsidP="009F3F90"/>
    <w:sectPr w:rsidR="009F3F90" w:rsidSect="003864A6">
      <w:headerReference w:type="default" r:id="rId11"/>
      <w:type w:val="continuous"/>
      <w:pgSz w:w="12240" w:h="15840"/>
      <w:pgMar w:top="1800" w:right="1440" w:bottom="1440" w:left="1440" w:header="720" w:footer="720" w:gutter="0"/>
      <w:cols w:num="2" w:space="720" w:equalWidth="0">
        <w:col w:w="4320" w:space="720"/>
        <w:col w:w="43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E8" w:rsidRDefault="00905AE8">
      <w:r>
        <w:separator/>
      </w:r>
    </w:p>
  </w:endnote>
  <w:endnote w:type="continuationSeparator" w:id="0">
    <w:p w:rsidR="00905AE8" w:rsidRDefault="00905A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E8" w:rsidRDefault="00905AE8">
      <w:r>
        <w:separator/>
      </w:r>
    </w:p>
  </w:footnote>
  <w:footnote w:type="continuationSeparator" w:id="0">
    <w:p w:rsidR="00905AE8" w:rsidRDefault="00905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E8" w:rsidRDefault="00905AE8" w:rsidP="00B60F51">
    <w:pPr>
      <w:tabs>
        <w:tab w:val="right" w:pos="9360"/>
      </w:tabs>
      <w:jc w:val="right"/>
    </w:pPr>
    <w:r>
      <w:t>Permit Number: 12-0003-ST-01</w:t>
    </w:r>
  </w:p>
  <w:p w:rsidR="00905AE8" w:rsidRDefault="00905AE8" w:rsidP="00B60F51">
    <w:pPr>
      <w:tabs>
        <w:tab w:val="right" w:pos="9360"/>
      </w:tabs>
      <w:jc w:val="right"/>
    </w:pPr>
    <w:r>
      <w:t xml:space="preserve">Expiration Date: </w:t>
    </w:r>
    <w:r w:rsidR="00B2285F">
      <w:t>05/01/2017</w:t>
    </w:r>
  </w:p>
  <w:p w:rsidR="00905AE8" w:rsidRDefault="00905AE8" w:rsidP="00B60F51">
    <w:pPr>
      <w:tabs>
        <w:tab w:val="right" w:pos="9360"/>
      </w:tabs>
      <w:jc w:val="right"/>
    </w:pPr>
    <w:r>
      <w:rPr>
        <w:snapToGrid w:val="0"/>
      </w:rPr>
      <w:t xml:space="preserve">Page </w:t>
    </w:r>
    <w:r w:rsidR="0088274C">
      <w:rPr>
        <w:snapToGrid w:val="0"/>
      </w:rPr>
      <w:fldChar w:fldCharType="begin"/>
    </w:r>
    <w:r>
      <w:rPr>
        <w:snapToGrid w:val="0"/>
      </w:rPr>
      <w:instrText xml:space="preserve"> PAGE </w:instrText>
    </w:r>
    <w:r w:rsidR="0088274C">
      <w:rPr>
        <w:snapToGrid w:val="0"/>
      </w:rPr>
      <w:fldChar w:fldCharType="separate"/>
    </w:r>
    <w:r w:rsidR="00E52DFD">
      <w:rPr>
        <w:noProof/>
        <w:snapToGrid w:val="0"/>
      </w:rPr>
      <w:t>1</w:t>
    </w:r>
    <w:r w:rsidR="0088274C">
      <w:rPr>
        <w:snapToGrid w:val="0"/>
      </w:rPr>
      <w:fldChar w:fldCharType="end"/>
    </w:r>
    <w:r>
      <w:rPr>
        <w:snapToGrid w:val="0"/>
      </w:rPr>
      <w:t xml:space="preserve"> of </w:t>
    </w:r>
    <w:r w:rsidR="0088274C">
      <w:rPr>
        <w:rStyle w:val="PageNumber"/>
      </w:rPr>
      <w:fldChar w:fldCharType="begin"/>
    </w:r>
    <w:r>
      <w:rPr>
        <w:rStyle w:val="PageNumber"/>
      </w:rPr>
      <w:instrText xml:space="preserve"> NUMPAGES </w:instrText>
    </w:r>
    <w:r w:rsidR="0088274C">
      <w:rPr>
        <w:rStyle w:val="PageNumber"/>
      </w:rPr>
      <w:fldChar w:fldCharType="separate"/>
    </w:r>
    <w:r w:rsidR="00E52DFD">
      <w:rPr>
        <w:rStyle w:val="PageNumber"/>
        <w:noProof/>
      </w:rPr>
      <w:t>16</w:t>
    </w:r>
    <w:r w:rsidR="0088274C">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E8" w:rsidRDefault="00905AE8">
    <w:pPr>
      <w:pStyle w:val="Header"/>
      <w:jc w:val="right"/>
    </w:pPr>
    <w:r>
      <w:t xml:space="preserve">Permit No.: </w:t>
    </w:r>
  </w:p>
  <w:p w:rsidR="00905AE8" w:rsidRDefault="00905AE8">
    <w:pPr>
      <w:pStyle w:val="Header"/>
      <w:jc w:val="right"/>
    </w:pPr>
    <w:r>
      <w:t xml:space="preserve">Expiration Date: </w:t>
    </w:r>
  </w:p>
  <w:p w:rsidR="00905AE8" w:rsidRDefault="00905AE8">
    <w:pPr>
      <w:pStyle w:val="Header"/>
      <w:jc w:val="right"/>
    </w:pPr>
    <w:r>
      <w:rPr>
        <w:snapToGrid w:val="0"/>
      </w:rPr>
      <w:t xml:space="preserve">Page </w:t>
    </w:r>
    <w:r w:rsidR="0088274C">
      <w:rPr>
        <w:snapToGrid w:val="0"/>
      </w:rPr>
      <w:fldChar w:fldCharType="begin"/>
    </w:r>
    <w:r>
      <w:rPr>
        <w:snapToGrid w:val="0"/>
      </w:rPr>
      <w:instrText xml:space="preserve"> PAGE </w:instrText>
    </w:r>
    <w:r w:rsidR="0088274C">
      <w:rPr>
        <w:snapToGrid w:val="0"/>
      </w:rPr>
      <w:fldChar w:fldCharType="separate"/>
    </w:r>
    <w:r>
      <w:rPr>
        <w:noProof/>
        <w:snapToGrid w:val="0"/>
      </w:rPr>
      <w:t>17</w:t>
    </w:r>
    <w:r w:rsidR="0088274C">
      <w:rPr>
        <w:snapToGrid w:val="0"/>
      </w:rPr>
      <w:fldChar w:fldCharType="end"/>
    </w:r>
    <w:r>
      <w:rPr>
        <w:snapToGrid w:val="0"/>
      </w:rPr>
      <w:t xml:space="preserve"> of </w:t>
    </w:r>
    <w:r w:rsidR="0088274C">
      <w:rPr>
        <w:snapToGrid w:val="0"/>
      </w:rPr>
      <w:fldChar w:fldCharType="begin"/>
    </w:r>
    <w:r>
      <w:rPr>
        <w:snapToGrid w:val="0"/>
      </w:rPr>
      <w:instrText xml:space="preserve"> NUMPAGES </w:instrText>
    </w:r>
    <w:r w:rsidR="0088274C">
      <w:rPr>
        <w:snapToGrid w:val="0"/>
      </w:rPr>
      <w:fldChar w:fldCharType="separate"/>
    </w:r>
    <w:r w:rsidR="00E52DFD">
      <w:rPr>
        <w:noProof/>
        <w:snapToGrid w:val="0"/>
      </w:rPr>
      <w:t>16</w:t>
    </w:r>
    <w:r w:rsidR="0088274C">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FE02B7E"/>
    <w:multiLevelType w:val="hybridMultilevel"/>
    <w:tmpl w:val="87C038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C3E24C5"/>
    <w:multiLevelType w:val="multilevel"/>
    <w:tmpl w:val="8CA86D06"/>
    <w:lvl w:ilvl="0">
      <w:start w:val="1"/>
      <w:numFmt w:val="decimal"/>
      <w:lvlText w:val="%1.0"/>
      <w:lvlJc w:val="left"/>
      <w:pPr>
        <w:tabs>
          <w:tab w:val="num" w:pos="1134"/>
        </w:tabs>
        <w:ind w:left="1134" w:hanging="864"/>
      </w:pPr>
      <w:rPr>
        <w:rFonts w:ascii="Arial Black" w:hAnsi="DEC Multinational" w:hint="default"/>
        <w:b/>
        <w:i w:val="0"/>
        <w:sz w:val="28"/>
      </w:rPr>
    </w:lvl>
    <w:lvl w:ilvl="1">
      <w:start w:val="1"/>
      <w:numFmt w:val="bullet"/>
      <w:lvlText w:val=""/>
      <w:lvlJc w:val="left"/>
      <w:pPr>
        <w:tabs>
          <w:tab w:val="num" w:pos="720"/>
        </w:tabs>
        <w:ind w:left="720" w:hanging="720"/>
      </w:pPr>
      <w:rPr>
        <w:rFonts w:ascii="Symbol" w:hAnsi="Symbol" w:hint="default"/>
        <w:b/>
        <w:i w:val="0"/>
        <w:sz w:val="24"/>
      </w:rPr>
    </w:lvl>
    <w:lvl w:ilvl="2">
      <w:start w:val="1"/>
      <w:numFmt w:val="lowerLetter"/>
      <w:lvlText w:val="%3."/>
      <w:lvlJc w:val="left"/>
      <w:pPr>
        <w:tabs>
          <w:tab w:val="num" w:pos="720"/>
        </w:tabs>
        <w:ind w:left="720" w:hanging="720"/>
      </w:pPr>
      <w:rPr>
        <w:rFonts w:ascii="Times New Roman" w:hAnsi="Times New Roman" w:hint="default"/>
        <w:b w:val="0"/>
        <w:i w:val="0"/>
        <w:sz w:val="24"/>
      </w:rPr>
    </w:lvl>
    <w:lvl w:ilvl="3">
      <w:start w:val="1"/>
      <w:numFmt w:val="lowerRoman"/>
      <w:lvlText w:val="%4."/>
      <w:lvlJc w:val="left"/>
      <w:pPr>
        <w:tabs>
          <w:tab w:val="num" w:pos="1440"/>
        </w:tabs>
        <w:ind w:left="1440" w:hanging="720"/>
      </w:pPr>
      <w:rPr>
        <w:rFonts w:ascii="Times New Roman" w:hAnsi="Times New Roman" w:hint="default"/>
        <w:b w:val="0"/>
        <w:i w:val="0"/>
        <w:sz w:val="24"/>
      </w:rPr>
    </w:lvl>
    <w:lvl w:ilvl="4">
      <w:start w:val="1"/>
      <w:numFmt w:val="lowerLetter"/>
      <w:lvlText w:val="%1.%2.%3.(%4)(%5)   "/>
      <w:lvlJc w:val="left"/>
      <w:pPr>
        <w:tabs>
          <w:tab w:val="num" w:pos="3744"/>
        </w:tabs>
        <w:ind w:left="3312" w:hanging="1008"/>
      </w:pPr>
      <w:rPr>
        <w:rFonts w:ascii="CG Times" w:hAnsi="Garamond" w:hint="default"/>
        <w:b w:val="0"/>
        <w:i w:val="0"/>
        <w:sz w:val="20"/>
      </w:rPr>
    </w:lvl>
    <w:lvl w:ilvl="5">
      <w:start w:val="1"/>
      <w:numFmt w:val="decimal"/>
      <w:lvlText w:val="%1.%2.%3.(%4)(%5)(%6)     "/>
      <w:lvlJc w:val="left"/>
      <w:pPr>
        <w:tabs>
          <w:tab w:val="num" w:pos="4680"/>
        </w:tabs>
        <w:ind w:left="3888" w:hanging="1008"/>
      </w:pPr>
      <w:rPr>
        <w:rFonts w:ascii="CG Times" w:hAnsi="Tahoma" w:hint="default"/>
        <w:b w:val="0"/>
        <w:i/>
        <w:sz w:val="22"/>
      </w:r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numFmt w:val="decimal"/>
      <w:lvlText w:val="%9"/>
      <w:lvlJc w:val="left"/>
      <w:pPr>
        <w:tabs>
          <w:tab w:val="num" w:pos="0"/>
        </w:tabs>
        <w:ind w:left="0" w:firstLine="0"/>
      </w:pPr>
      <w:rPr>
        <w:rFonts w:ascii="Times New Roman" w:hAnsi="Times New Roman" w:hint="default"/>
      </w:rPr>
    </w:lvl>
  </w:abstractNum>
  <w:abstractNum w:abstractNumId="16">
    <w:nsid w:val="4D3D5F13"/>
    <w:multiLevelType w:val="hybridMultilevel"/>
    <w:tmpl w:val="479CB1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5688621A"/>
    <w:multiLevelType w:val="singleLevel"/>
    <w:tmpl w:val="0409000F"/>
    <w:lvl w:ilvl="0">
      <w:start w:val="1"/>
      <w:numFmt w:val="decimal"/>
      <w:lvlText w:val="%1."/>
      <w:lvlJc w:val="left"/>
      <w:pPr>
        <w:tabs>
          <w:tab w:val="num" w:pos="360"/>
        </w:tabs>
        <w:ind w:left="360" w:hanging="360"/>
      </w:pPr>
    </w:lvl>
  </w:abstractNum>
  <w:abstractNum w:abstractNumId="19">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9F710C6"/>
    <w:multiLevelType w:val="singleLevel"/>
    <w:tmpl w:val="0409000F"/>
    <w:lvl w:ilvl="0">
      <w:start w:val="1"/>
      <w:numFmt w:val="decimal"/>
      <w:lvlText w:val="%1."/>
      <w:lvlJc w:val="left"/>
      <w:pPr>
        <w:tabs>
          <w:tab w:val="num" w:pos="360"/>
        </w:tabs>
        <w:ind w:left="360" w:hanging="360"/>
      </w:pPr>
    </w:lvl>
  </w:abstractNum>
  <w:abstractNum w:abstractNumId="21">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9B22B9E"/>
    <w:multiLevelType w:val="singleLevel"/>
    <w:tmpl w:val="0409000F"/>
    <w:lvl w:ilvl="0">
      <w:start w:val="1"/>
      <w:numFmt w:val="decimal"/>
      <w:lvlText w:val="%1."/>
      <w:lvlJc w:val="left"/>
      <w:pPr>
        <w:tabs>
          <w:tab w:val="num" w:pos="360"/>
        </w:tabs>
        <w:ind w:left="360" w:hanging="360"/>
      </w:pPr>
    </w:lvl>
  </w:abstractNum>
  <w:abstractNum w:abstractNumId="27">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45192A"/>
    <w:multiLevelType w:val="multilevel"/>
    <w:tmpl w:val="7200DB62"/>
    <w:lvl w:ilvl="0">
      <w:start w:val="1"/>
      <w:numFmt w:val="decimal"/>
      <w:pStyle w:val="Heading1"/>
      <w:lvlText w:val="%1.0"/>
      <w:lvlJc w:val="left"/>
      <w:pPr>
        <w:tabs>
          <w:tab w:val="num" w:pos="864"/>
        </w:tabs>
        <w:ind w:left="864" w:hanging="864"/>
      </w:pPr>
      <w:rPr>
        <w:rFonts w:ascii="Arial Black" w:hAnsi="DEC Multinational"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720"/>
        </w:tabs>
        <w:ind w:left="72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3744"/>
        </w:tabs>
        <w:ind w:left="3312" w:hanging="1008"/>
      </w:pPr>
      <w:rPr>
        <w:rFonts w:ascii="CG Times" w:hAnsi="Garamond" w:hint="default"/>
        <w:b w:val="0"/>
        <w:i w:val="0"/>
        <w:sz w:val="20"/>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num w:numId="1">
    <w:abstractNumId w:val="26"/>
  </w:num>
  <w:num w:numId="2">
    <w:abstractNumId w:val="22"/>
  </w:num>
  <w:num w:numId="3">
    <w:abstractNumId w:val="22"/>
  </w:num>
  <w:num w:numId="4">
    <w:abstractNumId w:val="22"/>
  </w:num>
  <w:num w:numId="5">
    <w:abstractNumId w:val="22"/>
  </w:num>
  <w:num w:numId="6">
    <w:abstractNumId w:val="22"/>
  </w:num>
  <w:num w:numId="7">
    <w:abstractNumId w:val="22"/>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8"/>
  </w:num>
  <w:num w:numId="17">
    <w:abstractNumId w:val="3"/>
  </w:num>
  <w:num w:numId="18">
    <w:abstractNumId w:val="8"/>
  </w:num>
  <w:num w:numId="19">
    <w:abstractNumId w:val="17"/>
  </w:num>
  <w:num w:numId="20">
    <w:abstractNumId w:val="5"/>
  </w:num>
  <w:num w:numId="21">
    <w:abstractNumId w:val="1"/>
  </w:num>
  <w:num w:numId="22">
    <w:abstractNumId w:val="24"/>
  </w:num>
  <w:num w:numId="23">
    <w:abstractNumId w:val="29"/>
  </w:num>
  <w:num w:numId="24">
    <w:abstractNumId w:val="6"/>
  </w:num>
  <w:num w:numId="25">
    <w:abstractNumId w:val="0"/>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5"/>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5361">
      <o:colormenu v:ext="edit" fillcolor="#ff9"/>
    </o:shapedefaults>
  </w:hdrShapeDefaults>
  <w:footnotePr>
    <w:footnote w:id="-1"/>
    <w:footnote w:id="0"/>
  </w:footnotePr>
  <w:endnotePr>
    <w:endnote w:id="-1"/>
    <w:endnote w:id="0"/>
  </w:endnotePr>
  <w:compat/>
  <w:rsids>
    <w:rsidRoot w:val="00EB2B73"/>
    <w:rsid w:val="00005DFE"/>
    <w:rsid w:val="00015CF7"/>
    <w:rsid w:val="000252D5"/>
    <w:rsid w:val="0002744B"/>
    <w:rsid w:val="000500BD"/>
    <w:rsid w:val="00052967"/>
    <w:rsid w:val="0006534E"/>
    <w:rsid w:val="0008637D"/>
    <w:rsid w:val="00087693"/>
    <w:rsid w:val="000B6C78"/>
    <w:rsid w:val="000C0D48"/>
    <w:rsid w:val="000C609D"/>
    <w:rsid w:val="000D4883"/>
    <w:rsid w:val="000E57E2"/>
    <w:rsid w:val="000F16D1"/>
    <w:rsid w:val="000F3CFA"/>
    <w:rsid w:val="0015038D"/>
    <w:rsid w:val="001521EB"/>
    <w:rsid w:val="001566E5"/>
    <w:rsid w:val="00193587"/>
    <w:rsid w:val="001A5BCA"/>
    <w:rsid w:val="001D5B01"/>
    <w:rsid w:val="001E4C5C"/>
    <w:rsid w:val="00233B28"/>
    <w:rsid w:val="00283583"/>
    <w:rsid w:val="0028541F"/>
    <w:rsid w:val="002957DA"/>
    <w:rsid w:val="002A4856"/>
    <w:rsid w:val="002C5BD8"/>
    <w:rsid w:val="002C630A"/>
    <w:rsid w:val="002E03F0"/>
    <w:rsid w:val="002F4C23"/>
    <w:rsid w:val="002F730F"/>
    <w:rsid w:val="00307F46"/>
    <w:rsid w:val="00385E9F"/>
    <w:rsid w:val="003864A6"/>
    <w:rsid w:val="003A2439"/>
    <w:rsid w:val="0042045C"/>
    <w:rsid w:val="00430DB6"/>
    <w:rsid w:val="0044787A"/>
    <w:rsid w:val="00447D70"/>
    <w:rsid w:val="00485D06"/>
    <w:rsid w:val="004954CA"/>
    <w:rsid w:val="00495651"/>
    <w:rsid w:val="004F08EC"/>
    <w:rsid w:val="004F4579"/>
    <w:rsid w:val="0050763D"/>
    <w:rsid w:val="00557546"/>
    <w:rsid w:val="00572C48"/>
    <w:rsid w:val="005917A0"/>
    <w:rsid w:val="005C03BB"/>
    <w:rsid w:val="005C345E"/>
    <w:rsid w:val="005E7858"/>
    <w:rsid w:val="005E7C11"/>
    <w:rsid w:val="005F4A91"/>
    <w:rsid w:val="00612E52"/>
    <w:rsid w:val="006157AF"/>
    <w:rsid w:val="00621363"/>
    <w:rsid w:val="006266C4"/>
    <w:rsid w:val="00633BE3"/>
    <w:rsid w:val="006478CB"/>
    <w:rsid w:val="0066224D"/>
    <w:rsid w:val="00681D46"/>
    <w:rsid w:val="006C7AD8"/>
    <w:rsid w:val="006E0511"/>
    <w:rsid w:val="006F30DF"/>
    <w:rsid w:val="00727231"/>
    <w:rsid w:val="00760D55"/>
    <w:rsid w:val="007659F3"/>
    <w:rsid w:val="0077149D"/>
    <w:rsid w:val="007C4EC3"/>
    <w:rsid w:val="007C7A4B"/>
    <w:rsid w:val="007E4878"/>
    <w:rsid w:val="008114BB"/>
    <w:rsid w:val="00815F9D"/>
    <w:rsid w:val="008242A1"/>
    <w:rsid w:val="0084287B"/>
    <w:rsid w:val="00852881"/>
    <w:rsid w:val="0087516A"/>
    <w:rsid w:val="0088058F"/>
    <w:rsid w:val="0088274C"/>
    <w:rsid w:val="00896B2A"/>
    <w:rsid w:val="008F6259"/>
    <w:rsid w:val="00905AE8"/>
    <w:rsid w:val="0091237B"/>
    <w:rsid w:val="00912B6C"/>
    <w:rsid w:val="00925D3B"/>
    <w:rsid w:val="009374C2"/>
    <w:rsid w:val="00950E17"/>
    <w:rsid w:val="00952C72"/>
    <w:rsid w:val="00985D71"/>
    <w:rsid w:val="009A2026"/>
    <w:rsid w:val="009F3F90"/>
    <w:rsid w:val="00A14294"/>
    <w:rsid w:val="00A21DE4"/>
    <w:rsid w:val="00A770E3"/>
    <w:rsid w:val="00A872B8"/>
    <w:rsid w:val="00AB617B"/>
    <w:rsid w:val="00AE4C83"/>
    <w:rsid w:val="00B05AE5"/>
    <w:rsid w:val="00B171F6"/>
    <w:rsid w:val="00B21F0B"/>
    <w:rsid w:val="00B2285F"/>
    <w:rsid w:val="00B26099"/>
    <w:rsid w:val="00B43C7D"/>
    <w:rsid w:val="00B60F51"/>
    <w:rsid w:val="00B63E26"/>
    <w:rsid w:val="00B67C99"/>
    <w:rsid w:val="00B91DAC"/>
    <w:rsid w:val="00BB4FE6"/>
    <w:rsid w:val="00BB6F4C"/>
    <w:rsid w:val="00BD1A6D"/>
    <w:rsid w:val="00BD50DD"/>
    <w:rsid w:val="00BF616A"/>
    <w:rsid w:val="00C31151"/>
    <w:rsid w:val="00C37826"/>
    <w:rsid w:val="00C449E4"/>
    <w:rsid w:val="00C46EA2"/>
    <w:rsid w:val="00C502A6"/>
    <w:rsid w:val="00C5535B"/>
    <w:rsid w:val="00C71392"/>
    <w:rsid w:val="00C764D0"/>
    <w:rsid w:val="00C92105"/>
    <w:rsid w:val="00CA00CD"/>
    <w:rsid w:val="00CB151E"/>
    <w:rsid w:val="00CE7544"/>
    <w:rsid w:val="00D131BB"/>
    <w:rsid w:val="00D13FE7"/>
    <w:rsid w:val="00D35B09"/>
    <w:rsid w:val="00D3769D"/>
    <w:rsid w:val="00D47D93"/>
    <w:rsid w:val="00D624D4"/>
    <w:rsid w:val="00D6267B"/>
    <w:rsid w:val="00D7229A"/>
    <w:rsid w:val="00D954B7"/>
    <w:rsid w:val="00DA643A"/>
    <w:rsid w:val="00DB0983"/>
    <w:rsid w:val="00DB59A0"/>
    <w:rsid w:val="00DD1B59"/>
    <w:rsid w:val="00DF2F24"/>
    <w:rsid w:val="00E03473"/>
    <w:rsid w:val="00E24D8C"/>
    <w:rsid w:val="00E33805"/>
    <w:rsid w:val="00E52DFD"/>
    <w:rsid w:val="00E61284"/>
    <w:rsid w:val="00E65DA4"/>
    <w:rsid w:val="00E9465C"/>
    <w:rsid w:val="00EB2B73"/>
    <w:rsid w:val="00ED16F2"/>
    <w:rsid w:val="00ED179E"/>
    <w:rsid w:val="00F13C11"/>
    <w:rsid w:val="00F27FD6"/>
    <w:rsid w:val="00F51226"/>
    <w:rsid w:val="00F53CBB"/>
    <w:rsid w:val="00F82496"/>
    <w:rsid w:val="00F84130"/>
    <w:rsid w:val="00F91EC0"/>
    <w:rsid w:val="00FE4484"/>
    <w:rsid w:val="00FE4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5361">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42A1"/>
    <w:rPr>
      <w:sz w:val="24"/>
    </w:rPr>
  </w:style>
  <w:style w:type="paragraph" w:styleId="Heading1">
    <w:name w:val="heading 1"/>
    <w:basedOn w:val="Normal"/>
    <w:next w:val="Normal"/>
    <w:qFormat/>
    <w:rsid w:val="008242A1"/>
    <w:pPr>
      <w:widowControl w:val="0"/>
      <w:numPr>
        <w:numId w:val="23"/>
      </w:numPr>
      <w:outlineLvl w:val="0"/>
    </w:pPr>
    <w:rPr>
      <w:rFonts w:ascii="Arial Black" w:hAnsi="Arial Black"/>
      <w:b/>
      <w:caps/>
      <w:sz w:val="28"/>
    </w:rPr>
  </w:style>
  <w:style w:type="paragraph" w:styleId="Heading2">
    <w:name w:val="heading 2"/>
    <w:basedOn w:val="Normal"/>
    <w:next w:val="Normal"/>
    <w:qFormat/>
    <w:rsid w:val="008242A1"/>
    <w:pPr>
      <w:widowControl w:val="0"/>
      <w:numPr>
        <w:ilvl w:val="1"/>
        <w:numId w:val="23"/>
      </w:numPr>
      <w:spacing w:before="60" w:after="60"/>
      <w:outlineLvl w:val="1"/>
    </w:pPr>
    <w:rPr>
      <w:b/>
    </w:rPr>
  </w:style>
  <w:style w:type="paragraph" w:styleId="Heading3">
    <w:name w:val="heading 3"/>
    <w:aliases w:val="Section"/>
    <w:basedOn w:val="Normal"/>
    <w:next w:val="Normal"/>
    <w:link w:val="Heading3Char"/>
    <w:qFormat/>
    <w:rsid w:val="008242A1"/>
    <w:pPr>
      <w:widowControl w:val="0"/>
      <w:numPr>
        <w:ilvl w:val="2"/>
        <w:numId w:val="23"/>
      </w:numPr>
      <w:spacing w:before="60" w:after="60"/>
      <w:outlineLvl w:val="2"/>
    </w:pPr>
  </w:style>
  <w:style w:type="paragraph" w:styleId="Heading4">
    <w:name w:val="heading 4"/>
    <w:aliases w:val="Map Title"/>
    <w:basedOn w:val="Normal"/>
    <w:next w:val="Normal"/>
    <w:qFormat/>
    <w:rsid w:val="008242A1"/>
    <w:pPr>
      <w:keepNext/>
      <w:numPr>
        <w:ilvl w:val="3"/>
        <w:numId w:val="23"/>
      </w:numPr>
      <w:tabs>
        <w:tab w:val="left" w:pos="720"/>
        <w:tab w:val="left" w:pos="1440"/>
      </w:tabs>
      <w:spacing w:before="60" w:after="60"/>
      <w:outlineLvl w:val="3"/>
    </w:pPr>
  </w:style>
  <w:style w:type="paragraph" w:styleId="Heading5">
    <w:name w:val="heading 5"/>
    <w:aliases w:val="Block Label"/>
    <w:basedOn w:val="Normal"/>
    <w:next w:val="Normal"/>
    <w:qFormat/>
    <w:rsid w:val="008242A1"/>
    <w:pPr>
      <w:numPr>
        <w:ilvl w:val="4"/>
        <w:numId w:val="23"/>
      </w:numPr>
      <w:spacing w:before="240" w:after="60"/>
      <w:outlineLvl w:val="4"/>
    </w:pPr>
    <w:rPr>
      <w:sz w:val="22"/>
    </w:rPr>
  </w:style>
  <w:style w:type="paragraph" w:styleId="Heading6">
    <w:name w:val="heading 6"/>
    <w:basedOn w:val="Normal"/>
    <w:next w:val="Normal"/>
    <w:qFormat/>
    <w:rsid w:val="008242A1"/>
    <w:pPr>
      <w:numPr>
        <w:ilvl w:val="5"/>
        <w:numId w:val="23"/>
      </w:numPr>
      <w:spacing w:before="240" w:after="60"/>
      <w:outlineLvl w:val="5"/>
    </w:pPr>
    <w:rPr>
      <w:i/>
      <w:sz w:val="22"/>
    </w:rPr>
  </w:style>
  <w:style w:type="paragraph" w:styleId="Heading7">
    <w:name w:val="heading 7"/>
    <w:basedOn w:val="Normal"/>
    <w:next w:val="Normal"/>
    <w:qFormat/>
    <w:rsid w:val="008242A1"/>
    <w:pPr>
      <w:numPr>
        <w:ilvl w:val="6"/>
        <w:numId w:val="23"/>
      </w:numPr>
      <w:spacing w:before="240" w:after="60"/>
      <w:outlineLvl w:val="6"/>
    </w:pPr>
    <w:rPr>
      <w:rFonts w:ascii="Arial" w:hAnsi="Arial"/>
    </w:rPr>
  </w:style>
  <w:style w:type="paragraph" w:styleId="Heading8">
    <w:name w:val="heading 8"/>
    <w:basedOn w:val="Normal"/>
    <w:next w:val="Normal"/>
    <w:qFormat/>
    <w:rsid w:val="008242A1"/>
    <w:pPr>
      <w:numPr>
        <w:ilvl w:val="7"/>
        <w:numId w:val="23"/>
      </w:numPr>
      <w:spacing w:before="240" w:after="60"/>
      <w:outlineLvl w:val="7"/>
    </w:pPr>
    <w:rPr>
      <w:rFonts w:ascii="Arial" w:hAnsi="Arial"/>
      <w:i/>
    </w:rPr>
  </w:style>
  <w:style w:type="paragraph" w:styleId="Heading9">
    <w:name w:val="heading 9"/>
    <w:basedOn w:val="Normal"/>
    <w:next w:val="Normal"/>
    <w:qFormat/>
    <w:rsid w:val="008242A1"/>
    <w:pPr>
      <w:numPr>
        <w:ilvl w:val="8"/>
        <w:numId w:val="2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42A1"/>
    <w:pPr>
      <w:tabs>
        <w:tab w:val="center" w:pos="4320"/>
        <w:tab w:val="right" w:pos="8640"/>
      </w:tabs>
    </w:pPr>
  </w:style>
  <w:style w:type="paragraph" w:styleId="Footer">
    <w:name w:val="footer"/>
    <w:basedOn w:val="Normal"/>
    <w:rsid w:val="008242A1"/>
    <w:pPr>
      <w:tabs>
        <w:tab w:val="center" w:pos="4320"/>
        <w:tab w:val="right" w:pos="8640"/>
      </w:tabs>
    </w:pPr>
  </w:style>
  <w:style w:type="character" w:styleId="PageNumber">
    <w:name w:val="page number"/>
    <w:basedOn w:val="DefaultParagraphFont"/>
    <w:rsid w:val="008242A1"/>
  </w:style>
  <w:style w:type="paragraph" w:customStyle="1" w:styleId="Titleline">
    <w:name w:val="Title line"/>
    <w:basedOn w:val="Title"/>
    <w:rsid w:val="008242A1"/>
    <w:pPr>
      <w:spacing w:before="60" w:line="240" w:lineRule="auto"/>
    </w:pPr>
    <w:rPr>
      <w:rFonts w:ascii="Arial Black" w:hAnsi="Arial Black"/>
      <w:b w:val="0"/>
    </w:rPr>
  </w:style>
  <w:style w:type="paragraph" w:styleId="Title">
    <w:name w:val="Title"/>
    <w:basedOn w:val="Normal"/>
    <w:qFormat/>
    <w:rsid w:val="008242A1"/>
    <w:pPr>
      <w:spacing w:before="240" w:after="60" w:line="120" w:lineRule="auto"/>
      <w:jc w:val="center"/>
      <w:outlineLvl w:val="0"/>
    </w:pPr>
    <w:rPr>
      <w:b/>
      <w:caps/>
      <w:kern w:val="28"/>
      <w:sz w:val="28"/>
    </w:rPr>
  </w:style>
  <w:style w:type="paragraph" w:styleId="TOC1">
    <w:name w:val="toc 1"/>
    <w:basedOn w:val="Normal"/>
    <w:next w:val="Normal"/>
    <w:autoRedefine/>
    <w:uiPriority w:val="39"/>
    <w:rsid w:val="008242A1"/>
    <w:pPr>
      <w:tabs>
        <w:tab w:val="right" w:leader="dot" w:pos="9360"/>
      </w:tabs>
      <w:spacing w:line="480" w:lineRule="auto"/>
    </w:pPr>
    <w:rPr>
      <w:caps/>
      <w:noProof/>
    </w:rPr>
  </w:style>
  <w:style w:type="character" w:styleId="CommentReference">
    <w:name w:val="annotation reference"/>
    <w:basedOn w:val="DefaultParagraphFont"/>
    <w:semiHidden/>
    <w:rsid w:val="008242A1"/>
    <w:rPr>
      <w:sz w:val="16"/>
    </w:rPr>
  </w:style>
  <w:style w:type="paragraph" w:styleId="CommentText">
    <w:name w:val="annotation text"/>
    <w:basedOn w:val="Normal"/>
    <w:semiHidden/>
    <w:rsid w:val="008242A1"/>
    <w:rPr>
      <w:sz w:val="20"/>
    </w:rPr>
  </w:style>
  <w:style w:type="paragraph" w:customStyle="1" w:styleId="Bodytext">
    <w:name w:val="Body text"/>
    <w:basedOn w:val="Normal"/>
    <w:rsid w:val="008242A1"/>
    <w:pPr>
      <w:spacing w:before="60" w:after="60"/>
    </w:pPr>
  </w:style>
  <w:style w:type="character" w:styleId="Hyperlink">
    <w:name w:val="Hyperlink"/>
    <w:basedOn w:val="DefaultParagraphFont"/>
    <w:rsid w:val="008242A1"/>
    <w:rPr>
      <w:color w:val="0000FF"/>
      <w:u w:val="single"/>
    </w:rPr>
  </w:style>
  <w:style w:type="paragraph" w:customStyle="1" w:styleId="Sectionsub-header">
    <w:name w:val="Section sub-header"/>
    <w:basedOn w:val="Normal"/>
    <w:rsid w:val="008242A1"/>
    <w:rPr>
      <w:rFonts w:ascii="Arial Black" w:hAnsi="Arial Black"/>
    </w:rPr>
  </w:style>
  <w:style w:type="paragraph" w:styleId="BodyTextIndent">
    <w:name w:val="Body Text Indent"/>
    <w:basedOn w:val="Normal"/>
    <w:rsid w:val="008242A1"/>
    <w:pPr>
      <w:tabs>
        <w:tab w:val="left" w:pos="1440"/>
      </w:tabs>
      <w:ind w:left="2160" w:hanging="1440"/>
    </w:pPr>
  </w:style>
  <w:style w:type="paragraph" w:styleId="BalloonText">
    <w:name w:val="Balloon Text"/>
    <w:basedOn w:val="Normal"/>
    <w:semiHidden/>
    <w:rsid w:val="00EB2B73"/>
    <w:rPr>
      <w:rFonts w:ascii="Tahoma" w:hAnsi="Tahoma" w:cs="Tahoma"/>
      <w:sz w:val="16"/>
      <w:szCs w:val="16"/>
    </w:rPr>
  </w:style>
  <w:style w:type="paragraph" w:styleId="CommentSubject">
    <w:name w:val="annotation subject"/>
    <w:basedOn w:val="CommentText"/>
    <w:next w:val="CommentText"/>
    <w:semiHidden/>
    <w:rsid w:val="0066224D"/>
    <w:rPr>
      <w:b/>
      <w:bCs/>
    </w:rPr>
  </w:style>
  <w:style w:type="character" w:customStyle="1" w:styleId="Heading3Char">
    <w:name w:val="Heading 3 Char"/>
    <w:aliases w:val="Section Char"/>
    <w:basedOn w:val="DefaultParagraphFont"/>
    <w:link w:val="Heading3"/>
    <w:rsid w:val="00F91EC0"/>
    <w:rPr>
      <w:sz w:val="24"/>
    </w:rPr>
  </w:style>
  <w:style w:type="character" w:customStyle="1" w:styleId="NormalChar">
    <w:name w:val="Normal Char"/>
    <w:basedOn w:val="DefaultParagraphFont"/>
    <w:rsid w:val="001E4C5C"/>
    <w:rPr>
      <w:sz w:val="24"/>
      <w:lang w:val="en-US" w:eastAsia="en-US" w:bidi="ar-SA"/>
    </w:rPr>
  </w:style>
  <w:style w:type="paragraph" w:styleId="ListParagraph">
    <w:name w:val="List Paragraph"/>
    <w:basedOn w:val="Normal"/>
    <w:uiPriority w:val="34"/>
    <w:qFormat/>
    <w:rsid w:val="005C03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12.deq.state.or.us/GHGonlineRepor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egon.gov/D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297B-D9CC-479E-B7AE-32081038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16</Pages>
  <Words>4144</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27537</CharactersWithSpaces>
  <SharedDoc>false</SharedDoc>
  <HLinks>
    <vt:vector size="12" baseType="variant">
      <vt:variant>
        <vt:i4>8060978</vt:i4>
      </vt:variant>
      <vt:variant>
        <vt:i4>87</vt:i4>
      </vt:variant>
      <vt:variant>
        <vt:i4>0</vt:i4>
      </vt:variant>
      <vt:variant>
        <vt:i4>5</vt:i4>
      </vt:variant>
      <vt:variant>
        <vt:lpwstr>http://www.deq.state.or.us/</vt:lpwstr>
      </vt:variant>
      <vt:variant>
        <vt:lpwstr/>
      </vt:variant>
      <vt:variant>
        <vt:i4>65605</vt:i4>
      </vt:variant>
      <vt:variant>
        <vt:i4>81</vt:i4>
      </vt:variant>
      <vt:variant>
        <vt:i4>0</vt:i4>
      </vt:variant>
      <vt:variant>
        <vt:i4>5</vt:i4>
      </vt:variant>
      <vt:variant>
        <vt:lpwstr>http://deq12.deq.state.or.us/GHGonlineReporting/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creator>thack</dc:creator>
  <cp:lastModifiedBy>nswofford</cp:lastModifiedBy>
  <cp:revision>53</cp:revision>
  <cp:lastPrinted>2012-05-22T20:26:00Z</cp:lastPrinted>
  <dcterms:created xsi:type="dcterms:W3CDTF">2012-01-17T19:21:00Z</dcterms:created>
  <dcterms:modified xsi:type="dcterms:W3CDTF">2012-05-22T20:26:00Z</dcterms:modified>
</cp:coreProperties>
</file>