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832AE5" w:rsidP="00B34CF8">
      <w:pPr>
        <w:spacing w:after="120"/>
        <w:ind w:left="0" w:right="18"/>
        <w:outlineLvl w:val="0"/>
        <w:rPr>
          <w:rFonts w:ascii="Times New Roman" w:eastAsia="Times New Roman" w:hAnsi="Times New Roman" w:cs="Times New Roman"/>
        </w:rPr>
      </w:pPr>
      <w:r w:rsidRPr="00832AE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B01263" w:rsidRPr="00C74D58" w:rsidRDefault="00B01263" w:rsidP="006751BA">
                  <w:pPr>
                    <w:tabs>
                      <w:tab w:val="left" w:pos="16582"/>
                    </w:tabs>
                    <w:ind w:left="0"/>
                    <w:jc w:val="center"/>
                    <w:rPr>
                      <w:rFonts w:ascii="Times New Roman" w:eastAsia="Times New Roman" w:hAnsi="Times New Roman" w:cs="Times New Roman"/>
                      <w:b/>
                      <w:color w:val="000000"/>
                    </w:rPr>
                  </w:pPr>
                </w:p>
                <w:p w:rsidR="00B01263" w:rsidRPr="00C74D58" w:rsidRDefault="00B0126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01263" w:rsidRPr="00C74D58" w:rsidRDefault="00B01263" w:rsidP="006751BA">
                  <w:pPr>
                    <w:tabs>
                      <w:tab w:val="left" w:pos="908"/>
                      <w:tab w:val="left" w:pos="16582"/>
                    </w:tabs>
                    <w:ind w:left="108"/>
                    <w:jc w:val="center"/>
                    <w:rPr>
                      <w:rFonts w:ascii="Times New Roman" w:eastAsia="Times New Roman" w:hAnsi="Times New Roman" w:cs="Times New Roman"/>
                      <w:b/>
                      <w:color w:val="000000"/>
                    </w:rPr>
                  </w:pPr>
                </w:p>
                <w:p w:rsidR="00B01263" w:rsidRPr="00A019B4" w:rsidRDefault="00B0126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B01263" w:rsidRPr="00A019B4" w:rsidRDefault="00B0126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w:t>
      </w:r>
      <w:bookmarkStart w:id="0" w:name="_GoBack"/>
      <w:bookmarkEnd w:id="0"/>
      <w:r w:rsidRPr="00D35ED0">
        <w:rPr>
          <w:rFonts w:asciiTheme="minorHAnsi" w:eastAsia="Times New Roman" w:hAnsiTheme="minorHAnsi" w:cstheme="minorHAnsi"/>
        </w:rPr>
        <w:t xml:space="preserve">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Smart program</w:t>
      </w:r>
      <w:r w:rsidR="0021421C" w:rsidRPr="00D35ED0">
        <w:rPr>
          <w:rFonts w:asciiTheme="minorHAnsi" w:eastAsia="Times New Roman" w:hAnsiTheme="minorHAnsi" w:cstheme="minorHAnsi"/>
        </w:rPr>
        <w:t>,</w:t>
      </w:r>
      <w:r w:rsidR="009E04FF" w:rsidRPr="00D35ED0">
        <w:rPr>
          <w:rFonts w:asciiTheme="minorHAnsi" w:eastAsia="Times New Roman" w:hAnsiTheme="minorHAnsi" w:cstheme="minorHAnsi"/>
        </w:rPr>
        <w:t xml:space="preserve"> the clean diesel grant and loan program </w:t>
      </w:r>
      <w:r w:rsidR="0021421C" w:rsidRPr="00D35ED0">
        <w:rPr>
          <w:rFonts w:asciiTheme="minorHAnsi" w:eastAsia="Times New Roman" w:hAnsiTheme="minorHAnsi" w:cstheme="minorHAnsi"/>
        </w:rPr>
        <w:t xml:space="preserve">and the gasoline dispensing facility program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 xml:space="preserve">pdate </w:t>
      </w:r>
      <w:r w:rsidR="00B9609C" w:rsidRPr="00D35ED0">
        <w:rPr>
          <w:rFonts w:asciiTheme="minorHAnsi" w:eastAsia="Times New Roman" w:hAnsiTheme="minorHAnsi" w:cstheme="minorHAnsi"/>
        </w:rPr>
        <w:t>r</w:t>
      </w:r>
      <w:r w:rsidRPr="00D35ED0">
        <w:rPr>
          <w:rFonts w:asciiTheme="minorHAnsi" w:eastAsia="Times New Roman" w:hAnsiTheme="minorHAnsi" w:cstheme="minorHAnsi"/>
        </w:rPr>
        <w:t xml:space="preserve">ules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Update particulate matter standards</w:t>
      </w:r>
    </w:p>
    <w:p w:rsidR="007F2758" w:rsidRDefault="004272FD"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4.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Pr="00D35ED0">
        <w:rPr>
          <w:rFonts w:asciiTheme="minorHAnsi" w:eastAsia="Times New Roman" w:hAnsiTheme="minorHAnsi" w:cstheme="minorHAnsi"/>
        </w:rPr>
        <w:t>New Source Review)</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5.</w:t>
      </w:r>
      <w:r w:rsidR="00BD5BC2" w:rsidRPr="00D35ED0">
        <w:rPr>
          <w:rFonts w:asciiTheme="minorHAnsi" w:eastAsia="Times New Roman" w:hAnsiTheme="minorHAnsi" w:cstheme="minorHAnsi"/>
        </w:rPr>
        <w:t xml:space="preserve"> </w:t>
      </w:r>
      <w:r w:rsidR="00284F61" w:rsidRPr="00D35ED0">
        <w:rPr>
          <w:rFonts w:asciiTheme="minorHAnsi" w:eastAsia="Times New Roman" w:hAnsiTheme="minorHAnsi" w:cstheme="minorHAnsi"/>
        </w:rPr>
        <w:tab/>
      </w:r>
      <w:r w:rsidRPr="00D35ED0">
        <w:rPr>
          <w:rFonts w:asciiTheme="minorHAnsi" w:eastAsia="Times New Roman" w:hAnsiTheme="minorHAnsi" w:cstheme="minorHAnsi"/>
        </w:rPr>
        <w:t xml:space="preserve">Designate Lakeview as </w:t>
      </w:r>
      <w:r w:rsidR="00FD22F2">
        <w:rPr>
          <w:rFonts w:asciiTheme="minorHAnsi" w:eastAsia="Times New Roman" w:hAnsiTheme="minorHAnsi" w:cstheme="minorHAnsi"/>
        </w:rPr>
        <w:t xml:space="preserve">a </w:t>
      </w:r>
      <w:r w:rsidRPr="00D35ED0">
        <w:rPr>
          <w:rFonts w:asciiTheme="minorHAnsi" w:eastAsia="Times New Roman" w:hAnsiTheme="minorHAnsi" w:cstheme="minorHAnsi"/>
        </w:rPr>
        <w:t>sustainment area</w:t>
      </w:r>
    </w:p>
    <w:p w:rsidR="007F2758" w:rsidRPr="00D35ED0" w:rsidRDefault="00BD5BC2" w:rsidP="007F2758">
      <w:pPr>
        <w:ind w:left="1080" w:right="18"/>
        <w:outlineLvl w:val="0"/>
        <w:rPr>
          <w:rFonts w:ascii="Times New Roman" w:eastAsia="Times New Roman" w:hAnsi="Times New Roman" w:cs="Times New Roman"/>
        </w:rPr>
      </w:pPr>
      <w:r w:rsidRPr="00D35ED0">
        <w:rPr>
          <w:rFonts w:ascii="Times New Roman" w:eastAsia="Times New Roman" w:hAnsi="Times New Roman" w:cs="Times New Roman"/>
        </w:rPr>
        <w:t xml:space="preserve">6.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BD5BC2" w:rsidP="00361CB0">
      <w:pPr>
        <w:tabs>
          <w:tab w:val="left" w:pos="1440"/>
        </w:tabs>
        <w:ind w:left="1440" w:right="14" w:hanging="360"/>
        <w:outlineLvl w:val="0"/>
        <w:rPr>
          <w:rFonts w:ascii="Times New Roman" w:eastAsia="Times New Roman" w:hAnsi="Times New Roman" w:cs="Times New Roman"/>
        </w:rPr>
      </w:pPr>
      <w:r w:rsidRPr="000954CE">
        <w:rPr>
          <w:rFonts w:ascii="Times New Roman" w:eastAsia="Times New Roman" w:hAnsi="Times New Roman" w:cs="Times New Roman"/>
        </w:rPr>
        <w:t xml:space="preserve">7. </w:t>
      </w:r>
      <w:r w:rsidR="00284F61" w:rsidRPr="000954CE">
        <w:rPr>
          <w:rFonts w:ascii="Times New Roman" w:eastAsia="Times New Roman" w:hAnsi="Times New Roman" w:cs="Times New Roman"/>
        </w:rPr>
        <w:tab/>
      </w:r>
      <w:r w:rsidR="004272FD" w:rsidRPr="000954CE">
        <w:rPr>
          <w:rFonts w:ascii="Times New Roman" w:eastAsia="Times New Roman" w:hAnsi="Times New Roman" w:cs="Times New Roman"/>
        </w:rPr>
        <w:t xml:space="preserve">Update </w:t>
      </w:r>
      <w:r w:rsidR="00FD22F2" w:rsidRPr="000954CE">
        <w:rPr>
          <w:rFonts w:ascii="Times New Roman" w:eastAsia="Times New Roman" w:hAnsi="Times New Roman" w:cs="Times New Roman"/>
        </w:rPr>
        <w:t xml:space="preserve">the </w:t>
      </w:r>
      <w:r w:rsidR="004272FD" w:rsidRPr="000954CE">
        <w:rPr>
          <w:rFonts w:ascii="Times New Roman" w:eastAsia="Times New Roman" w:hAnsi="Times New Roman" w:cs="Times New Roman"/>
        </w:rPr>
        <w:t>Heat</w:t>
      </w:r>
      <w:r w:rsidR="004B3FA0" w:rsidRPr="000954CE">
        <w:rPr>
          <w:rFonts w:ascii="Times New Roman" w:eastAsia="Times New Roman" w:hAnsi="Times New Roman" w:cs="Times New Roman"/>
        </w:rPr>
        <w:t xml:space="preserve"> </w:t>
      </w:r>
      <w:r w:rsidR="004272FD" w:rsidRPr="000954CE">
        <w:rPr>
          <w:rFonts w:ascii="Times New Roman" w:eastAsia="Times New Roman" w:hAnsi="Times New Roman" w:cs="Times New Roman"/>
        </w:rPr>
        <w:t>Smart</w:t>
      </w:r>
      <w:r w:rsidR="00FD22F2" w:rsidRPr="000954CE">
        <w:rPr>
          <w:rFonts w:ascii="Times New Roman" w:eastAsia="Times New Roman" w:hAnsi="Times New Roman" w:cs="Times New Roman"/>
        </w:rPr>
        <w:t xml:space="preserve"> program</w:t>
      </w:r>
    </w:p>
    <w:p w:rsidR="00BD5BC2" w:rsidRPr="00D35ED0" w:rsidRDefault="007F2758" w:rsidP="005C3744">
      <w:pPr>
        <w:ind w:left="1080" w:right="18"/>
        <w:outlineLvl w:val="0"/>
        <w:rPr>
          <w:rFonts w:ascii="Times New Roman" w:eastAsia="Times New Roman" w:hAnsi="Times New Roman" w:cs="Times New Roman"/>
          <w:b/>
        </w:rPr>
      </w:pPr>
      <w:r w:rsidRPr="007F2758">
        <w:rPr>
          <w:rFonts w:ascii="Times New Roman" w:eastAsia="Times New Roman" w:hAnsi="Times New Roman" w:cs="Times New Roman"/>
        </w:rPr>
        <w:t>8.</w:t>
      </w:r>
      <w:r w:rsidRPr="007F2758">
        <w:rPr>
          <w:rFonts w:ascii="Times New Roman" w:eastAsia="Times New Roman" w:hAnsi="Times New Roman" w:cs="Times New Roman"/>
        </w:rPr>
        <w:tab/>
      </w:r>
      <w:commentRangeStart w:id="1"/>
      <w:r w:rsidRPr="007F2758">
        <w:rPr>
          <w:rFonts w:ascii="Times New Roman" w:eastAsia="Times New Roman" w:hAnsi="Times New Roman" w:cs="Times New Roman"/>
        </w:rPr>
        <w:t>I</w:t>
      </w:r>
      <w:r w:rsidR="004272FD" w:rsidRPr="007F2758">
        <w:rPr>
          <w:rFonts w:ascii="Times New Roman" w:eastAsia="Times New Roman" w:hAnsi="Times New Roman" w:cs="Times New Roman"/>
        </w:rPr>
        <w:t>mplement S</w:t>
      </w:r>
      <w:r w:rsidR="00FD22F2" w:rsidRPr="007F2758">
        <w:rPr>
          <w:rFonts w:ascii="Times New Roman" w:eastAsia="Times New Roman" w:hAnsi="Times New Roman" w:cs="Times New Roman"/>
        </w:rPr>
        <w:t>enate Bill</w:t>
      </w:r>
      <w:r w:rsidR="004272FD" w:rsidRPr="007F2758">
        <w:rPr>
          <w:rFonts w:ascii="Times New Roman" w:eastAsia="Times New Roman" w:hAnsi="Times New Roman" w:cs="Times New Roman"/>
        </w:rPr>
        <w:t xml:space="preserve"> 249A </w:t>
      </w:r>
      <w:r w:rsidR="001E7E10" w:rsidRPr="007F2758">
        <w:rPr>
          <w:rFonts w:ascii="Times New Roman" w:eastAsia="Times New Roman" w:hAnsi="Times New Roman" w:cs="Times New Roman"/>
        </w:rPr>
        <w:t>–</w:t>
      </w:r>
      <w:r w:rsidR="004272FD" w:rsidRPr="007F2758">
        <w:rPr>
          <w:rFonts w:ascii="Times New Roman" w:eastAsia="Times New Roman" w:hAnsi="Times New Roman" w:cs="Times New Roman"/>
        </w:rPr>
        <w:t xml:space="preserve"> </w:t>
      </w:r>
      <w:r w:rsidR="001E7E10" w:rsidRPr="007F2758">
        <w:rPr>
          <w:rFonts w:ascii="Times New Roman" w:eastAsia="Times New Roman" w:hAnsi="Times New Roman" w:cs="Times New Roman"/>
        </w:rPr>
        <w:t>Update c</w:t>
      </w:r>
      <w:r w:rsidR="004272FD" w:rsidRPr="007F2758">
        <w:rPr>
          <w:rFonts w:ascii="Times New Roman" w:eastAsia="Times New Roman" w:hAnsi="Times New Roman" w:cs="Times New Roman"/>
        </w:rPr>
        <w:t>lean diesel grant and loan</w:t>
      </w:r>
      <w:r w:rsidR="001E7E10" w:rsidRPr="007F2758">
        <w:rPr>
          <w:rFonts w:ascii="Times New Roman" w:eastAsia="Times New Roman" w:hAnsi="Times New Roman" w:cs="Times New Roman"/>
        </w:rPr>
        <w:t xml:space="preserve"> rules</w:t>
      </w:r>
      <w:commentRangeEnd w:id="1"/>
      <w:r w:rsidR="00C95B08">
        <w:rPr>
          <w:rStyle w:val="CommentReference"/>
        </w:rPr>
        <w:commentReference w:id="1"/>
      </w:r>
      <w:r w:rsidR="00BD5BC2"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D35ED0" w:rsidRDefault="00D35ED0">
      <w:pPr>
        <w:spacing w:after="120"/>
        <w:rPr>
          <w:rFonts w:eastAsia="Times New Roman"/>
          <w:bCs/>
          <w:color w:val="70481C" w:themeColor="accent6" w:themeShade="80"/>
          <w:sz w:val="22"/>
          <w:szCs w:val="22"/>
        </w:rPr>
      </w:pPr>
      <w:r>
        <w:rPr>
          <w:rFonts w:eastAsia="Times New Roman"/>
          <w:bCs/>
          <w:color w:val="70481C" w:themeColor="accent6" w:themeShade="80"/>
          <w:sz w:val="22"/>
          <w:szCs w:val="22"/>
        </w:rPr>
        <w:br w:type="page"/>
      </w: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Clarify and update r</w:t>
      </w:r>
      <w:r w:rsidR="004272FD" w:rsidRPr="00D35ED0">
        <w:rPr>
          <w:rFonts w:ascii="Times New Roman" w:eastAsia="Times New Roman" w:hAnsi="Times New Roman" w:cs="Times New Roman"/>
          <w:u w:val="single"/>
        </w:rPr>
        <w:t>ule</w:t>
      </w:r>
      <w:r w:rsidRPr="00D35ED0">
        <w:rPr>
          <w:rFonts w:ascii="Times New Roman" w:eastAsia="Times New Roman" w:hAnsi="Times New Roman" w:cs="Times New Roman"/>
          <w:u w:val="single"/>
        </w:rPr>
        <w:t>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Update particulate matter standards</w:t>
      </w:r>
      <w:r w:rsidR="00A34D40" w:rsidRPr="00D35ED0">
        <w:rPr>
          <w:rFonts w:ascii="Times New Roman" w:eastAsia="Times New Roman" w:hAnsi="Times New Roman" w:cs="Times New Roman"/>
          <w:u w:val="single"/>
        </w:rPr>
        <w:t xml:space="preserve"> and compliance demonstration method</w:t>
      </w:r>
    </w:p>
    <w:p w:rsidR="004272FD" w:rsidRDefault="00613D52" w:rsidP="003C2903">
      <w:pPr>
        <w:ind w:left="1080" w:right="14"/>
        <w:outlineLvl w:val="0"/>
        <w:rPr>
          <w:rFonts w:ascii="Times New Roman" w:hAnsi="Times New Roman" w:cs="Times New Roman"/>
          <w:bCs/>
        </w:rPr>
      </w:pPr>
      <w:r w:rsidRPr="00D35ED0">
        <w:rPr>
          <w:rFonts w:ascii="Times New Roman" w:hAnsi="Times New Roman" w:cs="Times New Roman"/>
          <w:bCs/>
        </w:rPr>
        <w:t xml:space="preserve">Following 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Pr="00D35ED0">
        <w:rPr>
          <w:rFonts w:ascii="Times New Roman" w:hAnsi="Times New Roman" w:cs="Times New Roman"/>
          <w:bCs/>
        </w:rPr>
        <w:t xml:space="preserve"> but did </w:t>
      </w:r>
      <w:r w:rsidR="0088347B" w:rsidRPr="00D35ED0">
        <w:rPr>
          <w:rFonts w:ascii="Times New Roman" w:hAnsi="Times New Roman" w:cs="Times New Roman"/>
          <w:bCs/>
        </w:rPr>
        <w:t>not specifically</w:t>
      </w:r>
      <w:r w:rsidRPr="00D35ED0">
        <w:rPr>
          <w:rFonts w:ascii="Times New Roman" w:hAnsi="Times New Roman" w:cs="Times New Roman"/>
          <w:bCs/>
        </w:rPr>
        <w:t xml:space="preserve"> </w:t>
      </w:r>
      <w:r w:rsidR="00BB5803" w:rsidRPr="00D35ED0">
        <w:rPr>
          <w:rFonts w:ascii="Times New Roman" w:hAnsi="Times New Roman" w:cs="Times New Roman"/>
          <w:bCs/>
        </w:rPr>
        <w:t>address</w:t>
      </w:r>
      <w:r w:rsidR="002112F6" w:rsidRPr="00D35ED0">
        <w:rPr>
          <w:rFonts w:ascii="Times New Roman" w:hAnsi="Times New Roman" w:cs="Times New Roman"/>
          <w:bCs/>
        </w:rPr>
        <w:t xml:space="preserve"> Oregon businesses</w:t>
      </w:r>
      <w:r w:rsidR="005C3744" w:rsidRPr="00D35ED0">
        <w:rPr>
          <w:rFonts w:ascii="Times New Roman" w:hAnsi="Times New Roman" w:cs="Times New Roman"/>
          <w:bCs/>
        </w:rPr>
        <w:t xml:space="preserve">. </w:t>
      </w:r>
      <w:r w:rsidR="002112F6" w:rsidRPr="00D35ED0">
        <w:rPr>
          <w:rFonts w:ascii="Times New Roman" w:hAnsi="Times New Roman" w:cs="Times New Roman"/>
          <w:bCs/>
        </w:rPr>
        <w:t>With changes in ambient air quality standards over the years, the statewide standards for businesses in operation before 1970 no longer protect air quality</w:t>
      </w:r>
      <w:r w:rsidR="005C3744" w:rsidRPr="00D35ED0">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proactively proposes changes to the compliance demonstration method used for </w:t>
      </w:r>
      <w:r w:rsidR="00A82406">
        <w:rPr>
          <w:rFonts w:ascii="Times New Roman" w:hAnsi="Times New Roman" w:cs="Times New Roman"/>
          <w:bCs/>
        </w:rPr>
        <w:t xml:space="preserve">the visual </w:t>
      </w:r>
      <w:r w:rsidR="00146E30" w:rsidRPr="00D35ED0">
        <w:rPr>
          <w:rFonts w:ascii="Times New Roman" w:hAnsi="Times New Roman" w:cs="Times New Roman"/>
          <w:bCs/>
        </w:rPr>
        <w:t>s</w:t>
      </w:r>
      <w:r w:rsidR="002112F6" w:rsidRPr="00D35ED0">
        <w:rPr>
          <w:rFonts w:ascii="Times New Roman" w:hAnsi="Times New Roman" w:cs="Times New Roman"/>
          <w:bCs/>
        </w:rPr>
        <w:t xml:space="preserve">tandard </w:t>
      </w:r>
      <w:r w:rsidRPr="00D35ED0">
        <w:rPr>
          <w:rFonts w:ascii="Times New Roman" w:hAnsi="Times New Roman" w:cs="Times New Roman"/>
          <w:bCs/>
        </w:rPr>
        <w:t xml:space="preserve">that </w:t>
      </w:r>
      <w:r w:rsidR="008E5D1D" w:rsidRPr="00D35ED0">
        <w:rPr>
          <w:rFonts w:ascii="Times New Roman" w:hAnsi="Times New Roman" w:cs="Times New Roman"/>
          <w:bCs/>
        </w:rPr>
        <w:t xml:space="preserve">was </w:t>
      </w:r>
      <w:r w:rsidR="002112F6" w:rsidRPr="00D35ED0">
        <w:rPr>
          <w:rFonts w:ascii="Times New Roman" w:hAnsi="Times New Roman" w:cs="Times New Roman"/>
          <w:bCs/>
        </w:rPr>
        <w:t xml:space="preserve">challenged </w:t>
      </w:r>
      <w:r w:rsidR="00362DE0" w:rsidRPr="00D35ED0">
        <w:rPr>
          <w:rFonts w:ascii="Times New Roman" w:hAnsi="Times New Roman" w:cs="Times New Roman"/>
          <w:bCs/>
        </w:rPr>
        <w:t xml:space="preserve">in </w:t>
      </w:r>
      <w:r w:rsidR="008E5D1D" w:rsidRPr="00D35ED0">
        <w:rPr>
          <w:rFonts w:ascii="Times New Roman" w:hAnsi="Times New Roman" w:cs="Times New Roman"/>
          <w:bCs/>
        </w:rPr>
        <w:t xml:space="preserve">Washington state </w:t>
      </w:r>
      <w:r w:rsidR="00362DE0" w:rsidRPr="00D35ED0">
        <w:rPr>
          <w:rFonts w:ascii="Times New Roman" w:hAnsi="Times New Roman" w:cs="Times New Roman"/>
          <w:bCs/>
        </w:rPr>
        <w:t>court</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Pr="00D35ED0">
        <w:rPr>
          <w:rFonts w:ascii="Times New Roman" w:eastAsia="Times New Roman" w:hAnsi="Times New Roman" w:cs="Times New Roman"/>
          <w:bCs/>
        </w:rPr>
        <w:t xml:space="preserve">Stationary Reciprocating Internal Combustion Engines. The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requirements for emergency generators that DEQ thought had insignificant emissions. DEQ also thought 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emissions were insignificant but</w:t>
      </w:r>
      <w:r w:rsidR="00A34D40" w:rsidRPr="00D35ED0">
        <w:rPr>
          <w:rFonts w:ascii="Times New Roman" w:eastAsia="Times New Roman" w:hAnsi="Times New Roman" w:cs="Times New Roman"/>
          <w:bCs/>
        </w:rPr>
        <w:t xml:space="preserve"> found</w:t>
      </w:r>
      <w:r w:rsidRPr="00D35ED0">
        <w:rPr>
          <w:rFonts w:ascii="Times New Roman" w:eastAsia="Times New Roman" w:hAnsi="Times New Roman" w:cs="Times New Roman"/>
          <w:bCs/>
        </w:rPr>
        <w:t xml:space="preserve"> in aggregate could be significant</w:t>
      </w:r>
      <w:r w:rsidR="00521A8B">
        <w:rPr>
          <w:rFonts w:ascii="Times New Roman" w:eastAsia="Times New Roman" w:hAnsi="Times New Roman" w:cs="Times New Roman"/>
          <w:bCs/>
        </w:rPr>
        <w:t xml:space="preserve"> and would require a permit</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p>
    <w:p w:rsidR="003C2903" w:rsidRPr="00D35ED0" w:rsidRDefault="003C2903" w:rsidP="003C2903">
      <w:pPr>
        <w:ind w:left="1080" w:right="14"/>
        <w:outlineLvl w:val="0"/>
        <w:rPr>
          <w:rFonts w:ascii="Times New Roman" w:eastAsia="Times New Roman" w:hAnsi="Times New Roman" w:cs="Times New Roman"/>
        </w:rPr>
      </w:pPr>
    </w:p>
    <w:p w:rsidR="00B01263" w:rsidRDefault="004A1CB2" w:rsidP="00ED668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Designate Lakeview as </w:t>
      </w:r>
      <w:r w:rsidR="0079478B">
        <w:rPr>
          <w:rFonts w:ascii="Times New Roman" w:eastAsia="Times New Roman" w:hAnsi="Times New Roman" w:cs="Times New Roman"/>
          <w:u w:val="single"/>
        </w:rPr>
        <w:t xml:space="preserve">a </w:t>
      </w:r>
      <w:r w:rsidRPr="00D35ED0">
        <w:rPr>
          <w:rFonts w:ascii="Times New Roman" w:eastAsia="Times New Roman" w:hAnsi="Times New Roman" w:cs="Times New Roman"/>
          <w:u w:val="single"/>
        </w:rPr>
        <w:t>sustainment area</w:t>
      </w:r>
    </w:p>
    <w:p w:rsidR="004272FD" w:rsidRPr="00AA31D3" w:rsidRDefault="004A1CB2" w:rsidP="00AA31D3">
      <w:pPr>
        <w:ind w:left="1080" w:right="14"/>
        <w:outlineLvl w:val="0"/>
        <w:rPr>
          <w:rFonts w:ascii="Times New Roman" w:eastAsia="Times New Roman" w:hAnsi="Times New Roman" w:cs="Times New Roman"/>
        </w:rPr>
      </w:pPr>
      <w:r w:rsidRPr="00AA31D3">
        <w:rPr>
          <w:rFonts w:ascii="Times New Roman" w:eastAsia="Times New Roman" w:hAnsi="Times New Roman" w:cs="Times New Roman"/>
          <w:u w:val="single"/>
        </w:rPr>
        <w:t>Air quality in Lakeview currently ex</w:t>
      </w:r>
      <w:r w:rsidRPr="00AA31D3">
        <w:rPr>
          <w:rFonts w:ascii="Times New Roman" w:eastAsia="Times New Roman" w:hAnsi="Times New Roman" w:cs="Times New Roman"/>
        </w:rPr>
        <w:t>ceeds the ambient air quality standard</w:t>
      </w:r>
      <w:r w:rsidR="001E7E10" w:rsidRPr="00AA31D3">
        <w:rPr>
          <w:rFonts w:ascii="Times New Roman" w:eastAsia="Times New Roman" w:hAnsi="Times New Roman" w:cs="Times New Roman"/>
        </w:rPr>
        <w:t xml:space="preserve">s for fine particulates. However, </w:t>
      </w:r>
      <w:r w:rsidRPr="00AA31D3">
        <w:rPr>
          <w:rFonts w:ascii="Times New Roman" w:eastAsia="Times New Roman" w:hAnsi="Times New Roman" w:cs="Times New Roman"/>
        </w:rPr>
        <w:t>EPA has not designated Lakeview a</w:t>
      </w:r>
      <w:r w:rsidR="001E7E10" w:rsidRPr="00AA31D3">
        <w:rPr>
          <w:rFonts w:ascii="Times New Roman" w:eastAsia="Times New Roman" w:hAnsi="Times New Roman" w:cs="Times New Roman"/>
        </w:rPr>
        <w:t>s a</w:t>
      </w:r>
      <w:r w:rsidRPr="00AA31D3">
        <w:rPr>
          <w:rFonts w:ascii="Times New Roman" w:eastAsia="Times New Roman" w:hAnsi="Times New Roman" w:cs="Times New Roman"/>
        </w:rPr>
        <w:t xml:space="preserve"> nonattainment area. This makes it nearly impossible for any business to build or expand in the Lakeview area</w:t>
      </w:r>
      <w:r w:rsidR="00CD237F" w:rsidRPr="00AA31D3">
        <w:rPr>
          <w:rFonts w:ascii="Times New Roman" w:eastAsia="Times New Roman" w:hAnsi="Times New Roman" w:cs="Times New Roman"/>
        </w:rPr>
        <w:t xml:space="preserve"> because </w:t>
      </w:r>
      <w:r w:rsidR="00D52F39" w:rsidRPr="00AA31D3">
        <w:rPr>
          <w:rFonts w:ascii="Times New Roman" w:eastAsia="Times New Roman" w:hAnsi="Times New Roman" w:cs="Times New Roman"/>
        </w:rPr>
        <w:t>only non</w:t>
      </w:r>
      <w:r w:rsidR="00CD237F" w:rsidRPr="00AA31D3">
        <w:rPr>
          <w:rFonts w:ascii="Times New Roman" w:eastAsia="Times New Roman" w:hAnsi="Times New Roman" w:cs="Times New Roman"/>
        </w:rPr>
        <w:t xml:space="preserve">attainment area requirements </w:t>
      </w:r>
      <w:r w:rsidR="00D52F39" w:rsidRPr="00AA31D3">
        <w:rPr>
          <w:rFonts w:ascii="Times New Roman" w:eastAsia="Times New Roman" w:hAnsi="Times New Roman" w:cs="Times New Roman"/>
        </w:rPr>
        <w:t xml:space="preserve">include </w:t>
      </w:r>
      <w:r w:rsidR="00214B5B" w:rsidRPr="00AA31D3">
        <w:rPr>
          <w:rFonts w:ascii="Times New Roman" w:eastAsia="Times New Roman" w:hAnsi="Times New Roman" w:cs="Times New Roman"/>
        </w:rPr>
        <w:t xml:space="preserve">permitting </w:t>
      </w:r>
      <w:r w:rsidR="00D52F39" w:rsidRPr="00AA31D3">
        <w:rPr>
          <w:rFonts w:ascii="Times New Roman" w:eastAsia="Times New Roman" w:hAnsi="Times New Roman" w:cs="Times New Roman"/>
        </w:rPr>
        <w:t>provisions for areas that exceed ambient air quality standards.  T</w:t>
      </w:r>
      <w:r w:rsidRPr="00AA31D3">
        <w:rPr>
          <w:rFonts w:ascii="Times New Roman" w:eastAsia="Times New Roman" w:hAnsi="Times New Roman" w:cs="Times New Roman"/>
        </w:rPr>
        <w:t>his proposal remedies that problem</w:t>
      </w:r>
      <w:r w:rsidR="000F38D9" w:rsidRPr="00AA31D3">
        <w:rPr>
          <w:rFonts w:ascii="Times New Roman" w:eastAsia="Times New Roman" w:hAnsi="Times New Roman" w:cs="Times New Roman"/>
        </w:rPr>
        <w:t xml:space="preserve"> while still protecting ambient air quality</w:t>
      </w:r>
      <w:r w:rsidRPr="00AA31D3">
        <w:rPr>
          <w:rFonts w:ascii="Times New Roman" w:eastAsia="Times New Roman" w:hAnsi="Times New Roman" w:cs="Times New Roman"/>
        </w:rPr>
        <w:t xml:space="preserve">. </w:t>
      </w:r>
    </w:p>
    <w:p w:rsidR="003C2903" w:rsidRPr="007F2758"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DEQ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79478B">
        <w:rPr>
          <w:rFonts w:ascii="Times New Roman" w:eastAsia="Times New Roman" w:hAnsi="Times New Roman" w:cs="Times New Roman"/>
        </w:rPr>
        <w:t>stays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EC0C81"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Update Heat</w:t>
      </w:r>
      <w:r w:rsidR="004B3FA0">
        <w:rPr>
          <w:rFonts w:ascii="Times New Roman" w:eastAsia="Times New Roman" w:hAnsi="Times New Roman" w:cs="Times New Roman"/>
          <w:u w:val="single"/>
        </w:rPr>
        <w:t xml:space="preserve"> </w:t>
      </w:r>
      <w:r w:rsidRPr="00D35ED0">
        <w:rPr>
          <w:rFonts w:ascii="Times New Roman" w:eastAsia="Times New Roman" w:hAnsi="Times New Roman" w:cs="Times New Roman"/>
          <w:u w:val="single"/>
        </w:rPr>
        <w:t xml:space="preserve">Smart </w:t>
      </w:r>
      <w:r w:rsidR="004B3FA0">
        <w:rPr>
          <w:rFonts w:ascii="Times New Roman" w:eastAsia="Times New Roman" w:hAnsi="Times New Roman" w:cs="Times New Roman"/>
          <w:u w:val="single"/>
        </w:rPr>
        <w:t>Program</w:t>
      </w:r>
      <w:r w:rsidRPr="004B3FA0">
        <w:rPr>
          <w:rFonts w:ascii="Times New Roman" w:eastAsia="Times New Roman" w:hAnsi="Times New Roman" w:cs="Times New Roman"/>
        </w:rPr>
        <w:t>-</w:t>
      </w:r>
      <w:r w:rsidRPr="00D35ED0">
        <w:rPr>
          <w:rFonts w:ascii="Times New Roman" w:eastAsia="Times New Roman" w:hAnsi="Times New Roman" w:cs="Times New Roman"/>
        </w:rPr>
        <w:t xml:space="preserve"> Oregon Administrative Rules 340-</w:t>
      </w:r>
      <w:r w:rsidRPr="003D3A6B">
        <w:rPr>
          <w:rFonts w:ascii="Times New Roman" w:eastAsia="Times New Roman" w:hAnsi="Times New Roman" w:cs="Times New Roman"/>
          <w:u w:val="single"/>
        </w:rPr>
        <w:t>262</w:t>
      </w:r>
    </w:p>
    <w:p w:rsidR="00624D29" w:rsidRPr="00D35ED0" w:rsidRDefault="00EC0C81"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lastRenderedPageBreak/>
        <w:t>DEQ proposes rules to allow small biomass boilers to be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regulates small biomass boilers, a subset of small commercial, industrial and institutional boilers, that have heat output less than 1 million Btu per hour from burning solid fuel such as biomass. The following regulations create a conflict for allowing small biomass boilers to be sold in Oregon. </w:t>
      </w:r>
    </w:p>
    <w:p w:rsidR="00B01263" w:rsidRDefault="00EC0C81" w:rsidP="00ED6683">
      <w:pPr>
        <w:pStyle w:val="ListParagraph"/>
        <w:numPr>
          <w:ilvl w:val="0"/>
          <w:numId w:val="28"/>
        </w:numPr>
        <w:contextualSpacing w:val="0"/>
        <w:rPr>
          <w:rFonts w:ascii="Times New Roman" w:eastAsia="Times New Roman" w:hAnsi="Times New Roman" w:cs="Times New Roman"/>
        </w:rPr>
      </w:pPr>
      <w:r w:rsidRPr="00060528">
        <w:rPr>
          <w:rFonts w:ascii="Times New Roman" w:eastAsia="Times New Roman" w:hAnsi="Times New Roman" w:cs="Times New Roman"/>
        </w:rPr>
        <w:t xml:space="preserve">Current rules allow small biomass boilers to be sold in Oregon if they are subject to federal </w:t>
      </w:r>
      <w:r w:rsidR="0079478B" w:rsidRPr="00060528">
        <w:rPr>
          <w:rFonts w:ascii="Times New Roman" w:eastAsia="Times New Roman" w:hAnsi="Times New Roman" w:cs="Times New Roman"/>
        </w:rPr>
        <w:t xml:space="preserve">national </w:t>
      </w:r>
      <w:r w:rsidRPr="00060528">
        <w:rPr>
          <w:rFonts w:ascii="Times New Roman" w:eastAsia="Times New Roman" w:hAnsi="Times New Roman" w:cs="Times New Roman"/>
        </w:rPr>
        <w:t xml:space="preserve">Emission Standards for Hazardous Air Pollutants; however,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These proposed rules create another pathway for small biomass boilers to be sold in Oregon.</w:t>
      </w:r>
    </w:p>
    <w:p w:rsidR="00700ACF" w:rsidRPr="00D35ED0" w:rsidRDefault="00EC0C81" w:rsidP="003C2903">
      <w:pPr>
        <w:pStyle w:val="ListParagraph"/>
        <w:numPr>
          <w:ilvl w:val="0"/>
          <w:numId w:val="28"/>
        </w:numPr>
        <w:outlineLvl w:val="0"/>
        <w:rPr>
          <w:rFonts w:ascii="Times New Roman" w:eastAsia="Times New Roman" w:hAnsi="Times New Roman" w:cs="Times New Roman"/>
        </w:rPr>
      </w:pPr>
      <w:r w:rsidRPr="00D35ED0">
        <w:rPr>
          <w:rFonts w:ascii="Times New Roman" w:eastAsia="Times New Roman" w:hAnsi="Times New Roman" w:cs="Times New Roman"/>
        </w:rPr>
        <w:t xml:space="preserve">State limits require </w:t>
      </w:r>
      <w:r w:rsidRPr="00D35ED0">
        <w:rPr>
          <w:rFonts w:ascii="Times New Roman" w:eastAsia="Times New Roman" w:hAnsi="Times New Roman" w:cs="Times New Roman"/>
          <w:u w:val="single"/>
        </w:rPr>
        <w:t>all</w:t>
      </w:r>
      <w:r w:rsidRPr="00D35ED0">
        <w:rPr>
          <w:rFonts w:ascii="Times New Roman" w:eastAsia="Times New Roman" w:hAnsi="Times New Roman" w:cs="Times New Roman"/>
        </w:rPr>
        <w:t xml:space="preserve"> commercial, industrial and institutional boilers to meet particulate emissions and opacity limits.</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Implement S</w:t>
      </w:r>
      <w:r w:rsidR="001E7E10">
        <w:rPr>
          <w:rFonts w:ascii="Times New Roman" w:eastAsia="Times New Roman" w:hAnsi="Times New Roman" w:cs="Times New Roman"/>
          <w:u w:val="single"/>
        </w:rPr>
        <w:t xml:space="preserve">enate </w:t>
      </w:r>
      <w:r w:rsidRPr="00D35ED0">
        <w:rPr>
          <w:rFonts w:ascii="Times New Roman" w:eastAsia="Times New Roman" w:hAnsi="Times New Roman" w:cs="Times New Roman"/>
          <w:u w:val="single"/>
        </w:rPr>
        <w:t>B</w:t>
      </w:r>
      <w:r w:rsidR="001E7E10">
        <w:rPr>
          <w:rFonts w:ascii="Times New Roman" w:eastAsia="Times New Roman" w:hAnsi="Times New Roman" w:cs="Times New Roman"/>
          <w:u w:val="single"/>
        </w:rPr>
        <w:t>ill</w:t>
      </w:r>
      <w:r w:rsidRPr="00D35ED0">
        <w:rPr>
          <w:rFonts w:ascii="Times New Roman" w:eastAsia="Times New Roman" w:hAnsi="Times New Roman" w:cs="Times New Roman"/>
          <w:u w:val="single"/>
        </w:rPr>
        <w:t xml:space="preserve"> 249A </w:t>
      </w:r>
      <w:r w:rsidR="001E7E10">
        <w:rPr>
          <w:rFonts w:ascii="Times New Roman" w:eastAsia="Times New Roman" w:hAnsi="Times New Roman" w:cs="Times New Roman"/>
          <w:u w:val="single"/>
        </w:rPr>
        <w:t>– Update c</w:t>
      </w:r>
      <w:r w:rsidRPr="00D35ED0">
        <w:rPr>
          <w:rFonts w:ascii="Times New Roman" w:eastAsia="Times New Roman" w:hAnsi="Times New Roman" w:cs="Times New Roman"/>
          <w:u w:val="single"/>
        </w:rPr>
        <w:t xml:space="preserve">lean diesel grant and loan </w:t>
      </w:r>
      <w:r w:rsidRPr="00E73B91">
        <w:rPr>
          <w:rFonts w:ascii="Times New Roman" w:eastAsia="Times New Roman" w:hAnsi="Times New Roman" w:cs="Times New Roman"/>
        </w:rPr>
        <w:t>rules</w:t>
      </w:r>
    </w:p>
    <w:p w:rsidR="00281104"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The 2013 Oregon Legislature adopted S</w:t>
      </w:r>
      <w:r w:rsidR="001E7E10">
        <w:rPr>
          <w:rFonts w:ascii="Times New Roman" w:eastAsia="Times New Roman" w:hAnsi="Times New Roman" w:cs="Times New Roman"/>
        </w:rPr>
        <w:t xml:space="preserve">enate </w:t>
      </w:r>
      <w:r w:rsidRPr="00D35ED0">
        <w:rPr>
          <w:rFonts w:ascii="Times New Roman" w:eastAsia="Times New Roman" w:hAnsi="Times New Roman" w:cs="Times New Roman"/>
        </w:rPr>
        <w:t>B</w:t>
      </w:r>
      <w:r w:rsidR="001E7E10">
        <w:rPr>
          <w:rFonts w:ascii="Times New Roman" w:eastAsia="Times New Roman" w:hAnsi="Times New Roman" w:cs="Times New Roman"/>
        </w:rPr>
        <w:t>ill</w:t>
      </w:r>
      <w:r w:rsidR="0077630B">
        <w:rPr>
          <w:rFonts w:ascii="Times New Roman" w:eastAsia="Times New Roman" w:hAnsi="Times New Roman" w:cs="Times New Roman"/>
        </w:rPr>
        <w:t xml:space="preserve"> 249</w:t>
      </w:r>
      <w:r w:rsidRPr="00D35ED0">
        <w:rPr>
          <w:rFonts w:ascii="Times New Roman" w:eastAsia="Times New Roman" w:hAnsi="Times New Roman" w:cs="Times New Roman"/>
        </w:rPr>
        <w:t>. The bill authorized DEQ to administer federal grants for clean diesel projects and to complete the projects according to federal grant guidelines rather than the more limited state guidelines. Even though the Governor signed the bill into law with an emergency clause making it effective upon filing, the Attorney General determined it necessary to adopt implementing rules. Failure to adopt the proposed rule would delay implementation of projects that would reduce harmful emission</w:t>
      </w:r>
      <w:r w:rsidR="00462F3C">
        <w:rPr>
          <w:rFonts w:ascii="Times New Roman" w:eastAsia="Times New Roman" w:hAnsi="Times New Roman" w:cs="Times New Roman"/>
        </w:rPr>
        <w:t>s</w:t>
      </w:r>
      <w:r w:rsidRPr="00D35ED0">
        <w:rPr>
          <w:rFonts w:ascii="Times New Roman" w:eastAsia="Times New Roman" w:hAnsi="Times New Roman" w:cs="Times New Roman"/>
        </w:rPr>
        <w:t xml:space="preserve"> from diesel engines through vehicle and equipment replacement projects.</w:t>
      </w:r>
    </w:p>
    <w:p w:rsidR="003C2903" w:rsidRPr="00D35ED0" w:rsidRDefault="003C2903" w:rsidP="003C2903">
      <w:pPr>
        <w:ind w:left="108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commentRangeStart w:id="2"/>
      <w:r w:rsidRPr="00D35ED0">
        <w:rPr>
          <w:rFonts w:ascii="Times New Roman" w:eastAsia="Times New Roman" w:hAnsi="Times New Roman" w:cs="Times New Roman"/>
          <w:u w:val="single"/>
        </w:rPr>
        <w:t>Remove annual reporting requirement for small gasoline dispensing facilities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it unnecessary. </w:t>
      </w:r>
    </w:p>
    <w:commentRangeEnd w:id="2"/>
    <w:p w:rsidR="00002890" w:rsidRPr="00E638D3" w:rsidRDefault="00E908F4" w:rsidP="00002890">
      <w:pPr>
        <w:spacing w:after="120"/>
        <w:ind w:left="720" w:right="18"/>
        <w:outlineLvl w:val="0"/>
        <w:rPr>
          <w:rFonts w:eastAsia="Times New Roman"/>
          <w:bCs/>
          <w:sz w:val="22"/>
          <w:szCs w:val="22"/>
        </w:rPr>
      </w:pPr>
      <w:r>
        <w:rPr>
          <w:rStyle w:val="CommentReference"/>
        </w:rPr>
        <w:commentReference w:id="2"/>
      </w: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p w:rsidR="00D35ED0" w:rsidRDefault="00D35ED0">
      <w: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88"/>
        <w:gridCol w:w="1872"/>
        <w:gridCol w:w="288"/>
        <w:gridCol w:w="7992"/>
        <w:gridCol w:w="288"/>
      </w:tblGrid>
      <w:tr w:rsidR="0055604D" w:rsidRPr="00E638D3" w:rsidTr="00B15FBD">
        <w:trPr>
          <w:gridBefore w:val="1"/>
          <w:trHeight w:val="144"/>
          <w:tblHeader/>
        </w:trPr>
        <w:tc>
          <w:tcPr>
            <w:tcW w:w="2160" w:type="dxa"/>
            <w:gridSpan w:val="2"/>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gridSpan w:val="2"/>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gridBefore w:val="1"/>
          <w:trHeight w:val="20"/>
        </w:trPr>
        <w:tc>
          <w:tcPr>
            <w:tcW w:w="10440" w:type="dxa"/>
            <w:gridSpan w:val="4"/>
            <w:tcBorders>
              <w:bottom w:val="dotted" w:sz="4" w:space="0" w:color="auto"/>
            </w:tcBorders>
            <w:shd w:val="clear" w:color="auto" w:fill="B1DDCD"/>
            <w:hideMark/>
          </w:tcPr>
          <w:p w:rsidR="00B01263" w:rsidRDefault="00B9609C" w:rsidP="00ED6683">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gridSpan w:val="2"/>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 xml:space="preserve">or rules specific to these industries. </w:t>
            </w:r>
            <w:r w:rsidR="00D35ED0" w:rsidRPr="00DB69C1">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 xml:space="preserve">EPA standards </w:t>
            </w:r>
          </w:p>
          <w:p w:rsidR="003539AD" w:rsidRPr="00DB69C1" w:rsidRDefault="00EC0C81" w:rsidP="00D52F39">
            <w:pPr>
              <w:pStyle w:val="ListParagraph"/>
              <w:numPr>
                <w:ilvl w:val="0"/>
                <w:numId w:val="30"/>
              </w:numPr>
              <w:spacing w:after="120"/>
              <w:ind w:left="468" w:right="14"/>
              <w:contextualSpacing w:val="0"/>
              <w:rPr>
                <w:rFonts w:ascii="Times New Roman" w:eastAsia="Times New Roman" w:hAnsi="Times New Roman" w:cs="Times New Roman"/>
              </w:rPr>
            </w:pPr>
            <w:commentRangeStart w:id="3"/>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w:t>
            </w:r>
            <w:r w:rsidR="00D52F39">
              <w:rPr>
                <w:rFonts w:ascii="Times New Roman" w:eastAsia="Times New Roman" w:hAnsi="Times New Roman" w:cs="Times New Roman"/>
              </w:rPr>
              <w:t xml:space="preserve">, </w:t>
            </w:r>
            <w:r w:rsidR="00CD237F">
              <w:rPr>
                <w:rFonts w:ascii="Times New Roman" w:eastAsia="Times New Roman" w:hAnsi="Times New Roman" w:cs="Times New Roman"/>
              </w:rPr>
              <w:t>contained in rules</w:t>
            </w:r>
            <w:r w:rsidR="00F26E66" w:rsidRPr="00DB69C1">
              <w:rPr>
                <w:rFonts w:ascii="Times New Roman" w:eastAsia="Times New Roman" w:hAnsi="Times New Roman" w:cs="Times New Roman"/>
              </w:rPr>
              <w:t xml:space="preserve">. </w:t>
            </w:r>
            <w:commentRangeEnd w:id="3"/>
            <w:r w:rsidR="00BF5F38">
              <w:rPr>
                <w:rStyle w:val="CommentReference"/>
              </w:rPr>
              <w:commentReference w:id="3"/>
            </w:r>
            <w:r w:rsidR="00F26E66" w:rsidRPr="00DB69C1">
              <w:rPr>
                <w:rFonts w:ascii="Times New Roman" w:eastAsia="Times New Roman" w:hAnsi="Times New Roman" w:cs="Times New Roman"/>
              </w:rPr>
              <w:t>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gridBefore w:val="1"/>
          <w:trHeight w:val="1034"/>
        </w:trPr>
        <w:tc>
          <w:tcPr>
            <w:tcW w:w="2160" w:type="dxa"/>
            <w:gridSpan w:val="2"/>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It will now become 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214B5B">
              <w:rPr>
                <w:rFonts w:ascii="Times New Roman" w:hAnsi="Times New Roman" w:cs="Times New Roman"/>
                <w:bCs/>
              </w:rPr>
              <w:t>.  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no longer exist in 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lastRenderedPageBreak/>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more stringent and recent federal 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EPA</w:t>
            </w:r>
            <w:r w:rsidRPr="00DB69C1">
              <w:rPr>
                <w:rFonts w:ascii="Times New Roman" w:hAnsi="Times New Roman" w:cs="Times New Roman"/>
                <w:bCs/>
              </w:rPr>
              <w:t>’s</w:t>
            </w:r>
            <w:r w:rsidR="00372C6F" w:rsidRPr="00DB69C1">
              <w:rPr>
                <w:rFonts w:ascii="Times New Roman" w:hAnsi="Times New Roman" w:cs="Times New Roman"/>
                <w:bCs/>
              </w:rPr>
              <w:t xml:space="preserve"> adopt</w:t>
            </w:r>
            <w:r w:rsidRPr="00DB69C1">
              <w:rPr>
                <w:rFonts w:ascii="Times New Roman" w:hAnsi="Times New Roman" w:cs="Times New Roman"/>
                <w:bCs/>
              </w:rPr>
              <w:t xml:space="preserve">ion of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There are now specific rules such as Best Available Retrofit Technology (BART) requirements for </w:t>
            </w:r>
            <w:r w:rsidR="004546DB" w:rsidRPr="00DB69C1">
              <w:rPr>
                <w:rFonts w:ascii="Times New Roman" w:hAnsi="Times New Roman" w:cs="Times New Roman"/>
                <w:bCs/>
              </w:rPr>
              <w:t xml:space="preserve">haze causing 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A35D63" w:rsidRPr="00DB69C1">
              <w:rPr>
                <w:rFonts w:ascii="Times New Roman" w:hAnsi="Times New Roman" w:cs="Times New Roman"/>
                <w:bCs/>
              </w:rPr>
              <w:t xml:space="preserve">no longer </w:t>
            </w:r>
            <w:r w:rsidR="00A35D63">
              <w:rPr>
                <w:rFonts w:ascii="Times New Roman" w:hAnsi="Times New Roman" w:cs="Times New Roman"/>
                <w:bCs/>
              </w:rPr>
              <w:t xml:space="preserve">allow </w:t>
            </w:r>
            <w:r w:rsidR="00F66260" w:rsidRPr="00DB69C1">
              <w:rPr>
                <w:rFonts w:ascii="Times New Roman" w:hAnsi="Times New Roman" w:cs="Times New Roman"/>
                <w:bCs/>
              </w:rPr>
              <w:t xml:space="preserve">forced-air pit or air curtain incinerators </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he manuals need to be updated</w:t>
            </w:r>
            <w:r w:rsidR="00A35D63">
              <w:rPr>
                <w:rFonts w:ascii="Times New Roman" w:hAnsi="Times New Roman" w:cs="Times New Roman"/>
              </w:rPr>
              <w:t xml:space="preserve"> because</w:t>
            </w:r>
            <w:r w:rsidR="00A35D63" w:rsidRPr="00DB69C1">
              <w:rPr>
                <w:rFonts w:ascii="Times New Roman" w:hAnsi="Times New Roman" w:cs="Times New Roman"/>
              </w:rPr>
              <w:t xml:space="preserve"> </w:t>
            </w:r>
            <w:r w:rsidRPr="00DB69C1">
              <w:rPr>
                <w:rFonts w:ascii="Times New Roman" w:hAnsi="Times New Roman" w:cs="Times New Roman"/>
              </w:rPr>
              <w:t xml:space="preserve">EPA methods have changed and </w:t>
            </w:r>
            <w:r w:rsidR="0047155E">
              <w:rPr>
                <w:rFonts w:ascii="Times New Roman" w:hAnsi="Times New Roman" w:cs="Times New Roman"/>
              </w:rPr>
              <w:t>fine particulate</w:t>
            </w:r>
            <w:r w:rsidRPr="00DB69C1">
              <w:rPr>
                <w:rFonts w:ascii="Times New Roman" w:hAnsi="Times New Roman" w:cs="Times New Roman"/>
              </w:rPr>
              <w:t xml:space="preserve"> standards have since been adopted.</w:t>
            </w:r>
          </w:p>
        </w:tc>
      </w:tr>
      <w:tr w:rsidR="00B15FBD" w:rsidRPr="00E638D3" w:rsidTr="00B15FBD">
        <w:trPr>
          <w:gridBefore w:val="1"/>
          <w:trHeight w:val="20"/>
        </w:trPr>
        <w:tc>
          <w:tcPr>
            <w:tcW w:w="10440" w:type="dxa"/>
            <w:gridSpan w:val="4"/>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commentRangeStart w:id="4"/>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commentRangeEnd w:id="4"/>
            <w:r w:rsidR="0070224C">
              <w:rPr>
                <w:rStyle w:val="CommentReference"/>
              </w:rPr>
              <w:commentReference w:id="4"/>
            </w:r>
          </w:p>
        </w:tc>
      </w:tr>
      <w:tr w:rsidR="00764BF6" w:rsidRPr="00E638D3" w:rsidTr="00B15FBD">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008737CA">
              <w:rPr>
                <w:rFonts w:ascii="Times New Roman" w:eastAsia="Times New Roman" w:hAnsi="Times New Roman" w:cs="Times New Roman"/>
              </w:rPr>
              <w:t>S</w:t>
            </w:r>
            <w:r w:rsidR="00712AA9">
              <w:rPr>
                <w:rFonts w:ascii="Times New Roman" w:eastAsia="Times New Roman" w:hAnsi="Times New Roman" w:cs="Times New Roman"/>
              </w:rPr>
              <w:t>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008737CA">
              <w:rPr>
                <w:rFonts w:ascii="Times New Roman" w:eastAsia="Times New Roman" w:hAnsi="Times New Roman" w:cs="Times New Roman"/>
              </w:rPr>
              <w:t xml:space="preserve"> are also</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a clean air area, </w:t>
            </w:r>
            <w:r w:rsidRPr="00E638D3">
              <w:rPr>
                <w:rFonts w:ascii="Times New Roman" w:eastAsia="Times New Roman" w:hAnsi="Times New Roman" w:cs="Times New Roman"/>
              </w:rPr>
              <w:t>new businesses are</w:t>
            </w:r>
            <w:r w:rsidR="000E4491">
              <w:rPr>
                <w:rFonts w:ascii="Times New Roman" w:eastAsia="Times New Roman" w:hAnsi="Times New Roman" w:cs="Times New Roman"/>
              </w:rPr>
              <w:t xml:space="preserve"> not</w:t>
            </w:r>
            <w:r w:rsidRPr="00E638D3">
              <w:rPr>
                <w:rFonts w:ascii="Times New Roman" w:eastAsia="Times New Roman" w:hAnsi="Times New Roman" w:cs="Times New Roman"/>
              </w:rPr>
              <w:t xml:space="preserve"> 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Pr="00E638D3">
              <w:rPr>
                <w:rFonts w:ascii="Times New Roman" w:eastAsia="Times New Roman" w:hAnsi="Times New Roman" w:cs="Times New Roman"/>
              </w:rPr>
              <w:t xml:space="preserve">several </w:t>
            </w:r>
            <w:r w:rsidRPr="00E638D3" w:rsidDel="00BA69EF">
              <w:rPr>
                <w:rFonts w:ascii="Times New Roman" w:eastAsia="Times New Roman" w:hAnsi="Times New Roman" w:cs="Times New Roman"/>
              </w:rPr>
              <w:t>types of standards</w:t>
            </w:r>
            <w:r w:rsidRPr="00E638D3">
              <w:rPr>
                <w:rFonts w:ascii="Times New Roman" w:eastAsia="Times New Roman" w:hAnsi="Times New Roman" w:cs="Times New Roman"/>
              </w:rPr>
              <w:t xml:space="preserve"> when issuing air quality permits</w:t>
            </w:r>
            <w:r w:rsidRPr="00E638D3" w:rsidDel="00BA69EF">
              <w:rPr>
                <w:rFonts w:ascii="Times New Roman" w:eastAsia="Times New Roman" w:hAnsi="Times New Roman" w:cs="Times New Roman"/>
              </w:rPr>
              <w:t>. One standard</w:t>
            </w:r>
            <w:r w:rsidRPr="00E638D3">
              <w:rPr>
                <w:rFonts w:ascii="Times New Roman" w:eastAsia="Times New Roman" w:hAnsi="Times New Roman" w:cs="Times New Roman"/>
              </w:rPr>
              <w:t xml:space="preserve"> for particulate matter – dust, dirt, etc. – involves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concentration-based (mass per unit of volume)</w:t>
            </w:r>
            <w:r w:rsidRPr="00E638D3" w:rsidDel="00BA69EF">
              <w:rPr>
                <w:rFonts w:ascii="Times New Roman" w:eastAsia="Times New Roman" w:hAnsi="Times New Roman" w:cs="Times New Roman"/>
              </w:rPr>
              <w:t xml:space="preserve"> emission limits. A second 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427970">
              <w:rPr>
                <w:rFonts w:ascii="Times New Roman" w:eastAsia="Times New Roman" w:hAnsi="Times New Roman" w:cs="Times New Roman"/>
              </w:rPr>
              <w:t xml:space="preserve">matter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 xml:space="preserve">units </w:t>
            </w:r>
            <w:r w:rsidR="004546DB" w:rsidDel="00BA69EF">
              <w:rPr>
                <w:rFonts w:ascii="Times New Roman" w:eastAsia="Times New Roman" w:hAnsi="Times New Roman" w:cs="Times New Roman"/>
              </w:rPr>
              <w:lastRenderedPageBreak/>
              <w:t>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Pr="00E638D3" w:rsidDel="00BA69EF" w:rsidRDefault="005B7826" w:rsidP="00137427">
            <w:pPr>
              <w:pStyle w:val="ListParagraph"/>
              <w:numPr>
                <w:ilvl w:val="0"/>
                <w:numId w:val="14"/>
              </w:numPr>
              <w:ind w:right="18"/>
              <w:rPr>
                <w:rFonts w:ascii="Times New Roman" w:eastAsia="Times New Roman" w:hAnsi="Times New Roman" w:cs="Times New Roman"/>
                <w:bCs/>
              </w:rPr>
            </w:pPr>
            <w:r w:rsidRPr="00E638D3" w:rsidDel="00BA69EF">
              <w:rPr>
                <w:rFonts w:ascii="Times New Roman" w:eastAsia="Times New Roman" w:hAnsi="Times New Roman" w:cs="Times New Roman"/>
                <w:bCs/>
              </w:rPr>
              <w:t>Post 1970 unit: 0.1 gr/dscf and 20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At that time, </w:t>
            </w:r>
            <w:r w:rsidR="0047155E">
              <w:rPr>
                <w:rFonts w:ascii="Times New Roman" w:eastAsia="Times New Roman" w:hAnsi="Times New Roman" w:cs="Times New Roman"/>
              </w:rPr>
              <w:t xml:space="preserve">DEQ and EPA used </w:t>
            </w:r>
            <w:r w:rsidRPr="00E638D3">
              <w:rPr>
                <w:rFonts w:ascii="Times New Roman" w:eastAsia="Times New Roman" w:hAnsi="Times New Roman" w:cs="Times New Roman"/>
              </w:rPr>
              <w:t>an ambient air quality standard for total particulate</w:t>
            </w:r>
            <w:r w:rsidR="0047155E">
              <w:rPr>
                <w:rFonts w:ascii="Times New Roman" w:eastAsia="Times New Roman" w:hAnsi="Times New Roman" w:cs="Times New Roman"/>
              </w:rPr>
              <w:t>s that did not differentiate between coarse particulates and fine particulates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two areas that exceed the standard</w:t>
            </w:r>
            <w:r w:rsidR="00223522">
              <w:rPr>
                <w:rFonts w:ascii="Times New Roman" w:eastAsia="Times New Roman" w:hAnsi="Times New Roman" w:cs="Times New Roman"/>
              </w:rPr>
              <w:t>, Klamath Falls and Oakridge</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proactive measures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violations of current standards and potentially </w:t>
            </w:r>
            <w:r w:rsidR="00D52F39">
              <w:rPr>
                <w:rFonts w:ascii="Times New Roman" w:eastAsia="Times New Roman" w:hAnsi="Times New Roman" w:cs="Times New Roman"/>
              </w:rPr>
              <w:t xml:space="preserve">even </w:t>
            </w:r>
            <w:r w:rsidR="005B7826" w:rsidRPr="00E638D3">
              <w:rPr>
                <w:rFonts w:ascii="Times New Roman" w:eastAsia="Times New Roman" w:hAnsi="Times New Roman" w:cs="Times New Roman"/>
              </w:rPr>
              <w:t>more stringent standards in the future</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DEQ adopted similar, more stringent rules when areas like Medford and La Grande exceeded the </w:t>
            </w:r>
            <w:r w:rsidR="009859E5">
              <w:rPr>
                <w:rFonts w:ascii="Times New Roman" w:eastAsia="Times New Roman" w:hAnsi="Times New Roman" w:cs="Times New Roman"/>
              </w:rPr>
              <w:t>coarse particulate</w:t>
            </w:r>
            <w:r w:rsidR="009859E5"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ambient air quality standard</w:t>
            </w:r>
            <w:r w:rsidR="00D52F39">
              <w:rPr>
                <w:rFonts w:ascii="Times New Roman" w:eastAsia="Times New Roman" w:hAnsi="Times New Roman" w:cs="Times New Roman"/>
              </w:rPr>
              <w:t xml:space="preserve"> and were designated as nonattainment areas by EPA</w:t>
            </w:r>
            <w:r w:rsidR="0019640C">
              <w:rPr>
                <w:rFonts w:ascii="Times New Roman" w:eastAsia="Times New Roman" w:hAnsi="Times New Roman" w:cs="Times New Roman"/>
              </w:rPr>
              <w:t xml:space="preserve">. </w:t>
            </w:r>
            <w:r w:rsidR="006A7FCE">
              <w:rPr>
                <w:rFonts w:ascii="Times New Roman" w:eastAsia="Times New Roman" w:hAnsi="Times New Roman" w:cs="Times New Roman"/>
              </w:rPr>
              <w:t>A</w:t>
            </w:r>
            <w:r w:rsidR="005B7826" w:rsidRPr="00E638D3">
              <w:rPr>
                <w:rFonts w:ascii="Times New Roman" w:eastAsia="Times New Roman" w:hAnsi="Times New Roman" w:cs="Times New Roman"/>
              </w:rPr>
              <w:t xml:space="preserve">dopting more stringent rules before areas exceed ambient air quality standards and become nonattainment areas, </w:t>
            </w:r>
            <w:r w:rsidR="006A7FCE">
              <w:rPr>
                <w:rFonts w:ascii="Times New Roman" w:eastAsia="Times New Roman" w:hAnsi="Times New Roman" w:cs="Times New Roman"/>
              </w:rPr>
              <w:t>helps</w:t>
            </w:r>
            <w:r w:rsidR="005B7826" w:rsidRPr="00E638D3">
              <w:rPr>
                <w:rFonts w:ascii="Times New Roman" w:eastAsia="Times New Roman" w:hAnsi="Times New Roman" w:cs="Times New Roman"/>
              </w:rPr>
              <w:t xml:space="preserve"> avoid the severe </w:t>
            </w:r>
            <w:r w:rsidR="00D52F39">
              <w:rPr>
                <w:rFonts w:ascii="Times New Roman" w:eastAsia="Times New Roman" w:hAnsi="Times New Roman" w:cs="Times New Roman"/>
              </w:rPr>
              <w:t xml:space="preserve">nonattainment area </w:t>
            </w:r>
            <w:r w:rsidR="005B7826" w:rsidRPr="00E638D3">
              <w:rPr>
                <w:rFonts w:ascii="Times New Roman" w:eastAsia="Times New Roman" w:hAnsi="Times New Roman" w:cs="Times New Roman"/>
              </w:rPr>
              <w:t>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On</w:t>
            </w:r>
            <w:r w:rsidR="00FD4B2E">
              <w:rPr>
                <w:rFonts w:ascii="Times New Roman" w:eastAsia="Times New Roman" w:hAnsi="Times New Roman" w:cs="Times New Roman"/>
              </w:rPr>
              <w:t>e</w:t>
            </w:r>
            <w:r w:rsidR="005B7826" w:rsidRPr="00E638D3">
              <w:rPr>
                <w:rFonts w:ascii="Times New Roman" w:eastAsia="Times New Roman" w:hAnsi="Times New Roman" w:cs="Times New Roman"/>
              </w:rPr>
              <w:t xml:space="preserve"> </w:t>
            </w:r>
            <w:r w:rsidR="009859E5">
              <w:rPr>
                <w:rFonts w:ascii="Times New Roman" w:eastAsia="Times New Roman" w:hAnsi="Times New Roman" w:cs="Times New Roman"/>
              </w:rPr>
              <w:t xml:space="preserve">current </w:t>
            </w:r>
            <w:r w:rsidR="00427970">
              <w:rPr>
                <w:rFonts w:ascii="Times New Roman" w:eastAsia="Times New Roman" w:hAnsi="Times New Roman" w:cs="Times New Roman"/>
              </w:rPr>
              <w:t xml:space="preserve">particulate matter </w:t>
            </w:r>
            <w:r w:rsidR="005B7826" w:rsidRPr="00E638D3">
              <w:rPr>
                <w:rFonts w:ascii="Times New Roman" w:eastAsia="Times New Roman" w:hAnsi="Times New Roman" w:cs="Times New Roman"/>
              </w:rPr>
              <w:t xml:space="preserve">standard is </w:t>
            </w:r>
            <w:r w:rsidR="009859E5" w:rsidRPr="00E638D3">
              <w:rPr>
                <w:rFonts w:ascii="Times New Roman" w:eastAsia="Times New Roman" w:hAnsi="Times New Roman" w:cs="Times New Roman"/>
              </w:rPr>
              <w:t>0.1 gr/dscf</w:t>
            </w:r>
            <w:r w:rsidR="009859E5">
              <w:rPr>
                <w:rFonts w:ascii="Times New Roman" w:eastAsia="Times New Roman" w:hAnsi="Times New Roman" w:cs="Times New Roman"/>
              </w:rPr>
              <w:t xml:space="preserve">. However, this value is </w:t>
            </w:r>
            <w:r w:rsidR="005B7826" w:rsidRPr="00E638D3">
              <w:rPr>
                <w:rFonts w:ascii="Times New Roman" w:eastAsia="Times New Roman" w:hAnsi="Times New Roman" w:cs="Times New Roman"/>
              </w:rPr>
              <w:t>inconsistent 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EPA considers all standards to have two significant figures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never developed a reference 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unenforceable.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order to show compliance with this standard, people use a</w:t>
            </w:r>
            <w:r w:rsidR="001A273D">
              <w:rPr>
                <w:rFonts w:ascii="Times New Roman" w:eastAsia="Times New Roman" w:hAnsi="Times New Roman" w:cs="Times New Roman"/>
              </w:rPr>
              <w:t xml:space="preserve">n </w:t>
            </w:r>
            <w:r w:rsidRPr="00E638D3">
              <w:rPr>
                <w:rFonts w:ascii="Times New Roman" w:eastAsia="Times New Roman" w:hAnsi="Times New Roman" w:cs="Times New Roman"/>
              </w:rPr>
              <w:t xml:space="preserve">modified EPA Method 9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 xml:space="preserve">minute </w:t>
            </w:r>
            <w:r w:rsidR="00C236BB">
              <w:rPr>
                <w:rFonts w:ascii="Times New Roman" w:eastAsia="Times New Roman" w:hAnsi="Times New Roman" w:cs="Times New Roman"/>
              </w:rPr>
              <w:t xml:space="preserve">block average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6A7FCE"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Current </w:t>
            </w:r>
            <w:r w:rsidR="00FD4B2E">
              <w:rPr>
                <w:rFonts w:ascii="Times New Roman" w:eastAsia="Times New Roman" w:hAnsi="Times New Roman" w:cs="Times New Roman"/>
              </w:rPr>
              <w:t>rules 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Pr>
                <w:rFonts w:ascii="Times New Roman" w:eastAsia="Times New Roman" w:hAnsi="Times New Roman" w:cs="Times New Roman"/>
              </w:rPr>
              <w:t>that</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FD4B2E">
              <w:rPr>
                <w:rFonts w:ascii="Times New Roman" w:eastAsia="Times New Roman" w:hAnsi="Times New Roman" w:cs="Times New Roman"/>
              </w:rPr>
              <w:t xml:space="preserve"> This rule only applies in the four-county area around Portland.</w:t>
            </w:r>
            <w:r w:rsidR="005B7826" w:rsidRPr="00E638D3">
              <w:rPr>
                <w:rFonts w:ascii="Times New Roman" w:eastAsia="Times New Roman" w:hAnsi="Times New Roman" w:cs="Times New Roman"/>
              </w:rPr>
              <w:t xml:space="preserve"> In the context of this rule, “non-fuel</w:t>
            </w:r>
            <w:r w:rsidR="00FD4B2E">
              <w:rPr>
                <w:rFonts w:ascii="Times New Roman" w:eastAsia="Times New Roman" w:hAnsi="Times New Roman" w:cs="Times New Roman"/>
              </w:rPr>
              <w:t xml:space="preserve"> </w:t>
            </w:r>
            <w:r w:rsidR="005B7826" w:rsidRPr="00E638D3">
              <w:rPr>
                <w:rFonts w:ascii="Times New Roman" w:eastAsia="Times New Roman" w:hAnsi="Times New Roman" w:cs="Times New Roman"/>
              </w:rPr>
              <w:t>burning</w:t>
            </w:r>
            <w:r w:rsidR="00FD4B2E">
              <w:rPr>
                <w:rFonts w:ascii="Times New Roman" w:eastAsia="Times New Roman" w:hAnsi="Times New Roman" w:cs="Times New Roman"/>
              </w:rPr>
              <w:t xml:space="preserve"> </w:t>
            </w:r>
            <w:r w:rsidR="005B7826" w:rsidRPr="00E638D3">
              <w:rPr>
                <w:rFonts w:ascii="Times New Roman" w:eastAsia="Times New Roman" w:hAnsi="Times New Roman" w:cs="Times New Roman"/>
              </w:rPr>
              <w:t>equipment” essentially means equipment that is not a boiler, such as material handling equipment. Therefore, this rule</w:t>
            </w:r>
            <w:r w:rsidR="001A273D">
              <w:rPr>
                <w:rFonts w:ascii="Times New Roman" w:eastAsia="Times New Roman" w:hAnsi="Times New Roman" w:cs="Times New Roman"/>
              </w:rPr>
              <w:t xml:space="preserve"> is not just limited to the four-county area, but</w:t>
            </w:r>
            <w:r w:rsidR="005B7826" w:rsidRPr="00E638D3">
              <w:rPr>
                <w:rFonts w:ascii="Times New Roman" w:eastAsia="Times New Roman" w:hAnsi="Times New Roman" w:cs="Times New Roman"/>
              </w:rPr>
              <w:t xml:space="preserve"> has limited applicability </w:t>
            </w:r>
            <w:r w:rsidR="001A273D">
              <w:rPr>
                <w:rFonts w:ascii="Times New Roman" w:eastAsia="Times New Roman" w:hAnsi="Times New Roman" w:cs="Times New Roman"/>
              </w:rPr>
              <w:t>with</w:t>
            </w:r>
            <w:r w:rsidR="005B7826" w:rsidRPr="00E638D3">
              <w:rPr>
                <w:rFonts w:ascii="Times New Roman" w:eastAsia="Times New Roman" w:hAnsi="Times New Roman" w:cs="Times New Roman"/>
              </w:rPr>
              <w:t>in the four-county area</w:t>
            </w:r>
            <w:r w:rsidR="00380513">
              <w:rPr>
                <w:rFonts w:ascii="Times New Roman" w:eastAsia="Times New Roman" w:hAnsi="Times New Roman" w:cs="Times New Roman"/>
              </w:rPr>
              <w:t xml:space="preserve"> making </w:t>
            </w:r>
            <w:r w:rsidR="00FD4B2E" w:rsidRPr="00E638D3">
              <w:rPr>
                <w:rFonts w:ascii="Times New Roman" w:eastAsia="Times New Roman" w:hAnsi="Times New Roman" w:cs="Times New Roman"/>
              </w:rPr>
              <w:t>th</w:t>
            </w:r>
            <w:r w:rsidR="00FD4B2E">
              <w:rPr>
                <w:rFonts w:ascii="Times New Roman" w:eastAsia="Times New Roman" w:hAnsi="Times New Roman" w:cs="Times New Roman"/>
              </w:rPr>
              <w:t>is</w:t>
            </w:r>
            <w:r w:rsidR="00FD4B2E" w:rsidRPr="00E638D3">
              <w:rPr>
                <w:rFonts w:ascii="Times New Roman" w:eastAsia="Times New Roman" w:hAnsi="Times New Roman" w:cs="Times New Roman"/>
              </w:rPr>
              <w:t xml:space="preserve"> visible emissions standard for the four-county area more stringent than the current statewide standard.</w:t>
            </w:r>
            <w:r w:rsidR="00CA156F">
              <w:rPr>
                <w:rFonts w:ascii="Times New Roman" w:eastAsia="Times New Roman" w:hAnsi="Times New Roman" w:cs="Times New Roman"/>
              </w:rPr>
              <w:t xml:space="preserve"> However, just like the 3-minute aggregate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emissions standards are only enforceable if there is a defined method for </w:t>
            </w:r>
            <w:r w:rsidR="005B7826" w:rsidRPr="00E638D3">
              <w:rPr>
                <w:rFonts w:ascii="Times New Roman" w:eastAsia="Times New Roman" w:hAnsi="Times New Roman" w:cs="Times New Roman"/>
              </w:rPr>
              <w:lastRenderedPageBreak/>
              <w:t xml:space="preserve">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It may be possible in many situations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standard  and to then require action to abate the emissions. However, there may be situations where opacity readings are difficult to take or the emissions do not exceed the opacity standard but are nevertheless objectionable. </w:t>
            </w:r>
          </w:p>
        </w:tc>
      </w:tr>
      <w:tr w:rsidR="00764BF6" w:rsidRPr="00E638D3" w:rsidTr="00B15FBD">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economic development.</w:t>
            </w:r>
          </w:p>
          <w:p w:rsidR="00A413FE" w:rsidRDefault="00A413FE" w:rsidP="00A413FE">
            <w:pPr>
              <w:ind w:left="0" w:right="18"/>
              <w:rPr>
                <w:rFonts w:ascii="Times New Roman" w:eastAsia="Times New Roman" w:hAnsi="Times New Roman" w:cs="Times New Roman"/>
                <w:bCs/>
              </w:rPr>
            </w:pPr>
          </w:p>
          <w:p w:rsidR="008737CA" w:rsidRPr="00E638D3" w:rsidRDefault="008737CA"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Pr="00E638D3">
              <w:rPr>
                <w:rFonts w:ascii="Times New Roman" w:eastAsia="Times New Roman" w:hAnsi="Times New Roman" w:cs="Times New Roman"/>
                <w:bCs/>
              </w:rPr>
              <w:t>:</w:t>
            </w:r>
          </w:p>
          <w:p w:rsidR="00DC064E"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DC064E">
              <w:rPr>
                <w:rFonts w:ascii="Times New Roman" w:eastAsia="Times New Roman" w:hAnsi="Times New Roman" w:cs="Times New Roman"/>
                <w:bCs/>
              </w:rPr>
              <w:t>educe</w:t>
            </w:r>
            <w:r w:rsidR="00DC064E" w:rsidRPr="00E638D3">
              <w:rPr>
                <w:rFonts w:ascii="Times New Roman" w:eastAsia="Times New Roman" w:hAnsi="Times New Roman" w:cs="Times New Roman"/>
                <w:bCs/>
              </w:rPr>
              <w:t xml:space="preserve"> the particulate matter emissions from pre-1970 units</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lign the particulate matter standard with EPA policy on enforcement</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w:t>
            </w:r>
            <w:r w:rsidR="009E1F6C">
              <w:rPr>
                <w:rFonts w:ascii="Times New Roman" w:eastAsia="Times New Roman" w:hAnsi="Times New Roman" w:cs="Times New Roman"/>
                <w:bCs/>
              </w:rPr>
              <w:t>ractically increase 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units built before June 1970 by requiring these industries to meet </w:t>
            </w:r>
            <w:r>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Pr>
                <w:rFonts w:ascii="Times New Roman" w:eastAsia="Times New Roman" w:hAnsi="Times New Roman" w:cs="Times New Roman"/>
              </w:rPr>
              <w:t>as</w:t>
            </w:r>
            <w:r w:rsidRPr="00E638D3">
              <w:rPr>
                <w:rFonts w:ascii="Times New Roman" w:eastAsia="Times New Roman" w:hAnsi="Times New Roman" w:cs="Times New Roman"/>
              </w:rPr>
              <w:t xml:space="preserve"> post</w:t>
            </w:r>
            <w:r w:rsidR="002B6A4B">
              <w:rPr>
                <w:rFonts w:ascii="Times New Roman" w:eastAsia="Times New Roman" w:hAnsi="Times New Roman" w:cs="Times New Roman"/>
              </w:rPr>
              <w:t>-</w:t>
            </w:r>
            <w:r w:rsidRPr="00E638D3">
              <w:rPr>
                <w:rFonts w:ascii="Times New Roman" w:eastAsia="Times New Roman" w:hAnsi="Times New Roman" w:cs="Times New Roman"/>
              </w:rPr>
              <w:t>1970 units.</w:t>
            </w:r>
            <w:r w:rsidR="00DC064E">
              <w:rPr>
                <w:rFonts w:ascii="Times New Roman" w:eastAsia="Times New Roman" w:hAnsi="Times New Roman" w:cs="Times New Roman"/>
              </w:rPr>
              <w:t xml:space="preserve"> </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EPA’s policy that standards have 2 significant figures, </w:t>
            </w:r>
            <w:r w:rsidR="00FD4B2E" w:rsidRPr="00E638D3">
              <w:rPr>
                <w:rFonts w:ascii="Times New Roman" w:eastAsia="Times New Roman" w:hAnsi="Times New Roman" w:cs="Times New Roman"/>
              </w:rPr>
              <w:t>DEQ is proposing to add a zero to the</w:t>
            </w:r>
            <w:r>
              <w:rPr>
                <w:rFonts w:ascii="Times New Roman" w:eastAsia="Times New Roman" w:hAnsi="Times New Roman" w:cs="Times New Roman"/>
              </w:rPr>
              <w:t xml:space="preserve"> particulate matter</w:t>
            </w:r>
            <w:r w:rsidR="00FD4B2E" w:rsidRPr="00E638D3">
              <w:rPr>
                <w:rFonts w:ascii="Times New Roman" w:eastAsia="Times New Roman" w:hAnsi="Times New Roman" w:cs="Times New Roman"/>
              </w:rPr>
              <w:t xml:space="preserve"> standard</w:t>
            </w:r>
            <w:r>
              <w:rPr>
                <w:rFonts w:ascii="Times New Roman" w:eastAsia="Times New Roman" w:hAnsi="Times New Roman" w:cs="Times New Roman"/>
              </w:rPr>
              <w:t xml:space="preserve">, changing it from 0.1 gr/dscf </w:t>
            </w:r>
            <w:r w:rsidR="002111C1">
              <w:rPr>
                <w:rFonts w:ascii="Times New Roman" w:eastAsia="Times New Roman" w:hAnsi="Times New Roman" w:cs="Times New Roman"/>
              </w:rPr>
              <w:t>to</w:t>
            </w:r>
            <w:r w:rsidR="002111C1" w:rsidRPr="00E638D3">
              <w:rPr>
                <w:rFonts w:ascii="Times New Roman" w:eastAsia="Times New Roman" w:hAnsi="Times New Roman" w:cs="Times New Roman"/>
              </w:rPr>
              <w:t xml:space="preserve"> 0.10</w:t>
            </w:r>
            <w:r w:rsidR="00FD4B2E" w:rsidRPr="00E638D3">
              <w:rPr>
                <w:rFonts w:ascii="Times New Roman" w:eastAsia="Times New Roman" w:hAnsi="Times New Roman" w:cs="Times New Roman"/>
              </w:rPr>
              <w:t xml:space="preserve"> gr/dscf</w:t>
            </w:r>
            <w:r w:rsidR="00FD4B2E">
              <w:rPr>
                <w:rFonts w:ascii="Times New Roman" w:eastAsia="Times New Roman" w:hAnsi="Times New Roman" w:cs="Times New Roman"/>
              </w:rPr>
              <w:t xml:space="preserve">. </w:t>
            </w:r>
          </w:p>
          <w:p w:rsidR="00427970" w:rsidRDefault="00427970"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427970">
              <w:rPr>
                <w:rFonts w:ascii="Times New Roman" w:eastAsia="Times New Roman" w:hAnsi="Times New Roman" w:cs="Times New Roman"/>
              </w:rPr>
              <w:t>April</w:t>
            </w:r>
            <w:r w:rsidR="00427970" w:rsidRPr="00E638D3">
              <w:rPr>
                <w:rFonts w:ascii="Times New Roman" w:eastAsia="Times New Roman" w:hAnsi="Times New Roman" w:cs="Times New Roman"/>
              </w:rPr>
              <w:t xml:space="preserve"> 1, 2015 to comply with the lower opacity standard</w:t>
            </w:r>
            <w:r w:rsidR="00427970">
              <w:rPr>
                <w:rFonts w:ascii="Times New Roman" w:eastAsia="Times New Roman" w:hAnsi="Times New Roman" w:cs="Times New Roman"/>
              </w:rPr>
              <w:t xml:space="preserve"> and until </w:t>
            </w:r>
            <w:r>
              <w:rPr>
                <w:rFonts w:ascii="Times New Roman" w:eastAsia="Times New Roman" w:hAnsi="Times New Roman" w:cs="Times New Roman"/>
              </w:rPr>
              <w:t>April</w:t>
            </w:r>
            <w:r w:rsidRPr="00E638D3">
              <w:rPr>
                <w:rFonts w:ascii="Times New Roman" w:eastAsia="Times New Roman" w:hAnsi="Times New Roman" w:cs="Times New Roman"/>
              </w:rPr>
              <w:t xml:space="preserve"> 1, 2019 to comply with the lower particulate matter standard</w:t>
            </w:r>
            <w:r>
              <w:rPr>
                <w:rFonts w:ascii="Times New Roman" w:eastAsia="Times New Roman" w:hAnsi="Times New Roman" w:cs="Times New Roman"/>
              </w:rPr>
              <w:t>.</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to 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 opacity standards</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E17436" w:rsidP="00FD4B2E">
            <w:pPr>
              <w:ind w:left="0" w:right="18"/>
              <w:rPr>
                <w:rFonts w:ascii="Times New Roman" w:eastAsia="Times New Roman" w:hAnsi="Times New Roman" w:cs="Times New Roman"/>
              </w:rPr>
            </w:pPr>
            <w:r>
              <w:rPr>
                <w:rFonts w:ascii="Times New Roman" w:eastAsia="Times New Roman" w:hAnsi="Times New Roman" w:cs="Times New Roman"/>
              </w:rPr>
              <w:t xml:space="preserve">Repealing the </w:t>
            </w:r>
            <w:r w:rsidRPr="00E638D3">
              <w:rPr>
                <w:rFonts w:ascii="Times New Roman" w:eastAsia="Times New Roman" w:hAnsi="Times New Roman" w:cs="Times New Roman"/>
              </w:rPr>
              <w:t>Portland</w:t>
            </w:r>
            <w:r>
              <w:rPr>
                <w:rFonts w:ascii="Times New Roman" w:eastAsia="Times New Roman" w:hAnsi="Times New Roman" w:cs="Times New Roman"/>
              </w:rPr>
              <w:t>-area</w:t>
            </w:r>
            <w:r w:rsidRPr="00E638D3">
              <w:rPr>
                <w:rFonts w:ascii="Times New Roman" w:eastAsia="Times New Roman" w:hAnsi="Times New Roman" w:cs="Times New Roman"/>
              </w:rPr>
              <w:t xml:space="preserve"> four-county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w:t>
            </w:r>
            <w:r>
              <w:rPr>
                <w:rFonts w:ascii="Times New Roman" w:eastAsia="Times New Roman" w:hAnsi="Times New Roman" w:cs="Times New Roman"/>
              </w:rPr>
              <w:t xml:space="preserve"> would </w:t>
            </w:r>
            <w:r w:rsidR="003B2BBA">
              <w:rPr>
                <w:rFonts w:ascii="Times New Roman" w:eastAsia="Times New Roman" w:hAnsi="Times New Roman" w:cs="Times New Roman"/>
              </w:rPr>
              <w:t xml:space="preserve"> solve the problem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E17436" w:rsidP="00400EF8">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Changing the visible emissions limit for</w:t>
            </w:r>
            <w:r w:rsidRPr="00E638D3">
              <w:rPr>
                <w:rFonts w:ascii="Times New Roman" w:eastAsia="Times New Roman" w:hAnsi="Times New Roman" w:cs="Times New Roman"/>
              </w:rPr>
              <w:t xml:space="preserve"> fugitive sources from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w:t>
            </w:r>
            <w:r>
              <w:rPr>
                <w:rFonts w:ascii="Times New Roman" w:eastAsia="Times New Roman" w:hAnsi="Times New Roman" w:cs="Times New Roman"/>
              </w:rPr>
              <w:t xml:space="preserve">to a limit on any visible emissions leaving a source’s property </w:t>
            </w:r>
            <w:r w:rsidR="004A5D95">
              <w:rPr>
                <w:rFonts w:ascii="Times New Roman" w:eastAsia="Times New Roman" w:hAnsi="Times New Roman" w:cs="Times New Roman"/>
              </w:rPr>
              <w:t>would</w:t>
            </w:r>
            <w:r w:rsidR="00DC064E" w:rsidRPr="00E638D3">
              <w:rPr>
                <w:rFonts w:ascii="Times New Roman" w:eastAsia="Times New Roman" w:hAnsi="Times New Roman" w:cs="Times New Roman"/>
              </w:rPr>
              <w:t xml:space="preserve"> solve the problem of trying to read opacity from fugitive emission sources</w:t>
            </w:r>
            <w:r w:rsidR="004918AF">
              <w:rPr>
                <w:rFonts w:ascii="Times New Roman" w:eastAsia="Times New Roman" w:hAnsi="Times New Roman" w:cs="Times New Roman"/>
              </w:rPr>
              <w:t xml:space="preserve">. </w:t>
            </w:r>
            <w:r w:rsidR="003B2BBA">
              <w:rPr>
                <w:rFonts w:ascii="Times New Roman" w:eastAsia="Times New Roman" w:hAnsi="Times New Roman" w:cs="Times New Roman"/>
              </w:rPr>
              <w:t>This</w:t>
            </w:r>
            <w:r w:rsidR="003B2BBA" w:rsidRPr="00E638D3">
              <w:rPr>
                <w:rFonts w:ascii="Times New Roman" w:eastAsia="Times New Roman" w:hAnsi="Times New Roman" w:cs="Times New Roman"/>
              </w:rPr>
              <w:t xml:space="preserve"> is a simpler, </w:t>
            </w:r>
            <w:r w:rsidR="003B2BBA" w:rsidRPr="00E638D3">
              <w:rPr>
                <w:rFonts w:ascii="Times New Roman" w:eastAsia="Times New Roman" w:hAnsi="Times New Roman" w:cs="Times New Roman"/>
              </w:rPr>
              <w:lastRenderedPageBreak/>
              <w:t xml:space="preserve">more stringent and more effective approach to controlling </w:t>
            </w:r>
            <w:r w:rsidR="004A5D95">
              <w:rPr>
                <w:rFonts w:ascii="Times New Roman" w:eastAsia="Times New Roman" w:hAnsi="Times New Roman" w:cs="Times New Roman"/>
              </w:rPr>
              <w:t>these</w:t>
            </w:r>
            <w:r w:rsidR="004A5D95" w:rsidRPr="00E638D3">
              <w:rPr>
                <w:rFonts w:ascii="Times New Roman" w:eastAsia="Times New Roman" w:hAnsi="Times New Roman" w:cs="Times New Roman"/>
              </w:rPr>
              <w:t xml:space="preserve"> </w:t>
            </w:r>
            <w:r w:rsidR="003B2BBA" w:rsidRPr="00E638D3">
              <w:rPr>
                <w:rFonts w:ascii="Times New Roman" w:eastAsia="Times New Roman" w:hAnsi="Times New Roman" w:cs="Times New Roman"/>
              </w:rPr>
              <w:t>emissions</w:t>
            </w:r>
            <w:r w:rsidR="003B2BBA">
              <w:rPr>
                <w:rFonts w:ascii="Times New Roman" w:eastAsia="Times New Roman" w:hAnsi="Times New Roman" w:cs="Times New Roman"/>
              </w:rPr>
              <w:t xml:space="preserve">. </w:t>
            </w:r>
            <w:r w:rsidR="004918AF"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sidR="004918AF">
              <w:rPr>
                <w:rFonts w:ascii="Times New Roman" w:eastAsia="Times New Roman" w:hAnsi="Times New Roman" w:cs="Times New Roman"/>
              </w:rPr>
              <w:t>what is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p>
        </w:tc>
      </w:tr>
      <w:tr w:rsidR="001730A0" w:rsidRPr="00E638D3" w:rsidTr="001730A0">
        <w:trPr>
          <w:gridBefore w:val="1"/>
          <w:trHeight w:val="20"/>
        </w:trPr>
        <w:tc>
          <w:tcPr>
            <w:tcW w:w="10440" w:type="dxa"/>
            <w:gridSpan w:val="4"/>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 xml:space="preserve">the Title V permitting program in the mid 1990’s,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t>were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477F16">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
          <w:p w:rsidR="00CF2835" w:rsidRPr="00E638D3" w:rsidRDefault="007C1E2F" w:rsidP="00477F1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2C5A4C" w:rsidRPr="00E638D3">
              <w:rPr>
                <w:rFonts w:ascii="Times New Roman" w:eastAsia="Times New Roman" w:hAnsi="Times New Roman" w:cs="Times New Roman"/>
              </w:rPr>
              <w:t>propos</w:t>
            </w:r>
            <w:r w:rsidR="002C5A4C">
              <w:rPr>
                <w:rFonts w:ascii="Times New Roman" w:eastAsia="Times New Roman" w:hAnsi="Times New Roman" w:cs="Times New Roman"/>
              </w:rPr>
              <w:t>es</w:t>
            </w:r>
            <w:r w:rsidRPr="00E638D3">
              <w:rPr>
                <w:rFonts w:ascii="Times New Roman" w:eastAsia="Times New Roman" w:hAnsi="Times New Roman" w:cs="Times New Roman"/>
              </w:rPr>
              <w:t xml:space="preserve"> rules that would </w:t>
            </w:r>
            <w:r w:rsidR="00C2676F" w:rsidRPr="00E638D3">
              <w:rPr>
                <w:rFonts w:ascii="Times New Roman" w:eastAsia="Times New Roman" w:hAnsi="Times New Roman" w:cs="Times New Roman"/>
              </w:rPr>
              <w:t xml:space="preserve">remove </w:t>
            </w:r>
            <w:r w:rsidR="00E51708">
              <w:rPr>
                <w:rFonts w:ascii="Times New Roman" w:eastAsia="Times New Roman" w:hAnsi="Times New Roman" w:cs="Times New Roman"/>
              </w:rPr>
              <w:t xml:space="preserve">small natural gas or oil-fired </w:t>
            </w:r>
            <w:r w:rsidR="00DD5EB9">
              <w:rPr>
                <w:rFonts w:ascii="Times New Roman" w:eastAsia="Times New Roman" w:hAnsi="Times New Roman" w:cs="Times New Roman"/>
              </w:rPr>
              <w:t>equipment</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and emergency generators 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These </w:t>
            </w:r>
            <w:r w:rsidR="004A088C" w:rsidRPr="00E638D3">
              <w:rPr>
                <w:rFonts w:ascii="Times New Roman" w:eastAsia="Times New Roman" w:hAnsi="Times New Roman" w:cs="Times New Roman"/>
              </w:rPr>
              <w:t xml:space="preserve">activities </w:t>
            </w:r>
            <w:r w:rsidR="004A088C">
              <w:rPr>
                <w:rFonts w:ascii="Times New Roman" w:eastAsia="Times New Roman" w:hAnsi="Times New Roman" w:cs="Times New Roman"/>
              </w:rPr>
              <w:t>usually become part of</w:t>
            </w:r>
            <w:r w:rsidR="004A088C" w:rsidRPr="00E638D3">
              <w:rPr>
                <w:rFonts w:ascii="Times New Roman" w:eastAsia="Times New Roman" w:hAnsi="Times New Roman" w:cs="Times New Roman"/>
              </w:rPr>
              <w:t xml:space="preserve"> an existing permit</w:t>
            </w:r>
            <w:r w:rsidR="004A088C">
              <w:rPr>
                <w:rFonts w:ascii="Times New Roman" w:eastAsia="Times New Roman" w:hAnsi="Times New Roman" w:cs="Times New Roman"/>
              </w:rPr>
              <w:t xml:space="preserve"> and i</w:t>
            </w:r>
            <w:r w:rsidR="004A088C" w:rsidRPr="00E638D3">
              <w:rPr>
                <w:rFonts w:ascii="Times New Roman" w:eastAsia="Times New Roman" w:hAnsi="Times New Roman" w:cs="Times New Roman"/>
              </w:rPr>
              <w:t xml:space="preserve">n some cases, a business </w:t>
            </w:r>
            <w:r w:rsidR="004A088C">
              <w:rPr>
                <w:rFonts w:ascii="Times New Roman" w:eastAsia="Times New Roman" w:hAnsi="Times New Roman" w:cs="Times New Roman"/>
              </w:rPr>
              <w:t>would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gridBefore w:val="1"/>
          <w:trHeight w:val="327"/>
        </w:trPr>
        <w:tc>
          <w:tcPr>
            <w:tcW w:w="10440" w:type="dxa"/>
            <w:gridSpan w:val="4"/>
            <w:tcBorders>
              <w:bottom w:val="dotted" w:sz="4" w:space="0" w:color="auto"/>
            </w:tcBorders>
            <w:shd w:val="clear" w:color="auto" w:fill="B1DDCD"/>
            <w:hideMark/>
          </w:tcPr>
          <w:p w:rsidR="007F2758" w:rsidRPr="00E638D3" w:rsidRDefault="007F2758" w:rsidP="00137427">
            <w:pPr>
              <w:pStyle w:val="ListParagraph"/>
              <w:numPr>
                <w:ilvl w:val="0"/>
                <w:numId w:val="18"/>
              </w:numPr>
              <w:ind w:right="18"/>
            </w:pPr>
          </w:p>
        </w:tc>
      </w:tr>
      <w:tr w:rsidR="00E14911" w:rsidRPr="00E14911" w:rsidTr="00E14911">
        <w:trPr>
          <w:gridBefore w:val="1"/>
          <w:trHeight w:val="327"/>
        </w:trPr>
        <w:tc>
          <w:tcPr>
            <w:tcW w:w="2160" w:type="dxa"/>
            <w:gridSpan w:val="2"/>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p>
        </w:tc>
        <w:tc>
          <w:tcPr>
            <w:tcW w:w="8280" w:type="dxa"/>
            <w:gridSpan w:val="2"/>
            <w:tcBorders>
              <w:bottom w:val="dotted" w:sz="4" w:space="0" w:color="auto"/>
            </w:tcBorders>
            <w:shd w:val="clear" w:color="auto" w:fill="auto"/>
          </w:tcPr>
          <w:p w:rsidR="00B01263" w:rsidRDefault="00B01263" w:rsidP="00ED6683">
            <w:pPr>
              <w:spacing w:after="120"/>
              <w:ind w:left="0" w:right="18"/>
              <w:rPr>
                <w:rFonts w:asciiTheme="majorHAnsi" w:eastAsia="Times New Roman" w:hAnsiTheme="majorHAnsi" w:cstheme="majorHAnsi"/>
                <w:bCs/>
                <w:sz w:val="20"/>
                <w:szCs w:val="20"/>
              </w:rPr>
            </w:pPr>
          </w:p>
        </w:tc>
      </w:tr>
      <w:tr w:rsidR="00E14911" w:rsidRPr="00E14911" w:rsidTr="00E14911">
        <w:trPr>
          <w:gridBefore w:val="1"/>
          <w:trHeight w:val="327"/>
        </w:trPr>
        <w:tc>
          <w:tcPr>
            <w:tcW w:w="2160" w:type="dxa"/>
            <w:gridSpan w:val="2"/>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p>
        </w:tc>
        <w:tc>
          <w:tcPr>
            <w:tcW w:w="8280" w:type="dxa"/>
            <w:gridSpan w:val="2"/>
            <w:tcBorders>
              <w:bottom w:val="dotted" w:sz="4" w:space="0" w:color="auto"/>
            </w:tcBorders>
            <w:shd w:val="clear" w:color="auto" w:fill="auto"/>
          </w:tcPr>
          <w:p w:rsidR="00133A57" w:rsidRPr="00133A57" w:rsidRDefault="00133A57" w:rsidP="00591241">
            <w:pPr>
              <w:ind w:left="0" w:right="18"/>
              <w:rPr>
                <w:rFonts w:asciiTheme="majorHAnsi" w:eastAsia="Times New Roman" w:hAnsiTheme="majorHAnsi" w:cstheme="majorHAnsi"/>
                <w:bCs/>
                <w:sz w:val="20"/>
                <w:szCs w:val="20"/>
              </w:rPr>
            </w:pPr>
          </w:p>
        </w:tc>
      </w:tr>
      <w:tr w:rsidR="007F2758" w:rsidRPr="00E638D3" w:rsidTr="001730A0">
        <w:trPr>
          <w:gridBefore w:val="1"/>
          <w:trHeight w:val="327"/>
        </w:trPr>
        <w:tc>
          <w:tcPr>
            <w:tcW w:w="10440" w:type="dxa"/>
            <w:gridSpan w:val="4"/>
            <w:tcBorders>
              <w:bottom w:val="dotted" w:sz="4" w:space="0" w:color="auto"/>
            </w:tcBorders>
            <w:shd w:val="clear" w:color="auto" w:fill="B1DDCD"/>
            <w:hideMark/>
          </w:tcPr>
          <w:p w:rsidR="007F2758" w:rsidRPr="00E638D3" w:rsidRDefault="007F2758" w:rsidP="00591241">
            <w:pPr>
              <w:pStyle w:val="ListParagraph"/>
              <w:keepNext/>
              <w:keepLines/>
              <w:numPr>
                <w:ilvl w:val="0"/>
                <w:numId w:val="18"/>
              </w:numPr>
              <w:ind w:right="14"/>
            </w:pPr>
          </w:p>
        </w:tc>
      </w:tr>
      <w:tr w:rsidR="00E14911" w:rsidRPr="00E14911" w:rsidTr="00E14911">
        <w:trPr>
          <w:gridBefore w:val="1"/>
          <w:trHeight w:val="327"/>
        </w:trPr>
        <w:tc>
          <w:tcPr>
            <w:tcW w:w="2160" w:type="dxa"/>
            <w:gridSpan w:val="2"/>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p>
        </w:tc>
        <w:tc>
          <w:tcPr>
            <w:tcW w:w="8280" w:type="dxa"/>
            <w:gridSpan w:val="2"/>
            <w:tcBorders>
              <w:bottom w:val="dotted" w:sz="4" w:space="0" w:color="auto"/>
            </w:tcBorders>
            <w:shd w:val="clear" w:color="auto" w:fill="auto"/>
          </w:tcPr>
          <w:p w:rsidR="00E14911" w:rsidRPr="00E14911" w:rsidRDefault="00E14911" w:rsidP="00E86786">
            <w:pPr>
              <w:keepNext/>
              <w:keepLines/>
              <w:spacing w:after="120"/>
              <w:ind w:left="0" w:right="14"/>
              <w:rPr>
                <w:rFonts w:asciiTheme="majorHAnsi" w:eastAsia="Times New Roman" w:hAnsiTheme="majorHAnsi" w:cstheme="majorHAnsi"/>
                <w:bCs/>
                <w:sz w:val="20"/>
                <w:szCs w:val="20"/>
              </w:rPr>
            </w:pPr>
          </w:p>
        </w:tc>
      </w:tr>
      <w:tr w:rsidR="00E14911" w:rsidRPr="00E14911" w:rsidTr="00E14911">
        <w:trPr>
          <w:gridBefore w:val="1"/>
          <w:trHeight w:val="327"/>
        </w:trPr>
        <w:tc>
          <w:tcPr>
            <w:tcW w:w="2160" w:type="dxa"/>
            <w:gridSpan w:val="2"/>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p>
        </w:tc>
        <w:tc>
          <w:tcPr>
            <w:tcW w:w="8280" w:type="dxa"/>
            <w:gridSpan w:val="2"/>
            <w:tcBorders>
              <w:bottom w:val="dotted" w:sz="4" w:space="0" w:color="auto"/>
            </w:tcBorders>
            <w:shd w:val="clear" w:color="auto" w:fill="auto"/>
          </w:tcPr>
          <w:p w:rsidR="00E14911" w:rsidRPr="00ED6683" w:rsidRDefault="00E14911" w:rsidP="00E14911">
            <w:pPr>
              <w:spacing w:after="120"/>
              <w:ind w:left="0" w:right="18"/>
              <w:rPr>
                <w:rFonts w:asciiTheme="majorHAnsi" w:eastAsia="Times New Roman" w:hAnsiTheme="majorHAnsi" w:cstheme="majorHAnsi"/>
                <w:bCs/>
                <w:sz w:val="20"/>
                <w:szCs w:val="20"/>
              </w:rPr>
            </w:pPr>
          </w:p>
        </w:tc>
      </w:tr>
      <w:tr w:rsidR="001730A0" w:rsidRPr="00E638D3" w:rsidTr="001730A0">
        <w:trPr>
          <w:gridBefore w:val="1"/>
          <w:trHeight w:val="327"/>
        </w:trPr>
        <w:tc>
          <w:tcPr>
            <w:tcW w:w="10440" w:type="dxa"/>
            <w:gridSpan w:val="4"/>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ED6683">
        <w:trPr>
          <w:gridAfter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AB2CEA">
              <w:rPr>
                <w:rFonts w:ascii="Times New Roman" w:hAnsi="Times New Roman" w:cs="Times New Roman"/>
                <w:bCs/>
              </w:rPr>
              <w:t>(</w:t>
            </w:r>
            <w:r w:rsidR="000C553F">
              <w:rPr>
                <w:rFonts w:ascii="Times New Roman" w:hAnsi="Times New Roman" w:cs="Times New Roman"/>
                <w:bCs/>
              </w:rPr>
              <w:t>areas that don’t meet ambient air quality standards</w:t>
            </w:r>
            <w:r w:rsidR="00AB2CEA">
              <w:rPr>
                <w:rFonts w:ascii="Times New Roman" w:hAnsi="Times New Roman" w:cs="Times New Roman"/>
                <w:bCs/>
              </w:rPr>
              <w:t>)</w:t>
            </w:r>
            <w:r w:rsidR="000C553F">
              <w:rPr>
                <w:rFonts w:ascii="Times New Roman" w:hAnsi="Times New Roman" w:cs="Times New Roman"/>
                <w:bCs/>
              </w:rPr>
              <w:t xml:space="preserve"> </w:t>
            </w:r>
            <w:r w:rsidRPr="00E638D3">
              <w:rPr>
                <w:rFonts w:ascii="Times New Roman" w:hAnsi="Times New Roman" w:cs="Times New Roman"/>
                <w:bCs/>
              </w:rPr>
              <w:t xml:space="preserve">and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281104">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7122C2" w:rsidP="0094178E">
            <w:pPr>
              <w:ind w:left="0" w:right="18"/>
              <w:rPr>
                <w:rFonts w:ascii="Times New Roman" w:hAnsi="Times New Roman" w:cs="Times New Roman"/>
                <w:bCs/>
              </w:rPr>
            </w:pPr>
            <w:r>
              <w:rPr>
                <w:rFonts w:ascii="Times New Roman" w:hAnsi="Times New Roman" w:cs="Times New Roman"/>
                <w:bCs/>
              </w:rPr>
              <w:t xml:space="preserve">Before less rigorous permitting requirements apply to areas cleaned up after exceeding ambient air quality standards, </w:t>
            </w:r>
            <w:r w:rsidRPr="00E638D3">
              <w:rPr>
                <w:rFonts w:ascii="Times New Roman" w:hAnsi="Times New Roman" w:cs="Times New Roman"/>
                <w:bCs/>
              </w:rPr>
              <w:t xml:space="preserve"> </w:t>
            </w:r>
            <w:r w:rsidR="0094178E" w:rsidRPr="00E638D3">
              <w:rPr>
                <w:rFonts w:ascii="Times New Roman" w:hAnsi="Times New Roman" w:cs="Times New Roman"/>
                <w:bCs/>
              </w:rPr>
              <w:t>EPA must redesignate that area</w:t>
            </w:r>
            <w:r>
              <w:rPr>
                <w:rFonts w:ascii="Times New Roman" w:hAnsi="Times New Roman" w:cs="Times New Roman"/>
                <w:bCs/>
              </w:rPr>
              <w:t>.</w:t>
            </w:r>
            <w:r w:rsidR="0019640C">
              <w:rPr>
                <w:rFonts w:ascii="Times New Roman" w:hAnsi="Times New Roman" w:cs="Times New Roman"/>
                <w:bCs/>
              </w:rPr>
              <w:t xml:space="preserve">. </w:t>
            </w:r>
            <w:r w:rsidR="0094178E" w:rsidRPr="00E638D3">
              <w:rPr>
                <w:rFonts w:ascii="Times New Roman" w:hAnsi="Times New Roman" w:cs="Times New Roman"/>
                <w:bCs/>
              </w:rPr>
              <w:t>Th</w:t>
            </w:r>
            <w:r>
              <w:rPr>
                <w:rFonts w:ascii="Times New Roman" w:hAnsi="Times New Roman" w:cs="Times New Roman"/>
                <w:bCs/>
              </w:rPr>
              <w:t>e</w:t>
            </w:r>
            <w:r w:rsidR="0094178E" w:rsidRPr="00E638D3">
              <w:rPr>
                <w:rFonts w:ascii="Times New Roman" w:hAnsi="Times New Roman" w:cs="Times New Roman"/>
                <w:bCs/>
              </w:rPr>
              <w:t xml:space="preserve">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0094178E"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0094178E"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007122C2">
              <w:rPr>
                <w:rFonts w:ascii="Times New Roman" w:hAnsi="Times New Roman" w:cs="Times New Roman"/>
                <w:bCs/>
              </w:rPr>
              <w:t xml:space="preserve">Current </w:t>
            </w:r>
            <w:r w:rsidRPr="00E638D3">
              <w:rPr>
                <w:rFonts w:ascii="Times New Roman" w:hAnsi="Times New Roman" w:cs="Times New Roman"/>
                <w:bCs/>
              </w:rPr>
              <w:t xml:space="preserve">rules define this as a net air quality benefit. </w:t>
            </w:r>
            <w:r w:rsidR="007122C2">
              <w:rPr>
                <w:rFonts w:ascii="Times New Roman" w:hAnsi="Times New Roman" w:cs="Times New Roman"/>
                <w:bCs/>
              </w:rPr>
              <w:t xml:space="preserve">The current </w:t>
            </w:r>
            <w:r w:rsidR="00820F35" w:rsidRPr="00E638D3">
              <w:rPr>
                <w:rFonts w:ascii="Times New Roman" w:hAnsi="Times New Roman" w:cs="Times New Roman"/>
                <w:bCs/>
              </w:rPr>
              <w:t>criteria are</w:t>
            </w:r>
            <w:r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r w:rsidR="00A1795E">
              <w:rPr>
                <w:rFonts w:ascii="Times New Roman" w:hAnsi="Times New Roman" w:cs="Times New Roman"/>
                <w:bCs/>
              </w:rPr>
              <w:t xml:space="preserve">The proposed rules would </w:t>
            </w:r>
            <w:r w:rsidR="001E3F8A" w:rsidRPr="00E638D3">
              <w:rPr>
                <w:rFonts w:ascii="Times New Roman" w:hAnsi="Times New Roman" w:cs="Times New Roman"/>
                <w:bCs/>
              </w:rPr>
              <w:t>fix that problem</w:t>
            </w:r>
            <w:r w:rsidR="0019640C">
              <w:rPr>
                <w:rFonts w:ascii="Times New Roman" w:hAnsi="Times New Roman" w:cs="Times New Roman"/>
                <w:bCs/>
              </w:rPr>
              <w:t xml:space="preserve">. </w:t>
            </w:r>
          </w:p>
          <w:p w:rsidR="006B0D45" w:rsidRPr="00E638D3" w:rsidRDefault="006B0D45" w:rsidP="0094178E">
            <w:pPr>
              <w:ind w:left="0" w:right="18"/>
              <w:rPr>
                <w:rFonts w:ascii="Times New Roman" w:hAnsi="Times New Roman" w:cs="Times New Roman"/>
                <w:bCs/>
              </w:rPr>
            </w:pPr>
          </w:p>
          <w:p w:rsidR="006B0D45" w:rsidRPr="00E638D3" w:rsidRDefault="001E3F8A" w:rsidP="00BC1975">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an </w:t>
            </w:r>
            <w:r w:rsidR="0094178E" w:rsidRPr="00E638D3">
              <w:rPr>
                <w:rFonts w:ascii="Times New Roman" w:hAnsi="Times New Roman" w:cs="Times New Roman"/>
                <w:bCs/>
              </w:rPr>
              <w:t xml:space="preserve">extension </w:t>
            </w:r>
            <w:r w:rsidR="00F80BB5">
              <w:rPr>
                <w:rFonts w:ascii="Times New Roman" w:hAnsi="Times New Roman" w:cs="Times New Roman"/>
                <w:bCs/>
              </w:rPr>
              <w:t>may</w:t>
            </w:r>
            <w:r w:rsidR="00F80BB5" w:rsidRPr="00E638D3">
              <w:rPr>
                <w:rFonts w:ascii="Times New Roman" w:hAnsi="Times New Roman" w:cs="Times New Roman"/>
                <w:bCs/>
              </w:rPr>
              <w:t xml:space="preserve"> </w:t>
            </w:r>
            <w:r w:rsidRPr="00E638D3">
              <w:rPr>
                <w:rFonts w:ascii="Times New Roman" w:hAnsi="Times New Roman" w:cs="Times New Roman"/>
                <w:bCs/>
              </w:rPr>
              <w:t>be granted</w:t>
            </w:r>
            <w:r w:rsidR="00F80BB5">
              <w:rPr>
                <w:rFonts w:ascii="Times New Roman" w:hAnsi="Times New Roman" w:cs="Times New Roman"/>
                <w:bCs/>
              </w:rPr>
              <w:t xml:space="preserve"> but there are no criteria in the rules</w:t>
            </w:r>
          </w:p>
        </w:tc>
      </w:tr>
      <w:tr w:rsidR="0094178E" w:rsidRPr="00E638D3" w:rsidTr="00B15FBD">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
          <w:p w:rsidR="00296CD3" w:rsidRPr="00296CD3" w:rsidRDefault="0094178E" w:rsidP="00296CD3">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he proposed rules would change the definition of a major source to match EPA’s definition that changes requirements for small and large businesses. The proposed program name for smaller businesses is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sidR="00296CD3" w:rsidRPr="00296CD3">
              <w:rPr>
                <w:rFonts w:ascii="Times New Roman" w:eastAsia="Times New Roman" w:hAnsi="Times New Roman" w:cs="Times New Roman"/>
                <w:bCs/>
              </w:rPr>
              <w:t xml:space="preserve">This </w:t>
            </w:r>
            <w:r w:rsidR="00296CD3">
              <w:rPr>
                <w:rFonts w:ascii="Times New Roman" w:eastAsia="Times New Roman" w:hAnsi="Times New Roman" w:cs="Times New Roman"/>
                <w:bCs/>
              </w:rPr>
              <w:t xml:space="preserve">proposal would provide the needed </w:t>
            </w:r>
            <w:r w:rsidR="00296CD3" w:rsidRPr="00296CD3">
              <w:rPr>
                <w:rFonts w:ascii="Times New Roman" w:eastAsia="Times New Roman" w:hAnsi="Times New Roman" w:cs="Times New Roman"/>
                <w:bCs/>
              </w:rPr>
              <w:t xml:space="preserve">flexibility </w:t>
            </w:r>
            <w:r w:rsidR="00296CD3">
              <w:rPr>
                <w:rFonts w:ascii="Times New Roman" w:eastAsia="Times New Roman" w:hAnsi="Times New Roman" w:cs="Times New Roman"/>
                <w:bCs/>
              </w:rPr>
              <w:t xml:space="preserve">for smaller businesses to implement the changes below, which </w:t>
            </w:r>
            <w:r w:rsidR="00296CD3" w:rsidRPr="00296CD3">
              <w:rPr>
                <w:rFonts w:ascii="Times New Roman" w:eastAsia="Times New Roman" w:hAnsi="Times New Roman" w:cs="Times New Roman"/>
                <w:bCs/>
              </w:rPr>
              <w:t>cannot be granted to larger businesses because of EPA requirements.</w:t>
            </w:r>
          </w:p>
          <w:p w:rsidR="00713015" w:rsidRDefault="00713015" w:rsidP="00304225">
            <w:pPr>
              <w:ind w:left="0" w:right="18"/>
              <w:rPr>
                <w:rFonts w:ascii="Times New Roman" w:eastAsia="Times New Roman" w:hAnsi="Times New Roman" w:cs="Times New Roman"/>
              </w:rPr>
            </w:pPr>
          </w:p>
          <w:p w:rsidR="00304225" w:rsidRPr="00E638D3" w:rsidRDefault="00296CD3" w:rsidP="00304225">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The incentive provides</w:t>
            </w:r>
            <w:r>
              <w:rPr>
                <w:rFonts w:ascii="Times New Roman" w:eastAsia="Times New Roman" w:hAnsi="Times New Roman" w:cs="Times New Roman"/>
              </w:rPr>
              <w:t xml:space="preserve"> </w:t>
            </w:r>
            <w:r w:rsidR="00304225" w:rsidRPr="00E638D3">
              <w:rPr>
                <w:rFonts w:ascii="Times New Roman" w:eastAsia="Times New Roman" w:hAnsi="Times New Roman" w:cs="Times New Roman"/>
              </w:rPr>
              <w:t>more emission reductions</w:t>
            </w:r>
            <w:r w:rsidR="00CB06CD">
              <w:rPr>
                <w:rFonts w:ascii="Times New Roman" w:eastAsia="Times New Roman" w:hAnsi="Times New Roman" w:cs="Times New Roman"/>
              </w:rPr>
              <w:t xml:space="preserve"> </w:t>
            </w:r>
            <w:r w:rsidR="00304225" w:rsidRPr="00E638D3">
              <w:rPr>
                <w:rFonts w:ascii="Times New Roman" w:eastAsia="Times New Roman" w:hAnsi="Times New Roman" w:cs="Times New Roman"/>
              </w:rPr>
              <w:t>from priority sources – the sources that 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 xml:space="preserve">If the new or modified business does not use emission reductions from priority sources, </w:t>
            </w:r>
            <w:r w:rsidR="00CB06CD">
              <w:rPr>
                <w:rFonts w:ascii="Times New Roman" w:eastAsia="Times New Roman" w:hAnsi="Times New Roman" w:cs="Times New Roman"/>
              </w:rPr>
              <w:t>this proposal would</w:t>
            </w:r>
            <w:r w:rsidR="00774706">
              <w:rPr>
                <w:rFonts w:ascii="Times New Roman" w:eastAsia="Times New Roman" w:hAnsi="Times New Roman" w:cs="Times New Roman"/>
              </w:rPr>
              <w:t xml:space="preserve"> maintain or</w:t>
            </w:r>
            <w:r w:rsidR="00304225" w:rsidRPr="00E638D3">
              <w:rPr>
                <w:rFonts w:ascii="Times New Roman" w:eastAsia="Times New Roman" w:hAnsi="Times New Roman" w:cs="Times New Roman"/>
              </w:rPr>
              <w:t xml:space="preserve"> raise the current offset ratios</w:t>
            </w:r>
            <w:r>
              <w:rPr>
                <w:rFonts w:ascii="Times New Roman" w:eastAsia="Times New Roman" w:hAnsi="Times New Roman" w:cs="Times New Roman"/>
              </w:rPr>
              <w:t>,</w:t>
            </w:r>
            <w:r w:rsidR="007E3BFD">
              <w:rPr>
                <w:rFonts w:ascii="Times New Roman" w:eastAsia="Times New Roman" w:hAnsi="Times New Roman" w:cs="Times New Roman"/>
              </w:rPr>
              <w:t xml:space="preserve"> meaning the</w:t>
            </w:r>
            <w:r w:rsidR="00CB06CD">
              <w:rPr>
                <w:rFonts w:ascii="Times New Roman" w:eastAsia="Times New Roman" w:hAnsi="Times New Roman" w:cs="Times New Roman"/>
              </w:rPr>
              <w:t xml:space="preserve"> </w:t>
            </w:r>
            <w:r w:rsidR="00EC0C81" w:rsidRPr="00A47F95">
              <w:rPr>
                <w:rFonts w:ascii="Times New Roman" w:eastAsia="Times New Roman" w:hAnsi="Times New Roman" w:cs="Times New Roman"/>
              </w:rPr>
              <w:lastRenderedPageBreak/>
              <w:t>business</w:t>
            </w:r>
            <w:r w:rsidR="007E3BFD" w:rsidRPr="00A47F95">
              <w:rPr>
                <w:rFonts w:ascii="Times New Roman" w:eastAsia="Times New Roman" w:hAnsi="Times New Roman" w:cs="Times New Roman"/>
              </w:rPr>
              <w:t xml:space="preserve"> </w:t>
            </w:r>
            <w:r w:rsidR="00774706" w:rsidRPr="00A47F95">
              <w:rPr>
                <w:rFonts w:ascii="Times New Roman" w:eastAsia="Times New Roman" w:hAnsi="Times New Roman" w:cs="Times New Roman"/>
              </w:rPr>
              <w:t>m</w:t>
            </w:r>
            <w:r w:rsidR="00774706">
              <w:rPr>
                <w:rFonts w:ascii="Times New Roman" w:eastAsia="Times New Roman" w:hAnsi="Times New Roman" w:cs="Times New Roman"/>
              </w:rPr>
              <w:t xml:space="preserve">ay </w:t>
            </w:r>
            <w:r w:rsidR="007E3BFD">
              <w:rPr>
                <w:rFonts w:ascii="Times New Roman" w:eastAsia="Times New Roman" w:hAnsi="Times New Roman" w:cs="Times New Roman"/>
              </w:rPr>
              <w:t xml:space="preserve">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6928FB" w:rsidRPr="00E638D3" w:rsidRDefault="00CB06CD" w:rsidP="006928FB">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 xml:space="preserve">he proposed rules would </w:t>
            </w:r>
            <w:r w:rsidR="0094178E" w:rsidRPr="00E638D3">
              <w:rPr>
                <w:rFonts w:ascii="Times New Roman" w:eastAsia="Times New Roman" w:hAnsi="Times New Roman" w:cs="Times New Roman"/>
              </w:rPr>
              <w:t>establish two new transitional areas</w:t>
            </w:r>
            <w:r w:rsidR="006928FB" w:rsidRPr="00E638D3">
              <w:rPr>
                <w:rFonts w:ascii="Times New Roman" w:eastAsia="Times New Roman" w:hAnsi="Times New Roman" w:cs="Times New Roman"/>
              </w:rPr>
              <w:t xml:space="preserve"> designated by the Environmental Quality Commission, not EPA</w:t>
            </w:r>
            <w:r w:rsidR="006928FB">
              <w:rPr>
                <w:rFonts w:ascii="Times New Roman" w:eastAsia="Times New Roman" w:hAnsi="Times New Roman" w:cs="Times New Roman"/>
              </w:rPr>
              <w:t xml:space="preserve">. </w:t>
            </w:r>
            <w:r w:rsidR="006928FB" w:rsidRPr="00E638D3">
              <w:rPr>
                <w:rFonts w:ascii="Times New Roman" w:eastAsia="Times New Roman" w:hAnsi="Times New Roman" w:cs="Times New Roman"/>
              </w:rPr>
              <w:t xml:space="preserve">This change, along with the change to the definition of major source, </w:t>
            </w:r>
            <w:r>
              <w:rPr>
                <w:rFonts w:ascii="Times New Roman" w:eastAsia="Times New Roman" w:hAnsi="Times New Roman" w:cs="Times New Roman"/>
              </w:rPr>
              <w:t>would</w:t>
            </w:r>
            <w:r w:rsidR="006928FB" w:rsidRPr="00E638D3">
              <w:rPr>
                <w:rFonts w:ascii="Times New Roman" w:eastAsia="Times New Roman" w:hAnsi="Times New Roman" w:cs="Times New Roman"/>
              </w:rPr>
              <w:t xml:space="preserve"> allow more flexibility in permitting smaller businesses</w:t>
            </w:r>
            <w:r w:rsidR="006928FB" w:rsidRPr="00E638D3">
              <w:rPr>
                <w:rFonts w:ascii="Times New Roman" w:eastAsia="Times New Roman" w:hAnsi="Times New Roman" w:cs="Times New Roman"/>
                <w:bCs/>
              </w:rPr>
              <w:t xml:space="preserve"> while still protecting air quality</w:t>
            </w:r>
            <w:r w:rsidR="006928FB">
              <w:rPr>
                <w:rFonts w:ascii="Times New Roman" w:eastAsia="Times New Roman" w:hAnsi="Times New Roman" w:cs="Times New Roman"/>
              </w:rPr>
              <w:t xml:space="preserve">. The two new </w:t>
            </w:r>
            <w:r>
              <w:rPr>
                <w:rFonts w:ascii="Times New Roman" w:eastAsia="Times New Roman" w:hAnsi="Times New Roman" w:cs="Times New Roman"/>
              </w:rPr>
              <w:t>t</w:t>
            </w:r>
            <w:r w:rsidR="006928FB">
              <w:rPr>
                <w:rFonts w:ascii="Times New Roman" w:eastAsia="Times New Roman" w:hAnsi="Times New Roman" w:cs="Times New Roman"/>
              </w:rPr>
              <w:t>ransitional areas would be:</w:t>
            </w:r>
          </w:p>
          <w:p w:rsidR="003539AD" w:rsidRDefault="00EC0C81">
            <w:pPr>
              <w:pStyle w:val="ListParagraph"/>
              <w:numPr>
                <w:ilvl w:val="0"/>
                <w:numId w:val="36"/>
              </w:numPr>
              <w:spacing w:after="120"/>
              <w:ind w:right="14"/>
              <w:contextualSpacing w:val="0"/>
              <w:rPr>
                <w:rFonts w:ascii="Times New Roman" w:eastAsia="Times New Roman" w:hAnsi="Times New Roman" w:cs="Times New Roman"/>
              </w:rPr>
            </w:pPr>
            <w:r w:rsidRPr="00EC0C81">
              <w:rPr>
                <w:rFonts w:ascii="Times New Roman" w:eastAsia="Times New Roman" w:hAnsi="Times New Roman" w:cs="Times New Roman"/>
              </w:rPr>
              <w:t xml:space="preserve">Sustainment areas designed to prevent areas from becoming nonattainment areas. </w:t>
            </w:r>
          </w:p>
          <w:p w:rsidR="003539AD" w:rsidRDefault="00EC0C81" w:rsidP="00EB1D78">
            <w:pPr>
              <w:pStyle w:val="ListParagraph"/>
              <w:numPr>
                <w:ilvl w:val="0"/>
                <w:numId w:val="35"/>
              </w:numPr>
              <w:ind w:right="18"/>
              <w:rPr>
                <w:rFonts w:ascii="Times New Roman" w:eastAsia="Times New Roman" w:hAnsi="Times New Roman" w:cs="Times New Roman"/>
              </w:rPr>
            </w:pPr>
            <w:r w:rsidRPr="00EC0C81">
              <w:rPr>
                <w:rFonts w:ascii="Times New Roman" w:eastAsia="Times New Roman" w:hAnsi="Times New Roman" w:cs="Times New Roman"/>
              </w:rPr>
              <w:t xml:space="preserve">Reattainment areas </w:t>
            </w:r>
            <w:r w:rsidR="00CB06CD">
              <w:rPr>
                <w:rFonts w:ascii="Times New Roman" w:eastAsia="Times New Roman" w:hAnsi="Times New Roman" w:cs="Times New Roman"/>
              </w:rPr>
              <w:t xml:space="preserve">to </w:t>
            </w:r>
            <w:r w:rsidRPr="00EC0C81">
              <w:rPr>
                <w:rFonts w:ascii="Times New Roman" w:eastAsia="Times New Roman" w:hAnsi="Times New Roman" w:cs="Times New Roman"/>
              </w:rPr>
              <w:t xml:space="preserve">help transition an area back to attainment before the EPA redesignation. </w:t>
            </w:r>
          </w:p>
          <w:p w:rsidR="00B01263" w:rsidRDefault="00B01263" w:rsidP="00ED6683">
            <w:pPr>
              <w:ind w:left="0" w:right="18"/>
              <w:rPr>
                <w:rFonts w:ascii="Times New Roman" w:eastAsia="Times New Roman" w:hAnsi="Times New Roman" w:cs="Times New Roman"/>
              </w:rPr>
            </w:pPr>
          </w:p>
          <w:p w:rsidR="00B01263" w:rsidRDefault="00104859" w:rsidP="00ED6683">
            <w:pPr>
              <w:ind w:left="0" w:right="18"/>
              <w:rPr>
                <w:rFonts w:ascii="Times New Roman" w:eastAsia="Times New Roman" w:hAnsi="Times New Roman" w:cs="Times New Roman"/>
              </w:rPr>
            </w:pPr>
            <w:r>
              <w:rPr>
                <w:rFonts w:ascii="Times New Roman" w:eastAsia="Times New Roman" w:hAnsi="Times New Roman" w:cs="Times New Roman"/>
              </w:rPr>
              <w:t xml:space="preserve">The proposed rules would change the </w:t>
            </w:r>
            <w:r w:rsidRPr="00E638D3">
              <w:rPr>
                <w:rFonts w:ascii="Times New Roman" w:eastAsia="Times New Roman" w:hAnsi="Times New Roman" w:cs="Times New Roman"/>
              </w:rPr>
              <w:t>Net Air Quality Benefit</w:t>
            </w:r>
            <w:r w:rsidR="00E84ED8">
              <w:rPr>
                <w:rFonts w:ascii="Times New Roman" w:eastAsia="Times New Roman" w:hAnsi="Times New Roman" w:cs="Times New Roman"/>
              </w:rPr>
              <w:t>,</w:t>
            </w:r>
            <w:r>
              <w:rPr>
                <w:rFonts w:ascii="Times New Roman" w:eastAsia="Times New Roman" w:hAnsi="Times New Roman" w:cs="Times New Roman"/>
              </w:rPr>
              <w:t xml:space="preserve"> </w:t>
            </w:r>
            <w:r w:rsidR="00E84ED8">
              <w:rPr>
                <w:rFonts w:ascii="Times New Roman" w:eastAsia="Times New Roman" w:hAnsi="Times New Roman" w:cs="Times New Roman"/>
              </w:rPr>
              <w:t>an</w:t>
            </w:r>
            <w:r w:rsidR="0094178E" w:rsidRPr="00E638D3">
              <w:rPr>
                <w:rFonts w:ascii="Times New Roman" w:eastAsia="Times New Roman" w:hAnsi="Times New Roman" w:cs="Times New Roman"/>
              </w:rPr>
              <w:t xml:space="preserve"> aspect of the New Source Review program</w:t>
            </w:r>
            <w:r w:rsidR="00E84ED8">
              <w:rPr>
                <w:rFonts w:ascii="Times New Roman" w:eastAsia="Times New Roman" w:hAnsi="Times New Roman" w:cs="Times New Roman"/>
              </w:rPr>
              <w:t>, to en</w:t>
            </w:r>
            <w:r w:rsidR="00E84ED8" w:rsidRPr="00E638D3">
              <w:rPr>
                <w:rFonts w:ascii="Times New Roman" w:eastAsia="Times New Roman" w:hAnsi="Times New Roman" w:cs="Times New Roman"/>
              </w:rPr>
              <w:t>sure air quality is protected</w:t>
            </w:r>
            <w:r w:rsidR="00BE2CB0">
              <w:rPr>
                <w:rFonts w:ascii="Times New Roman" w:eastAsia="Times New Roman" w:hAnsi="Times New Roman" w:cs="Times New Roman"/>
              </w:rPr>
              <w:t xml:space="preserve"> while fixing </w:t>
            </w:r>
            <w:r w:rsidR="00E84ED8">
              <w:rPr>
                <w:rFonts w:ascii="Times New Roman" w:eastAsia="Times New Roman" w:hAnsi="Times New Roman" w:cs="Times New Roman"/>
              </w:rPr>
              <w:t>flaws discovered with the current modeling criteria.</w:t>
            </w:r>
          </w:p>
          <w:p w:rsidR="00B01263" w:rsidRDefault="00B01263" w:rsidP="00ED6683">
            <w:pPr>
              <w:ind w:left="0" w:right="18"/>
              <w:rPr>
                <w:rFonts w:ascii="Times New Roman" w:eastAsia="Times New Roman" w:hAnsi="Times New Roman" w:cs="Times New Roman"/>
              </w:rPr>
            </w:pPr>
          </w:p>
          <w:p w:rsidR="00B01263" w:rsidRDefault="00304225" w:rsidP="00ED6683">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All of these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allow construction previously prohibited </w:t>
            </w:r>
            <w:r w:rsidR="002C5A4C">
              <w:rPr>
                <w:rFonts w:ascii="Times New Roman" w:eastAsia="Times New Roman" w:hAnsi="Times New Roman" w:cs="Times New Roman"/>
              </w:rPr>
              <w:t xml:space="preserve">and </w:t>
            </w:r>
            <w:r w:rsidRPr="00E638D3">
              <w:rPr>
                <w:rFonts w:ascii="Times New Roman" w:eastAsia="Times New Roman" w:hAnsi="Times New Roman" w:cs="Times New Roman"/>
              </w:rPr>
              <w:t>still protect air quality.</w:t>
            </w:r>
          </w:p>
          <w:p w:rsidR="0094178E" w:rsidRPr="00E638D3" w:rsidRDefault="0094178E" w:rsidP="00A413FE">
            <w:pPr>
              <w:ind w:left="0" w:right="18"/>
              <w:rPr>
                <w:rFonts w:ascii="Times New Roman" w:eastAsia="Times New Roman" w:hAnsi="Times New Roman" w:cs="Times New Roman"/>
              </w:rPr>
            </w:pPr>
          </w:p>
          <w:p w:rsidR="002B1663" w:rsidRDefault="0094178E" w:rsidP="00EB1D7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BE2CB0">
              <w:rPr>
                <w:rFonts w:ascii="Times New Roman" w:eastAsia="Times New Roman" w:hAnsi="Times New Roman" w:cs="Times New Roman"/>
              </w:rPr>
              <w:t>proposes</w:t>
            </w:r>
            <w:r w:rsidRPr="00E638D3">
              <w:rPr>
                <w:rFonts w:ascii="Times New Roman" w:eastAsia="Times New Roman" w:hAnsi="Times New Roman" w:cs="Times New Roman"/>
              </w:rPr>
              <w:t xml:space="preserve"> rule</w:t>
            </w:r>
            <w:r w:rsidR="00727AA6">
              <w:rPr>
                <w:rFonts w:ascii="Times New Roman" w:eastAsia="Times New Roman" w:hAnsi="Times New Roman" w:cs="Times New Roman"/>
              </w:rPr>
              <w:t>s</w:t>
            </w:r>
            <w:r w:rsidR="00BE2CB0">
              <w:rPr>
                <w:rFonts w:ascii="Times New Roman" w:eastAsia="Times New Roman" w:hAnsi="Times New Roman" w:cs="Times New Roman"/>
              </w:rPr>
              <w:t xml:space="preserve"> </w:t>
            </w:r>
            <w:r w:rsidR="00727AA6">
              <w:rPr>
                <w:rFonts w:ascii="Times New Roman" w:eastAsia="Times New Roman" w:hAnsi="Times New Roman" w:cs="Times New Roman"/>
              </w:rPr>
              <w:t>to</w:t>
            </w:r>
            <w:r w:rsidRPr="00E638D3">
              <w:rPr>
                <w:rFonts w:ascii="Times New Roman" w:eastAsia="Times New Roman" w:hAnsi="Times New Roman" w:cs="Times New Roman"/>
              </w:rPr>
              <w:t xml:space="preserve"> 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Pr="00E638D3">
              <w:rPr>
                <w:rFonts w:ascii="Times New Roman" w:eastAsia="Times New Roman" w:hAnsi="Times New Roman" w:cs="Times New Roman"/>
              </w:rPr>
              <w:t xml:space="preserve">. Current rules </w:t>
            </w:r>
            <w:r w:rsidR="00727AA6">
              <w:rPr>
                <w:rFonts w:ascii="Times New Roman" w:eastAsia="Times New Roman" w:hAnsi="Times New Roman" w:cs="Times New Roman"/>
              </w:rPr>
              <w:t xml:space="preserve">provide </w:t>
            </w:r>
            <w:r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Pr="00E638D3">
              <w:rPr>
                <w:rFonts w:ascii="Times New Roman" w:eastAsia="Times New Roman" w:hAnsi="Times New Roman" w:cs="Times New Roman"/>
              </w:rPr>
              <w:t xml:space="preserve"> procedures for requesting extensions and approving extensions.</w:t>
            </w:r>
          </w:p>
        </w:tc>
      </w:tr>
      <w:tr w:rsidR="00F112F7" w:rsidRPr="00E638D3" w:rsidTr="008502BB">
        <w:trPr>
          <w:gridBefore w:val="1"/>
          <w:trHeight w:val="20"/>
        </w:trPr>
        <w:tc>
          <w:tcPr>
            <w:tcW w:w="10440" w:type="dxa"/>
            <w:gridSpan w:val="4"/>
            <w:tcBorders>
              <w:bottom w:val="dotted" w:sz="4" w:space="0" w:color="auto"/>
            </w:tcBorders>
            <w:shd w:val="clear" w:color="auto" w:fill="B1DDCD"/>
            <w:hideMark/>
          </w:tcPr>
          <w:p w:rsidR="00F112F7" w:rsidRPr="00A74D08" w:rsidRDefault="00A74D08" w:rsidP="00A74D08">
            <w:pPr>
              <w:ind w:left="0" w:right="18"/>
              <w:rPr>
                <w:rFonts w:ascii="Times New Roman" w:eastAsia="Times New Roman" w:hAnsi="Times New Roman" w:cs="Times New Roman"/>
              </w:rPr>
            </w:pPr>
            <w:r w:rsidRPr="00A74D08">
              <w:rPr>
                <w:rFonts w:ascii="Times New Roman" w:eastAsia="Times New Roman" w:hAnsi="Times New Roman" w:cs="Times New Roman"/>
              </w:rPr>
              <w:lastRenderedPageBreak/>
              <w:t xml:space="preserve">7. </w:t>
            </w:r>
            <w:r w:rsidR="00F112F7" w:rsidRPr="00A74D08">
              <w:rPr>
                <w:rFonts w:ascii="Times New Roman" w:eastAsia="Times New Roman" w:hAnsi="Times New Roman" w:cs="Times New Roman"/>
              </w:rPr>
              <w:t>Designate Lakeview as a sustainment area</w:t>
            </w:r>
          </w:p>
        </w:tc>
      </w:tr>
      <w:tr w:rsidR="00F112F7" w:rsidRPr="00E638D3" w:rsidTr="008502BB">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w:t>
            </w:r>
            <w:r w:rsidR="00C625B2">
              <w:rPr>
                <w:rFonts w:ascii="Times New Roman" w:eastAsia="Times New Roman" w:hAnsi="Times New Roman" w:cs="Times New Roman"/>
                <w:bCs/>
              </w:rPr>
              <w:t xml:space="preserve">main </w:t>
            </w:r>
            <w:r w:rsidR="00993C34">
              <w:rPr>
                <w:rFonts w:ascii="Times New Roman" w:eastAsia="Times New Roman" w:hAnsi="Times New Roman" w:cs="Times New Roman"/>
                <w:bCs/>
              </w:rPr>
              <w:t>cause of the air quality problem</w:t>
            </w:r>
            <w:r w:rsidR="00993C34" w:rsidRPr="00993C34">
              <w:rPr>
                <w:rFonts w:ascii="Times New Roman" w:eastAsia="Times New Roman" w:hAnsi="Times New Roman" w:cs="Times New Roman"/>
              </w:rPr>
              <w:t>.</w:t>
            </w:r>
          </w:p>
        </w:tc>
      </w:tr>
      <w:tr w:rsidR="00F112F7" w:rsidRPr="00E638D3" w:rsidTr="006A5105">
        <w:trPr>
          <w:gridBefore w:val="1"/>
          <w:trHeight w:val="1538"/>
        </w:trPr>
        <w:tc>
          <w:tcPr>
            <w:tcW w:w="2160" w:type="dxa"/>
            <w:gridSpan w:val="2"/>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
          <w:p w:rsidR="00F112F7" w:rsidRPr="00E638D3" w:rsidRDefault="00A74D08" w:rsidP="006A5105">
            <w:pPr>
              <w:ind w:left="0" w:right="18"/>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improve air quality in Lakeview and provide incentives for businesses to address emissions from u</w:t>
            </w:r>
            <w:r w:rsidRPr="00993C34">
              <w:rPr>
                <w:rFonts w:ascii="Times New Roman" w:eastAsia="Times New Roman" w:hAnsi="Times New Roman" w:cs="Times New Roman"/>
              </w:rPr>
              <w:t>ncertified r</w:t>
            </w:r>
            <w:r w:rsidRPr="00993C34">
              <w:rPr>
                <w:rFonts w:ascii="Times New Roman" w:eastAsia="Times New Roman" w:hAnsi="Times New Roman" w:cs="Times New Roman"/>
                <w:bCs/>
              </w:rPr>
              <w:t>esidential wood fuel-fired devices</w:t>
            </w:r>
            <w:r>
              <w:rPr>
                <w:rFonts w:ascii="Times New Roman" w:eastAsia="Times New Roman" w:hAnsi="Times New Roman" w:cs="Times New Roman"/>
                <w:bCs/>
              </w:rPr>
              <w:t>. DEQ is working with the Lakeview community to avoid nonattainment area designation. Designating Lakeview as a sustainment area is one part of the overall plan.</w:t>
            </w:r>
          </w:p>
        </w:tc>
      </w:tr>
      <w:tr w:rsidR="0094178E" w:rsidRPr="00E638D3" w:rsidTr="009F463D">
        <w:trPr>
          <w:gridBefore w:val="1"/>
          <w:trHeight w:val="20"/>
        </w:trPr>
        <w:tc>
          <w:tcPr>
            <w:tcW w:w="10440" w:type="dxa"/>
            <w:gridSpan w:val="4"/>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
          <w:p w:rsidR="0094178E" w:rsidRPr="006A5105" w:rsidRDefault="00124646" w:rsidP="00ED1A3D">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rules are very prescriptive regarding how public hearings and meetings must be held. The rules were first adopted in 1974, long before the technological advances </w:t>
            </w:r>
            <w:r w:rsidRPr="00124646">
              <w:rPr>
                <w:rFonts w:asciiTheme="minorHAnsi" w:eastAsia="Times New Roman" w:hAnsiTheme="minorHAnsi" w:cstheme="minorHAnsi"/>
              </w:rPr>
              <w:lastRenderedPageBreak/>
              <w:t xml:space="preserve">that are currently available. Traveling to hearings and meetings around the state can be resource intensive and wasteful if no one shows up for the hearing or meeting. </w:t>
            </w:r>
          </w:p>
        </w:tc>
      </w:tr>
      <w:tr w:rsidR="0094178E" w:rsidRPr="00E638D3" w:rsidTr="001730A0">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p>
        </w:tc>
      </w:tr>
      <w:tr w:rsidR="0094178E" w:rsidRPr="00E638D3" w:rsidTr="00003ED7">
        <w:trPr>
          <w:gridBefore w:val="1"/>
          <w:trHeight w:val="20"/>
        </w:trPr>
        <w:tc>
          <w:tcPr>
            <w:tcW w:w="10440" w:type="dxa"/>
            <w:gridSpan w:val="4"/>
            <w:tcBorders>
              <w:bottom w:val="dotted" w:sz="4" w:space="0" w:color="auto"/>
            </w:tcBorders>
            <w:shd w:val="clear" w:color="auto" w:fill="B1DDCD"/>
            <w:hideMark/>
          </w:tcPr>
          <w:p w:rsidR="004272FD" w:rsidRDefault="001730A0" w:rsidP="000954C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w:t>
            </w:r>
            <w:r w:rsidR="004B3FA0">
              <w:rPr>
                <w:rFonts w:ascii="Times New Roman" w:eastAsia="Times New Roman" w:hAnsi="Times New Roman" w:cs="Times New Roman"/>
              </w:rPr>
              <w:t xml:space="preserve"> </w:t>
            </w:r>
            <w:r w:rsidR="0094178E" w:rsidRPr="00E638D3">
              <w:rPr>
                <w:rFonts w:ascii="Times New Roman" w:eastAsia="Times New Roman" w:hAnsi="Times New Roman" w:cs="Times New Roman"/>
              </w:rPr>
              <w:t>Smart</w:t>
            </w:r>
            <w:r w:rsidR="004B3FA0">
              <w:rPr>
                <w:rFonts w:ascii="Times New Roman" w:eastAsia="Times New Roman" w:hAnsi="Times New Roman" w:cs="Times New Roman"/>
              </w:rPr>
              <w:t xml:space="preserve"> Program</w:t>
            </w:r>
          </w:p>
        </w:tc>
      </w:tr>
      <w:tr w:rsidR="0094178E" w:rsidRPr="00E638D3" w:rsidTr="001730A0">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w:t>
            </w:r>
            <w:r w:rsidR="008C0573">
              <w:rPr>
                <w:rFonts w:ascii="Times New Roman" w:eastAsia="Times New Roman" w:hAnsi="Times New Roman" w:cs="Times New Roman"/>
              </w:rPr>
              <w:t xml:space="preserve"> output less than 1 million Btu per </w:t>
            </w:r>
            <w:r w:rsidRPr="004C1F0D">
              <w:rPr>
                <w:rFonts w:ascii="Times New Roman" w:eastAsia="Times New Roman" w:hAnsi="Times New Roman" w:cs="Times New Roman"/>
              </w:rPr>
              <w:t>h</w:t>
            </w:r>
            <w:r w:rsidR="008C0573">
              <w:rPr>
                <w:rFonts w:ascii="Times New Roman" w:eastAsia="Times New Roman" w:hAnsi="Times New Roman" w:cs="Times New Roman"/>
              </w:rPr>
              <w:t>our</w:t>
            </w:r>
            <w:r w:rsidRPr="004C1F0D">
              <w:rPr>
                <w:rFonts w:ascii="Times New Roman" w:eastAsia="Times New Roman" w:hAnsi="Times New Roman" w:cs="Times New Roman"/>
              </w:rPr>
              <w:t xml:space="preserve"> are no longer subject to federal requirements</w:t>
            </w:r>
            <w:r w:rsidR="0019640C">
              <w:rPr>
                <w:rFonts w:ascii="Times New Roman" w:eastAsia="Times New Roman" w:hAnsi="Times New Roman" w:cs="Times New Roman"/>
              </w:rPr>
              <w:t xml:space="preserve">. </w:t>
            </w:r>
            <w:r w:rsidR="00777CA1">
              <w:rPr>
                <w:rFonts w:ascii="Times New Roman" w:eastAsia="Times New Roman" w:hAnsi="Times New Roman" w:cs="Times New Roman"/>
              </w:rPr>
              <w:t>S</w:t>
            </w:r>
            <w:r w:rsidR="00777CA1" w:rsidRPr="004C1F0D">
              <w:rPr>
                <w:rFonts w:ascii="Times New Roman" w:eastAsia="Times New Roman" w:hAnsi="Times New Roman" w:cs="Times New Roman"/>
              </w:rPr>
              <w:t>mall</w:t>
            </w:r>
            <w:r w:rsidR="00777CA1">
              <w:rPr>
                <w:rFonts w:ascii="Times New Roman" w:eastAsia="Times New Roman" w:hAnsi="Times New Roman" w:cs="Times New Roman"/>
              </w:rPr>
              <w:t>-</w:t>
            </w:r>
            <w:r w:rsidR="00777CA1" w:rsidRPr="004C1F0D">
              <w:rPr>
                <w:rFonts w:ascii="Times New Roman" w:eastAsia="Times New Roman" w:hAnsi="Times New Roman" w:cs="Times New Roman"/>
              </w:rPr>
              <w:t xml:space="preserve">scale commercial, industrial and institutional biomass boilers </w:t>
            </w:r>
            <w:r w:rsidR="00777CA1">
              <w:rPr>
                <w:rFonts w:ascii="Times New Roman" w:eastAsia="Times New Roman" w:hAnsi="Times New Roman" w:cs="Times New Roman"/>
              </w:rPr>
              <w:t>were</w:t>
            </w:r>
            <w:r w:rsidR="00777CA1" w:rsidRPr="004C1F0D">
              <w:rPr>
                <w:rFonts w:ascii="Times New Roman" w:eastAsia="Times New Roman" w:hAnsi="Times New Roman" w:cs="Times New Roman"/>
              </w:rPr>
              <w:t xml:space="preserve"> </w:t>
            </w:r>
            <w:r w:rsidRPr="004C1F0D">
              <w:rPr>
                <w:rFonts w:ascii="Times New Roman" w:eastAsia="Times New Roman" w:hAnsi="Times New Roman" w:cs="Times New Roman"/>
              </w:rPr>
              <w:t xml:space="preserve">subject to federal requirements </w:t>
            </w:r>
            <w:r w:rsidR="00777CA1">
              <w:rPr>
                <w:rFonts w:ascii="Times New Roman" w:eastAsia="Times New Roman" w:hAnsi="Times New Roman" w:cs="Times New Roman"/>
              </w:rPr>
              <w:t xml:space="preserve">and are </w:t>
            </w:r>
            <w:r w:rsidRPr="004C1F0D">
              <w:rPr>
                <w:rFonts w:ascii="Times New Roman" w:eastAsia="Times New Roman" w:hAnsi="Times New Roman" w:cs="Times New Roman"/>
              </w:rPr>
              <w:t>exempt from DEQ’s Heat Smart rules</w:t>
            </w:r>
            <w:r w:rsidR="00777CA1">
              <w:rPr>
                <w:rFonts w:ascii="Times New Roman" w:eastAsia="Times New Roman" w:hAnsi="Times New Roman" w:cs="Times New Roman"/>
              </w:rPr>
              <w:t xml:space="preserve"> that </w:t>
            </w:r>
            <w:r w:rsidRPr="004C1F0D">
              <w:rPr>
                <w:rFonts w:ascii="Times New Roman" w:eastAsia="Times New Roman" w:hAnsi="Times New Roman" w:cs="Times New Roman"/>
              </w:rPr>
              <w:t>prevent the</w:t>
            </w:r>
            <w:r w:rsidR="00777CA1">
              <w:rPr>
                <w:rFonts w:ascii="Times New Roman" w:eastAsia="Times New Roman" w:hAnsi="Times New Roman" w:cs="Times New Roman"/>
              </w:rPr>
              <w:t>m</w:t>
            </w:r>
            <w:r w:rsidRPr="004C1F0D">
              <w:rPr>
                <w:rFonts w:ascii="Times New Roman" w:eastAsia="Times New Roman" w:hAnsi="Times New Roman" w:cs="Times New Roman"/>
              </w:rPr>
              <w:t xml:space="preserve">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w:t>
            </w:r>
            <w:r w:rsidR="0019640C">
              <w:rPr>
                <w:rFonts w:ascii="Times New Roman" w:eastAsia="Times New Roman" w:hAnsi="Times New Roman" w:cs="Times New Roman"/>
              </w:rPr>
              <w:t xml:space="preserve">. </w:t>
            </w:r>
          </w:p>
        </w:tc>
      </w:tr>
      <w:tr w:rsidR="0094178E" w:rsidRPr="00E638D3" w:rsidTr="0025467F">
        <w:trPr>
          <w:gridBefore w:val="1"/>
          <w:trHeight w:val="1871"/>
        </w:trPr>
        <w:tc>
          <w:tcPr>
            <w:tcW w:w="2160" w:type="dxa"/>
            <w:gridSpan w:val="2"/>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industrial and institutional biomass boilers to be sold in Oregon again, while ensuring they are still subject to existing state limits on particulate 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003ED7">
        <w:trPr>
          <w:gridBefore w:val="1"/>
          <w:trHeight w:val="20"/>
        </w:trPr>
        <w:tc>
          <w:tcPr>
            <w:tcW w:w="10440" w:type="dxa"/>
            <w:gridSpan w:val="4"/>
            <w:tcBorders>
              <w:bottom w:val="dotted" w:sz="4" w:space="0" w:color="auto"/>
            </w:tcBorders>
            <w:shd w:val="clear" w:color="auto" w:fill="B1DDCD"/>
            <w:hideMark/>
          </w:tcPr>
          <w:p w:rsidR="00B01263" w:rsidRPr="00ED6683" w:rsidRDefault="00832AE5" w:rsidP="00ED6683">
            <w:pPr>
              <w:pStyle w:val="ListParagraph"/>
              <w:numPr>
                <w:ilvl w:val="0"/>
                <w:numId w:val="18"/>
              </w:numPr>
              <w:ind w:right="18"/>
              <w:rPr>
                <w:rFonts w:eastAsia="Times New Roman"/>
              </w:rPr>
            </w:pPr>
            <w:r w:rsidRPr="00ED6683">
              <w:rPr>
                <w:rFonts w:eastAsia="Times New Roman"/>
              </w:rPr>
              <w:t xml:space="preserve"> </w:t>
            </w:r>
            <w:commentRangeStart w:id="5"/>
            <w:r w:rsidRPr="00ED6683">
              <w:rPr>
                <w:rFonts w:eastAsia="Times New Roman"/>
              </w:rPr>
              <w:t>Implement SB 249A - Clean diesel grant and loan rules</w:t>
            </w:r>
            <w:commentRangeEnd w:id="5"/>
            <w:r w:rsidR="00C95B08">
              <w:rPr>
                <w:rStyle w:val="CommentReference"/>
              </w:rPr>
              <w:commentReference w:id="5"/>
            </w:r>
          </w:p>
        </w:tc>
      </w:tr>
      <w:tr w:rsidR="0094178E" w:rsidRPr="00E638D3" w:rsidTr="001730A0">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
          <w:p w:rsidR="00700ACF" w:rsidRPr="00700ACF" w:rsidRDefault="00700ACF" w:rsidP="00700ACF">
            <w:pPr>
              <w:ind w:left="0" w:right="18"/>
              <w:rPr>
                <w:rFonts w:ascii="Times New Roman" w:eastAsia="Times New Roman" w:hAnsi="Times New Roman" w:cs="Times New Roman"/>
                <w:bCs/>
              </w:rPr>
            </w:pPr>
            <w:r w:rsidRPr="00700ACF">
              <w:rPr>
                <w:rFonts w:ascii="Times New Roman" w:eastAsia="Times New Roman" w:hAnsi="Times New Roman" w:cs="Times New Roman"/>
                <w:bCs/>
              </w:rPr>
              <w:t>In 2007 the Oregon Legislature adopted a grant, loan and tax credit supported program to reduce environmental and public health risks from diesel engine pollution. Oregon’s original authorization for clean diesel grants, loans and tax credits is currently limited to exhaust retrofits, nonroad engine repowers</w:t>
            </w:r>
            <w:r w:rsidR="00786C3E">
              <w:rPr>
                <w:rFonts w:ascii="Times New Roman" w:eastAsia="Times New Roman" w:hAnsi="Times New Roman" w:cs="Times New Roman"/>
                <w:bCs/>
              </w:rPr>
              <w:t>,</w:t>
            </w:r>
            <w:r w:rsidRPr="00700ACF">
              <w:rPr>
                <w:rFonts w:ascii="Times New Roman" w:eastAsia="Times New Roman" w:hAnsi="Times New Roman" w:cs="Times New Roman"/>
                <w:bCs/>
              </w:rPr>
              <w:t xml:space="preserve"> and truck scrapping</w:t>
            </w:r>
            <w:r w:rsidR="00D475D2">
              <w:rPr>
                <w:rFonts w:ascii="Times New Roman" w:eastAsia="Times New Roman" w:hAnsi="Times New Roman" w:cs="Times New Roman"/>
                <w:bCs/>
              </w:rPr>
              <w:t>.</w:t>
            </w:r>
            <w:r w:rsidR="00891D92">
              <w:rPr>
                <w:rFonts w:ascii="Times New Roman" w:eastAsia="Times New Roman" w:hAnsi="Times New Roman" w:cs="Times New Roman"/>
                <w:bCs/>
              </w:rPr>
              <w:t xml:space="preserve"> </w:t>
            </w:r>
            <w:r w:rsidR="00D475D2">
              <w:rPr>
                <w:rFonts w:ascii="Times New Roman" w:eastAsia="Times New Roman" w:hAnsi="Times New Roman" w:cs="Times New Roman"/>
                <w:bCs/>
              </w:rPr>
              <w:t>F</w:t>
            </w:r>
            <w:r w:rsidRPr="00700ACF">
              <w:rPr>
                <w:rFonts w:ascii="Times New Roman" w:eastAsia="Times New Roman" w:hAnsi="Times New Roman" w:cs="Times New Roman"/>
                <w:bCs/>
              </w:rPr>
              <w:t xml:space="preserve">ederal program guidelines currently allow for ten other eligible activities including idle reduction, aerodynamic enhancements and vehicle replacement. </w:t>
            </w:r>
          </w:p>
          <w:p w:rsidR="00700ACF" w:rsidRPr="00700ACF" w:rsidRDefault="00700ACF" w:rsidP="00700ACF">
            <w:pPr>
              <w:ind w:left="0" w:right="18"/>
              <w:rPr>
                <w:rFonts w:ascii="Times New Roman" w:eastAsia="Times New Roman" w:hAnsi="Times New Roman" w:cs="Times New Roman"/>
                <w:bCs/>
              </w:rPr>
            </w:pPr>
          </w:p>
          <w:p w:rsidR="0094178E" w:rsidRPr="00700ACF" w:rsidRDefault="00D475D2" w:rsidP="00D475D2">
            <w:pPr>
              <w:ind w:left="0" w:right="18"/>
              <w:rPr>
                <w:rFonts w:ascii="Times New Roman" w:eastAsia="Times New Roman" w:hAnsi="Times New Roman" w:cs="Times New Roman"/>
                <w:bCs/>
                <w:highlight w:val="yellow"/>
              </w:rPr>
            </w:pPr>
            <w:r>
              <w:rPr>
                <w:rFonts w:ascii="Times New Roman" w:eastAsia="Times New Roman" w:hAnsi="Times New Roman" w:cs="Times New Roman"/>
                <w:bCs/>
              </w:rPr>
              <w:t>Oregon has not appropriated s</w:t>
            </w:r>
            <w:r w:rsidR="00700ACF" w:rsidRPr="00700ACF">
              <w:rPr>
                <w:rFonts w:ascii="Times New Roman" w:eastAsia="Times New Roman" w:hAnsi="Times New Roman" w:cs="Times New Roman"/>
                <w:bCs/>
              </w:rPr>
              <w:t xml:space="preserve">tate funds for clean diesel work since the 2007-09 biennium and the tax credit program </w:t>
            </w:r>
            <w:r>
              <w:rPr>
                <w:rFonts w:ascii="Times New Roman" w:eastAsia="Times New Roman" w:hAnsi="Times New Roman" w:cs="Times New Roman"/>
                <w:bCs/>
              </w:rPr>
              <w:t>ended</w:t>
            </w:r>
            <w:r w:rsidR="00700ACF" w:rsidRPr="00700ACF">
              <w:rPr>
                <w:rFonts w:ascii="Times New Roman" w:eastAsia="Times New Roman" w:hAnsi="Times New Roman" w:cs="Times New Roman"/>
                <w:bCs/>
              </w:rPr>
              <w:t xml:space="preserve"> in 2012. Remaining funding incentives for clean diesel work is available primarily through the federal Diesel Emission Reduction Act. While the Act allows a broad range of eligible activities, DEQ is constrained in applying for and managing federal grants by </w:t>
            </w:r>
            <w:r>
              <w:rPr>
                <w:rFonts w:ascii="Times New Roman" w:eastAsia="Times New Roman" w:hAnsi="Times New Roman" w:cs="Times New Roman"/>
                <w:bCs/>
              </w:rPr>
              <w:t>Oregon’s</w:t>
            </w:r>
            <w:r w:rsidRPr="00700ACF">
              <w:rPr>
                <w:rFonts w:ascii="Times New Roman" w:eastAsia="Times New Roman" w:hAnsi="Times New Roman" w:cs="Times New Roman"/>
                <w:bCs/>
              </w:rPr>
              <w:t xml:space="preserve"> </w:t>
            </w:r>
            <w:r w:rsidR="00700ACF" w:rsidRPr="00700ACF">
              <w:rPr>
                <w:rFonts w:ascii="Times New Roman" w:eastAsia="Times New Roman" w:hAnsi="Times New Roman" w:cs="Times New Roman"/>
                <w:bCs/>
              </w:rPr>
              <w:t>original statutory authority. This hamper</w:t>
            </w:r>
            <w:r>
              <w:rPr>
                <w:rFonts w:ascii="Times New Roman" w:eastAsia="Times New Roman" w:hAnsi="Times New Roman" w:cs="Times New Roman"/>
                <w:bCs/>
              </w:rPr>
              <w:t>s</w:t>
            </w:r>
            <w:r w:rsidR="00700ACF" w:rsidRPr="00700ACF">
              <w:rPr>
                <w:rFonts w:ascii="Times New Roman" w:eastAsia="Times New Roman" w:hAnsi="Times New Roman" w:cs="Times New Roman"/>
                <w:bCs/>
              </w:rPr>
              <w:t xml:space="preserve"> DEQ’s ability to successful</w:t>
            </w:r>
            <w:r>
              <w:rPr>
                <w:rFonts w:ascii="Times New Roman" w:eastAsia="Times New Roman" w:hAnsi="Times New Roman" w:cs="Times New Roman"/>
                <w:bCs/>
              </w:rPr>
              <w:t>ly</w:t>
            </w:r>
            <w:r w:rsidR="00700ACF" w:rsidRPr="00700ACF">
              <w:rPr>
                <w:rFonts w:ascii="Times New Roman" w:eastAsia="Times New Roman" w:hAnsi="Times New Roman" w:cs="Times New Roman"/>
                <w:bCs/>
              </w:rPr>
              <w:t xml:space="preserve"> recruit projects and secur</w:t>
            </w:r>
            <w:r>
              <w:rPr>
                <w:rFonts w:ascii="Times New Roman" w:eastAsia="Times New Roman" w:hAnsi="Times New Roman" w:cs="Times New Roman"/>
                <w:bCs/>
              </w:rPr>
              <w:t>e</w:t>
            </w:r>
            <w:r w:rsidR="00700ACF" w:rsidRPr="00700ACF">
              <w:rPr>
                <w:rFonts w:ascii="Times New Roman" w:eastAsia="Times New Roman" w:hAnsi="Times New Roman" w:cs="Times New Roman"/>
                <w:bCs/>
              </w:rPr>
              <w:t xml:space="preserve"> federal awards. As a consequence, despite widespread outreach, </w:t>
            </w:r>
            <w:r>
              <w:rPr>
                <w:rFonts w:ascii="Times New Roman" w:eastAsia="Times New Roman" w:hAnsi="Times New Roman" w:cs="Times New Roman"/>
                <w:bCs/>
              </w:rPr>
              <w:t>diesel owners were</w:t>
            </w:r>
            <w:r w:rsidR="00891D92">
              <w:rPr>
                <w:rFonts w:ascii="Times New Roman" w:eastAsia="Times New Roman" w:hAnsi="Times New Roman" w:cs="Times New Roman"/>
                <w:bCs/>
              </w:rPr>
              <w:t xml:space="preserve"> </w:t>
            </w:r>
            <w:r w:rsidR="00700ACF" w:rsidRPr="00700ACF">
              <w:rPr>
                <w:rFonts w:ascii="Times New Roman" w:eastAsia="Times New Roman" w:hAnsi="Times New Roman" w:cs="Times New Roman"/>
                <w:bCs/>
              </w:rPr>
              <w:t>no</w:t>
            </w:r>
            <w:r>
              <w:rPr>
                <w:rFonts w:ascii="Times New Roman" w:eastAsia="Times New Roman" w:hAnsi="Times New Roman" w:cs="Times New Roman"/>
                <w:bCs/>
              </w:rPr>
              <w:t>t</w:t>
            </w:r>
            <w:r w:rsidR="00700ACF" w:rsidRPr="00700ACF">
              <w:rPr>
                <w:rFonts w:ascii="Times New Roman" w:eastAsia="Times New Roman" w:hAnsi="Times New Roman" w:cs="Times New Roman"/>
                <w:bCs/>
              </w:rPr>
              <w:t xml:space="preserve"> interest</w:t>
            </w:r>
            <w:r>
              <w:rPr>
                <w:rFonts w:ascii="Times New Roman" w:eastAsia="Times New Roman" w:hAnsi="Times New Roman" w:cs="Times New Roman"/>
                <w:bCs/>
              </w:rPr>
              <w:t>ed in</w:t>
            </w:r>
            <w:r w:rsidR="00700ACF" w:rsidRPr="00700ACF">
              <w:rPr>
                <w:rFonts w:ascii="Times New Roman" w:eastAsia="Times New Roman" w:hAnsi="Times New Roman" w:cs="Times New Roman"/>
                <w:bCs/>
              </w:rPr>
              <w:t xml:space="preserve"> retrofit</w:t>
            </w:r>
            <w:r>
              <w:rPr>
                <w:rFonts w:ascii="Times New Roman" w:eastAsia="Times New Roman" w:hAnsi="Times New Roman" w:cs="Times New Roman"/>
                <w:bCs/>
              </w:rPr>
              <w:t>ting</w:t>
            </w:r>
            <w:r w:rsidR="00700ACF" w:rsidRPr="00700ACF">
              <w:rPr>
                <w:rFonts w:ascii="Times New Roman" w:eastAsia="Times New Roman" w:hAnsi="Times New Roman" w:cs="Times New Roman"/>
                <w:bCs/>
              </w:rPr>
              <w:t xml:space="preserve"> vehicles or equipment during the FY 2012 grant cycle and no federal grants were awarded in Oregon that year. </w:t>
            </w:r>
          </w:p>
        </w:tc>
      </w:tr>
      <w:tr w:rsidR="0094178E" w:rsidRPr="00E638D3" w:rsidTr="002C5A4C">
        <w:trPr>
          <w:gridBefore w:val="1"/>
          <w:trHeight w:val="3482"/>
        </w:trPr>
        <w:tc>
          <w:tcPr>
            <w:tcW w:w="2160" w:type="dxa"/>
            <w:gridSpan w:val="2"/>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
          <w:p w:rsidR="0094178E" w:rsidRPr="00700ACF" w:rsidRDefault="00D475D2" w:rsidP="00113C15">
            <w:pPr>
              <w:ind w:left="0" w:right="18"/>
              <w:rPr>
                <w:rFonts w:ascii="Times New Roman" w:eastAsia="Times New Roman" w:hAnsi="Times New Roman" w:cs="Times New Roman"/>
              </w:rPr>
            </w:pPr>
            <w:r>
              <w:rPr>
                <w:rFonts w:ascii="Times New Roman" w:eastAsia="Times New Roman" w:hAnsi="Times New Roman" w:cs="Times New Roman"/>
              </w:rPr>
              <w:t>F</w:t>
            </w:r>
            <w:r w:rsidR="00AA0297" w:rsidRPr="00AA0297">
              <w:rPr>
                <w:rFonts w:ascii="Times New Roman" w:eastAsia="Times New Roman" w:hAnsi="Times New Roman" w:cs="Times New Roman"/>
              </w:rPr>
              <w:t xml:space="preserve">ailure to amend the proposed rule would limit the scope of projects to reduce harmful emissions from diesel engines. Older diesel engines emit particulate matter and other pollutants that are harmful to human health and the environment. Federal clean diesel grants provide funding to improve the emission profile of diesel engines by decreasing the amount of such harmful emissions using a variety of effective methods including vehicle replacement and idle reduction technologies. </w:t>
            </w:r>
            <w:r w:rsidR="002C5A4C">
              <w:rPr>
                <w:rFonts w:ascii="Times New Roman" w:eastAsia="Times New Roman" w:hAnsi="Times New Roman" w:cs="Times New Roman"/>
              </w:rPr>
              <w:t xml:space="preserve">The proposed </w:t>
            </w:r>
            <w:r w:rsidR="00AA0297" w:rsidRPr="00AA0297">
              <w:rPr>
                <w:rFonts w:ascii="Times New Roman" w:eastAsia="Times New Roman" w:hAnsi="Times New Roman" w:cs="Times New Roman"/>
              </w:rPr>
              <w:t xml:space="preserve">rule </w:t>
            </w:r>
            <w:r w:rsidR="002C5A4C">
              <w:rPr>
                <w:rFonts w:ascii="Times New Roman" w:eastAsia="Times New Roman" w:hAnsi="Times New Roman" w:cs="Times New Roman"/>
              </w:rPr>
              <w:t>would</w:t>
            </w:r>
            <w:r w:rsidR="00AA0297" w:rsidRPr="00AA0297">
              <w:rPr>
                <w:rFonts w:ascii="Times New Roman" w:eastAsia="Times New Roman" w:hAnsi="Times New Roman" w:cs="Times New Roman"/>
              </w:rPr>
              <w:t xml:space="preserve"> allow DEQ to administer grants that meet </w:t>
            </w:r>
            <w:r w:rsidR="002C5A4C">
              <w:rPr>
                <w:rFonts w:ascii="Times New Roman" w:eastAsia="Times New Roman" w:hAnsi="Times New Roman" w:cs="Times New Roman"/>
              </w:rPr>
              <w:t xml:space="preserve">the </w:t>
            </w:r>
            <w:r w:rsidR="00AA0297" w:rsidRPr="00AA0297">
              <w:rPr>
                <w:rFonts w:ascii="Times New Roman" w:eastAsia="Times New Roman" w:hAnsi="Times New Roman" w:cs="Times New Roman"/>
              </w:rPr>
              <w:t xml:space="preserve">federal funding criteria authorized by Senate Bill 249 </w:t>
            </w:r>
            <w:r w:rsidR="002C5A4C">
              <w:rPr>
                <w:rFonts w:ascii="Times New Roman" w:eastAsia="Times New Roman" w:hAnsi="Times New Roman" w:cs="Times New Roman"/>
              </w:rPr>
              <w:t>to</w:t>
            </w:r>
            <w:r w:rsidR="00AA0297" w:rsidRPr="00AA0297">
              <w:rPr>
                <w:rFonts w:ascii="Times New Roman" w:eastAsia="Times New Roman" w:hAnsi="Times New Roman" w:cs="Times New Roman"/>
              </w:rPr>
              <w:t xml:space="preserve"> include a broader variety of methods than currently authorized under </w:t>
            </w:r>
            <w:r w:rsidR="00113C15">
              <w:rPr>
                <w:rFonts w:ascii="Times New Roman" w:eastAsia="Times New Roman" w:hAnsi="Times New Roman" w:cs="Times New Roman"/>
              </w:rPr>
              <w:t>Oregon</w:t>
            </w:r>
            <w:r w:rsidR="00113C15" w:rsidRPr="00AA0297">
              <w:rPr>
                <w:rFonts w:ascii="Times New Roman" w:eastAsia="Times New Roman" w:hAnsi="Times New Roman" w:cs="Times New Roman"/>
              </w:rPr>
              <w:t xml:space="preserve"> </w:t>
            </w:r>
            <w:r w:rsidR="00AA0297" w:rsidRPr="00AA0297">
              <w:rPr>
                <w:rFonts w:ascii="Times New Roman" w:eastAsia="Times New Roman" w:hAnsi="Times New Roman" w:cs="Times New Roman"/>
              </w:rPr>
              <w:t xml:space="preserve">rules. </w:t>
            </w:r>
            <w:r w:rsidR="00113C15">
              <w:rPr>
                <w:rFonts w:ascii="Times New Roman" w:eastAsia="Times New Roman" w:hAnsi="Times New Roman" w:cs="Times New Roman"/>
              </w:rPr>
              <w:t>Expanding</w:t>
            </w:r>
            <w:r w:rsidR="00113C15" w:rsidRPr="00AA0297">
              <w:rPr>
                <w:rFonts w:ascii="Times New Roman" w:eastAsia="Times New Roman" w:hAnsi="Times New Roman" w:cs="Times New Roman"/>
              </w:rPr>
              <w:t xml:space="preserve"> </w:t>
            </w:r>
            <w:r w:rsidR="00AA0297" w:rsidRPr="00AA0297">
              <w:rPr>
                <w:rFonts w:ascii="Times New Roman" w:eastAsia="Times New Roman" w:hAnsi="Times New Roman" w:cs="Times New Roman"/>
              </w:rPr>
              <w:t>the scope of allowable activities</w:t>
            </w:r>
            <w:r w:rsidR="00113C15">
              <w:rPr>
                <w:rFonts w:ascii="Times New Roman" w:eastAsia="Times New Roman" w:hAnsi="Times New Roman" w:cs="Times New Roman"/>
              </w:rPr>
              <w:t xml:space="preserve"> broadens</w:t>
            </w:r>
            <w:r w:rsidR="00AA0297" w:rsidRPr="00AA0297">
              <w:rPr>
                <w:rFonts w:ascii="Times New Roman" w:eastAsia="Times New Roman" w:hAnsi="Times New Roman" w:cs="Times New Roman"/>
              </w:rPr>
              <w:t xml:space="preserve"> the range of fundable projects in Oregon</w:t>
            </w:r>
            <w:r w:rsidR="002C5A4C">
              <w:rPr>
                <w:rFonts w:ascii="Times New Roman" w:eastAsia="Times New Roman" w:hAnsi="Times New Roman" w:cs="Times New Roman"/>
              </w:rPr>
              <w:t xml:space="preserve"> and</w:t>
            </w:r>
            <w:r w:rsidR="00AA0297" w:rsidRPr="00AA0297">
              <w:rPr>
                <w:rFonts w:ascii="Times New Roman" w:eastAsia="Times New Roman" w:hAnsi="Times New Roman" w:cs="Times New Roman"/>
              </w:rPr>
              <w:t xml:space="preserve"> </w:t>
            </w:r>
            <w:r w:rsidR="00113C15">
              <w:rPr>
                <w:rFonts w:ascii="Times New Roman" w:eastAsia="Times New Roman" w:hAnsi="Times New Roman" w:cs="Times New Roman"/>
              </w:rPr>
              <w:t>supports</w:t>
            </w:r>
            <w:r w:rsidR="00113C15" w:rsidRPr="00AA0297">
              <w:rPr>
                <w:rFonts w:ascii="Times New Roman" w:eastAsia="Times New Roman" w:hAnsi="Times New Roman" w:cs="Times New Roman"/>
              </w:rPr>
              <w:t xml:space="preserve"> </w:t>
            </w:r>
            <w:r w:rsidR="00AA0297" w:rsidRPr="00AA0297">
              <w:rPr>
                <w:rFonts w:ascii="Times New Roman" w:eastAsia="Times New Roman" w:hAnsi="Times New Roman" w:cs="Times New Roman"/>
              </w:rPr>
              <w:t>the Oregon Clean Diesel Initiative’s effort to reduce the adverse impacts from toxic air pollutants and mitigate climate change.</w:t>
            </w:r>
          </w:p>
        </w:tc>
      </w:tr>
      <w:tr w:rsidR="0094178E" w:rsidRPr="00E638D3" w:rsidTr="00161CEB">
        <w:trPr>
          <w:gridBefore w:val="1"/>
          <w:trHeight w:val="20"/>
        </w:trPr>
        <w:tc>
          <w:tcPr>
            <w:tcW w:w="10440" w:type="dxa"/>
            <w:gridSpan w:val="4"/>
            <w:tcBorders>
              <w:bottom w:val="dotted" w:sz="4" w:space="0" w:color="auto"/>
            </w:tcBorders>
            <w:shd w:val="clear" w:color="auto" w:fill="B1DDCD"/>
            <w:hideMark/>
          </w:tcPr>
          <w:p w:rsidR="004272FD" w:rsidRDefault="0094178E" w:rsidP="009F06CF">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Annual reporting requirement for small gasoline dispensing facilities</w:t>
            </w:r>
          </w:p>
        </w:tc>
      </w:tr>
      <w:tr w:rsidR="0094178E" w:rsidRPr="00E638D3" w:rsidTr="00891D92">
        <w:trPr>
          <w:gridBefore w:val="1"/>
          <w:trHeight w:val="20"/>
        </w:trPr>
        <w:tc>
          <w:tcPr>
            <w:tcW w:w="2160" w:type="dxa"/>
            <w:gridSpan w:val="2"/>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ave a submerged fill tube installed on their tank(s)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E638D3">
              <w:rPr>
                <w:rFonts w:ascii="Times New Roman" w:eastAsia="Times New Roman" w:hAnsi="Times New Roman" w:cs="Times New Roman"/>
              </w:rPr>
              <w:t xml:space="preserve">ubmit a one-time initial notification </w:t>
            </w:r>
            <w:commentRangeStart w:id="6"/>
            <w:r w:rsidR="0094178E" w:rsidRPr="00E638D3">
              <w:rPr>
                <w:rFonts w:ascii="Times New Roman" w:eastAsia="Times New Roman" w:hAnsi="Times New Roman" w:cs="Times New Roman"/>
              </w:rPr>
              <w:t>and no</w:t>
            </w:r>
            <w:r w:rsidR="00925F07" w:rsidRPr="00E638D3">
              <w:rPr>
                <w:rFonts w:ascii="Times New Roman" w:eastAsia="Times New Roman" w:hAnsi="Times New Roman" w:cs="Times New Roman"/>
              </w:rPr>
              <w:t xml:space="preserve">tification </w:t>
            </w:r>
            <w:commentRangeEnd w:id="6"/>
            <w:r w:rsidR="009408DB">
              <w:rPr>
                <w:rStyle w:val="CommentReference"/>
              </w:rPr>
              <w:commentReference w:id="6"/>
            </w:r>
            <w:r w:rsidR="00925F07" w:rsidRPr="00E638D3">
              <w:rPr>
                <w:rFonts w:ascii="Times New Roman" w:eastAsia="Times New Roman" w:hAnsi="Times New Roman" w:cs="Times New Roman"/>
              </w:rPr>
              <w:t>of compliance status</w:t>
            </w:r>
            <w:r w:rsidR="0094178E" w:rsidRPr="00E638D3">
              <w:rPr>
                <w:rFonts w:ascii="Times New Roman" w:eastAsia="Times New Roman" w:hAnsi="Times New Roman" w:cs="Times New Roman"/>
              </w:rPr>
              <w:t xml:space="preserve"> </w:t>
            </w:r>
            <w:r w:rsidR="0094178E" w:rsidRPr="00113C15">
              <w:rPr>
                <w:rFonts w:ascii="Times New Roman" w:eastAsia="Times New Roman" w:hAnsi="Times New Roman" w:cs="Times New Roman"/>
              </w:rPr>
              <w:t>submit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94178E" w:rsidRPr="00113C15" w:rsidDel="009408DB">
              <w:rPr>
                <w:rFonts w:ascii="Times New Roman" w:eastAsia="Times New Roman" w:hAnsi="Times New Roman" w:cs="Times New Roman"/>
              </w:rPr>
              <w:t xml:space="preserve">DEQ determined </w:t>
            </w:r>
            <w:r w:rsidR="0094178E" w:rsidRPr="00E638D3" w:rsidDel="009408DB">
              <w:rPr>
                <w:rFonts w:ascii="Times New Roman" w:eastAsia="Times New Roman" w:hAnsi="Times New Roman" w:cs="Times New Roman"/>
              </w:rPr>
              <w:t>the annual reporting requirement for these small gasoline dispensing facilities is unnecessary</w:t>
            </w:r>
            <w:r w:rsidR="00113C15" w:rsidDel="009408DB">
              <w:rPr>
                <w:rFonts w:ascii="Times New Roman" w:eastAsia="Times New Roman" w:hAnsi="Times New Roman" w:cs="Times New Roman"/>
              </w:rPr>
              <w:t xml:space="preserve">.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p>
        </w:tc>
      </w:tr>
      <w:tr w:rsidR="0094178E" w:rsidRPr="00E638D3" w:rsidTr="00891D92">
        <w:trPr>
          <w:gridBefore w:val="1"/>
          <w:trHeight w:val="20"/>
        </w:trPr>
        <w:tc>
          <w:tcPr>
            <w:tcW w:w="2160" w:type="dxa"/>
            <w:gridSpan w:val="2"/>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2C5923" w:rsidRDefault="002C5923" w:rsidP="00B34CF8">
      <w:pPr>
        <w:ind w:left="720" w:right="18"/>
      </w:pPr>
    </w:p>
    <w:p w:rsidR="003F5C92" w:rsidRDefault="00702190">
      <w:pPr>
        <w:spacing w:after="120"/>
        <w:ind w:left="72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702190" w:rsidRDefault="00702190" w:rsidP="00B34CF8">
      <w:pPr>
        <w:ind w:left="720" w:right="18"/>
      </w:pPr>
    </w:p>
    <w:p w:rsidR="00702190" w:rsidRDefault="00702190" w:rsidP="00B34CF8">
      <w:pPr>
        <w:ind w:left="720" w:right="18"/>
        <w:rPr>
          <w:rFonts w:ascii="Times New Roman" w:hAnsi="Times New Roman" w:cs="Times New Roman"/>
        </w:rPr>
      </w:pPr>
      <w:r w:rsidRPr="00E638D3">
        <w:rPr>
          <w:rFonts w:ascii="Times New Roman" w:hAnsi="Times New Roman" w:cs="Times New Roman"/>
        </w:rPr>
        <w:t xml:space="preserve">For </w:t>
      </w:r>
      <w:r>
        <w:rPr>
          <w:rFonts w:ascii="Times New Roman" w:hAnsi="Times New Roman" w:cs="Times New Roman"/>
        </w:rPr>
        <w:t xml:space="preserve">all of nine categories in the table </w:t>
      </w:r>
      <w:r w:rsidRPr="00E638D3">
        <w:rPr>
          <w:rFonts w:ascii="Times New Roman" w:hAnsi="Times New Roman" w:cs="Times New Roman"/>
        </w:rPr>
        <w:t xml:space="preserve">above,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w:t>
      </w:r>
      <w:r>
        <w:rPr>
          <w:rFonts w:ascii="Times New Roman" w:hAnsi="Times New Roman" w:cs="Times New Roman"/>
        </w:rPr>
        <w:t xml:space="preserve"> after the EQC adopts the proposed rules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7"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7"/>
    <w:p w:rsidR="00CD6F9F" w:rsidRDefault="00CD6F9F" w:rsidP="00B34CF8">
      <w:pPr>
        <w:ind w:right="18"/>
        <w:outlineLvl w:val="0"/>
        <w:rPr>
          <w:rFonts w:eastAsia="Times New Roman"/>
          <w:bCs/>
          <w:sz w:val="28"/>
          <w:szCs w:val="28"/>
        </w:rPr>
        <w:sectPr w:rsidR="00CD6F9F" w:rsidSect="00B34CF8">
          <w:footerReference w:type="default" r:id="rId13"/>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OAR 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0035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0225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0320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0055, 0200,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0550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0540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C9050A">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0210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0080</w:t>
      </w:r>
      <w:r>
        <w:rPr>
          <w:rFonts w:ascii="Times New Roman" w:eastAsia="Times New Roman" w:hAnsi="Times New Roman" w:cs="Times New Roman"/>
          <w:bCs/>
        </w:rPr>
        <w:t xml:space="preserve">,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0205,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0215,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0225,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0280</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0054, 0056, 0060, 0062,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0066,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0068,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0094</w:t>
      </w:r>
      <w:r w:rsidR="00CD6F9F">
        <w:rPr>
          <w:rFonts w:ascii="Times New Roman" w:eastAsia="Times New Roman" w:hAnsi="Times New Roman" w:cs="Times New Roman"/>
          <w:bCs/>
        </w:rPr>
        <w:t xml:space="preserve">, </w:t>
      </w:r>
      <w:r w:rsidR="00E940EB" w:rsidRPr="00E940EB">
        <w:rPr>
          <w:rFonts w:ascii="Times New Roman" w:eastAsia="Times New Roman" w:hAnsi="Times New Roman" w:cs="Times New Roman"/>
          <w:bCs/>
        </w:rPr>
        <w:t>340-218-</w:t>
      </w:r>
      <w:r w:rsidR="00E940EB">
        <w:rPr>
          <w:rFonts w:ascii="Times New Roman" w:eastAsia="Times New Roman" w:hAnsi="Times New Roman" w:cs="Times New Roman"/>
          <w:bCs/>
        </w:rPr>
        <w:t>001</w:t>
      </w:r>
      <w:r w:rsidR="00E940EB" w:rsidRPr="00E940EB">
        <w:rPr>
          <w:rFonts w:ascii="Times New Roman" w:eastAsia="Times New Roman" w:hAnsi="Times New Roman" w:cs="Times New Roman"/>
          <w:bCs/>
        </w:rPr>
        <w:t>0</w:t>
      </w:r>
      <w:r w:rsidR="00E940EB">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0041,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0042, </w:t>
      </w:r>
      <w:r w:rsidR="00CD6F9F">
        <w:rPr>
          <w:rFonts w:ascii="Times New Roman" w:eastAsia="Times New Roman" w:hAnsi="Times New Roman" w:cs="Times New Roman"/>
          <w:bCs/>
        </w:rPr>
        <w:t>v</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0400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0330,</w:t>
      </w:r>
      <w:r w:rsidR="00BE0849">
        <w:rPr>
          <w:rFonts w:ascii="Times New Roman" w:eastAsia="Times New Roman" w:hAnsi="Times New Roman" w:cs="Times New Roman"/>
          <w:bCs/>
        </w:rPr>
        <w:t xml:space="preserve"> 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0500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0030, 0110, 0120,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0610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lastRenderedPageBreak/>
        <w:t>262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0450</w:t>
      </w:r>
      <w:r w:rsidR="00BE0849">
        <w:rPr>
          <w:rFonts w:ascii="Times New Roman" w:eastAsia="Times New Roman" w:hAnsi="Times New Roman" w:cs="Times New Roman"/>
          <w:bCs/>
        </w:rPr>
        <w:t>,</w:t>
      </w:r>
      <w:r w:rsidR="00DD6D6E">
        <w:rPr>
          <w:rFonts w:ascii="Times New Roman" w:eastAsia="Times New Roman" w:hAnsi="Times New Roman" w:cs="Times New Roman"/>
          <w:bCs/>
        </w:rPr>
        <w:t xml:space="preserve"> 340-259-0010,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0075,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0078,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0180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268</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p>
    <w:p w:rsidR="00D257F6" w:rsidRPr="00D257F6" w:rsidRDefault="00360B6F" w:rsidP="00D257F6">
      <w:pPr>
        <w:ind w:left="720" w:right="18"/>
        <w:rPr>
          <w:rFonts w:ascii="Times New Roman" w:eastAsia="Times New Roman" w:hAnsi="Times New Roman" w:cs="Times New Roman"/>
          <w:bCs/>
        </w:rPr>
      </w:pPr>
      <w:r w:rsidRPr="00360B6F">
        <w:rPr>
          <w:rFonts w:ascii="Times New Roman" w:eastAsia="Times New Roman" w:hAnsi="Times New Roman" w:cs="Times New Roman"/>
          <w:bCs/>
        </w:rPr>
        <w:t>OAR</w:t>
      </w:r>
      <w:r w:rsidR="00FC471D">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0034,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00FC471D" w:rsidRPr="00D257F6">
        <w:rPr>
          <w:rFonts w:ascii="Times New Roman" w:eastAsia="Times New Roman" w:hAnsi="Times New Roman" w:cs="Times New Roman"/>
          <w:bCs/>
        </w:rPr>
        <w:t>0034</w:t>
      </w:r>
      <w:r w:rsidR="00A84D7F">
        <w:rPr>
          <w:rFonts w:ascii="Times New Roman" w:eastAsia="Times New Roman" w:hAnsi="Times New Roman" w:cs="Times New Roman"/>
          <w:bCs/>
        </w:rPr>
        <w:t>, 340-224-</w:t>
      </w:r>
      <w:r w:rsidR="00D257F6" w:rsidRPr="00D257F6">
        <w:rPr>
          <w:rFonts w:ascii="Times New Roman" w:eastAsia="Times New Roman" w:hAnsi="Times New Roman" w:cs="Times New Roman"/>
          <w:bCs/>
        </w:rPr>
        <w:t>0080</w:t>
      </w:r>
    </w:p>
    <w:p w:rsidR="00D257F6" w:rsidRPr="00D257F6" w:rsidRDefault="00D257F6"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sidR="00B87603" w:rsidRPr="00B87603">
        <w:rPr>
          <w:rFonts w:ascii="Times New Roman" w:eastAsia="Times New Roman" w:hAnsi="Times New Roman" w:cs="Times New Roman"/>
          <w:bCs/>
        </w:rPr>
        <w:t xml:space="preserve"> </w:t>
      </w:r>
    </w:p>
    <w:p w:rsidR="00D257F6" w:rsidRPr="00D257F6" w:rsidRDefault="00B87603" w:rsidP="00D257F6">
      <w:pPr>
        <w:ind w:left="720" w:right="18"/>
        <w:rPr>
          <w:rFonts w:ascii="Times New Roman" w:eastAsia="Times New Roman" w:hAnsi="Times New Roman" w:cs="Times New Roman"/>
          <w:bCs/>
        </w:rPr>
      </w:pPr>
      <w:r>
        <w:rPr>
          <w:rFonts w:ascii="Times New Roman" w:eastAsia="Times New Roman" w:hAnsi="Times New Roman" w:cs="Times New Roman"/>
          <w:bCs/>
        </w:rPr>
        <w:t>O</w:t>
      </w:r>
      <w:r w:rsidR="00FC471D">
        <w:rPr>
          <w:rFonts w:ascii="Times New Roman" w:eastAsia="Times New Roman" w:hAnsi="Times New Roman" w:cs="Times New Roman"/>
          <w:bCs/>
        </w:rPr>
        <w:t>AR 340-</w:t>
      </w:r>
      <w:r w:rsidR="00D257F6"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8005,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8010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0055</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FC471D">
        <w:rPr>
          <w:rFonts w:ascii="Times New Roman" w:eastAsia="Times New Roman" w:hAnsi="Times New Roman" w:cs="Times New Roman"/>
          <w:bCs/>
        </w:rPr>
        <w:t>-0038, 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0100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8005</w:t>
      </w:r>
    </w:p>
    <w:p w:rsidR="00D257F6" w:rsidRPr="00D257F6" w:rsidRDefault="00D257F6"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Repeal</w:t>
      </w:r>
      <w:r w:rsidR="00B87603">
        <w:rPr>
          <w:rFonts w:ascii="Times New Roman" w:eastAsia="Times New Roman" w:hAnsi="Times New Roman" w:cs="Times New Roman"/>
          <w:bCs/>
        </w:rPr>
        <w:tab/>
      </w:r>
    </w:p>
    <w:p w:rsidR="00D257F6" w:rsidRP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 xml:space="preserve">OAR </w:t>
      </w:r>
      <w:r w:rsidR="00B87603">
        <w:rPr>
          <w:rFonts w:ascii="Times New Roman" w:eastAsia="Times New Roman" w:hAnsi="Times New Roman" w:cs="Times New Roman"/>
          <w:bCs/>
        </w:rPr>
        <w:t xml:space="preserve">340-208-0100, 340-208-0200,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0600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214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sidR="00B87603">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0310</w:t>
      </w:r>
    </w:p>
    <w:p w:rsid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0790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264</w:t>
      </w:r>
      <w:r>
        <w:rPr>
          <w:rFonts w:ascii="Times New Roman" w:eastAsia="Times New Roman" w:hAnsi="Times New Roman" w:cs="Times New Roman"/>
          <w:bCs/>
        </w:rPr>
        <w:t>-</w:t>
      </w:r>
      <w:r w:rsidR="00D257F6" w:rsidRPr="00D257F6">
        <w:rPr>
          <w:rFonts w:ascii="Times New Roman" w:eastAsia="Times New Roman" w:hAnsi="Times New Roman" w:cs="Times New Roman"/>
          <w:bCs/>
        </w:rPr>
        <w:t>0190</w:t>
      </w:r>
    </w:p>
    <w:p w:rsidR="00D257F6" w:rsidRPr="00D257F6" w:rsidRDefault="00D257F6" w:rsidP="00D257F6">
      <w:pPr>
        <w:ind w:left="720" w:right="18"/>
        <w:rPr>
          <w:rFonts w:ascii="Times New Roman" w:eastAsia="Times New Roman" w:hAnsi="Times New Roman" w:cs="Times New Roman"/>
          <w:bCs/>
        </w:rPr>
      </w:pPr>
    </w:p>
    <w:p w:rsidR="00D257F6" w:rsidRPr="00C71500" w:rsidRDefault="003539AD" w:rsidP="00C71500">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201, 216 and 218 include rules, programs or activities considered land use programs under the DEQ State Agency Coordination Program.</w:t>
      </w:r>
    </w:p>
    <w:p w:rsidR="00D257F6" w:rsidRDefault="00D257F6"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70746D"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70746D" w:rsidRDefault="0070746D"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 implemented</w:t>
      </w:r>
      <w:r w:rsidRPr="00D257F6">
        <w:rPr>
          <w:rFonts w:ascii="Times New Roman" w:eastAsia="Times New Roman" w:hAnsi="Times New Roman" w:cs="Times New Roman"/>
          <w:bCs/>
        </w:rPr>
        <w:tab/>
      </w:r>
    </w:p>
    <w:p w:rsidR="0070746D"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Pr>
          <w:rFonts w:ascii="Times New Roman" w:eastAsia="Times New Roman" w:hAnsi="Times New Roman" w:cs="Times New Roman"/>
          <w:bCs/>
        </w:rPr>
        <w:t xml:space="preserve">468, 468A, </w:t>
      </w:r>
      <w:r w:rsidRPr="00D257F6">
        <w:rPr>
          <w:rFonts w:ascii="Times New Roman" w:eastAsia="Times New Roman" w:hAnsi="Times New Roman" w:cs="Times New Roman"/>
          <w:bCs/>
        </w:rPr>
        <w:t>468.020, 468A.025, 468A.035, 468A.040, 468A.050, 468A.055</w:t>
      </w:r>
      <w:r>
        <w:rPr>
          <w:rFonts w:ascii="Times New Roman" w:eastAsia="Times New Roman" w:hAnsi="Times New Roman" w:cs="Times New Roman"/>
          <w:bCs/>
        </w:rPr>
        <w:t xml:space="preserve">, </w:t>
      </w:r>
      <w:r w:rsidRPr="00D257F6">
        <w:rPr>
          <w:rFonts w:ascii="Times New Roman" w:eastAsia="Times New Roman" w:hAnsi="Times New Roman" w:cs="Times New Roman"/>
          <w:bCs/>
        </w:rPr>
        <w:t>468A.070</w:t>
      </w:r>
      <w:r>
        <w:rPr>
          <w:rFonts w:ascii="Times New Roman" w:eastAsia="Times New Roman" w:hAnsi="Times New Roman" w:cs="Times New Roman"/>
          <w:bCs/>
        </w:rPr>
        <w:t xml:space="preserve">, </w:t>
      </w:r>
      <w:r w:rsidRPr="00D257F6">
        <w:rPr>
          <w:rFonts w:ascii="Times New Roman" w:eastAsia="Times New Roman" w:hAnsi="Times New Roman" w:cs="Times New Roman"/>
          <w:bCs/>
        </w:rPr>
        <w:t xml:space="preserve">468A.310, </w:t>
      </w:r>
      <w:r w:rsidR="00844A6C">
        <w:rPr>
          <w:rFonts w:ascii="Times New Roman" w:eastAsia="Times New Roman" w:hAnsi="Times New Roman" w:cs="Times New Roman"/>
          <w:bCs/>
        </w:rPr>
        <w:t>468A.460</w:t>
      </w:r>
      <w:r w:rsidR="00C80642">
        <w:rPr>
          <w:rFonts w:ascii="Times New Roman" w:eastAsia="Times New Roman" w:hAnsi="Times New Roman" w:cs="Times New Roman"/>
          <w:bCs/>
        </w:rPr>
        <w:t xml:space="preserve"> through 468A.515, </w:t>
      </w:r>
      <w:r w:rsidR="00E5756F">
        <w:rPr>
          <w:rFonts w:ascii="Times New Roman" w:eastAsia="Times New Roman" w:hAnsi="Times New Roman" w:cs="Times New Roman"/>
          <w:bCs/>
        </w:rPr>
        <w:t xml:space="preserve">468A.480, </w:t>
      </w:r>
      <w:r w:rsidR="003539AD" w:rsidRPr="00C80642">
        <w:rPr>
          <w:rFonts w:ascii="Times New Roman" w:eastAsia="Times New Roman" w:hAnsi="Times New Roman" w:cs="Times New Roman"/>
          <w:bCs/>
        </w:rPr>
        <w:t>468A.803</w:t>
      </w:r>
      <w:r w:rsidR="00C71500" w:rsidRPr="00C80642">
        <w:rPr>
          <w:rFonts w:ascii="Times New Roman" w:eastAsia="Times New Roman" w:hAnsi="Times New Roman" w:cs="Times New Roman"/>
          <w:bCs/>
        </w:rPr>
        <w:t>,</w:t>
      </w:r>
      <w:r w:rsidR="00844A6C">
        <w:rPr>
          <w:rFonts w:ascii="Times New Roman" w:eastAsia="Times New Roman" w:hAnsi="Times New Roman" w:cs="Times New Roman"/>
          <w:bCs/>
        </w:rPr>
        <w:t xml:space="preserve"> </w:t>
      </w:r>
      <w:r w:rsidR="00844A6C" w:rsidRPr="00D257F6">
        <w:rPr>
          <w:rFonts w:ascii="Times New Roman" w:eastAsia="Times New Roman" w:hAnsi="Times New Roman" w:cs="Times New Roman"/>
          <w:bCs/>
        </w:rPr>
        <w:t>OL 2007, Ch. 855 (HB 2172 (2007)</w:t>
      </w:r>
      <w:r w:rsidR="00844A6C">
        <w:rPr>
          <w:rFonts w:ascii="Times New Roman" w:eastAsia="Times New Roman" w:hAnsi="Times New Roman" w:cs="Times New Roman"/>
          <w:bCs/>
        </w:rPr>
        <w:t>)</w:t>
      </w:r>
    </w:p>
    <w:p w:rsidR="00844A6C" w:rsidRPr="00C71500" w:rsidRDefault="00844A6C" w:rsidP="0070746D">
      <w:pPr>
        <w:ind w:left="720" w:right="18"/>
        <w:rPr>
          <w:rFonts w:asciiTheme="minorHAnsi" w:eastAsia="Times New Roman" w:hAnsiTheme="minorHAnsi" w:cstheme="minorHAnsi"/>
          <w:bCs/>
          <w:sz w:val="22"/>
          <w:szCs w:val="22"/>
        </w:rPr>
      </w:pPr>
    </w:p>
    <w:p w:rsidR="00844A6C" w:rsidRPr="00C71500" w:rsidRDefault="003539AD" w:rsidP="00844A6C">
      <w:pPr>
        <w:ind w:right="18"/>
        <w:rPr>
          <w:rFonts w:asciiTheme="minorHAnsi" w:eastAsia="Times New Roman" w:hAnsiTheme="minorHAnsi" w:cstheme="minorHAnsi"/>
          <w:bCs/>
          <w:color w:val="70481C" w:themeColor="accent6" w:themeShade="80"/>
          <w:sz w:val="22"/>
          <w:szCs w:val="22"/>
        </w:rPr>
      </w:pP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color w:val="70481C" w:themeColor="accent6" w:themeShade="80"/>
          <w:sz w:val="22"/>
          <w:szCs w:val="22"/>
        </w:rPr>
        <w:t>Legislation</w:t>
      </w:r>
      <w:r w:rsidRPr="003539AD">
        <w:rPr>
          <w:rFonts w:asciiTheme="minorHAnsi" w:eastAsia="Times New Roman" w:hAnsiTheme="minorHAnsi" w:cstheme="minorHAnsi"/>
          <w:bCs/>
          <w:color w:val="70481C" w:themeColor="accent6" w:themeShade="80"/>
          <w:sz w:val="22"/>
          <w:szCs w:val="22"/>
        </w:rPr>
        <w:tab/>
      </w:r>
      <w:r w:rsidRPr="003539AD">
        <w:rPr>
          <w:rFonts w:asciiTheme="minorHAnsi" w:eastAsia="Times New Roman" w:hAnsiTheme="minorHAnsi" w:cstheme="minorHAnsi"/>
          <w:bCs/>
          <w:color w:val="70481C" w:themeColor="accent6" w:themeShade="80"/>
          <w:sz w:val="22"/>
          <w:szCs w:val="22"/>
        </w:rPr>
        <w:tab/>
      </w:r>
      <w:r w:rsidRPr="003539AD">
        <w:rPr>
          <w:rFonts w:asciiTheme="minorHAnsi" w:eastAsia="Times New Roman" w:hAnsiTheme="minorHAnsi" w:cstheme="minorHAnsi"/>
          <w:bCs/>
          <w:color w:val="70481C" w:themeColor="accent6" w:themeShade="80"/>
          <w:sz w:val="22"/>
          <w:szCs w:val="22"/>
        </w:rPr>
        <w:tab/>
        <w:t>Year</w:t>
      </w:r>
    </w:p>
    <w:p w:rsidR="003539AD" w:rsidRPr="003539AD" w:rsidRDefault="003539AD" w:rsidP="003539AD">
      <w:pPr>
        <w:autoSpaceDE w:val="0"/>
        <w:autoSpaceDN w:val="0"/>
        <w:adjustRightInd w:val="0"/>
        <w:ind w:left="990"/>
        <w:rPr>
          <w:rFonts w:asciiTheme="minorHAnsi" w:eastAsia="Times New Roman" w:hAnsiTheme="minorHAnsi" w:cstheme="minorHAnsi"/>
          <w:bCs/>
        </w:rPr>
      </w:pPr>
      <w:r w:rsidRPr="00E5756F">
        <w:rPr>
          <w:rFonts w:asciiTheme="minorHAnsi" w:hAnsiTheme="minorHAnsi" w:cstheme="minorHAnsi"/>
        </w:rPr>
        <w:t xml:space="preserve">Clean Diesel Engine </w:t>
      </w:r>
      <w:r w:rsidRPr="00E5756F">
        <w:rPr>
          <w:rFonts w:asciiTheme="minorHAnsi" w:hAnsiTheme="minorHAnsi" w:cstheme="minorHAnsi"/>
        </w:rPr>
        <w:tab/>
      </w:r>
      <w:r w:rsidRPr="00E5756F">
        <w:rPr>
          <w:rFonts w:asciiTheme="minorHAnsi" w:hAnsiTheme="minorHAnsi" w:cstheme="minorHAnsi"/>
        </w:rPr>
        <w:tab/>
      </w:r>
      <w:r w:rsidRPr="00E5756F">
        <w:rPr>
          <w:rFonts w:asciiTheme="minorHAnsi" w:eastAsia="Times New Roman" w:hAnsiTheme="minorHAnsi" w:cstheme="minorHAnsi"/>
          <w:bCs/>
        </w:rPr>
        <w:t xml:space="preserve">ORS </w:t>
      </w:r>
      <w:r w:rsidRPr="00E5756F">
        <w:rPr>
          <w:rFonts w:asciiTheme="minorHAnsi" w:eastAsia="Times New Roman" w:hAnsiTheme="minorHAnsi" w:cstheme="minorHAnsi"/>
          <w:bCs/>
        </w:rPr>
        <w:tab/>
        <w:t>468A.803 (1)</w:t>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t>SB 249</w:t>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t>2013</w:t>
      </w:r>
    </w:p>
    <w:p w:rsidR="00844A6C" w:rsidRPr="00C71500" w:rsidRDefault="00C71500" w:rsidP="0070746D">
      <w:pPr>
        <w:ind w:left="720" w:right="18"/>
        <w:rPr>
          <w:rFonts w:ascii="Times New Roman" w:eastAsia="Times New Roman" w:hAnsi="Times New Roman" w:cs="Times New Roman"/>
          <w:bCs/>
          <w:sz w:val="22"/>
          <w:szCs w:val="22"/>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hyperlink r:id="rId14" w:history="1">
        <w:r w:rsidR="003539AD" w:rsidRPr="003539AD">
          <w:rPr>
            <w:rStyle w:val="Hyperlink"/>
            <w:rFonts w:ascii="Times New Roman" w:eastAsia="Times New Roman" w:hAnsi="Times New Roman" w:cs="Times New Roman"/>
            <w:bCs/>
            <w:sz w:val="22"/>
            <w:szCs w:val="22"/>
          </w:rPr>
          <w:t>http://www.leg.state.or.us/13reg/measpdf/sb0200.dir/sb0249.en.pdf</w:t>
        </w:r>
      </w:hyperlink>
    </w:p>
    <w:p w:rsidR="00844A6C" w:rsidRPr="00D257F6" w:rsidRDefault="00844A6C" w:rsidP="0070746D">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5"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2A42D0">
            <w:pPr>
              <w:keepNext/>
              <w:keepLines/>
              <w:spacing w:before="480" w:line="276" w:lineRule="auto"/>
              <w:ind w:left="0" w:right="18"/>
              <w:jc w:val="center"/>
              <w:outlineLvl w:val="0"/>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Document title</w:t>
            </w:r>
          </w:p>
        </w:tc>
        <w:tc>
          <w:tcPr>
            <w:tcW w:w="4627" w:type="dxa"/>
            <w:gridSpan w:val="3"/>
            <w:shd w:val="clear" w:color="auto" w:fill="auto"/>
          </w:tcPr>
          <w:p w:rsidR="0070746D" w:rsidRPr="00704E28" w:rsidRDefault="003539AD" w:rsidP="0070746D">
            <w:pPr>
              <w:keepNext/>
              <w:keepLines/>
              <w:spacing w:before="480" w:line="276" w:lineRule="auto"/>
              <w:ind w:left="720" w:right="18"/>
              <w:outlineLvl w:val="0"/>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sz w:val="24"/>
                <w:szCs w:val="24"/>
              </w:rPr>
            </w:pPr>
          </w:p>
        </w:tc>
        <w:tc>
          <w:tcPr>
            <w:tcW w:w="4627" w:type="dxa"/>
            <w:gridSpan w:val="2"/>
          </w:tcPr>
          <w:p w:rsidR="003539AD" w:rsidRPr="00704E28" w:rsidRDefault="00832AE5" w:rsidP="003539AD">
            <w:pPr>
              <w:ind w:left="-74" w:right="18"/>
              <w:rPr>
                <w:rFonts w:asciiTheme="minorHAnsi" w:eastAsia="Times New Roman" w:hAnsiTheme="minorHAnsi" w:cstheme="minorHAnsi"/>
                <w:bCs/>
                <w:sz w:val="24"/>
                <w:szCs w:val="24"/>
              </w:rPr>
            </w:pPr>
            <w:hyperlink r:id="rId16" w:history="1">
              <w:r w:rsidR="003539AD" w:rsidRPr="00704E28">
                <w:rPr>
                  <w:rStyle w:val="Hyperlink"/>
                  <w:rFonts w:asciiTheme="minorHAnsi" w:eastAsia="Times New Roman" w:hAnsiTheme="minorHAnsi" w:cstheme="minorHAnsi"/>
                  <w:bCs/>
                  <w:sz w:val="24"/>
                  <w:szCs w:val="24"/>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Compression Ignition Internal Combustion Engines</w:t>
            </w:r>
          </w:p>
        </w:tc>
        <w:tc>
          <w:tcPr>
            <w:tcW w:w="5400" w:type="dxa"/>
            <w:gridSpan w:val="4"/>
          </w:tcPr>
          <w:p w:rsidR="00C80642" w:rsidRPr="00704E28" w:rsidRDefault="00832AE5" w:rsidP="002C5A4C">
            <w:pPr>
              <w:ind w:left="0" w:right="18"/>
              <w:rPr>
                <w:rFonts w:asciiTheme="minorHAnsi" w:hAnsiTheme="minorHAnsi" w:cstheme="minorHAnsi"/>
                <w:bCs/>
                <w:sz w:val="24"/>
                <w:szCs w:val="24"/>
              </w:rPr>
            </w:pPr>
            <w:hyperlink r:id="rId17" w:history="1">
              <w:r w:rsidR="00C80642" w:rsidRPr="00704E28">
                <w:rPr>
                  <w:rStyle w:val="Hyperlink"/>
                  <w:rFonts w:asciiTheme="minorHAnsi" w:hAnsiTheme="minorHAnsi" w:cstheme="minorHAnsi"/>
                  <w:bCs/>
                  <w:sz w:val="24"/>
                  <w:szCs w:val="24"/>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Spark</w:t>
            </w:r>
          </w:p>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lastRenderedPageBreak/>
              <w:t>Ignition Internal Combustion Engines</w:t>
            </w:r>
          </w:p>
        </w:tc>
        <w:tc>
          <w:tcPr>
            <w:tcW w:w="5400" w:type="dxa"/>
            <w:gridSpan w:val="4"/>
          </w:tcPr>
          <w:p w:rsidR="00C80642" w:rsidRPr="00704E28" w:rsidRDefault="00832AE5" w:rsidP="002C5A4C">
            <w:pPr>
              <w:ind w:left="0" w:right="18"/>
              <w:rPr>
                <w:rFonts w:asciiTheme="minorHAnsi" w:hAnsiTheme="minorHAnsi" w:cstheme="minorHAnsi"/>
                <w:bCs/>
                <w:sz w:val="24"/>
                <w:szCs w:val="24"/>
              </w:rPr>
            </w:pPr>
            <w:hyperlink r:id="rId18" w:history="1">
              <w:r w:rsidR="00C80642" w:rsidRPr="00704E28">
                <w:rPr>
                  <w:rStyle w:val="Hyperlink"/>
                  <w:rFonts w:asciiTheme="minorHAnsi" w:hAnsiTheme="minorHAnsi" w:cstheme="minorHAnsi"/>
                  <w:bCs/>
                  <w:sz w:val="24"/>
                  <w:szCs w:val="24"/>
                </w:rPr>
                <w:t>http://www.gpo.gov/fdsys/pkg/CFR-2011-title40-</w:t>
              </w:r>
              <w:r w:rsidR="00C80642" w:rsidRPr="00704E28">
                <w:rPr>
                  <w:rStyle w:val="Hyperlink"/>
                  <w:rFonts w:asciiTheme="minorHAnsi" w:hAnsiTheme="minorHAnsi" w:cstheme="minorHAnsi"/>
                  <w:bCs/>
                  <w:sz w:val="24"/>
                  <w:szCs w:val="24"/>
                </w:rPr>
                <w:lastRenderedPageBreak/>
                <w:t>vol6/pdf/CFR-2011-title40-vol6-part60-subpartJJJJ.pdf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sz w:val="24"/>
                <w:szCs w:val="24"/>
              </w:rPr>
            </w:pPr>
          </w:p>
        </w:tc>
        <w:tc>
          <w:tcPr>
            <w:tcW w:w="5400" w:type="dxa"/>
            <w:gridSpan w:val="4"/>
          </w:tcPr>
          <w:p w:rsidR="00C80642" w:rsidRPr="00704E28" w:rsidRDefault="00832AE5" w:rsidP="002C5A4C">
            <w:pPr>
              <w:ind w:left="0" w:right="18"/>
              <w:rPr>
                <w:rFonts w:asciiTheme="minorHAnsi" w:hAnsiTheme="minorHAnsi" w:cstheme="minorHAnsi"/>
                <w:bCs/>
                <w:sz w:val="24"/>
                <w:szCs w:val="24"/>
              </w:rPr>
            </w:pPr>
            <w:hyperlink r:id="rId19" w:history="1">
              <w:r w:rsidR="00C80642" w:rsidRPr="00704E28">
                <w:rPr>
                  <w:rStyle w:val="Hyperlink"/>
                  <w:rFonts w:asciiTheme="minorHAnsi" w:hAnsiTheme="minorHAnsi" w:cstheme="minorHAnsi"/>
                  <w:bCs/>
                  <w:sz w:val="24"/>
                  <w:szCs w:val="24"/>
                </w:rPr>
                <w:t>http://www.gpo.gov/fdsys/pkg/FR-2013-01-30/pdf/2013-01288.pdf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832AE5" w:rsidP="002C5A4C">
            <w:pPr>
              <w:ind w:left="0" w:right="18"/>
              <w:rPr>
                <w:rFonts w:asciiTheme="minorHAnsi" w:hAnsiTheme="minorHAnsi" w:cstheme="minorHAnsi"/>
                <w:bCs/>
                <w:sz w:val="24"/>
                <w:szCs w:val="24"/>
              </w:rPr>
            </w:pPr>
            <w:hyperlink r:id="rId20" w:history="1">
              <w:r w:rsidR="00C80642" w:rsidRPr="00704E28">
                <w:rPr>
                  <w:rStyle w:val="Hyperlink"/>
                  <w:rFonts w:asciiTheme="minorHAnsi" w:hAnsiTheme="minorHAnsi" w:cstheme="minorHAnsi"/>
                  <w:bCs/>
                  <w:sz w:val="24"/>
                  <w:szCs w:val="24"/>
                </w:rPr>
                <w:t>http://www.epa.gov/ttn/atw/area/fr18ja08.pdf</w:t>
              </w:r>
            </w:hyperlink>
          </w:p>
          <w:p w:rsidR="00C80642" w:rsidRPr="00704E28" w:rsidRDefault="00C80642" w:rsidP="002C5A4C">
            <w:pPr>
              <w:ind w:left="0" w:right="18"/>
              <w:rPr>
                <w:rFonts w:asciiTheme="minorHAnsi" w:hAnsiTheme="minorHAnsi" w:cstheme="minorHAnsi"/>
                <w:bCs/>
                <w:sz w:val="24"/>
                <w:szCs w:val="24"/>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sz w:val="24"/>
                <w:szCs w:val="24"/>
              </w:rPr>
            </w:pPr>
          </w:p>
          <w:p w:rsidR="0070746D" w:rsidRPr="00704E28" w:rsidRDefault="003539AD" w:rsidP="0070746D">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Regulations Pertaining to NPDES and WPCF Permits (OAR 340-45)</w:t>
            </w:r>
          </w:p>
        </w:tc>
        <w:tc>
          <w:tcPr>
            <w:tcW w:w="5400" w:type="dxa"/>
            <w:gridSpan w:val="4"/>
          </w:tcPr>
          <w:p w:rsidR="003539AD" w:rsidRPr="00704E28" w:rsidRDefault="00832AE5" w:rsidP="003539AD">
            <w:pPr>
              <w:ind w:left="0" w:right="18"/>
              <w:rPr>
                <w:rFonts w:asciiTheme="minorHAnsi" w:eastAsia="Times New Roman" w:hAnsiTheme="minorHAnsi" w:cstheme="minorHAnsi"/>
                <w:bCs/>
                <w:sz w:val="24"/>
                <w:szCs w:val="24"/>
              </w:rPr>
            </w:pPr>
            <w:hyperlink r:id="rId21" w:history="1">
              <w:r w:rsidR="003539AD" w:rsidRPr="00704E28">
                <w:rPr>
                  <w:rStyle w:val="Hyperlink"/>
                  <w:rFonts w:asciiTheme="minorHAnsi" w:hAnsiTheme="minorHAnsi" w:cstheme="minorHAnsi"/>
                  <w:sz w:val="24"/>
                  <w:szCs w:val="24"/>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sz w:val="24"/>
                <w:szCs w:val="24"/>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1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
        <w:gridCol w:w="3672"/>
        <w:gridCol w:w="1818"/>
        <w:gridCol w:w="5310"/>
        <w:gridCol w:w="654"/>
      </w:tblGrid>
      <w:tr w:rsidR="00C80642" w:rsidRPr="00704E28" w:rsidTr="00C80642">
        <w:trPr>
          <w:gridAfter w:val="1"/>
          <w:wAfter w:w="654" w:type="dxa"/>
        </w:trPr>
        <w:tc>
          <w:tcPr>
            <w:tcW w:w="5598" w:type="dxa"/>
            <w:gridSpan w:val="3"/>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 xml:space="preserve">2011 Oregon Air Quality </w:t>
            </w:r>
          </w:p>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Data Summaries</w:t>
            </w:r>
          </w:p>
          <w:p w:rsidR="00C80642" w:rsidRPr="00704E28" w:rsidRDefault="00C80642" w:rsidP="00C80642">
            <w:pPr>
              <w:ind w:left="720" w:right="18"/>
              <w:rPr>
                <w:rFonts w:asciiTheme="minorHAnsi" w:hAnsiTheme="minorHAnsi" w:cstheme="minorHAnsi"/>
                <w:bCs/>
                <w:sz w:val="24"/>
                <w:szCs w:val="24"/>
              </w:rPr>
            </w:pPr>
          </w:p>
        </w:tc>
        <w:tc>
          <w:tcPr>
            <w:tcW w:w="5310" w:type="dxa"/>
          </w:tcPr>
          <w:p w:rsidR="00704E28" w:rsidRPr="00704E28" w:rsidRDefault="00832AE5" w:rsidP="00704E28">
            <w:pPr>
              <w:ind w:left="0" w:right="18"/>
              <w:rPr>
                <w:rFonts w:asciiTheme="minorHAnsi" w:hAnsiTheme="minorHAnsi" w:cstheme="minorHAnsi"/>
                <w:bCs/>
                <w:sz w:val="24"/>
                <w:szCs w:val="24"/>
              </w:rPr>
            </w:pPr>
            <w:hyperlink r:id="rId22" w:history="1">
              <w:r w:rsidR="00704E28" w:rsidRPr="00704E28">
                <w:rPr>
                  <w:rStyle w:val="Hyperlink"/>
                  <w:rFonts w:asciiTheme="minorHAnsi" w:hAnsiTheme="minorHAnsi" w:cstheme="minorHAnsi"/>
                  <w:bCs/>
                  <w:sz w:val="24"/>
                  <w:szCs w:val="24"/>
                </w:rPr>
                <w:t>http://www.deq.state.or.us/aq/forms/2011AirQualityAnnualReport.pdf</w:t>
              </w:r>
            </w:hyperlink>
          </w:p>
          <w:p w:rsidR="00704E28" w:rsidRPr="00704E28" w:rsidRDefault="00704E28" w:rsidP="00704E28">
            <w:pPr>
              <w:ind w:left="0" w:right="18"/>
              <w:rPr>
                <w:rFonts w:asciiTheme="minorHAnsi" w:hAnsiTheme="minorHAnsi" w:cstheme="minorHAnsi"/>
                <w:bCs/>
                <w:sz w:val="24"/>
                <w:szCs w:val="24"/>
              </w:rPr>
            </w:pPr>
          </w:p>
        </w:tc>
      </w:tr>
      <w:tr w:rsidR="00C80642" w:rsidRPr="00704E28" w:rsidTr="00C80642">
        <w:trPr>
          <w:gridAfter w:val="1"/>
          <w:wAfter w:w="654" w:type="dxa"/>
        </w:trPr>
        <w:tc>
          <w:tcPr>
            <w:tcW w:w="5598" w:type="dxa"/>
            <w:gridSpan w:val="3"/>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Regulations Pertaining to NPDES and WPCF Permits (OAR 340-45)</w:t>
            </w:r>
          </w:p>
          <w:p w:rsidR="00C80642" w:rsidRPr="00704E28" w:rsidRDefault="00C80642" w:rsidP="00C80642">
            <w:pPr>
              <w:ind w:left="720" w:right="18"/>
              <w:rPr>
                <w:rFonts w:asciiTheme="minorHAnsi" w:hAnsiTheme="minorHAnsi" w:cstheme="minorHAnsi"/>
                <w:bCs/>
                <w:sz w:val="24"/>
                <w:szCs w:val="24"/>
              </w:rPr>
            </w:pPr>
          </w:p>
        </w:tc>
        <w:tc>
          <w:tcPr>
            <w:tcW w:w="5310" w:type="dxa"/>
          </w:tcPr>
          <w:p w:rsidR="00C80642" w:rsidRPr="00704E28" w:rsidRDefault="00832AE5" w:rsidP="00C80642">
            <w:pPr>
              <w:ind w:left="0" w:right="18"/>
              <w:rPr>
                <w:rFonts w:asciiTheme="minorHAnsi" w:hAnsiTheme="minorHAnsi" w:cstheme="minorHAnsi"/>
                <w:bCs/>
                <w:sz w:val="24"/>
                <w:szCs w:val="24"/>
              </w:rPr>
            </w:pPr>
            <w:hyperlink r:id="rId23" w:history="1">
              <w:r w:rsidR="00704E28" w:rsidRPr="00704E28">
                <w:rPr>
                  <w:rStyle w:val="Hyperlink"/>
                  <w:rFonts w:asciiTheme="minorHAnsi" w:hAnsiTheme="minorHAnsi" w:cstheme="minorHAnsi"/>
                  <w:bCs/>
                  <w:sz w:val="24"/>
                  <w:szCs w:val="24"/>
                </w:rPr>
                <w:t>http://arcweb.sos.state.or.us/pages/rules/oars_300/oar_340/340_045.html</w:t>
              </w:r>
            </w:hyperlink>
          </w:p>
          <w:p w:rsidR="00704E28" w:rsidRPr="00704E28" w:rsidRDefault="00704E28" w:rsidP="00C80642">
            <w:pPr>
              <w:ind w:left="0" w:right="18"/>
              <w:rPr>
                <w:rFonts w:asciiTheme="minorHAnsi" w:hAnsiTheme="minorHAnsi" w:cstheme="minorHAnsi"/>
                <w:bCs/>
                <w:sz w:val="24"/>
                <w:szCs w:val="24"/>
              </w:rPr>
            </w:pPr>
          </w:p>
        </w:tc>
      </w:tr>
      <w:tr w:rsidR="00C80642" w:rsidRPr="00704E28" w:rsidTr="00C80642">
        <w:trPr>
          <w:gridAfter w:val="1"/>
          <w:wAfter w:w="654" w:type="dxa"/>
        </w:trPr>
        <w:tc>
          <w:tcPr>
            <w:tcW w:w="5598" w:type="dxa"/>
            <w:gridSpan w:val="3"/>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National Emission Standards for Hazardous Air Pollutants for Area Sources: Industrial, Commercial, and Institutional Boilers; Final Rule</w:t>
            </w:r>
          </w:p>
          <w:p w:rsidR="00C80642" w:rsidRPr="00704E28" w:rsidRDefault="00C80642" w:rsidP="00C80642">
            <w:pPr>
              <w:ind w:left="720" w:right="18"/>
              <w:rPr>
                <w:rFonts w:asciiTheme="minorHAnsi" w:hAnsiTheme="minorHAnsi" w:cstheme="minorHAnsi"/>
                <w:bCs/>
                <w:sz w:val="24"/>
                <w:szCs w:val="24"/>
              </w:rPr>
            </w:pPr>
          </w:p>
        </w:tc>
        <w:tc>
          <w:tcPr>
            <w:tcW w:w="5310" w:type="dxa"/>
          </w:tcPr>
          <w:p w:rsidR="00C80642" w:rsidRPr="00704E28" w:rsidRDefault="00832AE5" w:rsidP="002C5A4C">
            <w:pPr>
              <w:ind w:left="0" w:right="18"/>
              <w:rPr>
                <w:rFonts w:asciiTheme="minorHAnsi" w:hAnsiTheme="minorHAnsi" w:cstheme="minorHAnsi"/>
                <w:bCs/>
                <w:sz w:val="24"/>
                <w:szCs w:val="24"/>
              </w:rPr>
            </w:pPr>
            <w:hyperlink r:id="rId24" w:history="1">
              <w:r w:rsidR="00704E28" w:rsidRPr="00704E28">
                <w:rPr>
                  <w:rStyle w:val="Hyperlink"/>
                  <w:rFonts w:asciiTheme="minorHAnsi" w:hAnsiTheme="minorHAnsi" w:cstheme="minorHAnsi"/>
                  <w:bCs/>
                  <w:sz w:val="24"/>
                  <w:szCs w:val="24"/>
                </w:rPr>
                <w:t>http://www.gpo.gov/fdsys/pkg/FR-2013-02-01/pdf/2012-31645.pdf</w:t>
              </w:r>
            </w:hyperlink>
          </w:p>
          <w:p w:rsidR="00704E28" w:rsidRPr="00704E28" w:rsidRDefault="00704E28" w:rsidP="002C5A4C">
            <w:pPr>
              <w:ind w:left="0" w:right="18"/>
              <w:rPr>
                <w:rFonts w:asciiTheme="minorHAnsi" w:hAnsiTheme="minorHAnsi" w:cstheme="minorHAnsi"/>
                <w:bCs/>
                <w:sz w:val="24"/>
                <w:szCs w:val="24"/>
              </w:rPr>
            </w:pPr>
          </w:p>
        </w:tc>
      </w:tr>
      <w:tr w:rsidR="00C80642" w:rsidRPr="00704E28" w:rsidTr="00C80642">
        <w:trPr>
          <w:gridBefore w:val="1"/>
          <w:wBefore w:w="108" w:type="dxa"/>
        </w:trPr>
        <w:tc>
          <w:tcPr>
            <w:tcW w:w="3672" w:type="dxa"/>
          </w:tcPr>
          <w:p w:rsidR="00C80642" w:rsidRPr="00704E28" w:rsidRDefault="00C80642" w:rsidP="00C80642">
            <w:pPr>
              <w:ind w:left="612" w:right="1008"/>
              <w:rPr>
                <w:rFonts w:asciiTheme="minorHAnsi" w:eastAsia="Times New Roman" w:hAnsiTheme="minorHAnsi" w:cstheme="minorHAnsi"/>
                <w:bCs/>
                <w:sz w:val="24"/>
                <w:szCs w:val="24"/>
              </w:rPr>
            </w:pPr>
            <w:r w:rsidRPr="00704E28">
              <w:rPr>
                <w:rFonts w:asciiTheme="minorHAnsi" w:eastAsia="Times New Roman" w:hAnsiTheme="minorHAnsi" w:cstheme="minorHAnsi"/>
                <w:sz w:val="24"/>
                <w:szCs w:val="24"/>
              </w:rPr>
              <w:t>SB 249A</w:t>
            </w:r>
          </w:p>
        </w:tc>
        <w:tc>
          <w:tcPr>
            <w:tcW w:w="7782" w:type="dxa"/>
            <w:gridSpan w:val="3"/>
          </w:tcPr>
          <w:p w:rsidR="00C80642" w:rsidRPr="00704E28" w:rsidRDefault="00832AE5" w:rsidP="00C80642">
            <w:pPr>
              <w:ind w:left="1890" w:right="1008"/>
              <w:rPr>
                <w:rFonts w:asciiTheme="minorHAnsi" w:eastAsia="Times New Roman" w:hAnsiTheme="minorHAnsi" w:cstheme="minorHAnsi"/>
                <w:bCs/>
                <w:sz w:val="24"/>
                <w:szCs w:val="24"/>
              </w:rPr>
            </w:pPr>
            <w:hyperlink r:id="rId25" w:history="1">
              <w:r w:rsidR="00704E28" w:rsidRPr="00704E28">
                <w:rPr>
                  <w:rStyle w:val="Hyperlink"/>
                  <w:rFonts w:asciiTheme="minorHAnsi" w:eastAsia="Times New Roman" w:hAnsiTheme="minorHAnsi" w:cstheme="minorHAnsi"/>
                  <w:bCs/>
                  <w:sz w:val="24"/>
                  <w:szCs w:val="24"/>
                </w:rPr>
                <w:t>http://www.leg.state.or.us/13reg/measpdf/sb0200.dir/sb0249.en.pdf</w:t>
              </w:r>
            </w:hyperlink>
          </w:p>
          <w:p w:rsidR="00704E28" w:rsidRPr="00704E28" w:rsidRDefault="00704E28" w:rsidP="00C80642">
            <w:pPr>
              <w:ind w:left="1890" w:right="1008"/>
              <w:rPr>
                <w:rFonts w:asciiTheme="minorHAnsi" w:eastAsia="Times New Roman" w:hAnsiTheme="minorHAnsi" w:cstheme="minorHAnsi"/>
                <w:bCs/>
                <w:sz w:val="24"/>
                <w:szCs w:val="24"/>
              </w:rPr>
            </w:pPr>
          </w:p>
        </w:tc>
      </w:tr>
      <w:tr w:rsidR="00C80642" w:rsidRPr="00704E28" w:rsidTr="00C80642">
        <w:trPr>
          <w:gridAfter w:val="1"/>
          <w:wAfter w:w="654" w:type="dxa"/>
        </w:trPr>
        <w:tc>
          <w:tcPr>
            <w:tcW w:w="5598" w:type="dxa"/>
            <w:gridSpan w:val="3"/>
          </w:tcPr>
          <w:p w:rsidR="00C80642" w:rsidRPr="00704E28" w:rsidRDefault="00C80642" w:rsidP="00844A6C">
            <w:pPr>
              <w:ind w:left="720" w:right="18"/>
              <w:rPr>
                <w:rFonts w:asciiTheme="minorHAnsi" w:eastAsia="Times New Roman" w:hAnsiTheme="minorHAnsi" w:cstheme="minorHAnsi"/>
                <w:bCs/>
                <w:sz w:val="24"/>
                <w:szCs w:val="24"/>
              </w:rPr>
            </w:pPr>
          </w:p>
        </w:tc>
        <w:tc>
          <w:tcPr>
            <w:tcW w:w="5310" w:type="dxa"/>
          </w:tcPr>
          <w:p w:rsidR="00C80642" w:rsidRPr="00704E28" w:rsidRDefault="00C80642" w:rsidP="00844A6C">
            <w:pPr>
              <w:ind w:left="0" w:right="18"/>
              <w:rPr>
                <w:rFonts w:asciiTheme="minorHAnsi" w:hAnsiTheme="minorHAnsi" w:cstheme="minorHAnsi"/>
                <w:sz w:val="24"/>
                <w:szCs w:val="24"/>
              </w:rPr>
            </w:pPr>
          </w:p>
        </w:tc>
      </w:tr>
      <w:tr w:rsidR="00844A6C" w:rsidRPr="00704E28" w:rsidTr="00C80642">
        <w:trPr>
          <w:gridAfter w:val="1"/>
          <w:wAfter w:w="654" w:type="dxa"/>
        </w:trPr>
        <w:tc>
          <w:tcPr>
            <w:tcW w:w="5598" w:type="dxa"/>
            <w:gridSpan w:val="3"/>
          </w:tcPr>
          <w:p w:rsidR="00844A6C" w:rsidRPr="00704E28" w:rsidRDefault="003539AD" w:rsidP="00844A6C">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S</w:t>
            </w:r>
            <w:r w:rsidR="00844A6C" w:rsidRPr="00704E28">
              <w:rPr>
                <w:rFonts w:asciiTheme="minorHAnsi" w:eastAsia="Times New Roman" w:hAnsiTheme="minorHAnsi" w:cstheme="minorHAnsi"/>
                <w:bCs/>
                <w:sz w:val="24"/>
                <w:szCs w:val="24"/>
              </w:rPr>
              <w:t xml:space="preserve">tationary Source Reporting Requirements </w:t>
            </w:r>
            <w:r w:rsidRPr="00704E28">
              <w:rPr>
                <w:rFonts w:asciiTheme="minorHAnsi" w:eastAsia="Times New Roman" w:hAnsiTheme="minorHAnsi" w:cstheme="minorHAnsi"/>
                <w:bCs/>
                <w:sz w:val="24"/>
                <w:szCs w:val="24"/>
              </w:rPr>
              <w:t>- OAR 340-214-0110</w:t>
            </w:r>
          </w:p>
        </w:tc>
        <w:tc>
          <w:tcPr>
            <w:tcW w:w="5310" w:type="dxa"/>
          </w:tcPr>
          <w:p w:rsidR="00844A6C" w:rsidRPr="00704E28" w:rsidRDefault="00832AE5" w:rsidP="00844A6C">
            <w:pPr>
              <w:ind w:left="0" w:right="18"/>
              <w:rPr>
                <w:rFonts w:asciiTheme="minorHAnsi" w:eastAsia="Times New Roman" w:hAnsiTheme="minorHAnsi" w:cstheme="minorHAnsi"/>
                <w:bCs/>
                <w:sz w:val="24"/>
                <w:szCs w:val="24"/>
              </w:rPr>
            </w:pPr>
            <w:hyperlink r:id="rId26" w:history="1">
              <w:r w:rsidR="003539AD" w:rsidRPr="00704E28">
                <w:rPr>
                  <w:rStyle w:val="Hyperlink"/>
                  <w:rFonts w:asciiTheme="minorHAnsi" w:hAnsiTheme="minorHAnsi" w:cstheme="minorHAnsi"/>
                  <w:sz w:val="24"/>
                  <w:szCs w:val="24"/>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sz w:val="24"/>
                <w:szCs w:val="24"/>
              </w:rPr>
            </w:pPr>
          </w:p>
        </w:tc>
      </w:tr>
      <w:tr w:rsidR="0007166A" w:rsidRPr="0007166A" w:rsidTr="00C80642">
        <w:trPr>
          <w:gridAfter w:val="1"/>
          <w:wAfter w:w="654" w:type="dxa"/>
        </w:trPr>
        <w:tc>
          <w:tcPr>
            <w:tcW w:w="5598" w:type="dxa"/>
            <w:gridSpan w:val="3"/>
          </w:tcPr>
          <w:p w:rsidR="0007166A" w:rsidRPr="0007166A" w:rsidRDefault="0007166A" w:rsidP="0007166A">
            <w:pPr>
              <w:ind w:left="720" w:right="18"/>
              <w:rPr>
                <w:rFonts w:asciiTheme="minorHAnsi" w:eastAsia="Times New Roman" w:hAnsiTheme="minorHAnsi" w:cstheme="minorHAnsi"/>
                <w:bCs/>
                <w:sz w:val="24"/>
                <w:szCs w:val="24"/>
              </w:rPr>
            </w:pPr>
            <w:r w:rsidRPr="0007166A">
              <w:rPr>
                <w:rFonts w:asciiTheme="minorHAnsi" w:eastAsia="Times New Roman" w:hAnsiTheme="minorHAnsi" w:cstheme="minorHAnsi"/>
                <w:bCs/>
                <w:sz w:val="24"/>
                <w:szCs w:val="24"/>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sz w:val="24"/>
                <w:szCs w:val="24"/>
              </w:rPr>
            </w:pPr>
          </w:p>
        </w:tc>
        <w:tc>
          <w:tcPr>
            <w:tcW w:w="5310" w:type="dxa"/>
          </w:tcPr>
          <w:p w:rsidR="0007166A" w:rsidRPr="0007166A" w:rsidRDefault="0007166A" w:rsidP="00844A6C">
            <w:pPr>
              <w:ind w:left="0" w:right="18"/>
              <w:rPr>
                <w:rFonts w:asciiTheme="minorHAnsi" w:hAnsiTheme="minorHAnsi" w:cstheme="minorHAnsi"/>
                <w:sz w:val="24"/>
                <w:szCs w:val="24"/>
              </w:rPr>
            </w:pPr>
            <w:r w:rsidRPr="0007166A">
              <w:rPr>
                <w:rFonts w:asciiTheme="minorHAnsi" w:hAnsiTheme="minorHAnsi" w:cstheme="minorHAnsi"/>
                <w:sz w:val="24"/>
                <w:szCs w:val="24"/>
              </w:rPr>
              <w:t>http://www.gpo.gov/fdsys/granule/CFR-2012-title40-vol6/CFR-2012-title40-vol6-part58-appD/content-detail.html</w:t>
            </w: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8" w:name="RANGE!A226:B243"/>
      <w:bookmarkEnd w:id="8"/>
    </w:p>
    <w:p w:rsidR="006A5105" w:rsidRDefault="006A5105">
      <w: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7"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Amending statewide particulate matter standards and the pre-construction permitting program that would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Pr="00124646">
        <w:rPr>
          <w:rFonts w:asciiTheme="minorHAnsi" w:eastAsia="Times New Roman" w:hAnsiTheme="minorHAnsi" w:cstheme="minorHAnsi"/>
        </w:rPr>
        <w:t xml:space="preserve">Smart program, the clean diesel grant and loan program and the gasoline dispensing facility program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commentRangeStart w:id="9"/>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commentRangeEnd w:id="9"/>
    <w:p w:rsidR="00D224B4" w:rsidRPr="00B1714A" w:rsidRDefault="00780798" w:rsidP="00B1714A">
      <w:pPr>
        <w:pStyle w:val="ListParagraph"/>
        <w:numPr>
          <w:ilvl w:val="0"/>
          <w:numId w:val="37"/>
        </w:numPr>
        <w:spacing w:after="120"/>
        <w:ind w:left="1080" w:right="18"/>
        <w:outlineLvl w:val="0"/>
        <w:rPr>
          <w:rFonts w:ascii="Times New Roman" w:eastAsia="Times New Roman" w:hAnsi="Times New Roman" w:cs="Times New Roman"/>
          <w:b/>
          <w:bCs/>
        </w:rPr>
      </w:pPr>
      <w:r>
        <w:rPr>
          <w:rStyle w:val="CommentReference"/>
        </w:rPr>
        <w:commentReference w:id="9"/>
      </w:r>
      <w:r w:rsidR="00D224B4" w:rsidRPr="00B1714A">
        <w:rPr>
          <w:rFonts w:ascii="Times New Roman" w:eastAsia="Times New Roman" w:hAnsi="Times New Roman" w:cs="Times New Roman"/>
          <w:b/>
          <w:bCs/>
        </w:rPr>
        <w:t>Clarify and update rules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Pr="00357150">
        <w:rPr>
          <w:rFonts w:ascii="Times New Roman" w:eastAsia="Times New Roman" w:hAnsi="Times New Roman" w:cs="Times New Roman"/>
          <w:bCs/>
          <w:iCs/>
        </w:rPr>
        <w:t xml:space="preserve">DEQ </w:t>
      </w:r>
      <w:r>
        <w:rPr>
          <w:rFonts w:ascii="Times New Roman" w:eastAsia="Times New Roman" w:hAnsi="Times New Roman" w:cs="Times New Roman"/>
          <w:bCs/>
          <w:iCs/>
        </w:rPr>
        <w:t xml:space="preserve">workload </w:t>
      </w:r>
      <w:r w:rsidR="00DE3622">
        <w:rPr>
          <w:rFonts w:ascii="Times New Roman" w:eastAsia="Times New Roman" w:hAnsi="Times New Roman" w:cs="Times New Roman"/>
          <w:bCs/>
          <w:iCs/>
        </w:rPr>
        <w:t>would increase until</w:t>
      </w:r>
      <w:r w:rsidRPr="00357150">
        <w:rPr>
          <w:rFonts w:ascii="Times New Roman" w:eastAsia="Times New Roman" w:hAnsi="Times New Roman" w:cs="Times New Roman"/>
          <w:bCs/>
          <w:iCs/>
        </w:rPr>
        <w:t xml:space="preserve"> staff becomes familiar with the </w:t>
      </w:r>
      <w:r w:rsidR="00DE3622">
        <w:rPr>
          <w:rFonts w:ascii="Times New Roman" w:eastAsia="Times New Roman" w:hAnsi="Times New Roman" w:cs="Times New Roman"/>
          <w:bCs/>
          <w:iCs/>
        </w:rPr>
        <w:t>proposed rules</w:t>
      </w:r>
      <w:r w:rsidR="008776CF">
        <w:rPr>
          <w:rFonts w:ascii="Times New Roman" w:eastAsia="Times New Roman" w:hAnsi="Times New Roman" w:cs="Times New Roman"/>
          <w:bCs/>
          <w:iCs/>
        </w:rPr>
        <w:t xml:space="preserve"> and then would decrease </w:t>
      </w:r>
      <w:r w:rsidR="00CB4DA0">
        <w:rPr>
          <w:rFonts w:ascii="Times New Roman" w:eastAsia="Times New Roman" w:hAnsi="Times New Roman" w:cs="Times New Roman"/>
          <w:bCs/>
          <w:iCs/>
        </w:rPr>
        <w:t>due to reorganization and added clarity</w:t>
      </w:r>
      <w:r>
        <w:rPr>
          <w:rFonts w:ascii="Times New Roman" w:eastAsia="Times New Roman" w:hAnsi="Times New Roman" w:cs="Times New Roman"/>
          <w:bCs/>
          <w:iCs/>
        </w:rPr>
        <w:t>.</w:t>
      </w:r>
      <w:r w:rsidR="00DE3622">
        <w:rPr>
          <w:rFonts w:ascii="Times New Roman" w:eastAsia="Times New Roman" w:hAnsi="Times New Roman" w:cs="Times New Roman"/>
          <w:bCs/>
          <w:iCs/>
        </w:rPr>
        <w:t xml:space="preserve"> 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Update particulate matter standards</w:t>
      </w: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By proactively updating the particulate matter standards, DEQ hope</w:t>
      </w:r>
      <w:r>
        <w:rPr>
          <w:rFonts w:ascii="Times New Roman" w:eastAsia="Times New Roman" w:hAnsi="Times New Roman" w:cs="Times New Roman"/>
          <w:bCs/>
          <w:iCs/>
        </w:rPr>
        <w:t>s</w:t>
      </w:r>
      <w:r w:rsidRPr="00700ACF">
        <w:rPr>
          <w:rFonts w:ascii="Times New Roman" w:eastAsia="Times New Roman" w:hAnsi="Times New Roman" w:cs="Times New Roman"/>
          <w:bCs/>
          <w:iCs/>
        </w:rPr>
        <w:t xml:space="preserve"> to avoid additional nonattainment area designations in Oregon</w:t>
      </w:r>
      <w:r>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 xml:space="preserve">If </w:t>
      </w:r>
      <w:r>
        <w:rPr>
          <w:rFonts w:ascii="Times New Roman" w:eastAsia="Times New Roman" w:hAnsi="Times New Roman" w:cs="Times New Roman"/>
          <w:bCs/>
          <w:iCs/>
        </w:rPr>
        <w:t xml:space="preserve">EPA </w:t>
      </w:r>
      <w:r w:rsidRPr="00A02E0A">
        <w:rPr>
          <w:rFonts w:ascii="Times New Roman" w:eastAsia="Times New Roman" w:hAnsi="Times New Roman" w:cs="Times New Roman"/>
          <w:bCs/>
          <w:iCs/>
        </w:rPr>
        <w:t>designates an area as nonattainment</w:t>
      </w:r>
      <w:r w:rsidRPr="00700ACF">
        <w:rPr>
          <w:rFonts w:ascii="Times New Roman" w:eastAsia="Times New Roman" w:hAnsi="Times New Roman" w:cs="Times New Roman"/>
          <w:bCs/>
          <w:iCs/>
        </w:rPr>
        <w:t xml:space="preserve">, DEQ is responsible for collaborating with communities that violate federal air pollution health standards to develop a plan that must decrease the pollution to safe levels. Recent work with the Klamath Falls Air Quality Advisory Committee and other community members took two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for industrial sources, such as requiring the most stringent control equipment for new or expanding sources or reasonable control measures, such as opacity standards, operation and maintenance plans, and fugitive plans, for existing sources. While DEQ recognizes that these </w:t>
      </w:r>
      <w:r w:rsidRPr="00700ACF">
        <w:rPr>
          <w:rFonts w:ascii="Times New Roman" w:eastAsia="Times New Roman" w:hAnsi="Times New Roman" w:cs="Times New Roman"/>
          <w:bCs/>
          <w:iCs/>
        </w:rPr>
        <w:lastRenderedPageBreak/>
        <w:t>restrictions may prevent some industries from expanding or moving to the nonattainment area, they are designed to help clean up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9B5A69" w:rsidRPr="004E2819" w:rsidRDefault="00B1714A" w:rsidP="00CB4DA0">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sidRPr="004E2819">
        <w:rPr>
          <w:rFonts w:ascii="Times New Roman" w:eastAsia="Times New Roman" w:hAnsi="Times New Roman" w:cs="Times New Roman"/>
          <w:bCs/>
          <w:iCs/>
        </w:rPr>
        <w:t>DEQ anticipates the 26 sta</w:t>
      </w:r>
      <w:r w:rsidR="004C5229" w:rsidRPr="004C5229">
        <w:rPr>
          <w:rFonts w:ascii="Times New Roman" w:eastAsia="Times New Roman" w:hAnsi="Times New Roman" w:cs="Times New Roman"/>
          <w:bCs/>
          <w:iCs/>
        </w:rPr>
        <w:t>te (6 federal government</w:t>
      </w:r>
      <w:r w:rsidR="004D33B9">
        <w:rPr>
          <w:rFonts w:ascii="Times New Roman" w:eastAsia="Times New Roman" w:hAnsi="Times New Roman" w:cs="Times New Roman"/>
          <w:bCs/>
          <w:iCs/>
        </w:rPr>
        <w:t>)</w:t>
      </w:r>
      <w:r w:rsidR="004C5229" w:rsidRPr="004C5229">
        <w:rPr>
          <w:rFonts w:ascii="Times New Roman" w:eastAsia="Times New Roman" w:hAnsi="Times New Roman" w:cs="Times New Roman"/>
          <w:bCs/>
          <w:iCs/>
        </w:rPr>
        <w:t xml:space="preserve"> agencies currently subject to air permitting regulations could experien</w:t>
      </w:r>
      <w:r w:rsidR="00696EBD" w:rsidRPr="00696EBD">
        <w:rPr>
          <w:rFonts w:ascii="Times New Roman" w:eastAsia="Times New Roman" w:hAnsi="Times New Roman" w:cs="Times New Roman"/>
          <w:bCs/>
          <w:iCs/>
        </w:rPr>
        <w:t xml:space="preserve">ce </w:t>
      </w:r>
      <w:r w:rsidR="00696EBD" w:rsidRPr="00696EBD">
        <w:rPr>
          <w:rFonts w:ascii="Times New Roman" w:eastAsia="Times New Roman" w:hAnsi="Times New Roman" w:cs="Times New Roman"/>
          <w:bCs/>
        </w:rPr>
        <w:t>negative impacts described under the fiscal and economic impact section above.</w:t>
      </w:r>
    </w:p>
    <w:p w:rsidR="009B5A69" w:rsidRDefault="009B5A69" w:rsidP="001C7506">
      <w:pPr>
        <w:ind w:left="1080" w:right="18"/>
        <w:outlineLvl w:val="0"/>
        <w:rPr>
          <w:rFonts w:ascii="Times New Roman" w:eastAsia="Times New Roman" w:hAnsi="Times New Roman" w:cs="Times New Roman"/>
          <w:bCs/>
          <w:iCs/>
        </w:rPr>
      </w:pPr>
    </w:p>
    <w:p w:rsidR="00B1714A" w:rsidRPr="000B541E" w:rsidRDefault="00DE3622" w:rsidP="001C7506">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w:t>
      </w:r>
      <w:r w:rsidR="00B1714A" w:rsidRPr="000B541E">
        <w:rPr>
          <w:rFonts w:ascii="Times New Roman" w:eastAsia="Times New Roman" w:hAnsi="Times New Roman" w:cs="Times New Roman"/>
          <w:bCs/>
          <w:iCs/>
        </w:rPr>
        <w:t>workload w</w:t>
      </w:r>
      <w:r>
        <w:rPr>
          <w:rFonts w:ascii="Times New Roman" w:eastAsia="Times New Roman" w:hAnsi="Times New Roman" w:cs="Times New Roman"/>
          <w:bCs/>
          <w:iCs/>
        </w:rPr>
        <w:t>ould</w:t>
      </w:r>
      <w:r w:rsidR="00CB4DA0">
        <w:rPr>
          <w:rFonts w:ascii="Times New Roman" w:eastAsia="Times New Roman" w:hAnsi="Times New Roman" w:cs="Times New Roman"/>
          <w:bCs/>
          <w:iCs/>
        </w:rPr>
        <w:t xml:space="preserve"> initially </w:t>
      </w:r>
      <w:r w:rsidR="00B1714A" w:rsidRPr="000B541E">
        <w:rPr>
          <w:rFonts w:ascii="Times New Roman" w:eastAsia="Times New Roman" w:hAnsi="Times New Roman" w:cs="Times New Roman"/>
          <w:bCs/>
          <w:iCs/>
        </w:rPr>
        <w:t>incre</w:t>
      </w:r>
      <w:r w:rsidR="00B1714A" w:rsidRPr="00CB4DA0">
        <w:rPr>
          <w:rFonts w:ascii="Times New Roman" w:eastAsia="Times New Roman" w:hAnsi="Times New Roman" w:cs="Times New Roman"/>
          <w:bCs/>
          <w:iCs/>
        </w:rPr>
        <w:t xml:space="preserve">ase </w:t>
      </w:r>
      <w:r w:rsidR="00CB4DA0" w:rsidRPr="00CB4DA0">
        <w:rPr>
          <w:rFonts w:ascii="Times New Roman" w:eastAsia="Times New Roman" w:hAnsi="Times New Roman" w:cs="Times New Roman"/>
          <w:bCs/>
          <w:iCs/>
        </w:rPr>
        <w:t xml:space="preserve">and </w:t>
      </w:r>
      <w:r w:rsidR="004C5229" w:rsidRPr="00CB4DA0">
        <w:rPr>
          <w:rFonts w:ascii="Times New Roman" w:eastAsia="Times New Roman" w:hAnsi="Times New Roman" w:cs="Times New Roman"/>
          <w:bCs/>
          <w:iCs/>
        </w:rPr>
        <w:t>eventually decrease as</w:t>
      </w:r>
      <w:r w:rsidR="00CB4DA0" w:rsidRPr="00CB4DA0">
        <w:rPr>
          <w:rFonts w:ascii="Times New Roman" w:eastAsia="Times New Roman" w:hAnsi="Times New Roman" w:cs="Times New Roman"/>
          <w:bCs/>
          <w:iCs/>
        </w:rPr>
        <w:t xml:space="preserve"> </w:t>
      </w:r>
      <w:r w:rsidR="00B1714A" w:rsidRPr="00CB4DA0">
        <w:rPr>
          <w:rFonts w:ascii="Times New Roman" w:eastAsia="Times New Roman" w:hAnsi="Times New Roman" w:cs="Times New Roman"/>
          <w:bCs/>
          <w:iCs/>
        </w:rPr>
        <w:t>staff</w:t>
      </w:r>
      <w:r w:rsidR="00B1714A" w:rsidRPr="000B541E">
        <w:rPr>
          <w:rFonts w:ascii="Times New Roman" w:eastAsia="Times New Roman" w:hAnsi="Times New Roman" w:cs="Times New Roman"/>
          <w:bCs/>
          <w:iCs/>
        </w:rPr>
        <w:t xml:space="preserve"> becomes familiar with the proposed rules. Preventing areas from becoming nonattainment </w:t>
      </w:r>
      <w:r w:rsidR="00223226">
        <w:rPr>
          <w:rFonts w:ascii="Times New Roman" w:eastAsia="Times New Roman" w:hAnsi="Times New Roman" w:cs="Times New Roman"/>
          <w:bCs/>
          <w:iCs/>
        </w:rPr>
        <w:t>would</w:t>
      </w:r>
      <w:r w:rsidR="00223226" w:rsidRPr="000B541E">
        <w:rPr>
          <w:rFonts w:ascii="Times New Roman" w:eastAsia="Times New Roman" w:hAnsi="Times New Roman" w:cs="Times New Roman"/>
          <w:bCs/>
          <w:iCs/>
        </w:rPr>
        <w:t xml:space="preserve"> </w:t>
      </w:r>
      <w:r w:rsidR="00B1714A" w:rsidRPr="000B541E">
        <w:rPr>
          <w:rFonts w:ascii="Times New Roman" w:eastAsia="Times New Roman" w:hAnsi="Times New Roman" w:cs="Times New Roman"/>
          <w:bCs/>
          <w:iCs/>
        </w:rPr>
        <w:t xml:space="preserve">avoid future increases in DEQ workload.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impacts described under the </w:t>
      </w:r>
      <w:r w:rsidRPr="00223226">
        <w:rPr>
          <w:rFonts w:ascii="Times New Roman" w:eastAsia="Times New Roman" w:hAnsi="Times New Roman" w:cs="Times New Roman"/>
          <w:bCs/>
        </w:rPr>
        <w:t>fiscal and economic impact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6D46E0" w:rsidP="00A028A4">
      <w:pPr>
        <w:pStyle w:val="ListParagraph"/>
        <w:ind w:left="1080" w:right="18"/>
        <w:outlineLvl w:val="0"/>
        <w:rPr>
          <w:rFonts w:ascii="Times New Roman" w:eastAsia="Times New Roman" w:hAnsi="Times New Roman" w:cs="Times New Roman"/>
          <w:b/>
          <w:bCs/>
        </w:rPr>
      </w:pPr>
      <w:r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get permits. The cost of that permit is approximately $1,300.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 xml:space="preserve">them </w:t>
      </w:r>
      <w:r w:rsidRPr="00A028A4">
        <w:rPr>
          <w:rFonts w:ascii="Times New Roman" w:eastAsia="Times New Roman" w:hAnsi="Times New Roman" w:cs="Times New Roman"/>
          <w:bCs/>
        </w:rPr>
        <w:t>to existing permits at the time of renewal. There may be costs associated with additional recordkeeping depending on current environmental managements systems in place</w:t>
      </w:r>
      <w:r w:rsidR="004E38FB">
        <w:rPr>
          <w:rFonts w:ascii="Times New Roman" w:eastAsia="Times New Roman" w:hAnsi="Times New Roman" w:cs="Times New Roman"/>
          <w:bCs/>
        </w:rPr>
        <w:t xml:space="preserve"> but </w:t>
      </w:r>
      <w:r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s described 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impacts described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Pr="002C27BF"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 xml:space="preserve">the cost of the new permits could increase the cost of services or products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Default="001C7506" w:rsidP="00773021">
      <w:pPr>
        <w:ind w:left="1080" w:right="18"/>
        <w:outlineLvl w:val="0"/>
        <w:rPr>
          <w:rFonts w:asciiTheme="majorHAnsi" w:eastAsia="Times New Roman" w:hAnsiTheme="majorHAnsi" w:cstheme="majorHAnsi"/>
          <w:bCs/>
          <w:sz w:val="22"/>
          <w:szCs w:val="22"/>
        </w:rPr>
      </w:pPr>
    </w:p>
    <w:p w:rsidR="009B5A69" w:rsidRDefault="001C7506" w:rsidP="004D692F">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w:t>
      </w:r>
      <w:r w:rsidR="003753B9">
        <w:rPr>
          <w:rFonts w:ascii="Times New Roman" w:eastAsia="Times New Roman" w:hAnsi="Times New Roman" w:cs="Times New Roman"/>
          <w:bCs/>
          <w:iCs/>
        </w:rPr>
        <w:t>, though not likely,</w:t>
      </w:r>
      <w:r w:rsidR="00647542">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experience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s described under the fiscal and economic impact section above</w:t>
      </w:r>
      <w:r w:rsidR="009B5A69" w:rsidRPr="001805E5">
        <w:rPr>
          <w:rFonts w:ascii="Times New Roman" w:eastAsia="Times New Roman" w:hAnsi="Times New Roman" w:cs="Times New Roman"/>
          <w:bCs/>
        </w:rPr>
        <w:t>.</w:t>
      </w:r>
    </w:p>
    <w:p w:rsidR="001C7506" w:rsidRDefault="001C7506" w:rsidP="001C7506">
      <w:pPr>
        <w:pStyle w:val="ListParagraph"/>
        <w:ind w:left="1080" w:right="18"/>
        <w:outlineLvl w:val="0"/>
        <w:rPr>
          <w:rFonts w:asciiTheme="majorHAnsi" w:eastAsia="Times New Roman" w:hAnsiTheme="majorHAnsi" w:cstheme="majorHAnsi"/>
          <w:bCs/>
          <w:sz w:val="22"/>
          <w:szCs w:val="22"/>
        </w:rPr>
      </w:pPr>
    </w:p>
    <w:p w:rsidR="001C7506" w:rsidRDefault="00DE3622" w:rsidP="001C7506">
      <w:pPr>
        <w:pStyle w:val="ListParagraph"/>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DEQ</w:t>
      </w:r>
      <w:r w:rsidR="001C7506"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 </w:t>
      </w:r>
      <w:r w:rsidR="001C7506" w:rsidRPr="00357150">
        <w:rPr>
          <w:rFonts w:ascii="Times New Roman" w:eastAsia="Times New Roman" w:hAnsi="Times New Roman" w:cs="Times New Roman"/>
          <w:bCs/>
          <w:iCs/>
        </w:rPr>
        <w:t>increase</w:t>
      </w:r>
      <w:r w:rsidR="00D40542">
        <w:rPr>
          <w:rFonts w:ascii="Times New Roman" w:eastAsia="Times New Roman" w:hAnsi="Times New Roman" w:cs="Times New Roman"/>
          <w:bCs/>
          <w:iCs/>
        </w:rPr>
        <w:t>, but</w:t>
      </w:r>
      <w:r w:rsidR="001C7506" w:rsidRPr="00357150">
        <w:rPr>
          <w:rFonts w:ascii="Times New Roman" w:eastAsia="Times New Roman" w:hAnsi="Times New Roman" w:cs="Times New Roman"/>
          <w:bCs/>
          <w:iCs/>
        </w:rPr>
        <w:t xml:space="preserve"> </w:t>
      </w:r>
      <w:r w:rsidR="002D08C7">
        <w:rPr>
          <w:rFonts w:ascii="Times New Roman" w:eastAsia="Times New Roman" w:hAnsi="Times New Roman" w:cs="Times New Roman"/>
          <w:bCs/>
          <w:iCs/>
        </w:rPr>
        <w:t xml:space="preserve">would </w:t>
      </w:r>
      <w:r w:rsidR="001C7506" w:rsidRPr="00357150">
        <w:rPr>
          <w:rFonts w:ascii="Times New Roman" w:eastAsia="Times New Roman" w:hAnsi="Times New Roman" w:cs="Times New Roman"/>
          <w:bCs/>
          <w:iCs/>
        </w:rPr>
        <w:t>eventually decrease</w:t>
      </w:r>
      <w:r w:rsidR="00D40542">
        <w:rPr>
          <w:rFonts w:ascii="Times New Roman" w:eastAsia="Times New Roman" w:hAnsi="Times New Roman" w:cs="Times New Roman"/>
          <w:bCs/>
          <w:iCs/>
        </w:rPr>
        <w:t>,</w:t>
      </w:r>
      <w:r w:rsidR="001C7506" w:rsidRPr="00357150">
        <w:rPr>
          <w:rFonts w:ascii="Times New Roman" w:eastAsia="Times New Roman" w:hAnsi="Times New Roman" w:cs="Times New Roman"/>
          <w:bCs/>
          <w:iCs/>
        </w:rPr>
        <w:t xml:space="preserve"> as staff becomes familiar with the proposed rules</w:t>
      </w:r>
      <w:r w:rsidR="001C7506">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 xml:space="preserve">Preventing areas from becoming nonattainment </w:t>
      </w:r>
      <w:r>
        <w:rPr>
          <w:rFonts w:ascii="Times New Roman" w:eastAsia="Times New Roman" w:hAnsi="Times New Roman" w:cs="Times New Roman"/>
          <w:bCs/>
          <w:iCs/>
        </w:rPr>
        <w:t>would</w:t>
      </w:r>
      <w:r w:rsidRPr="005B28F9">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avoid future increases in DEQ workload</w:t>
      </w:r>
      <w:r w:rsidR="001C7506">
        <w:rPr>
          <w:rFonts w:ascii="Times New Roman" w:eastAsia="Times New Roman" w:hAnsi="Times New Roman" w:cs="Times New Roman"/>
          <w:bCs/>
          <w:i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55 county and local governments currently subject to air permitting regulations could</w:t>
      </w:r>
      <w:r w:rsidR="003753B9" w:rsidRPr="002D08C7">
        <w:rPr>
          <w:rFonts w:ascii="Times New Roman" w:eastAsia="Times New Roman" w:hAnsi="Times New Roman" w:cs="Times New Roman"/>
          <w:bCs/>
          <w:iCs/>
        </w:rPr>
        <w:t>, though not likely</w:t>
      </w:r>
      <w:r w:rsidR="00CD237F">
        <w:rPr>
          <w:rFonts w:ascii="Times New Roman" w:eastAsia="Times New Roman" w:hAnsi="Times New Roman" w:cs="Times New Roman"/>
          <w:bCs/>
          <w:iCs/>
        </w:rPr>
        <w:t xml:space="preserve"> because these facilities would probably never trigger the this program,</w:t>
      </w:r>
      <w:r w:rsidRPr="002D08C7">
        <w:rPr>
          <w:rFonts w:ascii="Times New Roman" w:eastAsia="Times New Roman" w:hAnsi="Times New Roman" w:cs="Times New Roman"/>
          <w:bCs/>
          <w:iCs/>
        </w:rPr>
        <w:t xml:space="preserve"> experience impacts described under the </w:t>
      </w:r>
      <w:r w:rsidRPr="002D08C7">
        <w:rPr>
          <w:rFonts w:ascii="Times New Roman" w:eastAsia="Times New Roman" w:hAnsi="Times New Roman" w:cs="Times New Roman"/>
          <w:bCs/>
        </w:rPr>
        <w:t>fiscal and economic impact section above</w:t>
      </w:r>
      <w:r>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 because of the requirement to get a New Source Review permit based on the amount of emissions or the location of the new or modified business</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2C1C59">
        <w:rPr>
          <w:rFonts w:ascii="Times New Roman" w:eastAsia="Times New Roman" w:hAnsi="Times New Roman" w:cs="Times New Roman"/>
          <w:bCs/>
        </w:rPr>
        <w:t>D</w:t>
      </w:r>
      <w:r w:rsidR="002C1C59" w:rsidRPr="00E638D3">
        <w:rPr>
          <w:rFonts w:ascii="Times New Roman" w:eastAsia="Times New Roman" w:hAnsi="Times New Roman" w:cs="Times New Roman"/>
          <w:bCs/>
        </w:rPr>
        <w:t>esignating areas</w:t>
      </w:r>
      <w:r w:rsidR="002C1C59">
        <w:rPr>
          <w:rFonts w:ascii="Times New Roman" w:eastAsia="Times New Roman" w:hAnsi="Times New Roman" w:cs="Times New Roman"/>
          <w:bCs/>
        </w:rPr>
        <w:t xml:space="preserve"> as sustainment or reattainment </w:t>
      </w:r>
      <w:r w:rsidR="00782A35">
        <w:rPr>
          <w:rFonts w:ascii="Times New Roman" w:eastAsia="Times New Roman" w:hAnsi="Times New Roman" w:cs="Times New Roman"/>
          <w:bCs/>
        </w:rPr>
        <w:t>w</w:t>
      </w:r>
      <w:r w:rsidR="002C1C59">
        <w:rPr>
          <w:rFonts w:ascii="Times New Roman" w:eastAsia="Times New Roman" w:hAnsi="Times New Roman" w:cs="Times New Roman"/>
          <w:bCs/>
        </w:rPr>
        <w:t xml:space="preserve">ould have </w:t>
      </w:r>
      <w:r w:rsidR="00D224B4" w:rsidRPr="00E638D3">
        <w:rPr>
          <w:rFonts w:ascii="Times New Roman" w:eastAsia="Times New Roman" w:hAnsi="Times New Roman" w:cs="Times New Roman"/>
          <w:bCs/>
        </w:rPr>
        <w:t xml:space="preserve">positive indirect fiscal or economic impacts </w:t>
      </w:r>
      <w:r w:rsidR="00782A35">
        <w:rPr>
          <w:rFonts w:ascii="Times New Roman" w:eastAsia="Times New Roman" w:hAnsi="Times New Roman" w:cs="Times New Roman"/>
          <w:bCs/>
        </w:rPr>
        <w:t>by</w:t>
      </w:r>
      <w:r w:rsidR="00D224B4" w:rsidRPr="00E638D3">
        <w:rPr>
          <w:rFonts w:ascii="Times New Roman" w:eastAsia="Times New Roman" w:hAnsi="Times New Roman" w:cs="Times New Roman"/>
          <w:bCs/>
        </w:rPr>
        <w:t xml:space="preserve"> </w:t>
      </w:r>
      <w:r w:rsidR="002C1C59">
        <w:rPr>
          <w:rFonts w:ascii="Times New Roman" w:eastAsia="Times New Roman" w:hAnsi="Times New Roman" w:cs="Times New Roman"/>
          <w:bCs/>
        </w:rPr>
        <w:t xml:space="preserve">moving away from the nonattainment designation </w:t>
      </w:r>
      <w:r w:rsidR="00F4312C">
        <w:rPr>
          <w:rFonts w:ascii="Times New Roman" w:eastAsia="Times New Roman" w:hAnsi="Times New Roman" w:cs="Times New Roman"/>
          <w:bCs/>
        </w:rPr>
        <w:t xml:space="preserve">with its associated </w:t>
      </w:r>
      <w:r w:rsidR="002C1C59" w:rsidRPr="00E638D3">
        <w:rPr>
          <w:rFonts w:ascii="Times New Roman" w:eastAsia="Times New Roman" w:hAnsi="Times New Roman" w:cs="Times New Roman"/>
          <w:bCs/>
        </w:rPr>
        <w:t>major negative fiscal or economic impact</w:t>
      </w:r>
      <w:r w:rsidR="002C1C59">
        <w:rPr>
          <w:rFonts w:ascii="Times New Roman" w:eastAsia="Times New Roman" w:hAnsi="Times New Roman" w:cs="Times New Roman"/>
          <w:bCs/>
        </w:rPr>
        <w:t>s. The</w:t>
      </w:r>
      <w:r w:rsidR="00782A35">
        <w:rPr>
          <w:rFonts w:ascii="Times New Roman" w:eastAsia="Times New Roman" w:hAnsi="Times New Roman" w:cs="Times New Roman"/>
          <w:bCs/>
        </w:rPr>
        <w:t xml:space="preserve"> sustainment or reattainment </w:t>
      </w:r>
      <w:r w:rsidR="002C1C59">
        <w:rPr>
          <w:rFonts w:ascii="Times New Roman" w:eastAsia="Times New Roman" w:hAnsi="Times New Roman" w:cs="Times New Roman"/>
          <w:bCs/>
        </w:rPr>
        <w:t xml:space="preserve">designations </w:t>
      </w:r>
      <w:r w:rsidR="00782A35">
        <w:rPr>
          <w:rFonts w:ascii="Times New Roman" w:eastAsia="Times New Roman" w:hAnsi="Times New Roman" w:cs="Times New Roman"/>
          <w:bCs/>
        </w:rPr>
        <w:t>would</w:t>
      </w:r>
      <w:r w:rsidR="00D224B4" w:rsidRPr="00E638D3">
        <w:rPr>
          <w:rFonts w:ascii="Times New Roman" w:eastAsia="Times New Roman" w:hAnsi="Times New Roman" w:cs="Times New Roman"/>
          <w:bCs/>
        </w:rPr>
        <w:t xml:space="preserve"> help prevent an area from becoming a nonattainment area and transition back into attainment more quickly</w:t>
      </w:r>
      <w:r w:rsidR="00D224B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Some members of the public may benefit from woodstove replacements.</w:t>
      </w:r>
    </w:p>
    <w:p w:rsidR="00D224B4" w:rsidRPr="00E638D3" w:rsidRDefault="00D224B4" w:rsidP="00D224B4">
      <w:pPr>
        <w:ind w:left="360" w:right="18"/>
        <w:outlineLvl w:val="0"/>
        <w:rPr>
          <w:rFonts w:ascii="Times New Roman" w:eastAsia="Times New Roman" w:hAnsi="Times New Roman" w:cs="Times New Roman"/>
          <w:bCs/>
        </w:rPr>
      </w:pPr>
    </w:p>
    <w:p w:rsidR="00D224B4" w:rsidRPr="003F4AEF"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1C7506" w:rsidRDefault="001C7506" w:rsidP="00B779C3">
      <w:pPr>
        <w:ind w:left="1080" w:right="18"/>
        <w:outlineLvl w:val="0"/>
        <w:rPr>
          <w:rFonts w:asciiTheme="majorHAnsi" w:eastAsia="Times New Roman" w:hAnsiTheme="majorHAnsi" w:cstheme="majorHAnsi"/>
          <w:bCs/>
          <w:sz w:val="22"/>
          <w:szCs w:val="22"/>
        </w:rPr>
      </w:pPr>
    </w:p>
    <w:p w:rsidR="001C7506" w:rsidRDefault="001C7506" w:rsidP="00B539D5">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w:t>
      </w:r>
      <w:r w:rsidRPr="00357150">
        <w:rPr>
          <w:rFonts w:ascii="Times New Roman" w:eastAsia="Times New Roman" w:hAnsi="Times New Roman" w:cs="Times New Roman"/>
          <w:bCs/>
          <w:iCs/>
        </w:rPr>
        <w:t xml:space="preserve"> </w:t>
      </w:r>
      <w:r w:rsidR="00782A35">
        <w:rPr>
          <w:rFonts w:ascii="Times New Roman" w:eastAsia="Times New Roman" w:hAnsi="Times New Roman" w:cs="Times New Roman"/>
          <w:bCs/>
          <w:iCs/>
        </w:rPr>
        <w:t xml:space="preserve">initially </w:t>
      </w:r>
      <w:r w:rsidRPr="00B539D5">
        <w:rPr>
          <w:rFonts w:ascii="Times New Roman" w:eastAsia="Times New Roman" w:hAnsi="Times New Roman" w:cs="Times New Roman"/>
          <w:bCs/>
          <w:iCs/>
        </w:rPr>
        <w:t xml:space="preserve">increase </w:t>
      </w:r>
      <w:r w:rsidR="00782A35" w:rsidRPr="00B539D5">
        <w:rPr>
          <w:rFonts w:ascii="Times New Roman" w:eastAsia="Times New Roman" w:hAnsi="Times New Roman" w:cs="Times New Roman"/>
          <w:bCs/>
          <w:iCs/>
        </w:rPr>
        <w:t xml:space="preserve">as staff </w:t>
      </w:r>
      <w:r w:rsidRPr="00B539D5">
        <w:rPr>
          <w:rFonts w:ascii="Times New Roman" w:eastAsia="Times New Roman" w:hAnsi="Times New Roman" w:cs="Times New Roman"/>
          <w:bCs/>
          <w:iCs/>
        </w:rPr>
        <w:t>becomes familiar with the proposed rules</w:t>
      </w:r>
      <w:r w:rsidR="00782A35" w:rsidRPr="00B539D5">
        <w:rPr>
          <w:rFonts w:ascii="Times New Roman" w:eastAsia="Times New Roman" w:hAnsi="Times New Roman" w:cs="Times New Roman"/>
          <w:bCs/>
          <w:iCs/>
        </w:rPr>
        <w:t xml:space="preserve">. </w:t>
      </w:r>
      <w:r w:rsidRPr="00B539D5">
        <w:rPr>
          <w:rFonts w:ascii="Times New Roman" w:eastAsia="Times New Roman" w:hAnsi="Times New Roman" w:cs="Times New Roman"/>
          <w:bCs/>
          <w:iCs/>
        </w:rPr>
        <w:t xml:space="preserve">Preventing areas from becoming nonattainment </w:t>
      </w:r>
      <w:r w:rsidR="00782A35" w:rsidRPr="00B539D5">
        <w:rPr>
          <w:rFonts w:ascii="Times New Roman" w:eastAsia="Times New Roman" w:hAnsi="Times New Roman" w:cs="Times New Roman"/>
          <w:bCs/>
          <w:iCs/>
        </w:rPr>
        <w:t>would</w:t>
      </w:r>
      <w:r w:rsidRPr="00B539D5">
        <w:rPr>
          <w:rFonts w:ascii="Times New Roman" w:eastAsia="Times New Roman" w:hAnsi="Times New Roman" w:cs="Times New Roman"/>
          <w:bCs/>
          <w:iCs/>
        </w:rPr>
        <w:t xml:space="preserve"> avoid future DEQ</w:t>
      </w:r>
      <w:r w:rsidRPr="005B28F9">
        <w:rPr>
          <w:rFonts w:ascii="Times New Roman" w:eastAsia="Times New Roman" w:hAnsi="Times New Roman" w:cs="Times New Roman"/>
          <w:bCs/>
          <w:iCs/>
        </w:rPr>
        <w:t xml:space="preserve"> workload</w:t>
      </w:r>
      <w:r w:rsidR="00782A35">
        <w:rPr>
          <w:rFonts w:ascii="Times New Roman" w:eastAsia="Times New Roman" w:hAnsi="Times New Roman" w:cs="Times New Roman"/>
          <w:bCs/>
          <w:iCs/>
        </w:rPr>
        <w:t xml:space="preserve"> increases</w:t>
      </w:r>
      <w:r>
        <w:rPr>
          <w:rFonts w:ascii="Times New Roman" w:eastAsia="Times New Roman" w:hAnsi="Times New Roman" w:cs="Times New Roman"/>
          <w:bCs/>
          <w:iCs/>
        </w:rPr>
        <w:t xml:space="preserve">. </w:t>
      </w:r>
      <w:r w:rsidR="00782A35">
        <w:rPr>
          <w:rFonts w:ascii="Times New Roman" w:eastAsia="Times New Roman" w:hAnsi="Times New Roman" w:cs="Times New Roman"/>
          <w:bCs/>
        </w:rPr>
        <w:t>Proposed rules under this category would have no fiscal or economic impacts for other agencies</w:t>
      </w:r>
    </w:p>
    <w:p w:rsidR="001C7506" w:rsidRDefault="001C7506" w:rsidP="00B779C3">
      <w:pPr>
        <w:ind w:left="1080" w:right="18"/>
        <w:outlineLvl w:val="0"/>
        <w:rPr>
          <w:rFonts w:asciiTheme="majorHAnsi" w:eastAsia="Times New Roman" w:hAnsiTheme="majorHAnsi" w:cstheme="majorHAnsi"/>
          <w:bCs/>
          <w:sz w:val="22"/>
          <w:szCs w:val="22"/>
        </w:rPr>
      </w:pPr>
    </w:p>
    <w:p w:rsidR="007F78C6" w:rsidRDefault="001805E5" w:rsidP="007F78C6">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7F78C6" w:rsidRPr="00E638D3">
        <w:rPr>
          <w:rFonts w:ascii="Times New Roman" w:eastAsia="Times New Roman" w:hAnsi="Times New Roman" w:cs="Times New Roman"/>
          <w:bCs/>
        </w:rPr>
        <w:t xml:space="preserve">The proposed rules </w:t>
      </w:r>
      <w:r w:rsidR="007F78C6">
        <w:rPr>
          <w:rFonts w:ascii="Times New Roman" w:eastAsia="Times New Roman" w:hAnsi="Times New Roman" w:cs="Times New Roman"/>
          <w:bCs/>
        </w:rPr>
        <w:t>would</w:t>
      </w:r>
      <w:r w:rsidR="007F78C6"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sidR="007F78C6">
        <w:rPr>
          <w:rFonts w:ascii="Times New Roman" w:eastAsia="Times New Roman" w:hAnsi="Times New Roman" w:cs="Times New Roman"/>
          <w:bCs/>
        </w:rPr>
        <w:t xml:space="preserve">businesses protect </w:t>
      </w:r>
      <w:r w:rsidR="007F78C6" w:rsidRPr="00E638D3">
        <w:rPr>
          <w:rFonts w:ascii="Times New Roman" w:eastAsia="Times New Roman" w:hAnsi="Times New Roman" w:cs="Times New Roman"/>
          <w:bCs/>
        </w:rPr>
        <w:t>air quality</w:t>
      </w:r>
      <w:r w:rsidR="007F78C6">
        <w:rPr>
          <w:rFonts w:ascii="Times New Roman" w:eastAsia="Times New Roman" w:hAnsi="Times New Roman" w:cs="Times New Roman"/>
          <w:bCs/>
        </w:rPr>
        <w:t xml:space="preserve">. </w:t>
      </w:r>
    </w:p>
    <w:p w:rsidR="001C7506" w:rsidRDefault="001C7506" w:rsidP="007F78C6">
      <w:pPr>
        <w:ind w:left="1080" w:right="18"/>
        <w:rPr>
          <w:rFonts w:asciiTheme="majorHAnsi" w:eastAsia="Times New Roman" w:hAnsiTheme="majorHAnsi" w:cstheme="majorHAnsi"/>
          <w:bCs/>
          <w:sz w:val="22"/>
          <w:szCs w:val="22"/>
        </w:rPr>
      </w:pPr>
    </w:p>
    <w:p w:rsidR="002D08C7" w:rsidRDefault="002D08C7">
      <w:pPr>
        <w:spacing w:after="12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br w:type="page"/>
      </w:r>
    </w:p>
    <w:p w:rsidR="009E74BD"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A2F32">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 on the public because of the Lakeview sustainment area designation</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positive indirect fiscal or economic impacts to the public </w:t>
      </w:r>
      <w:r w:rsidR="002A2F32">
        <w:rPr>
          <w:rFonts w:ascii="Times New Roman" w:eastAsia="Times New Roman" w:hAnsi="Times New Roman" w:cs="Times New Roman"/>
          <w:bCs/>
        </w:rPr>
        <w:t>could</w:t>
      </w:r>
      <w:r w:rsidR="002A2F32"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occur </w:t>
      </w:r>
      <w:r w:rsidR="002A2F32">
        <w:rPr>
          <w:rFonts w:ascii="Times New Roman" w:eastAsia="Times New Roman" w:hAnsi="Times New Roman" w:cs="Times New Roman"/>
          <w:bCs/>
        </w:rPr>
        <w:t xml:space="preserve">as </w:t>
      </w:r>
      <w:r w:rsidR="00D224B4" w:rsidRPr="00E638D3">
        <w:rPr>
          <w:rFonts w:ascii="Times New Roman" w:eastAsia="Times New Roman" w:hAnsi="Times New Roman" w:cs="Times New Roman"/>
          <w:bCs/>
        </w:rPr>
        <w:t>more businesses locate in Lakeview</w:t>
      </w:r>
      <w:r w:rsidR="00D224B4">
        <w:rPr>
          <w:rFonts w:ascii="Times New Roman" w:eastAsia="Times New Roman" w:hAnsi="Times New Roman" w:cs="Times New Roman"/>
          <w:bCs/>
        </w:rPr>
        <w:t xml:space="preserve">. In addition, if </w:t>
      </w:r>
      <w:r w:rsidR="008D6D83">
        <w:rPr>
          <w:rFonts w:ascii="Times New Roman" w:eastAsia="Times New Roman" w:hAnsi="Times New Roman" w:cs="Times New Roman"/>
          <w:bCs/>
        </w:rPr>
        <w:t xml:space="preserve">a </w:t>
      </w:r>
      <w:r w:rsidR="00D224B4">
        <w:rPr>
          <w:rFonts w:ascii="Times New Roman" w:eastAsia="Times New Roman" w:hAnsi="Times New Roman" w:cs="Times New Roman"/>
          <w:bCs/>
        </w:rPr>
        <w:t>new business locate</w:t>
      </w:r>
      <w:r w:rsidR="008D6D83">
        <w:rPr>
          <w:rFonts w:ascii="Times New Roman" w:eastAsia="Times New Roman" w:hAnsi="Times New Roman" w:cs="Times New Roman"/>
          <w:bCs/>
        </w:rPr>
        <w:t>s</w:t>
      </w:r>
      <w:r w:rsidR="00D224B4">
        <w:rPr>
          <w:rFonts w:ascii="Times New Roman" w:eastAsia="Times New Roman" w:hAnsi="Times New Roman" w:cs="Times New Roman"/>
          <w:bCs/>
        </w:rPr>
        <w:t xml:space="preserve"> in Lakeview</w:t>
      </w:r>
      <w:r w:rsidR="008D6D83">
        <w:rPr>
          <w:rFonts w:ascii="Times New Roman" w:eastAsia="Times New Roman" w:hAnsi="Times New Roman" w:cs="Times New Roman"/>
          <w:bCs/>
        </w:rPr>
        <w:t xml:space="preserve"> and buys woodstove offsets</w:t>
      </w:r>
      <w:r w:rsidR="00D224B4">
        <w:rPr>
          <w:rFonts w:ascii="Times New Roman" w:eastAsia="Times New Roman" w:hAnsi="Times New Roman" w:cs="Times New Roman"/>
          <w:bCs/>
        </w:rPr>
        <w:t xml:space="preserve">, some members of the public may benefit from woodstove replacements. </w:t>
      </w:r>
      <w:r w:rsidR="00D224B4" w:rsidRPr="00E638D3">
        <w:rPr>
          <w:rFonts w:ascii="Times New Roman" w:eastAsia="Times New Roman" w:hAnsi="Times New Roman" w:cs="Times New Roman"/>
          <w:bCs/>
        </w:rPr>
        <w:t>DEQ expects any</w:t>
      </w:r>
      <w:r w:rsidR="008D6D83">
        <w:rPr>
          <w:rFonts w:ascii="Times New Roman" w:eastAsia="Times New Roman" w:hAnsi="Times New Roman" w:cs="Times New Roman"/>
          <w:bCs/>
        </w:rPr>
        <w:t xml:space="preserve"> monetary benefits</w:t>
      </w:r>
      <w:r w:rsidR="00D224B4" w:rsidRPr="00E638D3">
        <w:rPr>
          <w:rFonts w:ascii="Times New Roman" w:eastAsia="Times New Roman" w:hAnsi="Times New Roman" w:cs="Times New Roman"/>
          <w:bCs/>
        </w:rPr>
        <w:t xml:space="preserve"> price decreases to be small and lacks available information </w:t>
      </w:r>
      <w:r w:rsidR="008D6D83">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8D6D83">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DEQ more flexibility for public hearings and meetings</w:t>
      </w:r>
    </w:p>
    <w:p w:rsidR="00FA11A0" w:rsidRDefault="00FA11A0" w:rsidP="00FA11A0">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sidR="00F4312C">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 xml:space="preserve">than travel. </w:t>
      </w:r>
      <w:r w:rsidR="00E90891" w:rsidRPr="00E90891">
        <w:rPr>
          <w:rFonts w:ascii="Times New Roman" w:eastAsia="Times New Roman" w:hAnsi="Times New Roman" w:cs="Times New Roman"/>
          <w:bCs/>
        </w:rPr>
        <w:t>C</w:t>
      </w:r>
      <w:r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Pr="00E90891">
        <w:rPr>
          <w:rFonts w:ascii="Times New Roman" w:eastAsia="Times New Roman" w:hAnsi="Times New Roman" w:cs="Times New Roman"/>
          <w:bCs/>
        </w:rPr>
        <w:t xml:space="preserve"> the travel distance is unknown.</w:t>
      </w:r>
      <w:r>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FA11A0" w:rsidRDefault="001C7506" w:rsidP="00FA11A0">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the amount of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approximately $2000. At least $800 of that cost is due to transportation. </w:t>
      </w:r>
    </w:p>
    <w:p w:rsidR="00FA11A0" w:rsidRDefault="00FA11A0">
      <w:pPr>
        <w:ind w:left="1080" w:right="18"/>
        <w:outlineLvl w:val="0"/>
        <w:rPr>
          <w:rFonts w:ascii="Times New Roman" w:eastAsia="Times New Roman" w:hAnsi="Times New Roman" w:cs="Times New Roman"/>
          <w:bCs/>
          <w:iCs/>
        </w:rPr>
      </w:pPr>
    </w:p>
    <w:p w:rsidR="00DE3622" w:rsidRDefault="00FA11A0">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 could decrease travel and associated staff expenses for state agencies.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 xml:space="preserve">The proposed rule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D2749F">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 xml:space="preserve">any direct fiscal or economic impacts on the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more flexibility in holding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D224B4" w:rsidRPr="003F4AEF" w:rsidRDefault="00D224B4"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Pr="003F4AEF">
        <w:rPr>
          <w:rFonts w:ascii="Times New Roman" w:eastAsia="Times New Roman" w:hAnsi="Times New Roman" w:cs="Times New Roman"/>
          <w:b/>
          <w:bCs/>
        </w:rPr>
        <w:t>Heat</w:t>
      </w:r>
      <w:r w:rsidR="004B3FA0">
        <w:rPr>
          <w:rFonts w:ascii="Times New Roman" w:eastAsia="Times New Roman" w:hAnsi="Times New Roman" w:cs="Times New Roman"/>
          <w:b/>
          <w:bCs/>
        </w:rPr>
        <w:t xml:space="preserve"> </w:t>
      </w:r>
      <w:r w:rsidRPr="003F4AE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0277C4" w:rsidRDefault="000277C4" w:rsidP="000277C4">
      <w:pPr>
        <w:ind w:left="1080" w:right="18"/>
        <w:outlineLvl w:val="0"/>
        <w:rPr>
          <w:rFonts w:asciiTheme="majorHAnsi" w:eastAsia="Times New Roman" w:hAnsiTheme="majorHAnsi" w:cstheme="majorHAnsi"/>
          <w:bCs/>
          <w:sz w:val="22"/>
          <w:szCs w:val="22"/>
        </w:rPr>
      </w:pP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854D7">
        <w:rPr>
          <w:rFonts w:ascii="Times New Roman" w:eastAsia="Times New Roman" w:hAnsi="Times New Roman" w:cs="Times New Roman"/>
          <w:bCs/>
          <w:iCs/>
        </w:rPr>
        <w:t>D</w:t>
      </w:r>
      <w:r w:rsidR="005854D7" w:rsidRPr="000277C4">
        <w:rPr>
          <w:rFonts w:ascii="Times New Roman" w:eastAsia="Times New Roman" w:hAnsi="Times New Roman" w:cs="Times New Roman"/>
          <w:bCs/>
          <w:iCs/>
        </w:rPr>
        <w:t xml:space="preserve">EQ </w:t>
      </w:r>
      <w:r w:rsidR="000B541E" w:rsidRPr="000277C4">
        <w:rPr>
          <w:rFonts w:ascii="Times New Roman" w:eastAsia="Times New Roman" w:hAnsi="Times New Roman" w:cs="Times New Roman"/>
          <w:bCs/>
          <w:iCs/>
        </w:rPr>
        <w:t xml:space="preserve">workload </w:t>
      </w:r>
      <w:r w:rsidR="005854D7" w:rsidRPr="000277C4">
        <w:rPr>
          <w:rFonts w:ascii="Times New Roman" w:eastAsia="Times New Roman" w:hAnsi="Times New Roman" w:cs="Times New Roman"/>
          <w:bCs/>
          <w:iCs/>
        </w:rPr>
        <w:t>would</w:t>
      </w:r>
      <w:r w:rsidR="000B541E" w:rsidRPr="000277C4">
        <w:rPr>
          <w:rFonts w:ascii="Times New Roman" w:eastAsia="Times New Roman" w:hAnsi="Times New Roman" w:cs="Times New Roman"/>
          <w:bCs/>
          <w:iCs/>
        </w:rPr>
        <w:t xml:space="preserve"> not change because these rules reestablish a pathway for small</w:t>
      </w:r>
      <w:r w:rsidR="009B5A69" w:rsidRPr="000277C4">
        <w:rPr>
          <w:rFonts w:ascii="Times New Roman" w:eastAsia="Times New Roman" w:hAnsi="Times New Roman" w:cs="Times New Roman"/>
          <w:bCs/>
          <w:iCs/>
        </w:rPr>
        <w:t>-</w:t>
      </w:r>
      <w:r w:rsidR="000B541E" w:rsidRPr="000277C4">
        <w:rPr>
          <w:rFonts w:ascii="Times New Roman" w:eastAsia="Times New Roman" w:hAnsi="Times New Roman" w:cs="Times New Roman"/>
          <w:bCs/>
          <w:iCs/>
        </w:rPr>
        <w:t xml:space="preserve">scale industrial, commercial and institutional boilers to be sold in Oregon again. </w:t>
      </w:r>
      <w:r w:rsidR="000277C4">
        <w:rPr>
          <w:rFonts w:ascii="Times New Roman" w:eastAsia="Times New Roman" w:hAnsi="Times New Roman" w:cs="Times New Roman"/>
          <w:bCs/>
          <w:iCs/>
        </w:rPr>
        <w:t xml:space="preserve">Other </w:t>
      </w:r>
      <w:r w:rsidR="000277C4" w:rsidRPr="000277C4">
        <w:rPr>
          <w:rFonts w:ascii="Times New Roman" w:eastAsia="Times New Roman" w:hAnsi="Times New Roman" w:cs="Times New Roman"/>
          <w:bCs/>
          <w:iCs/>
        </w:rPr>
        <w:t xml:space="preserve">state </w:t>
      </w:r>
      <w:r w:rsidR="000277C4">
        <w:rPr>
          <w:rFonts w:ascii="Times New Roman" w:eastAsia="Times New Roman" w:hAnsi="Times New Roman" w:cs="Times New Roman"/>
          <w:bCs/>
          <w:iCs/>
        </w:rPr>
        <w:t xml:space="preserve">agencies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 xml:space="preserve">fiscal and economic impact </w:t>
      </w:r>
      <w:r w:rsidR="000277C4">
        <w:rPr>
          <w:rFonts w:ascii="Times New Roman" w:eastAsia="Times New Roman" w:hAnsi="Times New Roman" w:cs="Times New Roman"/>
          <w:bCs/>
        </w:rPr>
        <w:t>under this category</w:t>
      </w:r>
      <w:r w:rsidR="000277C4" w:rsidRPr="000277C4">
        <w:rPr>
          <w:rFonts w:ascii="Times New Roman" w:eastAsia="Times New Roman" w:hAnsi="Times New Roman" w:cs="Times New Roman"/>
          <w:bCs/>
        </w:rPr>
        <w:t>.</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3F4AEF" w:rsidRDefault="00D224B4"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lastRenderedPageBreak/>
        <w:t xml:space="preserve">Implement SB 249A - </w:t>
      </w:r>
      <w:r w:rsidRPr="003F4AEF">
        <w:rPr>
          <w:rFonts w:ascii="Times New Roman" w:eastAsia="Times New Roman" w:hAnsi="Times New Roman" w:cs="Times New Roman"/>
          <w:b/>
          <w:bCs/>
        </w:rPr>
        <w:t>Clean diesel grant and loan rules</w:t>
      </w:r>
    </w:p>
    <w:p w:rsidR="00BC46EB" w:rsidRDefault="00BC46EB" w:rsidP="00B779C3">
      <w:pPr>
        <w:ind w:left="1080" w:right="18"/>
        <w:outlineLvl w:val="0"/>
        <w:rPr>
          <w:rFonts w:ascii="Times New Roman" w:eastAsia="Times New Roman" w:hAnsi="Times New Roman" w:cs="Times New Roman"/>
          <w:bCs/>
        </w:rPr>
      </w:pPr>
    </w:p>
    <w:p w:rsidR="00AC2AE4" w:rsidRDefault="00BC46EB" w:rsidP="00AC2AE4">
      <w:pPr>
        <w:ind w:left="1080" w:right="18"/>
        <w:outlineLvl w:val="0"/>
        <w:rPr>
          <w:rFonts w:ascii="Times New Roman" w:eastAsia="Times New Roman" w:hAnsi="Times New Roman" w:cs="Times New Roman"/>
          <w:bCs/>
          <w:i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AC2AE4" w:rsidRPr="00357150">
        <w:rPr>
          <w:rFonts w:ascii="Times New Roman" w:eastAsia="Times New Roman" w:hAnsi="Times New Roman" w:cs="Times New Roman"/>
          <w:bCs/>
        </w:rPr>
        <w:t>The</w:t>
      </w:r>
      <w:r w:rsidR="00AC2AE4">
        <w:rPr>
          <w:rFonts w:ascii="Times New Roman" w:eastAsia="Times New Roman" w:hAnsi="Times New Roman" w:cs="Times New Roman"/>
          <w:bCs/>
        </w:rPr>
        <w:t xml:space="preserve"> proposed rules would not create a </w:t>
      </w:r>
      <w:r w:rsidR="00AC2AE4" w:rsidRPr="00357150">
        <w:rPr>
          <w:rFonts w:ascii="Times New Roman" w:eastAsia="Times New Roman" w:hAnsi="Times New Roman" w:cs="Times New Roman"/>
          <w:bCs/>
        </w:rPr>
        <w:t xml:space="preserve">fiscal or economic impact </w:t>
      </w:r>
      <w:r w:rsidR="00AC2AE4">
        <w:rPr>
          <w:rFonts w:ascii="Times New Roman" w:eastAsia="Times New Roman" w:hAnsi="Times New Roman" w:cs="Times New Roman"/>
          <w:bCs/>
        </w:rPr>
        <w:t>for DEQ</w:t>
      </w:r>
      <w:r w:rsidR="00AC2AE4" w:rsidRPr="00357150">
        <w:rPr>
          <w:rFonts w:ascii="Times New Roman" w:eastAsia="Times New Roman" w:hAnsi="Times New Roman" w:cs="Times New Roman"/>
          <w:bCs/>
        </w:rPr>
        <w:t xml:space="preserve"> </w:t>
      </w:r>
      <w:r w:rsidR="00AC2AE4">
        <w:rPr>
          <w:rFonts w:ascii="Times New Roman" w:eastAsia="Times New Roman" w:hAnsi="Times New Roman" w:cs="Times New Roman"/>
          <w:bCs/>
        </w:rPr>
        <w:t xml:space="preserve">or other state agencies </w:t>
      </w:r>
      <w:r w:rsidR="00AC2AE4" w:rsidRPr="00357150">
        <w:rPr>
          <w:rFonts w:ascii="Times New Roman" w:eastAsia="Times New Roman" w:hAnsi="Times New Roman" w:cs="Times New Roman"/>
          <w:bCs/>
        </w:rPr>
        <w:t>because t</w:t>
      </w:r>
      <w:r w:rsidR="00AC2AE4" w:rsidRPr="00357150">
        <w:rPr>
          <w:rFonts w:ascii="Times New Roman" w:eastAsia="Times New Roman" w:hAnsi="Times New Roman" w:cs="Times New Roman"/>
          <w:bCs/>
          <w:iCs/>
        </w:rPr>
        <w:t xml:space="preserve">he </w:t>
      </w:r>
      <w:r w:rsidR="00AC2AE4">
        <w:rPr>
          <w:rFonts w:ascii="Times New Roman" w:eastAsia="Times New Roman" w:hAnsi="Times New Roman" w:cs="Times New Roman"/>
          <w:bCs/>
          <w:iCs/>
        </w:rPr>
        <w:t xml:space="preserve">direct and indirect </w:t>
      </w:r>
      <w:r w:rsidR="00AC2AE4" w:rsidRPr="00357150">
        <w:rPr>
          <w:rFonts w:ascii="Times New Roman" w:eastAsia="Times New Roman" w:hAnsi="Times New Roman" w:cs="Times New Roman"/>
          <w:bCs/>
          <w:iCs/>
        </w:rPr>
        <w:t>costs of administering the grant are recovered from the grant itself</w:t>
      </w:r>
      <w:r w:rsidR="00AC2AE4">
        <w:rPr>
          <w:rFonts w:ascii="Times New Roman" w:eastAsia="Times New Roman" w:hAnsi="Times New Roman" w:cs="Times New Roman"/>
          <w:bCs/>
          <w:iCs/>
        </w:rPr>
        <w:t>.</w:t>
      </w:r>
    </w:p>
    <w:p w:rsidR="009E74BD" w:rsidRDefault="009E74BD" w:rsidP="00AC2AE4">
      <w:pPr>
        <w:ind w:left="1080" w:right="18"/>
        <w:outlineLvl w:val="0"/>
        <w:rPr>
          <w:rFonts w:asciiTheme="majorHAnsi" w:eastAsia="Times New Roman" w:hAnsiTheme="majorHAnsi" w:cstheme="majorHAnsi"/>
          <w:bCs/>
          <w:sz w:val="22"/>
          <w:szCs w:val="22"/>
        </w:rPr>
      </w:pPr>
    </w:p>
    <w:p w:rsidR="00AC2AE4" w:rsidRDefault="001805E5" w:rsidP="00AC2AE4">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AC2AE4" w:rsidRPr="00357150">
        <w:rPr>
          <w:rFonts w:ascii="Times New Roman" w:eastAsia="Times New Roman" w:hAnsi="Times New Roman" w:cs="Times New Roman"/>
          <w:bCs/>
        </w:rPr>
        <w:t>The</w:t>
      </w:r>
      <w:r w:rsidR="00AC2AE4">
        <w:rPr>
          <w:rFonts w:ascii="Times New Roman" w:eastAsia="Times New Roman" w:hAnsi="Times New Roman" w:cs="Times New Roman"/>
          <w:bCs/>
        </w:rPr>
        <w:t xml:space="preserve"> proposed rules would not create a </w:t>
      </w:r>
      <w:r w:rsidR="00AC2AE4" w:rsidRPr="00357150">
        <w:rPr>
          <w:rFonts w:ascii="Times New Roman" w:eastAsia="Times New Roman" w:hAnsi="Times New Roman" w:cs="Times New Roman"/>
          <w:bCs/>
        </w:rPr>
        <w:t xml:space="preserve">fiscal or economic impact </w:t>
      </w:r>
      <w:r w:rsidR="00AC2AE4">
        <w:rPr>
          <w:rFonts w:ascii="Times New Roman" w:eastAsia="Times New Roman" w:hAnsi="Times New Roman" w:cs="Times New Roman"/>
          <w:bCs/>
        </w:rPr>
        <w:t>for units of local governments</w:t>
      </w:r>
      <w:r w:rsidR="00AC2AE4">
        <w:rPr>
          <w:rFonts w:ascii="Times New Roman" w:eastAsia="Times New Roman" w:hAnsi="Times New Roman" w:cs="Times New Roman"/>
          <w:bCs/>
          <w:iCs/>
        </w:rPr>
        <w:t>.</w:t>
      </w:r>
    </w:p>
    <w:p w:rsidR="00B83B10" w:rsidRDefault="00B83B10" w:rsidP="00AC2AE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Pr>
          <w:rFonts w:ascii="Times New Roman" w:eastAsia="Times New Roman" w:hAnsi="Times New Roman" w:cs="Times New Roman"/>
          <w:bCs/>
        </w:rPr>
        <w:t xml:space="preserve">DEQ anticipates </w:t>
      </w:r>
      <w:r w:rsidR="00AC2AE4">
        <w:rPr>
          <w:rFonts w:ascii="Times New Roman" w:eastAsia="Times New Roman" w:hAnsi="Times New Roman" w:cs="Times New Roman"/>
          <w:bCs/>
        </w:rPr>
        <w:t>the proposed rules c</w:t>
      </w:r>
      <w:r>
        <w:rPr>
          <w:rFonts w:ascii="Times New Roman" w:eastAsia="Times New Roman" w:hAnsi="Times New Roman" w:cs="Times New Roman"/>
          <w:bCs/>
        </w:rPr>
        <w:t xml:space="preserve">ould </w:t>
      </w:r>
      <w:r w:rsidR="00AC2AE4">
        <w:rPr>
          <w:rFonts w:ascii="Times New Roman" w:eastAsia="Times New Roman" w:hAnsi="Times New Roman" w:cs="Times New Roman"/>
          <w:bCs/>
        </w:rPr>
        <w:t xml:space="preserve">have </w:t>
      </w:r>
      <w:r w:rsidRPr="00CD7EF0">
        <w:rPr>
          <w:rFonts w:ascii="Times New Roman" w:eastAsia="Times New Roman" w:hAnsi="Times New Roman" w:cs="Times New Roman"/>
          <w:bCs/>
        </w:rPr>
        <w:t xml:space="preserve">a </w:t>
      </w:r>
      <w:r w:rsidR="00AC2AE4">
        <w:rPr>
          <w:rFonts w:ascii="Times New Roman" w:eastAsia="Times New Roman" w:hAnsi="Times New Roman" w:cs="Times New Roman"/>
          <w:bCs/>
        </w:rPr>
        <w:t xml:space="preserve">small </w:t>
      </w:r>
      <w:r w:rsidRPr="00CD7EF0">
        <w:rPr>
          <w:rFonts w:ascii="Times New Roman" w:eastAsia="Times New Roman" w:hAnsi="Times New Roman" w:cs="Times New Roman"/>
          <w:bCs/>
        </w:rPr>
        <w:t xml:space="preserve">positive fiscal </w:t>
      </w:r>
      <w:r>
        <w:rPr>
          <w:rFonts w:ascii="Times New Roman" w:eastAsia="Times New Roman" w:hAnsi="Times New Roman" w:cs="Times New Roman"/>
          <w:bCs/>
        </w:rPr>
        <w:t xml:space="preserve">and economic impact on the public </w:t>
      </w:r>
      <w:r w:rsidR="004C5229" w:rsidRPr="00AC2AE4">
        <w:rPr>
          <w:rFonts w:ascii="Times New Roman" w:eastAsia="Times New Roman" w:hAnsi="Times New Roman" w:cs="Times New Roman"/>
          <w:bCs/>
        </w:rPr>
        <w:t>if more equipment upgrades occur in Orego</w:t>
      </w:r>
      <w:r w:rsidRPr="00AC2AE4">
        <w:rPr>
          <w:rFonts w:ascii="Times New Roman" w:eastAsia="Times New Roman" w:hAnsi="Times New Roman" w:cs="Times New Roman"/>
          <w:bCs/>
        </w:rPr>
        <w:t>n</w:t>
      </w:r>
      <w:r w:rsidR="00AC2AE4">
        <w:rPr>
          <w:rFonts w:ascii="Times New Roman" w:eastAsia="Times New Roman" w:hAnsi="Times New Roman" w:cs="Times New Roman"/>
          <w:bCs/>
        </w:rPr>
        <w:t xml:space="preserve"> and </w:t>
      </w:r>
      <w:r w:rsidR="00AB5E57">
        <w:rPr>
          <w:rFonts w:ascii="Times New Roman" w:eastAsia="Times New Roman" w:hAnsi="Times New Roman" w:cs="Times New Roman"/>
          <w:bCs/>
        </w:rPr>
        <w:t xml:space="preserve">grant recipient </w:t>
      </w:r>
      <w:r>
        <w:rPr>
          <w:rFonts w:ascii="Times New Roman" w:eastAsia="Times New Roman" w:hAnsi="Times New Roman" w:cs="Times New Roman"/>
          <w:bCs/>
        </w:rPr>
        <w:t>pass</w:t>
      </w:r>
      <w:r w:rsidR="008776CF">
        <w:rPr>
          <w:rFonts w:ascii="Times New Roman" w:eastAsia="Times New Roman" w:hAnsi="Times New Roman" w:cs="Times New Roman"/>
          <w:bCs/>
        </w:rPr>
        <w:t xml:space="preserve"> savings </w:t>
      </w:r>
      <w:r>
        <w:rPr>
          <w:rFonts w:ascii="Times New Roman" w:eastAsia="Times New Roman" w:hAnsi="Times New Roman" w:cs="Times New Roman"/>
          <w:bCs/>
        </w:rPr>
        <w:t xml:space="preserve">to the </w:t>
      </w:r>
      <w:r w:rsidRPr="00CD7EF0">
        <w:rPr>
          <w:rFonts w:ascii="Times New Roman" w:eastAsia="Times New Roman" w:hAnsi="Times New Roman" w:cs="Times New Roman"/>
          <w:bCs/>
        </w:rPr>
        <w:t>public or customers</w:t>
      </w:r>
      <w:r>
        <w:rPr>
          <w:rFonts w:ascii="Times New Roman" w:eastAsia="Times New Roman" w:hAnsi="Times New Roman" w:cs="Times New Roman"/>
          <w:bCs/>
        </w:rPr>
        <w:t xml:space="preserve">. </w:t>
      </w:r>
    </w:p>
    <w:p w:rsidR="00D224B4" w:rsidRPr="00E638D3" w:rsidRDefault="00D224B4" w:rsidP="00B779C3">
      <w:pPr>
        <w:ind w:left="72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Remove annual reporting requirement for small gasoline dispensing facilities</w:t>
      </w:r>
    </w:p>
    <w:p w:rsidR="00194ACD" w:rsidRPr="00194ACD" w:rsidRDefault="00194ACD" w:rsidP="00194ACD">
      <w:pPr>
        <w:ind w:left="1080" w:right="18"/>
        <w:outlineLvl w:val="0"/>
        <w:rPr>
          <w:rFonts w:ascii="Times New Roman" w:eastAsia="Times New Roman" w:hAnsi="Times New Roman" w:cs="Times New Roman"/>
          <w:bCs/>
        </w:rPr>
      </w:pPr>
      <w:r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Pr="00194ACD">
        <w:rPr>
          <w:rFonts w:ascii="Times New Roman" w:eastAsia="Times New Roman" w:hAnsi="Times New Roman" w:cs="Times New Roman"/>
        </w:rPr>
        <w:t xml:space="preserve"> </w:t>
      </w:r>
      <w:r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the impacts described 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Clarify and update rules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Update particulate matter standards</w:t>
      </w:r>
    </w:p>
    <w:p w:rsidR="002E7578" w:rsidRDefault="002E7578" w:rsidP="002E7578">
      <w:pPr>
        <w:ind w:left="1080" w:right="18"/>
        <w:outlineLvl w:val="0"/>
        <w:rPr>
          <w:rFonts w:ascii="Times New Roman" w:eastAsia="Times New Roman" w:hAnsi="Times New Roman" w:cs="Times New Roman"/>
          <w:bCs/>
          <w:iCs/>
        </w:rPr>
      </w:pPr>
      <w:r w:rsidRPr="007F78C6">
        <w:rPr>
          <w:rFonts w:ascii="Times New Roman" w:eastAsia="Times New Roman" w:hAnsi="Times New Roman" w:cs="Times New Roman"/>
          <w:bCs/>
          <w:iCs/>
        </w:rPr>
        <w:t xml:space="preserve">DEQ identified 8 businesses (1 small business) that may not be able to comply with proposed lower particulate standard without process changes, installation of control equipment or replacement of process equipment. These businesses are wood products facilities with wood-fired boilers. </w:t>
      </w:r>
      <w:r>
        <w:rPr>
          <w:rFonts w:ascii="Times New Roman" w:eastAsia="Times New Roman" w:hAnsi="Times New Roman" w:cs="Times New Roman"/>
          <w:bCs/>
          <w:iCs/>
        </w:rPr>
        <w:t>Of the 8 business identified, t</w:t>
      </w:r>
      <w:r w:rsidRPr="007F78C6">
        <w:rPr>
          <w:rFonts w:ascii="Times New Roman" w:eastAsia="Times New Roman" w:hAnsi="Times New Roman" w:cs="Times New Roman"/>
          <w:bCs/>
          <w:iCs/>
        </w:rPr>
        <w:t>here are two small</w:t>
      </w:r>
      <w:r w:rsidRPr="00600E0D">
        <w:rPr>
          <w:rFonts w:ascii="Times New Roman" w:eastAsia="Times New Roman" w:hAnsi="Times New Roman" w:cs="Times New Roman"/>
          <w:bCs/>
          <w:iCs/>
        </w:rPr>
        <w:t xml:space="preserve"> </w:t>
      </w:r>
      <w:r w:rsidRPr="007F78C6">
        <w:rPr>
          <w:rFonts w:ascii="Times New Roman" w:eastAsia="Times New Roman" w:hAnsi="Times New Roman" w:cs="Times New Roman"/>
          <w:bCs/>
          <w:iCs/>
        </w:rPr>
        <w:t>asphalt plants that may be unable to comply with</w:t>
      </w:r>
      <w:r>
        <w:rPr>
          <w:rFonts w:ascii="Times New Roman" w:eastAsia="Times New Roman" w:hAnsi="Times New Roman" w:cs="Times New Roman"/>
          <w:bCs/>
          <w:iCs/>
        </w:rPr>
        <w:t xml:space="preserve"> </w:t>
      </w:r>
      <w:r w:rsidRPr="007F78C6">
        <w:rPr>
          <w:rFonts w:ascii="Times New Roman" w:eastAsia="Times New Roman" w:hAnsi="Times New Roman" w:cs="Times New Roman"/>
          <w:bCs/>
          <w:iCs/>
        </w:rPr>
        <w:t xml:space="preserve">lower visual and particulate matter standards. </w:t>
      </w:r>
    </w:p>
    <w:p w:rsidR="002E7578" w:rsidRDefault="002E7578" w:rsidP="002E7578">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lastRenderedPageBreak/>
        <w:t xml:space="preserve"> </w:t>
      </w:r>
    </w:p>
    <w:p w:rsidR="002E7578" w:rsidRDefault="002E7578" w:rsidP="002E7578">
      <w:pPr>
        <w:spacing w:after="120"/>
        <w:ind w:left="1440" w:right="14"/>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Wood-fired Boilers:</w:t>
      </w:r>
      <w:r w:rsidRPr="00600E0D">
        <w:rPr>
          <w:rFonts w:ascii="Times New Roman" w:eastAsia="Times New Roman" w:hAnsi="Times New Roman" w:cs="Times New Roman"/>
          <w:bCs/>
          <w:iCs/>
        </w:rPr>
        <w:t xml:space="preserve">  Some businesses may need to optimize their boiler operations to comply with the particulate matter standards. Close monitoring of fuel quality may help some boilers comply w</w:t>
      </w:r>
      <w:r>
        <w:rPr>
          <w:rFonts w:ascii="Times New Roman" w:eastAsia="Times New Roman" w:hAnsi="Times New Roman" w:cs="Times New Roman"/>
          <w:bCs/>
          <w:iCs/>
        </w:rPr>
        <w:t xml:space="preserve">hile others may need tune-ups. One vendor estimated </w:t>
      </w:r>
      <w:r w:rsidRPr="00600E0D">
        <w:rPr>
          <w:rFonts w:ascii="Times New Roman" w:eastAsia="Times New Roman" w:hAnsi="Times New Roman" w:cs="Times New Roman"/>
          <w:bCs/>
          <w:iCs/>
        </w:rPr>
        <w:t>a</w:t>
      </w:r>
      <w:r w:rsidRPr="00600E0D">
        <w:rPr>
          <w:rFonts w:ascii="Times New Roman" w:eastAsia="Times New Roman" w:hAnsi="Times New Roman" w:cs="Times New Roman"/>
          <w:bCs/>
        </w:rPr>
        <w:t xml:space="preserve"> typical boiler tune-up</w:t>
      </w:r>
      <w:r>
        <w:rPr>
          <w:rFonts w:ascii="Times New Roman" w:eastAsia="Times New Roman" w:hAnsi="Times New Roman" w:cs="Times New Roman"/>
          <w:bCs/>
        </w:rPr>
        <w:t xml:space="preserve"> that requires no replacement </w:t>
      </w:r>
      <w:r w:rsidRPr="00600E0D">
        <w:rPr>
          <w:rFonts w:ascii="Times New Roman" w:eastAsia="Times New Roman" w:hAnsi="Times New Roman" w:cs="Times New Roman"/>
          <w:bCs/>
        </w:rPr>
        <w:t>parts</w:t>
      </w:r>
      <w:r>
        <w:rPr>
          <w:rFonts w:ascii="Times New Roman" w:eastAsia="Times New Roman" w:hAnsi="Times New Roman" w:cs="Times New Roman"/>
          <w:bCs/>
        </w:rPr>
        <w:t xml:space="preserve"> would cost between</w:t>
      </w:r>
      <w:r w:rsidRPr="00700ACF">
        <w:rPr>
          <w:rFonts w:ascii="Times New Roman" w:eastAsia="Times New Roman" w:hAnsi="Times New Roman" w:cs="Times New Roman"/>
          <w:bCs/>
        </w:rPr>
        <w:t xml:space="preserve"> $5,</w:t>
      </w:r>
      <w:r w:rsidR="00AA602A">
        <w:rPr>
          <w:rFonts w:ascii="Times New Roman" w:eastAsia="Times New Roman" w:hAnsi="Times New Roman" w:cs="Times New Roman"/>
          <w:bCs/>
        </w:rPr>
        <w:t>5</w:t>
      </w:r>
      <w:r w:rsidRPr="00700ACF">
        <w:rPr>
          <w:rFonts w:ascii="Times New Roman" w:eastAsia="Times New Roman" w:hAnsi="Times New Roman" w:cs="Times New Roman"/>
          <w:bCs/>
        </w:rPr>
        <w:t>00</w:t>
      </w:r>
      <w:r>
        <w:rPr>
          <w:rFonts w:ascii="Times New Roman" w:eastAsia="Times New Roman" w:hAnsi="Times New Roman" w:cs="Times New Roman"/>
          <w:bCs/>
        </w:rPr>
        <w:t xml:space="preserve"> and </w:t>
      </w:r>
      <w:r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Pr="00700ACF">
        <w:rPr>
          <w:rFonts w:ascii="Times New Roman" w:eastAsia="Times New Roman" w:hAnsi="Times New Roman" w:cs="Times New Roman"/>
          <w:bCs/>
        </w:rPr>
        <w:t>,000. A tune</w:t>
      </w:r>
      <w:r w:rsidRPr="00600E0D">
        <w:rPr>
          <w:rFonts w:ascii="Times New Roman" w:eastAsia="Times New Roman" w:hAnsi="Times New Roman" w:cs="Times New Roman"/>
          <w:bCs/>
        </w:rPr>
        <w:t>-up may include:</w:t>
      </w:r>
    </w:p>
    <w:p w:rsidR="002E7578" w:rsidRDefault="002E7578" w:rsidP="002E7578">
      <w:pPr>
        <w:numPr>
          <w:ilvl w:val="0"/>
          <w:numId w:val="11"/>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2E7578">
      <w:pPr>
        <w:numPr>
          <w:ilvl w:val="0"/>
          <w:numId w:val="10"/>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2E7578">
      <w:pPr>
        <w:numPr>
          <w:ilvl w:val="0"/>
          <w:numId w:val="10"/>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2E7578">
      <w:pPr>
        <w:numPr>
          <w:ilvl w:val="0"/>
          <w:numId w:val="10"/>
        </w:numPr>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Making adjustments to furnace air delivery settings</w:t>
      </w:r>
    </w:p>
    <w:p w:rsidR="002E7578" w:rsidRDefault="002E7578" w:rsidP="002E7578">
      <w:pPr>
        <w:ind w:left="1440" w:right="14"/>
        <w:outlineLvl w:val="0"/>
        <w:rPr>
          <w:rFonts w:ascii="Times New Roman" w:eastAsia="Times New Roman" w:hAnsi="Times New Roman" w:cs="Times New Roman"/>
          <w:bCs/>
        </w:rPr>
      </w:pPr>
    </w:p>
    <w:p w:rsidR="002E7578" w:rsidRDefault="002E7578" w:rsidP="002E7578">
      <w:pPr>
        <w:ind w:left="144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2E7578" w:rsidRDefault="002E7578" w:rsidP="002E7578">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I</w:t>
      </w:r>
      <w:r w:rsidRPr="00600E0D">
        <w:rPr>
          <w:rFonts w:ascii="Times New Roman" w:eastAsia="Times New Roman" w:hAnsi="Times New Roman" w:cs="Times New Roman"/>
          <w:bCs/>
        </w:rPr>
        <w:t xml:space="preserve">f optimizing operations does not achieve compliance with the lower grain loading and opacity standards, businesses may need to install pollution control equipment such as multiclones or electrostatic precipitators. Based on vendor information, multiclones cost </w:t>
      </w:r>
      <w:r>
        <w:rPr>
          <w:rFonts w:ascii="Times New Roman" w:eastAsia="Times New Roman" w:hAnsi="Times New Roman" w:cs="Times New Roman"/>
          <w:bCs/>
        </w:rPr>
        <w:t>approximately</w:t>
      </w:r>
      <w:r w:rsidRPr="00600E0D">
        <w:rPr>
          <w:rFonts w:ascii="Times New Roman" w:eastAsia="Times New Roman" w:hAnsi="Times New Roman" w:cs="Times New Roman"/>
          <w:bCs/>
        </w:rPr>
        <w:t xml:space="preserve"> $6</w:t>
      </w:r>
      <w:r w:rsidR="00AA602A">
        <w:rPr>
          <w:rFonts w:ascii="Times New Roman" w:eastAsia="Times New Roman" w:hAnsi="Times New Roman" w:cs="Times New Roman"/>
          <w:bCs/>
        </w:rPr>
        <w:t>5</w:t>
      </w:r>
      <w:r w:rsidRPr="00600E0D">
        <w:rPr>
          <w:rFonts w:ascii="Times New Roman" w:eastAsia="Times New Roman" w:hAnsi="Times New Roman" w:cs="Times New Roman"/>
          <w:bCs/>
        </w:rPr>
        <w:t>,000 to $8</w:t>
      </w:r>
      <w:r w:rsidR="00AA602A">
        <w:rPr>
          <w:rFonts w:ascii="Times New Roman" w:eastAsia="Times New Roman" w:hAnsi="Times New Roman" w:cs="Times New Roman"/>
          <w:bCs/>
        </w:rPr>
        <w:t>6</w:t>
      </w:r>
      <w:r w:rsidRPr="00600E0D">
        <w:rPr>
          <w:rFonts w:ascii="Times New Roman" w:eastAsia="Times New Roman" w:hAnsi="Times New Roman" w:cs="Times New Roman"/>
          <w:bCs/>
        </w:rPr>
        <w:t xml:space="preserve">,000 and </w:t>
      </w:r>
      <w:r>
        <w:rPr>
          <w:rFonts w:ascii="Times New Roman" w:eastAsia="Times New Roman" w:hAnsi="Times New Roman" w:cs="Times New Roman"/>
          <w:bCs/>
        </w:rPr>
        <w:t>would</w:t>
      </w:r>
      <w:r w:rsidRPr="00600E0D">
        <w:rPr>
          <w:rFonts w:ascii="Times New Roman" w:eastAsia="Times New Roman" w:hAnsi="Times New Roman" w:cs="Times New Roman"/>
          <w:bCs/>
        </w:rPr>
        <w:t xml:space="preserve"> remove some particulate matter but may not be successful in removing enough to comply with the new standard. Information from vendors indicates a new ESP </w:t>
      </w:r>
      <w:r>
        <w:rPr>
          <w:rFonts w:ascii="Times New Roman" w:eastAsia="Times New Roman" w:hAnsi="Times New Roman" w:cs="Times New Roman"/>
          <w:bCs/>
        </w:rPr>
        <w:t>costs approximately</w:t>
      </w:r>
      <w:r w:rsidRPr="00600E0D">
        <w:rPr>
          <w:rFonts w:ascii="Times New Roman" w:eastAsia="Times New Roman" w:hAnsi="Times New Roman" w:cs="Times New Roman"/>
          <w:bCs/>
        </w:rPr>
        <w:t xml:space="preserve"> $</w:t>
      </w:r>
      <w:r w:rsidR="00B87603">
        <w:rPr>
          <w:rFonts w:ascii="Times New Roman" w:eastAsia="Times New Roman" w:hAnsi="Times New Roman" w:cs="Times New Roman"/>
          <w:bCs/>
        </w:rPr>
        <w:t>1.8 to $2.2 million</w:t>
      </w:r>
      <w:r w:rsidRPr="00600E0D">
        <w:rPr>
          <w:rFonts w:ascii="Times New Roman" w:eastAsia="Times New Roman" w:hAnsi="Times New Roman" w:cs="Times New Roman"/>
          <w:bCs/>
        </w:rPr>
        <w:t xml:space="preserve">. </w:t>
      </w:r>
      <w:r w:rsidR="00B87603" w:rsidRPr="00B87603">
        <w:rPr>
          <w:rFonts w:ascii="Times New Roman" w:eastAsia="Times New Roman" w:hAnsi="Times New Roman" w:cs="Times New Roman"/>
          <w:bCs/>
        </w:rPr>
        <w:t xml:space="preserve">One vendor stated that the cost could vary by plus or minus 40 percent, and </w:t>
      </w:r>
      <w:r w:rsidR="00B87603">
        <w:rPr>
          <w:rFonts w:ascii="Times New Roman" w:eastAsia="Times New Roman" w:hAnsi="Times New Roman" w:cs="Times New Roman"/>
          <w:bCs/>
        </w:rPr>
        <w:t>an</w:t>
      </w:r>
      <w:r w:rsidR="00B87603" w:rsidRPr="00B87603">
        <w:rPr>
          <w:rFonts w:ascii="Times New Roman" w:eastAsia="Times New Roman" w:hAnsi="Times New Roman" w:cs="Times New Roman"/>
          <w:bCs/>
        </w:rPr>
        <w:t>other vendor indicated a smaller electrostatic precipitator could be used if the goal were simply to comply with the 0.1</w:t>
      </w:r>
      <w:r w:rsidR="00B87603">
        <w:rPr>
          <w:rFonts w:ascii="Times New Roman" w:eastAsia="Times New Roman" w:hAnsi="Times New Roman" w:cs="Times New Roman"/>
          <w:bCs/>
        </w:rPr>
        <w:t>0</w:t>
      </w:r>
      <w:r w:rsidR="00B87603" w:rsidRPr="00B87603">
        <w:rPr>
          <w:rFonts w:ascii="Times New Roman" w:eastAsia="Times New Roman" w:hAnsi="Times New Roman" w:cs="Times New Roman"/>
          <w:bCs/>
        </w:rPr>
        <w:t xml:space="preserve"> gr/dscf standard. </w:t>
      </w:r>
      <w:r w:rsidRPr="00600E0D">
        <w:rPr>
          <w:rFonts w:ascii="Times New Roman" w:eastAsia="Times New Roman" w:hAnsi="Times New Roman" w:cs="Times New Roman"/>
          <w:bCs/>
        </w:rPr>
        <w:t xml:space="preserve">Although not anticipated, boiler replacement to achieve compliance would have the greatest fiscal impact on a business. </w:t>
      </w:r>
      <w:r w:rsidRPr="00600E0D">
        <w:rPr>
          <w:rFonts w:ascii="Times New Roman" w:eastAsia="Times New Roman" w:hAnsi="Times New Roman" w:cs="Times New Roman"/>
          <w:bCs/>
          <w:iCs/>
        </w:rPr>
        <w:t xml:space="preserve">A business that recently installed a new wood-fired boiler capable of </w:t>
      </w:r>
      <w:r>
        <w:rPr>
          <w:rFonts w:ascii="Times New Roman" w:eastAsia="Times New Roman" w:hAnsi="Times New Roman" w:cs="Times New Roman"/>
          <w:bCs/>
        </w:rPr>
        <w:t xml:space="preserve">100,000 pounds of steam per </w:t>
      </w:r>
      <w:r w:rsidRPr="00600E0D">
        <w:rPr>
          <w:rFonts w:ascii="Times New Roman" w:eastAsia="Times New Roman" w:hAnsi="Times New Roman" w:cs="Times New Roman"/>
          <w:bCs/>
        </w:rPr>
        <w:t xml:space="preserve">hour paid approximately $8 million. </w:t>
      </w:r>
    </w:p>
    <w:p w:rsidR="002E7578" w:rsidRDefault="002E7578" w:rsidP="002E7578">
      <w:pPr>
        <w:ind w:left="1440" w:right="18"/>
        <w:outlineLvl w:val="0"/>
        <w:rPr>
          <w:rFonts w:ascii="Times New Roman" w:eastAsia="Times New Roman" w:hAnsi="Times New Roman" w:cs="Times New Roman"/>
          <w:bCs/>
        </w:rPr>
      </w:pPr>
    </w:p>
    <w:p w:rsidR="002E7578" w:rsidRDefault="002E7578" w:rsidP="002E7578">
      <w:p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Asphalt Plants</w:t>
      </w:r>
      <w:r>
        <w:rPr>
          <w:rFonts w:ascii="Times New Roman" w:eastAsia="Times New Roman" w:hAnsi="Times New Roman" w:cs="Times New Roman"/>
          <w:bCs/>
          <w:iCs/>
          <w:u w:val="single"/>
        </w:rPr>
        <w:t>:</w:t>
      </w:r>
      <w:r w:rsidRPr="007624E9">
        <w:rPr>
          <w:rFonts w:ascii="Times New Roman" w:eastAsia="Times New Roman" w:hAnsi="Times New Roman" w:cs="Times New Roman"/>
          <w:bCs/>
          <w:iCs/>
        </w:rPr>
        <w:t xml:space="preserve"> </w:t>
      </w:r>
      <w:r w:rsidRPr="00600E0D">
        <w:rPr>
          <w:rFonts w:ascii="Times New Roman" w:eastAsia="Times New Roman" w:hAnsi="Times New Roman" w:cs="Times New Roman"/>
          <w:bCs/>
          <w:iCs/>
        </w:rPr>
        <w:t xml:space="preserve">The two small asphalt plants that may not meet the lower standards are older plants that utilize wet scrubber controls. In general, for asphalt plants that cannot meet particulate matter standards, </w:t>
      </w:r>
      <w:r w:rsidRPr="00600E0D">
        <w:rPr>
          <w:rFonts w:ascii="Times New Roman" w:eastAsia="Times New Roman" w:hAnsi="Times New Roman" w:cs="Times New Roman"/>
          <w:bCs/>
        </w:rPr>
        <w:t>the equipment is simply worn out, and often too expensive to repair. In other instances</w:t>
      </w:r>
      <w:r>
        <w:rPr>
          <w:rFonts w:ascii="Times New Roman" w:eastAsia="Times New Roman" w:hAnsi="Times New Roman" w:cs="Times New Roman"/>
          <w:bCs/>
        </w:rPr>
        <w:t>,</w:t>
      </w:r>
      <w:r w:rsidRPr="00600E0D">
        <w:rPr>
          <w:rFonts w:ascii="Times New Roman" w:eastAsia="Times New Roman" w:hAnsi="Times New Roman" w:cs="Times New Roman"/>
          <w:bCs/>
        </w:rPr>
        <w:t xml:space="preserve"> the cont</w:t>
      </w:r>
      <w:r>
        <w:rPr>
          <w:rFonts w:ascii="Times New Roman" w:eastAsia="Times New Roman" w:hAnsi="Times New Roman" w:cs="Times New Roman"/>
          <w:bCs/>
        </w:rPr>
        <w:t>rol equipment, usually the wet</w:t>
      </w:r>
      <w:r w:rsidRPr="00600E0D">
        <w:rPr>
          <w:rFonts w:ascii="Times New Roman" w:eastAsia="Times New Roman" w:hAnsi="Times New Roman" w:cs="Times New Roman"/>
          <w:bCs/>
        </w:rPr>
        <w:t xml:space="preserve"> scrubber is rusted and leaking air, compromising the pressure drop across the nozzles, thus reducing efficiency. Most of the time, companies with stationary asphalt plants repair</w:t>
      </w:r>
      <w:r>
        <w:rPr>
          <w:rFonts w:ascii="Times New Roman" w:eastAsia="Times New Roman" w:hAnsi="Times New Roman" w:cs="Times New Roman"/>
          <w:bCs/>
        </w:rPr>
        <w:t xml:space="preserve"> or </w:t>
      </w:r>
      <w:r w:rsidRPr="00600E0D">
        <w:rPr>
          <w:rFonts w:ascii="Times New Roman" w:eastAsia="Times New Roman" w:hAnsi="Times New Roman" w:cs="Times New Roman"/>
          <w:bCs/>
        </w:rPr>
        <w:t xml:space="preserve">patch together </w:t>
      </w:r>
      <w:r w:rsidR="002C5A4C">
        <w:rPr>
          <w:rFonts w:ascii="Times New Roman" w:eastAsia="Times New Roman" w:hAnsi="Times New Roman" w:cs="Times New Roman"/>
          <w:bCs/>
        </w:rPr>
        <w:t xml:space="preserve">their </w:t>
      </w:r>
      <w:r w:rsidRPr="00600E0D">
        <w:rPr>
          <w:rFonts w:ascii="Times New Roman" w:eastAsia="Times New Roman" w:hAnsi="Times New Roman" w:cs="Times New Roman"/>
          <w:bCs/>
        </w:rPr>
        <w:t xml:space="preserve">equipment. </w:t>
      </w:r>
      <w:r w:rsidR="00291129">
        <w:rPr>
          <w:rFonts w:ascii="Times New Roman" w:eastAsia="Times New Roman" w:hAnsi="Times New Roman" w:cs="Times New Roman"/>
          <w:bCs/>
        </w:rPr>
        <w:t xml:space="preserve">Plants </w:t>
      </w:r>
      <w:r w:rsidRPr="00600E0D">
        <w:rPr>
          <w:rFonts w:ascii="Times New Roman" w:eastAsia="Times New Roman" w:hAnsi="Times New Roman" w:cs="Times New Roman"/>
          <w:bCs/>
        </w:rPr>
        <w:t xml:space="preserve">usually </w:t>
      </w:r>
      <w:r w:rsidR="00291129">
        <w:rPr>
          <w:rFonts w:ascii="Times New Roman" w:eastAsia="Times New Roman" w:hAnsi="Times New Roman" w:cs="Times New Roman"/>
          <w:bCs/>
        </w:rPr>
        <w:t xml:space="preserve">make these repairs </w:t>
      </w:r>
      <w:r w:rsidRPr="00600E0D">
        <w:rPr>
          <w:rFonts w:ascii="Times New Roman" w:eastAsia="Times New Roman" w:hAnsi="Times New Roman" w:cs="Times New Roman"/>
          <w:bCs/>
        </w:rPr>
        <w:t xml:space="preserve">in-house. Portable plants have to be more durable due to set-up and break-down cycles. As a result, they are generally replaced with new or better used equipment. </w:t>
      </w:r>
    </w:p>
    <w:p w:rsidR="002E7578" w:rsidRDefault="002E7578" w:rsidP="002E7578">
      <w:pPr>
        <w:ind w:left="1440" w:right="18"/>
        <w:outlineLvl w:val="0"/>
        <w:rPr>
          <w:rFonts w:ascii="Times New Roman" w:eastAsia="Times New Roman" w:hAnsi="Times New Roman" w:cs="Times New Roman"/>
          <w:bCs/>
        </w:rPr>
      </w:pPr>
    </w:p>
    <w:p w:rsidR="002E7578" w:rsidRPr="00E62B7C" w:rsidRDefault="002E7578" w:rsidP="002E7578">
      <w:pPr>
        <w:ind w:left="1440" w:right="18"/>
        <w:outlineLvl w:val="0"/>
        <w:rPr>
          <w:rFonts w:ascii="Times New Roman" w:eastAsia="Times New Roman" w:hAnsi="Times New Roman" w:cs="Times New Roman"/>
          <w:bCs/>
          <w:iCs/>
        </w:rPr>
      </w:pPr>
      <w:r w:rsidRPr="00600E0D">
        <w:rPr>
          <w:rFonts w:ascii="Times New Roman" w:eastAsia="Times New Roman" w:hAnsi="Times New Roman" w:cs="Times New Roman"/>
          <w:bCs/>
        </w:rPr>
        <w:t>An asphalt plant that may not be able to meet the lower standards may elect to retire the plant if it is too expensive to meet the new particulate matter standards. The cost of installing a used baghouse is approximately $1</w:t>
      </w:r>
      <w:r w:rsidR="00B87603">
        <w:rPr>
          <w:rFonts w:ascii="Times New Roman" w:eastAsia="Times New Roman" w:hAnsi="Times New Roman" w:cs="Times New Roman"/>
          <w:bCs/>
        </w:rPr>
        <w:t>7</w:t>
      </w:r>
      <w:r w:rsidRPr="00600E0D">
        <w:rPr>
          <w:rFonts w:ascii="Times New Roman" w:eastAsia="Times New Roman" w:hAnsi="Times New Roman" w:cs="Times New Roman"/>
          <w:bCs/>
        </w:rPr>
        <w:t>5,000 and the cost of a new asphalt plant is approximately $1.5 to $2 million.</w:t>
      </w:r>
      <w:r w:rsidRPr="00C42F13">
        <w:rPr>
          <w:rFonts w:ascii="Times New Roman" w:eastAsia="Times New Roman" w:hAnsi="Times New Roman" w:cs="Times New Roman"/>
          <w:bCs/>
          <w:i/>
          <w:iCs/>
        </w:rPr>
        <w:t xml:space="preserve"> </w:t>
      </w:r>
      <w:r w:rsidR="00E62B7C">
        <w:rPr>
          <w:rFonts w:ascii="Times New Roman" w:eastAsia="Times New Roman" w:hAnsi="Times New Roman" w:cs="Times New Roman"/>
          <w:bCs/>
          <w:iCs/>
        </w:rPr>
        <w:t xml:space="preserve">DEQ has source test data from old asphalt plants with inefficient scrubbers that comply with the lower particulate matter standard so new equipment or additional control equipment may not be necessary.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that permit is approximately $1,300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2E7578"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The proposed rules would </w:t>
      </w:r>
      <w:r w:rsidRPr="00E638D3">
        <w:rPr>
          <w:rFonts w:ascii="Times New Roman" w:eastAsia="Times New Roman" w:hAnsi="Times New Roman" w:cs="Times New Roman"/>
          <w:bCs/>
        </w:rPr>
        <w:t>rais</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amount of offsets a business may be required to get</w:t>
      </w:r>
      <w:r>
        <w:rPr>
          <w:rFonts w:ascii="Times New Roman" w:eastAsia="Times New Roman" w:hAnsi="Times New Roman" w:cs="Times New Roman"/>
          <w:bCs/>
        </w:rPr>
        <w:t>. I</w:t>
      </w:r>
      <w:r w:rsidRPr="00E638D3">
        <w:rPr>
          <w:rFonts w:ascii="Times New Roman" w:eastAsia="Times New Roman" w:hAnsi="Times New Roman" w:cs="Times New Roman"/>
          <w:bCs/>
        </w:rPr>
        <w:t xml:space="preserve">f the business chooses to get the offsets from the sources causing the problem in areas where air quality is close to </w:t>
      </w:r>
      <w:r>
        <w:rPr>
          <w:rFonts w:ascii="Times New Roman" w:eastAsia="Times New Roman" w:hAnsi="Times New Roman" w:cs="Times New Roman"/>
          <w:bCs/>
        </w:rPr>
        <w:t>an</w:t>
      </w:r>
      <w:r w:rsidRPr="00E638D3">
        <w:rPr>
          <w:rFonts w:ascii="Times New Roman" w:eastAsia="Times New Roman" w:hAnsi="Times New Roman" w:cs="Times New Roman"/>
          <w:bCs/>
        </w:rPr>
        <w:t xml:space="preserve"> ambient air quality standard</w:t>
      </w:r>
      <w:r>
        <w:rPr>
          <w:rFonts w:ascii="Times New Roman" w:eastAsia="Times New Roman" w:hAnsi="Times New Roman" w:cs="Times New Roman"/>
          <w:bCs/>
        </w:rPr>
        <w:t xml:space="preserve">, the proposed rules </w:t>
      </w:r>
      <w:r w:rsidRPr="00E638D3">
        <w:rPr>
          <w:rFonts w:ascii="Times New Roman" w:eastAsia="Times New Roman" w:hAnsi="Times New Roman" w:cs="Times New Roman"/>
          <w:bCs/>
        </w:rPr>
        <w:t>allow reduced offsets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cost of industrial </w:t>
      </w:r>
      <w:r>
        <w:rPr>
          <w:rFonts w:ascii="Times New Roman" w:eastAsia="Times New Roman" w:hAnsi="Times New Roman" w:cs="Times New Roman"/>
          <w:bCs/>
        </w:rPr>
        <w:t xml:space="preserve">offsets varies from $2,500 per ton to $100,000 per </w:t>
      </w:r>
      <w:r w:rsidRPr="00E638D3">
        <w:rPr>
          <w:rFonts w:ascii="Times New Roman" w:eastAsia="Times New Roman" w:hAnsi="Times New Roman" w:cs="Times New Roman"/>
          <w:bCs/>
        </w:rPr>
        <w:t xml:space="preserve">ton, depending on the pollutant and </w:t>
      </w:r>
      <w:r>
        <w:rPr>
          <w:rFonts w:ascii="Times New Roman" w:eastAsia="Times New Roman" w:hAnsi="Times New Roman" w:cs="Times New Roman"/>
          <w:bCs/>
        </w:rPr>
        <w:t xml:space="preserve">the demand for </w:t>
      </w:r>
      <w:r w:rsidRPr="00E638D3">
        <w:rPr>
          <w:rFonts w:ascii="Times New Roman" w:eastAsia="Times New Roman" w:hAnsi="Times New Roman" w:cs="Times New Roman"/>
          <w:bCs/>
        </w:rPr>
        <w:t>offset</w:t>
      </w:r>
      <w:r>
        <w:rPr>
          <w:rFonts w:ascii="Times New Roman" w:eastAsia="Times New Roman" w:hAnsi="Times New Roman" w:cs="Times New Roman"/>
          <w:bCs/>
        </w:rPr>
        <w:t>s</w:t>
      </w:r>
      <w:r w:rsidRPr="00E638D3">
        <w:rPr>
          <w:rFonts w:ascii="Times New Roman" w:eastAsia="Times New Roman" w:hAnsi="Times New Roman" w:cs="Times New Roman"/>
          <w:bCs/>
        </w:rPr>
        <w:t>.</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Currently, in areas where New Source Review would be triggered, the pollutant of concern is PM</w:t>
      </w:r>
      <w:r w:rsidRPr="00511D76">
        <w:rPr>
          <w:rFonts w:ascii="Times New Roman" w:eastAsia="Times New Roman" w:hAnsi="Times New Roman" w:cs="Times New Roman"/>
          <w:bCs/>
          <w:vertAlign w:val="subscript"/>
        </w:rPr>
        <w:t>2.5</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If the business chooses to obtain offsets from sources causing the problem, based on current information, the </w:t>
      </w:r>
      <w:r>
        <w:rPr>
          <w:rFonts w:ascii="Times New Roman" w:eastAsia="Times New Roman" w:hAnsi="Times New Roman" w:cs="Times New Roman"/>
          <w:bCs/>
        </w:rPr>
        <w:t xml:space="preserve">proposed rules would offer the opportunity to obtain </w:t>
      </w:r>
      <w:r w:rsidRPr="00E638D3">
        <w:rPr>
          <w:rFonts w:ascii="Times New Roman" w:eastAsia="Times New Roman" w:hAnsi="Times New Roman" w:cs="Times New Roman"/>
          <w:bCs/>
        </w:rPr>
        <w:t xml:space="preserve">offsets from woodstoves. </w:t>
      </w:r>
      <w:r w:rsidRPr="00BD316E">
        <w:rPr>
          <w:rFonts w:ascii="Times New Roman" w:eastAsia="Times New Roman" w:hAnsi="Times New Roman" w:cs="Times New Roman"/>
          <w:bCs/>
        </w:rPr>
        <w:t xml:space="preserve">The cost to replace an uncertified woodstove is </w:t>
      </w:r>
      <w:r>
        <w:rPr>
          <w:rFonts w:ascii="Times New Roman" w:eastAsia="Times New Roman" w:hAnsi="Times New Roman" w:cs="Times New Roman"/>
          <w:bCs/>
        </w:rPr>
        <w:t xml:space="preserve">approximately </w:t>
      </w:r>
      <w:r w:rsidR="003F5C92">
        <w:rPr>
          <w:rFonts w:ascii="Times New Roman" w:eastAsia="Times New Roman" w:hAnsi="Times New Roman" w:cs="Times New Roman"/>
          <w:bCs/>
        </w:rPr>
        <w:t>$3</w:t>
      </w:r>
      <w:r w:rsidRPr="00BD316E">
        <w:rPr>
          <w:rFonts w:ascii="Times New Roman" w:eastAsia="Times New Roman" w:hAnsi="Times New Roman" w:cs="Times New Roman"/>
          <w:bCs/>
        </w:rPr>
        <w:t>,</w:t>
      </w:r>
      <w:r w:rsidR="003F5C92">
        <w:rPr>
          <w:rFonts w:ascii="Times New Roman" w:eastAsia="Times New Roman" w:hAnsi="Times New Roman" w:cs="Times New Roman"/>
          <w:bCs/>
        </w:rPr>
        <w:t>0</w:t>
      </w:r>
      <w:r w:rsidRPr="00BD316E">
        <w:rPr>
          <w:rFonts w:ascii="Times New Roman" w:eastAsia="Times New Roman" w:hAnsi="Times New Roman" w:cs="Times New Roman"/>
          <w:bCs/>
        </w:rPr>
        <w:t>00</w:t>
      </w:r>
      <w:r>
        <w:rPr>
          <w:rFonts w:ascii="Times New Roman" w:eastAsia="Times New Roman" w:hAnsi="Times New Roman" w:cs="Times New Roman"/>
          <w:bCs/>
        </w:rPr>
        <w:t xml:space="preserve">. A certified woodstove </w:t>
      </w:r>
      <w:r w:rsidRPr="00BD316E">
        <w:rPr>
          <w:rFonts w:ascii="Times New Roman" w:eastAsia="Times New Roman" w:hAnsi="Times New Roman" w:cs="Times New Roman"/>
          <w:bCs/>
        </w:rPr>
        <w:t>woul</w:t>
      </w:r>
      <w:r>
        <w:rPr>
          <w:rFonts w:ascii="Times New Roman" w:eastAsia="Times New Roman" w:hAnsi="Times New Roman" w:cs="Times New Roman"/>
          <w:bCs/>
        </w:rPr>
        <w:t xml:space="preserve">d reduce emissions about 0.03 tons per </w:t>
      </w:r>
      <w:r w:rsidRPr="00BD316E">
        <w:rPr>
          <w:rFonts w:ascii="Times New Roman" w:eastAsia="Times New Roman" w:hAnsi="Times New Roman" w:cs="Times New Roman"/>
          <w:bCs/>
        </w:rPr>
        <w:t>woodstove</w:t>
      </w:r>
      <w:r>
        <w:rPr>
          <w:rFonts w:ascii="Times New Roman" w:eastAsia="Times New Roman" w:hAnsi="Times New Roman" w:cs="Times New Roman"/>
          <w:bCs/>
        </w:rPr>
        <w:t xml:space="preserve">. </w:t>
      </w:r>
      <w:r w:rsidRPr="00BD316E">
        <w:rPr>
          <w:rFonts w:ascii="Times New Roman" w:eastAsia="Times New Roman" w:hAnsi="Times New Roman" w:cs="Times New Roman"/>
          <w:bCs/>
        </w:rPr>
        <w:t xml:space="preserve">The cost of a ton of offsets from woodstoves is approximately </w:t>
      </w:r>
      <w:r>
        <w:rPr>
          <w:rFonts w:ascii="Times New Roman" w:eastAsia="Times New Roman" w:hAnsi="Times New Roman" w:cs="Times New Roman"/>
          <w:bCs/>
        </w:rPr>
        <w:t xml:space="preserve">$100,000 per </w:t>
      </w:r>
      <w:r w:rsidRPr="00BD316E">
        <w:rPr>
          <w:rFonts w:ascii="Times New Roman" w:eastAsia="Times New Roman" w:hAnsi="Times New Roman" w:cs="Times New Roman"/>
          <w:bCs/>
        </w:rPr>
        <w:t>ton.</w:t>
      </w:r>
      <w:r w:rsidRPr="00E638D3">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areas </w:t>
      </w:r>
      <w:r>
        <w:rPr>
          <w:rFonts w:ascii="Times New Roman" w:eastAsia="Times New Roman" w:hAnsi="Times New Roman" w:cs="Times New Roman"/>
          <w:bCs/>
        </w:rPr>
        <w:t xml:space="preserve">where </w:t>
      </w:r>
      <w:r w:rsidRPr="00E638D3">
        <w:rPr>
          <w:rFonts w:ascii="Times New Roman" w:eastAsia="Times New Roman" w:hAnsi="Times New Roman" w:cs="Times New Roman"/>
          <w:bCs/>
        </w:rPr>
        <w:t>DEQ wants to transition back to attainment quick</w:t>
      </w:r>
      <w:r>
        <w:rPr>
          <w:rFonts w:ascii="Times New Roman" w:eastAsia="Times New Roman" w:hAnsi="Times New Roman" w:cs="Times New Roman"/>
          <w:bCs/>
        </w:rPr>
        <w:t>er</w:t>
      </w:r>
      <w:r w:rsidRPr="00E638D3">
        <w:rPr>
          <w:rFonts w:ascii="Times New Roman" w:eastAsia="Times New Roman" w:hAnsi="Times New Roman" w:cs="Times New Roman"/>
          <w:bCs/>
        </w:rPr>
        <w:t xml:space="preserve"> than EPA could redesignate the area, the proposed rules </w:t>
      </w:r>
      <w:r>
        <w:rPr>
          <w:rFonts w:ascii="Times New Roman" w:eastAsia="Times New Roman" w:hAnsi="Times New Roman" w:cs="Times New Roman"/>
          <w:bCs/>
        </w:rPr>
        <w:t xml:space="preserve">would allow businesses </w:t>
      </w:r>
      <w:r w:rsidRPr="00E638D3">
        <w:rPr>
          <w:rFonts w:ascii="Times New Roman" w:eastAsia="Times New Roman" w:hAnsi="Times New Roman" w:cs="Times New Roman"/>
          <w:bCs/>
        </w:rPr>
        <w:t xml:space="preserve">to meet the </w:t>
      </w:r>
      <w:r>
        <w:rPr>
          <w:rFonts w:ascii="Times New Roman" w:eastAsia="Times New Roman" w:hAnsi="Times New Roman" w:cs="Times New Roman"/>
          <w:bCs/>
        </w:rPr>
        <w:t xml:space="preserve">maintenance </w:t>
      </w:r>
      <w:r w:rsidRPr="00E638D3">
        <w:rPr>
          <w:rFonts w:ascii="Times New Roman" w:eastAsia="Times New Roman" w:hAnsi="Times New Roman" w:cs="Times New Roman"/>
          <w:bCs/>
        </w:rPr>
        <w:t>area requirements rather than the more stringent nonattainment area requirements</w:t>
      </w:r>
      <w:r>
        <w:rPr>
          <w:rFonts w:ascii="Times New Roman" w:eastAsia="Times New Roman" w:hAnsi="Times New Roman" w:cs="Times New Roman"/>
          <w:bCs/>
        </w:rPr>
        <w:t xml:space="preserve">. This would </w:t>
      </w:r>
      <w:r w:rsidRPr="00E638D3">
        <w:rPr>
          <w:rFonts w:ascii="Times New Roman" w:eastAsia="Times New Roman" w:hAnsi="Times New Roman" w:cs="Times New Roman"/>
          <w:bCs/>
        </w:rPr>
        <w:t xml:space="preserve">have a positive fiscal and economic impact on businesses. The control technology </w:t>
      </w:r>
      <w:r>
        <w:rPr>
          <w:rFonts w:ascii="Times New Roman" w:eastAsia="Times New Roman" w:hAnsi="Times New Roman" w:cs="Times New Roman"/>
          <w:bCs/>
        </w:rPr>
        <w:t xml:space="preserve">in a maintenance area </w:t>
      </w:r>
      <w:r w:rsidRPr="00E638D3">
        <w:rPr>
          <w:rFonts w:ascii="Times New Roman" w:eastAsia="Times New Roman" w:hAnsi="Times New Roman" w:cs="Times New Roman"/>
          <w:bCs/>
        </w:rPr>
        <w:t xml:space="preserve">may be less expensive but </w:t>
      </w:r>
      <w:r>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Pr="00E638D3">
        <w:rPr>
          <w:rFonts w:ascii="Times New Roman" w:eastAsia="Times New Roman" w:hAnsi="Times New Roman" w:cs="Times New Roman"/>
          <w:bCs/>
        </w:rPr>
        <w:t>there may be higher emission offset costs if the less expensive control technology allows higher emissions.</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For businesses not allowed to build or modify under the existing rules, there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 positive fiscal and economic impact since that construction </w:t>
      </w:r>
      <w:r w:rsidRPr="00A02E0A">
        <w:rPr>
          <w:rFonts w:ascii="Times New Roman" w:eastAsia="Times New Roman" w:hAnsi="Times New Roman" w:cs="Times New Roman"/>
          <w:bCs/>
        </w:rPr>
        <w:t>would probably be allowed as</w:t>
      </w:r>
      <w:r w:rsidRPr="00E638D3">
        <w:rPr>
          <w:rFonts w:ascii="Times New Roman" w:eastAsia="Times New Roman" w:hAnsi="Times New Roman" w:cs="Times New Roman"/>
          <w:bCs/>
        </w:rPr>
        <w:t xml:space="preserve"> long as air quality is protected</w:t>
      </w:r>
      <w:r>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Pr="007F78C6"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7F78C6">
        <w:rPr>
          <w:rFonts w:ascii="Times New Roman" w:eastAsia="Times New Roman" w:hAnsi="Times New Roman" w:cs="Times New Roman"/>
          <w:b/>
          <w:bCs/>
        </w:rPr>
        <w:t>Designate Lakeview as sustainment area</w:t>
      </w:r>
    </w:p>
    <w:p w:rsidR="002E7578" w:rsidRDefault="002E7578" w:rsidP="002E7578">
      <w:pPr>
        <w:ind w:left="1080" w:right="18"/>
        <w:outlineLvl w:val="0"/>
        <w:rPr>
          <w:rFonts w:ascii="Times New Roman" w:eastAsia="Times New Roman" w:hAnsi="Times New Roman" w:cs="Times New Roman"/>
          <w:bCs/>
        </w:rPr>
      </w:pPr>
      <w:r w:rsidRPr="007F78C6">
        <w:rPr>
          <w:rFonts w:ascii="Times New Roman" w:eastAsia="Times New Roman" w:hAnsi="Times New Roman" w:cs="Times New Roman"/>
          <w:bCs/>
        </w:rPr>
        <w:t>New Source Review permit</w:t>
      </w:r>
      <w:r w:rsidR="00F4312C">
        <w:rPr>
          <w:rFonts w:ascii="Times New Roman" w:eastAsia="Times New Roman" w:hAnsi="Times New Roman" w:cs="Times New Roman"/>
          <w:bCs/>
        </w:rPr>
        <w:t>ting is a case-by-case analysis</w:t>
      </w:r>
      <w:r w:rsidRPr="007F78C6">
        <w:rPr>
          <w:rFonts w:ascii="Times New Roman" w:eastAsia="Times New Roman" w:hAnsi="Times New Roman" w:cs="Times New Roman"/>
          <w:bCs/>
        </w:rPr>
        <w:t xml:space="preserve"> and the type of pollution controls and compute</w:t>
      </w:r>
      <w:r w:rsidR="00F4312C">
        <w:rPr>
          <w:rFonts w:ascii="Times New Roman" w:eastAsia="Times New Roman" w:hAnsi="Times New Roman" w:cs="Times New Roman"/>
          <w:bCs/>
        </w:rPr>
        <w:t>r modeling varies for each case; therefore,</w:t>
      </w:r>
      <w:r w:rsidRPr="007F78C6">
        <w:rPr>
          <w:rFonts w:ascii="Times New Roman" w:eastAsia="Times New Roman" w:hAnsi="Times New Roman" w:cs="Times New Roman"/>
          <w:bCs/>
        </w:rPr>
        <w:t xml:space="preserve"> DEQ lacks available information to </w:t>
      </w:r>
      <w:r w:rsidR="00F4312C">
        <w:rPr>
          <w:rFonts w:ascii="Times New Roman" w:eastAsia="Times New Roman" w:hAnsi="Times New Roman" w:cs="Times New Roman"/>
          <w:bCs/>
        </w:rPr>
        <w:t xml:space="preserve">estimate </w:t>
      </w:r>
      <w:r w:rsidRPr="007F78C6">
        <w:rPr>
          <w:rFonts w:ascii="Times New Roman" w:eastAsia="Times New Roman" w:hAnsi="Times New Roman" w:cs="Times New Roman"/>
          <w:bCs/>
        </w:rPr>
        <w:t>costs</w:t>
      </w:r>
      <w:r w:rsidR="00F4312C">
        <w:rPr>
          <w:rFonts w:ascii="Times New Roman" w:eastAsia="Times New Roman" w:hAnsi="Times New Roman" w:cs="Times New Roman"/>
          <w:bCs/>
        </w:rPr>
        <w:t xml:space="preserve"> to business accurately</w:t>
      </w:r>
      <w:r>
        <w:rPr>
          <w:rFonts w:ascii="Times New Roman" w:eastAsia="Times New Roman" w:hAnsi="Times New Roman" w:cs="Times New Roman"/>
          <w:bCs/>
        </w:rPr>
        <w:t>.</w:t>
      </w:r>
      <w:r w:rsidRPr="007F78C6">
        <w:rPr>
          <w:rFonts w:ascii="Times New Roman" w:eastAsia="Times New Roman" w:hAnsi="Times New Roman" w:cs="Times New Roman"/>
          <w:bCs/>
        </w:rPr>
        <w:t xml:space="preserve"> </w:t>
      </w:r>
    </w:p>
    <w:p w:rsidR="002E7578"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Provide DEQ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Update Heat</w:t>
      </w:r>
      <w:r w:rsidR="004B3FA0">
        <w:rPr>
          <w:rFonts w:ascii="Times New Roman" w:eastAsia="Times New Roman" w:hAnsi="Times New Roman" w:cs="Times New Roman"/>
          <w:b/>
          <w:bCs/>
        </w:rPr>
        <w:t xml:space="preserve"> </w:t>
      </w:r>
      <w:r w:rsidRPr="003E691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Implement SB 249A - Clean diesel grant and loan rules</w:t>
      </w:r>
    </w:p>
    <w:p w:rsidR="002E7578" w:rsidRDefault="002E7578"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This </w:t>
      </w:r>
      <w:r w:rsidRPr="00E638D3">
        <w:rPr>
          <w:rFonts w:ascii="Times New Roman" w:eastAsia="Times New Roman" w:hAnsi="Times New Roman" w:cs="Times New Roman"/>
          <w:bCs/>
        </w:rPr>
        <w:t>is a voluntary program</w:t>
      </w:r>
      <w:r>
        <w:rPr>
          <w:rFonts w:ascii="Times New Roman" w:eastAsia="Times New Roman" w:hAnsi="Times New Roman" w:cs="Times New Roman"/>
          <w:bCs/>
        </w:rPr>
        <w:t xml:space="preserve">; therefore, there would be </w:t>
      </w:r>
      <w:r w:rsidRPr="00E638D3">
        <w:rPr>
          <w:rFonts w:ascii="Times New Roman" w:eastAsia="Times New Roman" w:hAnsi="Times New Roman" w:cs="Times New Roman"/>
          <w:bCs/>
        </w:rPr>
        <w:t>no fiscal or economic impact from proposed rule</w:t>
      </w:r>
      <w:r>
        <w:rPr>
          <w:rFonts w:ascii="Times New Roman" w:eastAsia="Times New Roman" w:hAnsi="Times New Roman" w:cs="Times New Roman"/>
          <w:bCs/>
        </w:rPr>
        <w:t xml:space="preserve"> in this category.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8"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CB173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0089297D">
              <w:rPr>
                <w:rFonts w:ascii="Times New Roman" w:eastAsia="Times New Roman" w:hAnsi="Times New Roman" w:cs="Times New Roman"/>
                <w:bCs/>
                <w:sz w:val="24"/>
                <w:szCs w:val="24"/>
              </w:rPr>
              <w:t xml:space="preserve">the approximate 1550 </w:t>
            </w:r>
            <w:r w:rsidRPr="00E638D3">
              <w:rPr>
                <w:rFonts w:ascii="Times New Roman" w:eastAsia="Times New Roman" w:hAnsi="Times New Roman" w:cs="Times New Roman"/>
                <w:bCs/>
                <w:sz w:val="24"/>
                <w:szCs w:val="24"/>
              </w:rPr>
              <w:t>small businesses to comply with lower grain loading and opacity standards</w:t>
            </w:r>
            <w:r w:rsidR="00E138F7">
              <w:rPr>
                <w:rFonts w:ascii="Times New Roman" w:eastAsia="Times New Roman" w:hAnsi="Times New Roman" w:cs="Times New Roman"/>
                <w:bCs/>
                <w:sz w:val="24"/>
                <w:szCs w:val="24"/>
              </w:rPr>
              <w:t xml:space="preserve">, </w:t>
            </w:r>
            <w:r w:rsidR="00D62EB2">
              <w:rPr>
                <w:rFonts w:ascii="Times New Roman" w:eastAsia="Times New Roman" w:hAnsi="Times New Roman" w:cs="Times New Roman"/>
                <w:bCs/>
                <w:sz w:val="24"/>
                <w:szCs w:val="24"/>
              </w:rPr>
              <w:t xml:space="preserve">many of </w:t>
            </w:r>
            <w:r w:rsidR="00E138F7">
              <w:rPr>
                <w:rFonts w:ascii="Times New Roman" w:eastAsia="Times New Roman" w:hAnsi="Times New Roman" w:cs="Times New Roman"/>
                <w:bCs/>
                <w:sz w:val="24"/>
                <w:szCs w:val="24"/>
              </w:rPr>
              <w:t xml:space="preserve">which already </w:t>
            </w:r>
            <w:r w:rsidR="00D62EB2">
              <w:rPr>
                <w:rFonts w:ascii="Times New Roman" w:eastAsia="Times New Roman" w:hAnsi="Times New Roman" w:cs="Times New Roman"/>
                <w:bCs/>
                <w:sz w:val="24"/>
                <w:szCs w:val="24"/>
              </w:rPr>
              <w:t xml:space="preserve">have the lower standards </w:t>
            </w:r>
            <w:r w:rsidR="00E138F7">
              <w:rPr>
                <w:rFonts w:ascii="Times New Roman" w:eastAsia="Times New Roman" w:hAnsi="Times New Roman" w:cs="Times New Roman"/>
                <w:bCs/>
                <w:sz w:val="24"/>
                <w:szCs w:val="24"/>
              </w:rPr>
              <w:t xml:space="preserve">in </w:t>
            </w:r>
            <w:r w:rsidR="00D62EB2">
              <w:rPr>
                <w:rFonts w:ascii="Times New Roman" w:eastAsia="Times New Roman" w:hAnsi="Times New Roman" w:cs="Times New Roman"/>
                <w:bCs/>
                <w:sz w:val="24"/>
                <w:szCs w:val="24"/>
              </w:rPr>
              <w:t xml:space="preserve">their </w:t>
            </w:r>
            <w:r w:rsidR="00E138F7">
              <w:rPr>
                <w:rFonts w:ascii="Times New Roman" w:eastAsia="Times New Roman" w:hAnsi="Times New Roman" w:cs="Times New Roman"/>
                <w:bCs/>
                <w:sz w:val="24"/>
                <w:szCs w:val="24"/>
              </w:rPr>
              <w:t>permits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w:t>
            </w:r>
            <w:r w:rsidR="00CB1736">
              <w:rPr>
                <w:rFonts w:ascii="Times New Roman" w:eastAsia="Times New Roman" w:hAnsi="Times New Roman" w:cs="Times New Roman"/>
                <w:bCs/>
                <w:sz w:val="24"/>
                <w:szCs w:val="24"/>
              </w:rPr>
              <w:t>businesses</w:t>
            </w:r>
            <w:r w:rsidR="0059415B">
              <w:rPr>
                <w:rFonts w:ascii="Times New Roman" w:eastAsia="Times New Roman" w:hAnsi="Times New Roman" w:cs="Times New Roman"/>
                <w:bCs/>
                <w:sz w:val="24"/>
                <w:szCs w:val="24"/>
              </w:rPr>
              <w:t xml:space="preserve"> may have to add controls.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Default="0039216C" w:rsidP="00E26422">
            <w:pPr>
              <w:ind w:left="0" w:right="18"/>
              <w:outlineLvl w:val="0"/>
              <w:rPr>
                <w:rFonts w:ascii="Times New Roman" w:eastAsia="Times New Roman" w:hAnsi="Times New Roman" w:cs="Times New Roman"/>
                <w:bCs/>
                <w:sz w:val="24"/>
                <w:szCs w:val="24"/>
              </w:rPr>
            </w:pPr>
          </w:p>
          <w:p w:rsidR="00E138F7"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sz w:val="24"/>
                <w:szCs w:val="24"/>
              </w:rPr>
              <w:t>would</w:t>
            </w:r>
            <w:r w:rsidRPr="00E638D3">
              <w:rPr>
                <w:rFonts w:ascii="Times New Roman" w:eastAsia="Times New Roman" w:hAnsi="Times New Roman" w:cs="Times New Roman"/>
                <w:bCs/>
                <w:iCs/>
                <w:sz w:val="24"/>
                <w:szCs w:val="24"/>
              </w:rPr>
              <w:t xml:space="preserve"> not be required to report</w:t>
            </w:r>
            <w:r w:rsidR="0019640C">
              <w:rPr>
                <w:rFonts w:ascii="Times New Roman" w:eastAsia="Times New Roman" w:hAnsi="Times New Roman" w:cs="Times New Roman"/>
                <w:bCs/>
                <w:iCs/>
                <w:sz w:val="24"/>
                <w:szCs w:val="24"/>
              </w:rPr>
              <w:t xml:space="preserve">. </w:t>
            </w:r>
          </w:p>
          <w:p w:rsidR="00E138F7" w:rsidRDefault="00E138F7" w:rsidP="00E26422">
            <w:pPr>
              <w:ind w:left="0" w:right="18"/>
              <w:outlineLvl w:val="0"/>
              <w:rPr>
                <w:rFonts w:ascii="Times New Roman" w:eastAsia="Times New Roman" w:hAnsi="Times New Roman" w:cs="Times New Roman"/>
                <w:bCs/>
                <w:iCs/>
                <w:sz w:val="24"/>
                <w:szCs w:val="24"/>
              </w:rPr>
            </w:pPr>
          </w:p>
          <w:p w:rsidR="008B2F7A" w:rsidRPr="00E138F7" w:rsidRDefault="0059415B"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There </w:t>
            </w:r>
            <w:r w:rsidR="002C5A4C">
              <w:rPr>
                <w:rFonts w:ascii="Times New Roman" w:eastAsia="Times New Roman" w:hAnsi="Times New Roman" w:cs="Times New Roman"/>
                <w:bCs/>
                <w:iCs/>
                <w:sz w:val="24"/>
                <w:szCs w:val="24"/>
              </w:rPr>
              <w:t>would</w:t>
            </w:r>
            <w:r>
              <w:rPr>
                <w:rFonts w:ascii="Times New Roman" w:eastAsia="Times New Roman" w:hAnsi="Times New Roman" w:cs="Times New Roman"/>
                <w:bCs/>
                <w:iCs/>
                <w:sz w:val="24"/>
                <w:szCs w:val="24"/>
              </w:rPr>
              <w:t xml:space="preserve"> be more recordkeeping and reporting for emergency generators and </w:t>
            </w:r>
            <w:r w:rsidR="00E51708">
              <w:rPr>
                <w:rFonts w:ascii="Times New Roman" w:eastAsia="Times New Roman" w:hAnsi="Times New Roman" w:cs="Times New Roman"/>
                <w:bCs/>
                <w:iCs/>
                <w:sz w:val="24"/>
                <w:szCs w:val="24"/>
              </w:rPr>
              <w:t xml:space="preserve">small natural gas or oil-fired </w:t>
            </w:r>
            <w:r w:rsidR="00DD6D6E">
              <w:rPr>
                <w:rFonts w:ascii="Times New Roman" w:eastAsia="Times New Roman" w:hAnsi="Times New Roman" w:cs="Times New Roman"/>
                <w:bCs/>
                <w:iCs/>
                <w:sz w:val="24"/>
                <w:szCs w:val="24"/>
              </w:rPr>
              <w:t>equipment</w:t>
            </w:r>
            <w:r w:rsidR="0019640C">
              <w:rPr>
                <w:rFonts w:ascii="Times New Roman" w:eastAsia="Times New Roman" w:hAnsi="Times New Roman" w:cs="Times New Roman"/>
                <w:bCs/>
                <w:iCs/>
                <w:sz w:val="24"/>
                <w:szCs w:val="24"/>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lastRenderedPageBreak/>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sz w:val="24"/>
                <w:szCs w:val="24"/>
              </w:rPr>
            </w:pPr>
          </w:p>
          <w:p w:rsidR="00C163B2" w:rsidRPr="00E638D3" w:rsidRDefault="0039216C" w:rsidP="00CB1736">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 xml:space="preserve">DEQ does not expect </w:t>
            </w:r>
            <w:r w:rsidR="00D02904" w:rsidRPr="00E638D3">
              <w:rPr>
                <w:rFonts w:ascii="Times New Roman" w:eastAsia="Times New Roman" w:hAnsi="Times New Roman" w:cs="Times New Roman"/>
                <w:bCs/>
                <w:iCs/>
                <w:sz w:val="24"/>
                <w:szCs w:val="24"/>
              </w:rPr>
              <w:t xml:space="preserve">additional costs for equipment, supplies, labor or </w:t>
            </w:r>
            <w:r w:rsidR="00D02904" w:rsidRPr="00CB1736">
              <w:rPr>
                <w:rFonts w:ascii="Times New Roman" w:eastAsia="Times New Roman" w:hAnsi="Times New Roman" w:cs="Times New Roman"/>
                <w:bCs/>
                <w:iCs/>
                <w:sz w:val="24"/>
                <w:szCs w:val="24"/>
              </w:rPr>
              <w:t xml:space="preserve">administration if the </w:t>
            </w:r>
            <w:r w:rsidR="0089297D" w:rsidRPr="00CB1736">
              <w:rPr>
                <w:rFonts w:ascii="Times New Roman" w:eastAsia="Times New Roman" w:hAnsi="Times New Roman" w:cs="Times New Roman"/>
                <w:bCs/>
                <w:iCs/>
                <w:sz w:val="24"/>
                <w:szCs w:val="24"/>
              </w:rPr>
              <w:t xml:space="preserve">EQC </w:t>
            </w:r>
            <w:r w:rsidR="00CB1736" w:rsidRPr="00CB1736">
              <w:rPr>
                <w:rFonts w:ascii="Times New Roman" w:eastAsia="Times New Roman" w:hAnsi="Times New Roman" w:cs="Times New Roman"/>
                <w:bCs/>
                <w:iCs/>
                <w:sz w:val="24"/>
                <w:szCs w:val="24"/>
              </w:rPr>
              <w:t>adopts</w:t>
            </w:r>
            <w:r w:rsidR="00D02904" w:rsidRPr="00CB1736">
              <w:rPr>
                <w:rFonts w:ascii="Times New Roman" w:eastAsia="Times New Roman" w:hAnsi="Times New Roman" w:cs="Times New Roman"/>
                <w:bCs/>
                <w:iCs/>
                <w:sz w:val="24"/>
                <w:szCs w:val="24"/>
              </w:rPr>
              <w:t xml:space="preserve"> </w:t>
            </w:r>
            <w:r w:rsidR="0089297D" w:rsidRPr="00CB1736">
              <w:rPr>
                <w:rFonts w:ascii="Times New Roman" w:eastAsia="Times New Roman" w:hAnsi="Times New Roman" w:cs="Times New Roman"/>
                <w:bCs/>
                <w:iCs/>
                <w:sz w:val="24"/>
                <w:szCs w:val="24"/>
              </w:rPr>
              <w:t>the proposed rules</w:t>
            </w:r>
            <w:r w:rsidR="00281104" w:rsidRPr="00CB1736">
              <w:rPr>
                <w:rFonts w:ascii="Times New Roman" w:eastAsia="Times New Roman" w:hAnsi="Times New Roman" w:cs="Times New Roman"/>
                <w:bCs/>
                <w:iCs/>
                <w:sz w:val="24"/>
                <w:szCs w:val="24"/>
              </w:rPr>
              <w:t>.</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Default="002A2F32" w:rsidP="00E26422">
            <w:pPr>
              <w:ind w:left="0" w:right="18"/>
              <w:outlineLvl w:val="0"/>
              <w:rPr>
                <w:rFonts w:ascii="Times New Roman" w:eastAsia="Times New Roman" w:hAnsi="Times New Roman" w:cs="Times New Roman"/>
                <w:bCs/>
                <w:iCs/>
                <w:sz w:val="24"/>
                <w:szCs w:val="24"/>
              </w:rPr>
            </w:pPr>
          </w:p>
          <w:p w:rsidR="006F02EB" w:rsidRPr="00E638D3" w:rsidRDefault="0089297D" w:rsidP="0089297D">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DEQ informed s</w:t>
            </w:r>
            <w:r w:rsidR="00D02904" w:rsidRPr="00E638D3">
              <w:rPr>
                <w:rFonts w:ascii="Times New Roman" w:eastAsia="Times New Roman" w:hAnsi="Times New Roman" w:cs="Times New Roman"/>
                <w:bCs/>
                <w:iCs/>
                <w:sz w:val="24"/>
                <w:szCs w:val="24"/>
              </w:rPr>
              <w:t xml:space="preserve">mall businesses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00D02904" w:rsidRPr="00E638D3">
              <w:rPr>
                <w:rFonts w:ascii="Times New Roman" w:eastAsia="Times New Roman" w:hAnsi="Times New Roman" w:cs="Times New Roman"/>
                <w:bCs/>
                <w:iCs/>
                <w:sz w:val="24"/>
                <w:szCs w:val="24"/>
              </w:rPr>
              <w:t xml:space="preserve">notices in the Secretary of State Bulletin, and </w:t>
            </w:r>
            <w:r w:rsidR="00D02904" w:rsidRPr="00D62EB2">
              <w:rPr>
                <w:rFonts w:ascii="Times New Roman" w:eastAsia="Times New Roman" w:hAnsi="Times New Roman" w:cs="Times New Roman"/>
                <w:bCs/>
                <w:iCs/>
                <w:sz w:val="24"/>
                <w:szCs w:val="24"/>
              </w:rPr>
              <w:t>ads in local papers</w:t>
            </w:r>
            <w:r w:rsidR="0019640C" w:rsidRPr="00D62EB2">
              <w:rPr>
                <w:rFonts w:ascii="Times New Roman" w:eastAsia="Times New Roman" w:hAnsi="Times New Roman" w:cs="Times New Roman"/>
                <w:bCs/>
                <w:iCs/>
                <w:sz w:val="24"/>
                <w:szCs w:val="24"/>
              </w:rPr>
              <w:t>.</w:t>
            </w:r>
            <w:r w:rsidR="0019640C">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DEQ </w:t>
            </w:r>
            <w:r w:rsidR="00D02904" w:rsidRPr="00E638D3">
              <w:rPr>
                <w:rFonts w:ascii="Times New Roman" w:eastAsia="Times New Roman" w:hAnsi="Times New Roman" w:cs="Times New Roman"/>
                <w:bCs/>
                <w:iCs/>
                <w:sz w:val="24"/>
                <w:szCs w:val="24"/>
              </w:rPr>
              <w:t>request</w:t>
            </w:r>
            <w:r>
              <w:rPr>
                <w:rFonts w:ascii="Times New Roman" w:eastAsia="Times New Roman" w:hAnsi="Times New Roman" w:cs="Times New Roman"/>
                <w:bCs/>
                <w:iCs/>
                <w:sz w:val="24"/>
                <w:szCs w:val="24"/>
              </w:rPr>
              <w:t xml:space="preserve">s comments </w:t>
            </w:r>
            <w:r w:rsidR="00D02904" w:rsidRPr="00E638D3">
              <w:rPr>
                <w:rFonts w:ascii="Times New Roman" w:eastAsia="Times New Roman" w:hAnsi="Times New Roman" w:cs="Times New Roman"/>
                <w:bCs/>
                <w:iCs/>
                <w:sz w:val="24"/>
                <w:szCs w:val="24"/>
              </w:rPr>
              <w:t xml:space="preserve">during the </w:t>
            </w:r>
            <w:r>
              <w:rPr>
                <w:rFonts w:ascii="Times New Roman" w:eastAsia="Times New Roman" w:hAnsi="Times New Roman" w:cs="Times New Roman"/>
                <w:bCs/>
                <w:iCs/>
                <w:sz w:val="24"/>
                <w:szCs w:val="24"/>
              </w:rPr>
              <w:t>public c</w:t>
            </w:r>
            <w:r w:rsidR="00D02904" w:rsidRPr="00E638D3">
              <w:rPr>
                <w:rFonts w:ascii="Times New Roman" w:eastAsia="Times New Roman" w:hAnsi="Times New Roman" w:cs="Times New Roman"/>
                <w:bCs/>
                <w:iCs/>
                <w:sz w:val="24"/>
                <w:szCs w:val="24"/>
              </w:rPr>
              <w:t xml:space="preserve">omment period and at </w:t>
            </w:r>
            <w:r>
              <w:rPr>
                <w:rFonts w:ascii="Times New Roman" w:eastAsia="Times New Roman" w:hAnsi="Times New Roman" w:cs="Times New Roman"/>
                <w:bCs/>
                <w:iCs/>
                <w:sz w:val="24"/>
                <w:szCs w:val="24"/>
              </w:rPr>
              <w:t>p</w:t>
            </w:r>
            <w:r w:rsidR="00D02904" w:rsidRPr="00E638D3">
              <w:rPr>
                <w:rFonts w:ascii="Times New Roman" w:eastAsia="Times New Roman" w:hAnsi="Times New Roman" w:cs="Times New Roman"/>
                <w:bCs/>
                <w:iCs/>
                <w:sz w:val="24"/>
                <w:szCs w:val="24"/>
              </w:rPr>
              <w:t xml:space="preserve">ublic </w:t>
            </w:r>
            <w:r>
              <w:rPr>
                <w:rFonts w:ascii="Times New Roman" w:eastAsia="Times New Roman" w:hAnsi="Times New Roman" w:cs="Times New Roman"/>
                <w:bCs/>
                <w:iCs/>
                <w:sz w:val="24"/>
                <w:szCs w:val="24"/>
              </w:rPr>
              <w:t>h</w:t>
            </w:r>
            <w:r w:rsidR="00D02904" w:rsidRPr="00E638D3">
              <w:rPr>
                <w:rFonts w:ascii="Times New Roman" w:eastAsia="Times New Roman" w:hAnsi="Times New Roman" w:cs="Times New Roman"/>
                <w:bCs/>
                <w:iCs/>
                <w:sz w:val="24"/>
                <w:szCs w:val="24"/>
              </w:rPr>
              <w:t>earings held in November</w:t>
            </w:r>
            <w:r w:rsidR="0019640C">
              <w:rPr>
                <w:rFonts w:ascii="Times New Roman" w:eastAsia="Times New Roman" w:hAnsi="Times New Roman" w:cs="Times New Roman"/>
                <w:bCs/>
                <w:iCs/>
                <w:sz w:val="24"/>
                <w:szCs w:val="24"/>
              </w:rPr>
              <w:t xml:space="preserve">. </w:t>
            </w:r>
            <w:r w:rsidR="00D02904"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00D02904"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832AE5" w:rsidP="0089297D">
      <w:pPr>
        <w:ind w:left="720" w:right="18"/>
      </w:pPr>
      <w:hyperlink r:id="rId29"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30"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1"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Clarify and update 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2D08C7" w:rsidRDefault="002D08C7">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Update particulate matter standards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B87603" w:rsidRDefault="00B87603" w:rsidP="00BE6CA6">
      <w:pPr>
        <w:spacing w:after="120"/>
        <w:ind w:left="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Designate Lakeview as sustainment area</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DEQ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Update Heat</w:t>
      </w:r>
      <w:r w:rsidR="004B3FA0">
        <w:rPr>
          <w:rFonts w:ascii="Times New Roman" w:eastAsia="Times New Roman" w:hAnsi="Times New Roman" w:cs="Times New Roman"/>
          <w:b/>
          <w:bCs/>
        </w:rPr>
        <w:t xml:space="preserve"> </w:t>
      </w:r>
      <w:r w:rsidRPr="002C27B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2D08C7" w:rsidRDefault="002D08C7">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Implement SB 249A - Clean diesel grant and loan 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306AF4" w:rsidRDefault="00306AF4" w:rsidP="00B34CF8">
      <w:pPr>
        <w:ind w:left="0" w:right="18"/>
        <w:outlineLvl w:val="0"/>
        <w:rPr>
          <w:rFonts w:eastAsia="Times New Roman"/>
          <w:bCs/>
          <w:sz w:val="28"/>
          <w:szCs w:val="28"/>
        </w:rPr>
        <w:sectPr w:rsidR="00306AF4"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2"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commentRangeStart w:id="10"/>
      <w:r w:rsidRPr="00BD316E">
        <w:rPr>
          <w:rFonts w:asciiTheme="majorHAnsi" w:eastAsia="Times New Roman" w:hAnsiTheme="majorHAnsi" w:cstheme="majorHAnsi"/>
          <w:bCs/>
          <w:sz w:val="22"/>
          <w:szCs w:val="22"/>
        </w:rPr>
        <w:t xml:space="preserve">Relationship to federal requirements </w:t>
      </w:r>
      <w:commentRangeEnd w:id="10"/>
      <w:r w:rsidR="00780798">
        <w:rPr>
          <w:rStyle w:val="CommentReference"/>
        </w:rPr>
        <w:commentReference w:id="10"/>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Pr>
          <w:rFonts w:ascii="Times New Roman" w:hAnsi="Times New Roman" w:cs="Times New Roman"/>
          <w:b/>
          <w:bCs/>
        </w:rPr>
        <w:t>rules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(NSPS)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DEQ identified two NSPS that have opacity limits for fugitive emissions. The New Source Performance Standard (NSPS)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Pr="00BD316E">
        <w:rPr>
          <w:rFonts w:ascii="Times New Roman" w:hAnsi="Times New Roman" w:cs="Times New Roman"/>
          <w:bCs/>
        </w:rPr>
        <w:t>Subpart OOO, Standards of Performance for Nonmetallic Mineral Processing Plants,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NSPS standards 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w:t>
      </w:r>
      <w:r w:rsidRPr="00ED727D">
        <w:rPr>
          <w:rFonts w:ascii="Times New Roman" w:hAnsi="Times New Roman" w:cs="Times New Roman"/>
          <w:bCs/>
        </w:rPr>
        <w:lastRenderedPageBreak/>
        <w:t xml:space="preserve">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lastRenderedPageBreak/>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Designate Lakeview as sustainment area</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sidR="00DF7ACD">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sidR="00CC7F41">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0855AB">
      <w:pPr>
        <w:ind w:left="1080" w:right="18" w:hanging="720"/>
        <w:rPr>
          <w:rFonts w:ascii="Times New Roman" w:hAnsi="Times New Roman" w:cs="Times New Roman"/>
          <w:bCs/>
        </w:rPr>
      </w:pPr>
      <w:r>
        <w:rPr>
          <w:rFonts w:ascii="Times New Roman" w:hAnsi="Times New Roman" w:cs="Times New Roman"/>
          <w:bCs/>
        </w:rPr>
        <w:tab/>
      </w:r>
      <w:r w:rsidRPr="005B116B">
        <w:rPr>
          <w:rFonts w:ascii="Times New Roman" w:hAnsi="Times New Roman" w:cs="Times New Roman"/>
          <w:bCs/>
        </w:rPr>
        <w:t>DEQ considered not designating Lakeview a sustainment area</w:t>
      </w:r>
      <w:r>
        <w:rPr>
          <w:rFonts w:ascii="Times New Roman" w:hAnsi="Times New Roman" w:cs="Times New Roman"/>
          <w:bCs/>
        </w:rPr>
        <w:t xml:space="preserve"> because the desire of the local community was unknown at the time. </w:t>
      </w:r>
      <w:r w:rsidRPr="005B116B">
        <w:rPr>
          <w:rFonts w:ascii="Times New Roman" w:hAnsi="Times New Roman" w:cs="Times New Roman"/>
          <w:bCs/>
        </w:rPr>
        <w:t xml:space="preserve">DEQ did not pursue this alternative because </w:t>
      </w:r>
      <w:r>
        <w:rPr>
          <w:rFonts w:ascii="Times New Roman" w:hAnsi="Times New Roman" w:cs="Times New Roman"/>
          <w:bCs/>
        </w:rPr>
        <w:t>the Lakeview community supports</w:t>
      </w:r>
      <w:r w:rsidRPr="00FC4A58">
        <w:rPr>
          <w:rFonts w:ascii="Times New Roman" w:hAnsi="Times New Roman" w:cs="Times New Roman"/>
          <w:bCs/>
        </w:rPr>
        <w:t xml:space="preserve"> the designation</w:t>
      </w:r>
      <w:r>
        <w:rPr>
          <w:rFonts w:ascii="Times New Roman" w:hAnsi="Times New Roman" w:cs="Times New Roman"/>
          <w:bCs/>
        </w:rPr>
        <w:t xml:space="preserve"> and</w:t>
      </w:r>
      <w:r w:rsidRPr="00FC4A58">
        <w:rPr>
          <w:rFonts w:ascii="Times New Roman" w:hAnsi="Times New Roman" w:cs="Times New Roman"/>
          <w:bCs/>
        </w:rPr>
        <w:t xml:space="preserve"> </w:t>
      </w:r>
      <w:r w:rsidRPr="005B116B">
        <w:rPr>
          <w:rFonts w:ascii="Times New Roman" w:hAnsi="Times New Roman" w:cs="Times New Roman"/>
          <w:bCs/>
        </w:rPr>
        <w:t xml:space="preserve">construction </w:t>
      </w:r>
      <w:r w:rsidR="00696EBD" w:rsidRPr="00CB1736">
        <w:rPr>
          <w:rFonts w:ascii="Times New Roman" w:hAnsi="Times New Roman" w:cs="Times New Roman"/>
          <w:bCs/>
        </w:rPr>
        <w:t>should be</w:t>
      </w:r>
      <w:r w:rsidRPr="005B116B">
        <w:rPr>
          <w:rFonts w:ascii="Times New Roman" w:hAnsi="Times New Roman" w:cs="Times New Roman"/>
          <w:bCs/>
        </w:rPr>
        <w:t xml:space="preserve"> allowed as long as air quality is protected</w:t>
      </w:r>
      <w:r>
        <w:rPr>
          <w:rFonts w:ascii="Times New Roman" w:hAnsi="Times New Roman" w:cs="Times New Roman"/>
          <w:bCs/>
        </w:rPr>
        <w:t xml:space="preserve">.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 xml:space="preserve">Update </w:t>
      </w:r>
      <w:r w:rsidRPr="00870068">
        <w:rPr>
          <w:rFonts w:ascii="Times New Roman" w:hAnsi="Times New Roman" w:cs="Times New Roman"/>
          <w:b/>
          <w:bCs/>
        </w:rPr>
        <w:t>Heat</w:t>
      </w:r>
      <w:r w:rsidR="004B3FA0">
        <w:rPr>
          <w:rFonts w:ascii="Times New Roman" w:hAnsi="Times New Roman" w:cs="Times New Roman"/>
          <w:b/>
          <w:bCs/>
        </w:rPr>
        <w:t xml:space="preserve"> </w:t>
      </w:r>
      <w:r w:rsidRPr="00870068">
        <w:rPr>
          <w:rFonts w:ascii="Times New Roman" w:hAnsi="Times New Roman" w:cs="Times New Roman"/>
          <w:b/>
          <w:bCs/>
        </w:rPr>
        <w:t>Smart</w:t>
      </w:r>
      <w:r w:rsidR="004B3FA0">
        <w:rPr>
          <w:rFonts w:ascii="Times New Roman" w:hAnsi="Times New Roman" w:cs="Times New Roman"/>
          <w:b/>
          <w:bCs/>
        </w:rPr>
        <w:t xml:space="preserve"> Program</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306AF4" w:rsidRDefault="00306AF4">
      <w:pPr>
        <w:spacing w:after="120"/>
        <w:rPr>
          <w:rFonts w:ascii="Times New Roman" w:hAnsi="Times New Roman" w:cs="Times New Roman"/>
          <w:b/>
          <w:bCs/>
        </w:rPr>
      </w:pPr>
      <w:r>
        <w:rPr>
          <w:rFonts w:ascii="Times New Roman" w:hAnsi="Times New Roman" w:cs="Times New Roman"/>
          <w:b/>
          <w:bCs/>
        </w:rPr>
        <w:br w:type="page"/>
      </w: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lastRenderedPageBreak/>
        <w:t xml:space="preserve">Implement SB 249A - </w:t>
      </w:r>
      <w:r w:rsidRPr="00870068">
        <w:rPr>
          <w:rFonts w:ascii="Times New Roman" w:hAnsi="Times New Roman" w:cs="Times New Roman"/>
          <w:b/>
          <w:bCs/>
        </w:rPr>
        <w:t>Clean diesel grant and loan rules</w:t>
      </w:r>
    </w:p>
    <w:p w:rsidR="005B5BB9" w:rsidRDefault="005B5BB9" w:rsidP="0089297D">
      <w:pPr>
        <w:ind w:left="1080" w:right="18"/>
        <w:rPr>
          <w:rFonts w:ascii="Times New Roman" w:hAnsi="Times New Roman" w:cs="Times New Roman"/>
          <w:bCs/>
        </w:rPr>
      </w:pPr>
      <w:r w:rsidRPr="00E73C37">
        <w:rPr>
          <w:rFonts w:ascii="Times New Roman" w:hAnsi="Times New Roman" w:cs="Times New Roman"/>
          <w:bCs/>
        </w:rPr>
        <w:t>The proposed rules are “in addition to federal requirements” and</w:t>
      </w:r>
      <w:r>
        <w:rPr>
          <w:rFonts w:ascii="Times New Roman" w:hAnsi="Times New Roman" w:cs="Times New Roman"/>
          <w:bCs/>
        </w:rPr>
        <w:t xml:space="preserve"> not required by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0855AB">
      <w:pPr>
        <w:ind w:left="1080" w:right="18"/>
        <w:rPr>
          <w:rFonts w:ascii="Times New Roman" w:hAnsi="Times New Roman" w:cs="Times New Roman"/>
          <w:bCs/>
        </w:rPr>
      </w:pPr>
      <w:r w:rsidRPr="005B116B">
        <w:rPr>
          <w:rFonts w:ascii="Times New Roman" w:hAnsi="Times New Roman" w:cs="Times New Roman"/>
          <w:bCs/>
        </w:rPr>
        <w:t xml:space="preserve">DEQ did not consider any alternatives because failure to adopt the proposed amendment </w:t>
      </w:r>
      <w:r w:rsidR="00CC7F41">
        <w:rPr>
          <w:rFonts w:ascii="Times New Roman" w:hAnsi="Times New Roman" w:cs="Times New Roman"/>
          <w:bCs/>
        </w:rPr>
        <w:t>would</w:t>
      </w:r>
      <w:r w:rsidRPr="005B116B">
        <w:rPr>
          <w:rFonts w:ascii="Times New Roman" w:hAnsi="Times New Roman" w:cs="Times New Roman"/>
          <w:bCs/>
        </w:rPr>
        <w:t xml:space="preserve"> undermine the Oregon Clean Diesel Initiative’s effort to support program goals to reduce the adverse impacts from toxic air pollutants and mitigate climate change.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p w:rsidR="00E07926" w:rsidRPr="006D17B2" w:rsidRDefault="00E07926" w:rsidP="00B34CF8">
      <w:pPr>
        <w:ind w:left="720" w:right="18"/>
      </w:pPr>
    </w:p>
    <w:p w:rsidR="00306AF4" w:rsidRDefault="00306AF4" w:rsidP="00B34CF8">
      <w:pPr>
        <w:ind w:left="0" w:right="18"/>
        <w:outlineLvl w:val="0"/>
        <w:rPr>
          <w:rFonts w:eastAsia="Times New Roman"/>
          <w:b/>
          <w:bCs/>
          <w:sz w:val="28"/>
          <w:szCs w:val="28"/>
        </w:rPr>
        <w:sectPr w:rsidR="00306AF4"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3"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4"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832AE5"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Existing permittees have provided a LUCS, </w:t>
      </w:r>
      <w:r w:rsidRPr="006D17B2">
        <w:rPr>
          <w:rFonts w:ascii="Times New Roman" w:eastAsia="Times New Roman" w:hAnsi="Times New Roman" w:cs="Times New Roman"/>
        </w:rPr>
        <w:lastRenderedPageBreak/>
        <w:t>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306AF4" w:rsidRDefault="00306AF4" w:rsidP="00B34CF8">
      <w:pPr>
        <w:ind w:right="18"/>
        <w:outlineLvl w:val="0"/>
        <w:rPr>
          <w:rFonts w:eastAsia="Times New Roman"/>
          <w:bCs/>
          <w:sz w:val="22"/>
          <w:szCs w:val="22"/>
        </w:rPr>
        <w:sectPr w:rsidR="00306AF4"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 w:name="AdvisoryCommittee"/>
      <w:r w:rsidR="00C9239E" w:rsidRPr="006E3C74">
        <w:rPr>
          <w:rFonts w:asciiTheme="majorHAnsi" w:eastAsia="Times New Roman" w:hAnsiTheme="majorHAnsi" w:cstheme="majorHAnsi"/>
          <w:bCs/>
          <w:sz w:val="22"/>
          <w:szCs w:val="22"/>
        </w:rPr>
        <w:t>Advisory committee</w:t>
      </w:r>
      <w:bookmarkEnd w:id="11"/>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w:t>
      </w:r>
      <w:r w:rsidR="008723F5">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6510A0">
        <w:rPr>
          <w:rFonts w:asciiTheme="minorHAnsi" w:eastAsia="Times New Roman" w:hAnsiTheme="minorHAnsi" w:cstheme="minorHAnsi"/>
          <w:bCs/>
        </w:rPr>
        <w:t>November</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2013</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on October 1</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9" w:history="1">
        <w:r w:rsidR="00C22E0C" w:rsidRPr="006E3C74">
          <w:rPr>
            <w:rFonts w:asciiTheme="minorHAnsi" w:eastAsia="Times New Roman" w:hAnsiTheme="minorHAnsi" w:cstheme="minorHAnsi"/>
            <w:u w:val="single"/>
          </w:rPr>
          <w:t>ORS 183.335</w:t>
        </w:r>
      </w:hyperlink>
      <w:r w:rsidRPr="006E3C74">
        <w:t>:</w:t>
      </w:r>
    </w:p>
    <w:p w:rsidR="008723F5" w:rsidRPr="008723F5" w:rsidRDefault="008723F5" w:rsidP="008723F5">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Senator Lee Beyer, Chair, Senate </w:t>
      </w:r>
      <w:bookmarkStart w:id="12" w:name="SBT"/>
      <w:r w:rsidRPr="008723F5">
        <w:rPr>
          <w:rFonts w:asciiTheme="minorHAnsi" w:eastAsia="Times New Roman" w:hAnsiTheme="minorHAnsi" w:cstheme="minorHAnsi"/>
        </w:rPr>
        <w:t>Business and Transportation</w:t>
      </w:r>
      <w:bookmarkEnd w:id="12"/>
    </w:p>
    <w:p w:rsid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Jackie Dingfelder, Chair, </w:t>
      </w:r>
      <w:bookmarkStart w:id="13" w:name="SENR"/>
      <w:r w:rsidRPr="008723F5">
        <w:rPr>
          <w:rFonts w:asciiTheme="minorHAnsi" w:eastAsia="Times New Roman" w:hAnsiTheme="minorHAnsi" w:cstheme="minorHAnsi"/>
          <w:bCs/>
        </w:rPr>
        <w:t>Senate Environment and Natural Resources</w:t>
      </w:r>
      <w:bookmarkEnd w:id="13"/>
      <w:r w:rsidR="00016F5E" w:rsidRPr="008723F5">
        <w:rPr>
          <w:rFonts w:asciiTheme="minorHAnsi" w:eastAsia="Times New Roman" w:hAnsiTheme="minorHAnsi" w:cstheme="minorHAnsi"/>
        </w:rPr>
        <w:t xml:space="preserve"> </w:t>
      </w:r>
    </w:p>
    <w:p w:rsidR="00016F5E" w:rsidRP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J</w:t>
      </w:r>
      <w:r w:rsidRPr="008723F5">
        <w:rPr>
          <w:rFonts w:asciiTheme="minorHAnsi" w:eastAsia="Times New Roman" w:hAnsiTheme="minorHAnsi" w:cstheme="minorHAnsi"/>
        </w:rPr>
        <w:t xml:space="preserve">ules Bailey, Chair, </w:t>
      </w:r>
      <w:bookmarkStart w:id="14" w:name="HEE"/>
      <w:r w:rsidRPr="008723F5">
        <w:rPr>
          <w:rFonts w:asciiTheme="minorHAnsi" w:eastAsia="Times New Roman" w:hAnsiTheme="minorHAnsi" w:cstheme="minorHAnsi"/>
          <w:bCs/>
        </w:rPr>
        <w:t>House Energy and Environment</w:t>
      </w:r>
      <w:bookmarkEnd w:id="14"/>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w:t>
      </w:r>
      <w:r w:rsidR="00555A58">
        <w:rPr>
          <w:rFonts w:asciiTheme="minorHAnsi" w:eastAsia="Times New Roman" w:hAnsiTheme="minorHAnsi" w:cstheme="minorHAnsi"/>
        </w:rPr>
        <w:t>449</w:t>
      </w:r>
      <w:r w:rsidR="001936CC">
        <w:rPr>
          <w:rFonts w:asciiTheme="minorHAnsi" w:eastAsia="Times New Roman" w:hAnsiTheme="minorHAnsi" w:cstheme="minorHAnsi"/>
        </w:rPr>
        <w:t xml:space="preserve"> </w:t>
      </w:r>
      <w:r w:rsidR="006510A0">
        <w:rPr>
          <w:rFonts w:asciiTheme="minorHAnsi" w:eastAsia="Times New Roman" w:hAnsiTheme="minorHAnsi" w:cstheme="minorHAnsi"/>
        </w:rPr>
        <w:t>stakeholders</w:t>
      </w:r>
      <w:r w:rsidR="00B13120">
        <w:rPr>
          <w:rFonts w:asciiTheme="minorHAnsi" w:eastAsia="Times New Roman" w:hAnsiTheme="minorHAnsi" w:cstheme="minorHAnsi"/>
        </w:rPr>
        <w:t xml:space="preserve"> on October 1, 2013</w:t>
      </w:r>
      <w:r w:rsidR="006510A0">
        <w:rPr>
          <w:rFonts w:asciiTheme="minorHAnsi" w:eastAsia="Times New Roman" w:hAnsiTheme="minorHAnsi" w:cstheme="minorHAnsi"/>
        </w:rPr>
        <w:t>,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Daily Journal of Commerce on October 1, 2013</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306AF4" w:rsidRDefault="00306AF4">
      <w:pPr>
        <w:spacing w:after="12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lastRenderedPageBreak/>
        <w:br w:type="page"/>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lastRenderedPageBreak/>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15" w:name="_MON_1421138453"/>
    <w:bookmarkEnd w:id="15"/>
    <w:p w:rsidR="00982C6B" w:rsidRPr="006E3C74" w:rsidRDefault="00C868EA"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215.35pt" o:ole="">
            <v:imagedata r:id="rId42" o:title=""/>
          </v:shape>
          <o:OLEObject Type="Embed" ProgID="Excel.Sheet.12" ShapeID="_x0000_i1025" DrawAspect="Content" ObjectID="_1444471139" r:id="rId43"/>
        </w:object>
      </w: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 xml:space="preserve">November </w:t>
      </w:r>
      <w:r w:rsidR="00CD03A6">
        <w:rPr>
          <w:rFonts w:asciiTheme="minorHAnsi" w:eastAsia="Times New Roman" w:hAnsiTheme="minorHAnsi" w:cstheme="minorHAnsi"/>
          <w:bCs/>
        </w:rPr>
        <w:t>2</w:t>
      </w:r>
      <w:r w:rsidR="00BE6CA6">
        <w:rPr>
          <w:rFonts w:asciiTheme="minorHAnsi" w:eastAsia="Times New Roman" w:hAnsiTheme="minorHAnsi" w:cstheme="minorHAnsi"/>
          <w:bCs/>
        </w:rPr>
        <w:t>0</w:t>
      </w:r>
      <w:r w:rsidR="006F220B" w:rsidRPr="006E3C74">
        <w:rPr>
          <w:rFonts w:asciiTheme="minorHAnsi" w:eastAsia="Times New Roman" w:hAnsiTheme="minorHAnsi" w:cstheme="minorHAnsi"/>
          <w:bCs/>
        </w:rPr>
        <w:t>,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2F5550" w:rsidRPr="00E638D3"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ginsbu" w:date="2013-10-22T17:58:00Z" w:initials="ADG">
    <w:p w:rsidR="00B01263" w:rsidRDefault="00B01263">
      <w:pPr>
        <w:pStyle w:val="CommentText"/>
      </w:pPr>
      <w:r>
        <w:rPr>
          <w:rStyle w:val="CommentReference"/>
        </w:rPr>
        <w:annotationRef/>
      </w:r>
      <w:r>
        <w:t>This is being pulled due to the delay in Jill’s rules. Kevin is doing a separate rulemaking.</w:t>
      </w:r>
    </w:p>
  </w:comment>
  <w:comment w:id="2" w:author="aginsbu" w:date="2013-10-22T13:37:00Z" w:initials="a">
    <w:p w:rsidR="00B01263" w:rsidRDefault="00B01263">
      <w:pPr>
        <w:pStyle w:val="CommentText"/>
      </w:pPr>
      <w:r>
        <w:rPr>
          <w:rStyle w:val="CommentReference"/>
        </w:rPr>
        <w:annotationRef/>
      </w:r>
      <w:r>
        <w:t>I looked but could not find where this is done in the rules. I’m also confused by the changes in permit requirements for GDFs above and below 10.000 gallons.</w:t>
      </w:r>
    </w:p>
  </w:comment>
  <w:comment w:id="3" w:author="aginsbu" w:date="2013-10-22T13:37:00Z" w:initials="a">
    <w:p w:rsidR="00B01263" w:rsidRDefault="00B01263">
      <w:pPr>
        <w:pStyle w:val="CommentText"/>
      </w:pPr>
      <w:r>
        <w:rPr>
          <w:rStyle w:val="CommentReference"/>
        </w:rPr>
        <w:annotationRef/>
      </w:r>
      <w:r>
        <w:t>Unclear. What does “contained in rules” mean?</w:t>
      </w:r>
    </w:p>
  </w:comment>
  <w:comment w:id="4" w:author="aginsbu" w:date="2013-10-22T18:18:00Z" w:initials="ADG">
    <w:p w:rsidR="00B01263" w:rsidRDefault="00B01263">
      <w:pPr>
        <w:pStyle w:val="CommentText"/>
      </w:pPr>
      <w:r>
        <w:rPr>
          <w:rStyle w:val="CommentReference"/>
        </w:rPr>
        <w:annotationRef/>
      </w:r>
      <w:r>
        <w:t>Update this section to match current thinking and plan.</w:t>
      </w:r>
    </w:p>
  </w:comment>
  <w:comment w:id="5" w:author="aginsbu" w:date="2013-10-22T17:56:00Z" w:initials="ADG">
    <w:p w:rsidR="00B01263" w:rsidRDefault="00B01263">
      <w:pPr>
        <w:pStyle w:val="CommentText"/>
      </w:pPr>
      <w:r>
        <w:rPr>
          <w:rStyle w:val="CommentReference"/>
        </w:rPr>
        <w:annotationRef/>
      </w:r>
      <w:r>
        <w:t>This is being pulled due to the delay in Jill’s rules. Kevin is going to do a separate rulemaking.</w:t>
      </w:r>
    </w:p>
  </w:comment>
  <w:comment w:id="6" w:author="aginsbu" w:date="2013-10-22T17:59:00Z" w:initials="ADG">
    <w:p w:rsidR="00B01263" w:rsidRDefault="00B01263">
      <w:pPr>
        <w:pStyle w:val="CommentText"/>
      </w:pPr>
      <w:r>
        <w:rPr>
          <w:rStyle w:val="CommentReference"/>
        </w:rPr>
        <w:annotationRef/>
      </w:r>
      <w:r>
        <w:t>unclear</w:t>
      </w:r>
    </w:p>
  </w:comment>
  <w:comment w:id="9" w:author="aginsbu" w:date="2013-10-22T18:03:00Z" w:initials="ADG">
    <w:p w:rsidR="00B01263" w:rsidRDefault="00B01263">
      <w:pPr>
        <w:pStyle w:val="CommentText"/>
      </w:pPr>
      <w:r>
        <w:rPr>
          <w:rStyle w:val="CommentReference"/>
        </w:rPr>
        <w:annotationRef/>
      </w:r>
      <w:r>
        <w:t>Use the same titles and order for the 8 items as above.</w:t>
      </w:r>
    </w:p>
  </w:comment>
  <w:comment w:id="10" w:author="aginsbu" w:date="2013-10-22T18:04:00Z" w:initials="ADG">
    <w:p w:rsidR="00B01263" w:rsidRDefault="00B01263" w:rsidP="00780798">
      <w:pPr>
        <w:pStyle w:val="CommentText"/>
      </w:pPr>
      <w:r>
        <w:rPr>
          <w:rStyle w:val="CommentReference"/>
        </w:rPr>
        <w:annotationRef/>
      </w:r>
      <w:r>
        <w:t>Use the same titles and order for the 8 items as above.</w:t>
      </w:r>
    </w:p>
    <w:p w:rsidR="00B01263" w:rsidRDefault="00B01263">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263" w:rsidRDefault="00B01263" w:rsidP="00BD316E">
      <w:r>
        <w:separator/>
      </w:r>
    </w:p>
  </w:endnote>
  <w:endnote w:type="continuationSeparator" w:id="0">
    <w:p w:rsidR="00B01263" w:rsidRDefault="00B01263"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63" w:rsidRPr="00BD316E" w:rsidRDefault="00B01263">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9/23/2013 6:30 AM</w:t>
    </w:r>
    <w:r w:rsidRPr="00BD316E">
      <w:rPr>
        <w:rFonts w:asciiTheme="minorHAnsi" w:hAnsiTheme="minorHAnsi" w:cstheme="minorHAnsi"/>
        <w:sz w:val="20"/>
        <w:szCs w:val="20"/>
      </w:rPr>
      <w:fldChar w:fldCharType="end"/>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ED6683">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p w:rsidR="00B01263" w:rsidRDefault="00B01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263" w:rsidRDefault="00B01263" w:rsidP="00BD316E">
      <w:r>
        <w:separator/>
      </w:r>
    </w:p>
  </w:footnote>
  <w:footnote w:type="continuationSeparator" w:id="0">
    <w:p w:rsidR="00B01263" w:rsidRDefault="00B01263"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5CB60AC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29FF"/>
    <w:rsid w:val="00025EC3"/>
    <w:rsid w:val="00026313"/>
    <w:rsid w:val="00026A45"/>
    <w:rsid w:val="000277C4"/>
    <w:rsid w:val="000308D9"/>
    <w:rsid w:val="000319E1"/>
    <w:rsid w:val="0003247E"/>
    <w:rsid w:val="000334BE"/>
    <w:rsid w:val="00034CEC"/>
    <w:rsid w:val="00035352"/>
    <w:rsid w:val="00035E3F"/>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5FD1"/>
    <w:rsid w:val="0006798B"/>
    <w:rsid w:val="0007166A"/>
    <w:rsid w:val="00071D04"/>
    <w:rsid w:val="0007563A"/>
    <w:rsid w:val="0007627C"/>
    <w:rsid w:val="00076D25"/>
    <w:rsid w:val="0007703C"/>
    <w:rsid w:val="000778E2"/>
    <w:rsid w:val="00081F93"/>
    <w:rsid w:val="000832D3"/>
    <w:rsid w:val="00084C0A"/>
    <w:rsid w:val="000855AB"/>
    <w:rsid w:val="000904FA"/>
    <w:rsid w:val="0009279B"/>
    <w:rsid w:val="00092C70"/>
    <w:rsid w:val="00092CB8"/>
    <w:rsid w:val="00092F0F"/>
    <w:rsid w:val="00093659"/>
    <w:rsid w:val="0009416B"/>
    <w:rsid w:val="000954CE"/>
    <w:rsid w:val="00095A1D"/>
    <w:rsid w:val="00095E31"/>
    <w:rsid w:val="0009694C"/>
    <w:rsid w:val="00096DC5"/>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C54"/>
    <w:rsid w:val="000C459C"/>
    <w:rsid w:val="000C553F"/>
    <w:rsid w:val="000D00E6"/>
    <w:rsid w:val="000D05D3"/>
    <w:rsid w:val="000D07CA"/>
    <w:rsid w:val="000D40BC"/>
    <w:rsid w:val="000E0C74"/>
    <w:rsid w:val="000E4491"/>
    <w:rsid w:val="000E5208"/>
    <w:rsid w:val="000E5ECC"/>
    <w:rsid w:val="000E60A5"/>
    <w:rsid w:val="000F0C2A"/>
    <w:rsid w:val="000F2916"/>
    <w:rsid w:val="000F38D9"/>
    <w:rsid w:val="000F4BA0"/>
    <w:rsid w:val="000F7758"/>
    <w:rsid w:val="001005DB"/>
    <w:rsid w:val="00104859"/>
    <w:rsid w:val="00104B43"/>
    <w:rsid w:val="001057B1"/>
    <w:rsid w:val="00106B3F"/>
    <w:rsid w:val="00107189"/>
    <w:rsid w:val="00107289"/>
    <w:rsid w:val="00107B12"/>
    <w:rsid w:val="0011396A"/>
    <w:rsid w:val="00113C15"/>
    <w:rsid w:val="00115140"/>
    <w:rsid w:val="00122920"/>
    <w:rsid w:val="00124646"/>
    <w:rsid w:val="001259B2"/>
    <w:rsid w:val="001329B4"/>
    <w:rsid w:val="001329E5"/>
    <w:rsid w:val="001333E2"/>
    <w:rsid w:val="00133795"/>
    <w:rsid w:val="00133A57"/>
    <w:rsid w:val="0013432F"/>
    <w:rsid w:val="00136667"/>
    <w:rsid w:val="00137086"/>
    <w:rsid w:val="00137427"/>
    <w:rsid w:val="00141EBE"/>
    <w:rsid w:val="0014434D"/>
    <w:rsid w:val="00146E30"/>
    <w:rsid w:val="001474B5"/>
    <w:rsid w:val="001502FB"/>
    <w:rsid w:val="001530D6"/>
    <w:rsid w:val="0015450A"/>
    <w:rsid w:val="001547D2"/>
    <w:rsid w:val="00154DBC"/>
    <w:rsid w:val="00157C03"/>
    <w:rsid w:val="001602E5"/>
    <w:rsid w:val="001618D1"/>
    <w:rsid w:val="00161CEB"/>
    <w:rsid w:val="00164210"/>
    <w:rsid w:val="00167802"/>
    <w:rsid w:val="00167D7C"/>
    <w:rsid w:val="001708BB"/>
    <w:rsid w:val="001729BE"/>
    <w:rsid w:val="001730A0"/>
    <w:rsid w:val="0017372B"/>
    <w:rsid w:val="00174C57"/>
    <w:rsid w:val="00176D61"/>
    <w:rsid w:val="00177E50"/>
    <w:rsid w:val="001805E5"/>
    <w:rsid w:val="0018159F"/>
    <w:rsid w:val="00182C5A"/>
    <w:rsid w:val="00182DC3"/>
    <w:rsid w:val="00184DD2"/>
    <w:rsid w:val="00186295"/>
    <w:rsid w:val="00187781"/>
    <w:rsid w:val="001912CF"/>
    <w:rsid w:val="0019133B"/>
    <w:rsid w:val="00192959"/>
    <w:rsid w:val="001936CC"/>
    <w:rsid w:val="0019385F"/>
    <w:rsid w:val="00194ACD"/>
    <w:rsid w:val="0019640C"/>
    <w:rsid w:val="001A0FDF"/>
    <w:rsid w:val="001A273D"/>
    <w:rsid w:val="001A3880"/>
    <w:rsid w:val="001A403A"/>
    <w:rsid w:val="001A4AB6"/>
    <w:rsid w:val="001B23A9"/>
    <w:rsid w:val="001B667C"/>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E1BD3"/>
    <w:rsid w:val="001E2BD3"/>
    <w:rsid w:val="001E3F8A"/>
    <w:rsid w:val="001E57C6"/>
    <w:rsid w:val="001E62D1"/>
    <w:rsid w:val="001E6DCA"/>
    <w:rsid w:val="001E7E10"/>
    <w:rsid w:val="001F04FD"/>
    <w:rsid w:val="001F088B"/>
    <w:rsid w:val="001F178C"/>
    <w:rsid w:val="001F2D3C"/>
    <w:rsid w:val="001F544C"/>
    <w:rsid w:val="002023EE"/>
    <w:rsid w:val="002060BA"/>
    <w:rsid w:val="002069EC"/>
    <w:rsid w:val="002111C1"/>
    <w:rsid w:val="002112F6"/>
    <w:rsid w:val="00212A60"/>
    <w:rsid w:val="00213652"/>
    <w:rsid w:val="0021421C"/>
    <w:rsid w:val="00214B5B"/>
    <w:rsid w:val="00214E20"/>
    <w:rsid w:val="00216917"/>
    <w:rsid w:val="00220E40"/>
    <w:rsid w:val="00221910"/>
    <w:rsid w:val="00223226"/>
    <w:rsid w:val="00223522"/>
    <w:rsid w:val="00225AE8"/>
    <w:rsid w:val="00227427"/>
    <w:rsid w:val="00230762"/>
    <w:rsid w:val="00232062"/>
    <w:rsid w:val="0023418C"/>
    <w:rsid w:val="00234297"/>
    <w:rsid w:val="00235585"/>
    <w:rsid w:val="00236519"/>
    <w:rsid w:val="002404EF"/>
    <w:rsid w:val="002405F8"/>
    <w:rsid w:val="00240C51"/>
    <w:rsid w:val="00240FFF"/>
    <w:rsid w:val="00243AF1"/>
    <w:rsid w:val="0024501F"/>
    <w:rsid w:val="0024580A"/>
    <w:rsid w:val="00247AB0"/>
    <w:rsid w:val="00250E7E"/>
    <w:rsid w:val="00252800"/>
    <w:rsid w:val="0025467F"/>
    <w:rsid w:val="00257D81"/>
    <w:rsid w:val="00261127"/>
    <w:rsid w:val="00261C1B"/>
    <w:rsid w:val="00262AC3"/>
    <w:rsid w:val="00263B9C"/>
    <w:rsid w:val="00264FDD"/>
    <w:rsid w:val="002654B2"/>
    <w:rsid w:val="0026750D"/>
    <w:rsid w:val="00270504"/>
    <w:rsid w:val="00270D01"/>
    <w:rsid w:val="0027111E"/>
    <w:rsid w:val="0027774D"/>
    <w:rsid w:val="00281104"/>
    <w:rsid w:val="00284F61"/>
    <w:rsid w:val="00286CEC"/>
    <w:rsid w:val="00291129"/>
    <w:rsid w:val="0029119A"/>
    <w:rsid w:val="00291A33"/>
    <w:rsid w:val="00292E18"/>
    <w:rsid w:val="0029662E"/>
    <w:rsid w:val="00296CD3"/>
    <w:rsid w:val="00296D4D"/>
    <w:rsid w:val="00296EAB"/>
    <w:rsid w:val="00297119"/>
    <w:rsid w:val="002A176D"/>
    <w:rsid w:val="002A223E"/>
    <w:rsid w:val="002A246D"/>
    <w:rsid w:val="002A2E51"/>
    <w:rsid w:val="002A2F32"/>
    <w:rsid w:val="002A42D0"/>
    <w:rsid w:val="002A507D"/>
    <w:rsid w:val="002A5ACA"/>
    <w:rsid w:val="002A7315"/>
    <w:rsid w:val="002A7D43"/>
    <w:rsid w:val="002B0C9C"/>
    <w:rsid w:val="002B1149"/>
    <w:rsid w:val="002B1663"/>
    <w:rsid w:val="002B1B77"/>
    <w:rsid w:val="002B4E81"/>
    <w:rsid w:val="002B68A3"/>
    <w:rsid w:val="002B6A4B"/>
    <w:rsid w:val="002B6D58"/>
    <w:rsid w:val="002B7331"/>
    <w:rsid w:val="002C068B"/>
    <w:rsid w:val="002C1C59"/>
    <w:rsid w:val="002C27BF"/>
    <w:rsid w:val="002C2D98"/>
    <w:rsid w:val="002C3A6B"/>
    <w:rsid w:val="002C5923"/>
    <w:rsid w:val="002C5A4C"/>
    <w:rsid w:val="002C7A23"/>
    <w:rsid w:val="002D08C7"/>
    <w:rsid w:val="002D1EF7"/>
    <w:rsid w:val="002D735D"/>
    <w:rsid w:val="002D7385"/>
    <w:rsid w:val="002E046A"/>
    <w:rsid w:val="002E27EF"/>
    <w:rsid w:val="002E283F"/>
    <w:rsid w:val="002E4AA0"/>
    <w:rsid w:val="002E4B0F"/>
    <w:rsid w:val="002E5F1C"/>
    <w:rsid w:val="002E7578"/>
    <w:rsid w:val="002F0C21"/>
    <w:rsid w:val="002F0C40"/>
    <w:rsid w:val="002F18FE"/>
    <w:rsid w:val="002F204B"/>
    <w:rsid w:val="002F3279"/>
    <w:rsid w:val="002F3768"/>
    <w:rsid w:val="002F40DC"/>
    <w:rsid w:val="002F412E"/>
    <w:rsid w:val="002F4C19"/>
    <w:rsid w:val="002F5550"/>
    <w:rsid w:val="002F68F8"/>
    <w:rsid w:val="002F6E27"/>
    <w:rsid w:val="003009BC"/>
    <w:rsid w:val="0030348C"/>
    <w:rsid w:val="00304225"/>
    <w:rsid w:val="00304756"/>
    <w:rsid w:val="00304A23"/>
    <w:rsid w:val="00305328"/>
    <w:rsid w:val="00306AF4"/>
    <w:rsid w:val="0031008D"/>
    <w:rsid w:val="00316157"/>
    <w:rsid w:val="00324289"/>
    <w:rsid w:val="003248CA"/>
    <w:rsid w:val="003249D9"/>
    <w:rsid w:val="003309C4"/>
    <w:rsid w:val="00332F0A"/>
    <w:rsid w:val="00333429"/>
    <w:rsid w:val="0033534B"/>
    <w:rsid w:val="003359FB"/>
    <w:rsid w:val="003372D5"/>
    <w:rsid w:val="00342615"/>
    <w:rsid w:val="00343477"/>
    <w:rsid w:val="00347173"/>
    <w:rsid w:val="00347ABB"/>
    <w:rsid w:val="003519E1"/>
    <w:rsid w:val="00352415"/>
    <w:rsid w:val="003539AD"/>
    <w:rsid w:val="00354107"/>
    <w:rsid w:val="0035453C"/>
    <w:rsid w:val="0035523C"/>
    <w:rsid w:val="003557B5"/>
    <w:rsid w:val="00356F31"/>
    <w:rsid w:val="00357150"/>
    <w:rsid w:val="00357653"/>
    <w:rsid w:val="00360B6F"/>
    <w:rsid w:val="00361CB0"/>
    <w:rsid w:val="00362542"/>
    <w:rsid w:val="00362DE0"/>
    <w:rsid w:val="00365C19"/>
    <w:rsid w:val="00370B6C"/>
    <w:rsid w:val="00372C6F"/>
    <w:rsid w:val="003733C9"/>
    <w:rsid w:val="00373B13"/>
    <w:rsid w:val="003753B9"/>
    <w:rsid w:val="00376B3E"/>
    <w:rsid w:val="00376D28"/>
    <w:rsid w:val="00380513"/>
    <w:rsid w:val="003818D5"/>
    <w:rsid w:val="00381C3C"/>
    <w:rsid w:val="0038364A"/>
    <w:rsid w:val="00383AA8"/>
    <w:rsid w:val="003848B2"/>
    <w:rsid w:val="003867A8"/>
    <w:rsid w:val="003868A0"/>
    <w:rsid w:val="00386A84"/>
    <w:rsid w:val="00386D72"/>
    <w:rsid w:val="003918FF"/>
    <w:rsid w:val="0039216C"/>
    <w:rsid w:val="00392381"/>
    <w:rsid w:val="00394372"/>
    <w:rsid w:val="00395651"/>
    <w:rsid w:val="00396465"/>
    <w:rsid w:val="00396764"/>
    <w:rsid w:val="003970AB"/>
    <w:rsid w:val="00397D49"/>
    <w:rsid w:val="003A039C"/>
    <w:rsid w:val="003A2F55"/>
    <w:rsid w:val="003A508B"/>
    <w:rsid w:val="003B015F"/>
    <w:rsid w:val="003B28BE"/>
    <w:rsid w:val="003B2BBA"/>
    <w:rsid w:val="003B467D"/>
    <w:rsid w:val="003B5574"/>
    <w:rsid w:val="003B628A"/>
    <w:rsid w:val="003B6F1C"/>
    <w:rsid w:val="003C12DB"/>
    <w:rsid w:val="003C2903"/>
    <w:rsid w:val="003C2EA5"/>
    <w:rsid w:val="003C325E"/>
    <w:rsid w:val="003C60B9"/>
    <w:rsid w:val="003C6C7E"/>
    <w:rsid w:val="003D04F0"/>
    <w:rsid w:val="003D1D26"/>
    <w:rsid w:val="003D25CF"/>
    <w:rsid w:val="003D3A6B"/>
    <w:rsid w:val="003D3B3C"/>
    <w:rsid w:val="003D4960"/>
    <w:rsid w:val="003D6D98"/>
    <w:rsid w:val="003D7A50"/>
    <w:rsid w:val="003E0361"/>
    <w:rsid w:val="003E4937"/>
    <w:rsid w:val="003E691F"/>
    <w:rsid w:val="003E787C"/>
    <w:rsid w:val="003F0390"/>
    <w:rsid w:val="003F0606"/>
    <w:rsid w:val="003F35B2"/>
    <w:rsid w:val="003F3799"/>
    <w:rsid w:val="003F3D4A"/>
    <w:rsid w:val="003F413E"/>
    <w:rsid w:val="003F45CC"/>
    <w:rsid w:val="003F4AEF"/>
    <w:rsid w:val="003F5C92"/>
    <w:rsid w:val="003F7283"/>
    <w:rsid w:val="004009BC"/>
    <w:rsid w:val="00400EF8"/>
    <w:rsid w:val="00401019"/>
    <w:rsid w:val="00402295"/>
    <w:rsid w:val="004035F7"/>
    <w:rsid w:val="004109DC"/>
    <w:rsid w:val="00411BE0"/>
    <w:rsid w:val="00412061"/>
    <w:rsid w:val="00412380"/>
    <w:rsid w:val="00416937"/>
    <w:rsid w:val="00416BE8"/>
    <w:rsid w:val="00417482"/>
    <w:rsid w:val="0042135A"/>
    <w:rsid w:val="0042225B"/>
    <w:rsid w:val="004228DE"/>
    <w:rsid w:val="004229AB"/>
    <w:rsid w:val="00423957"/>
    <w:rsid w:val="00423BCC"/>
    <w:rsid w:val="00425244"/>
    <w:rsid w:val="004272FD"/>
    <w:rsid w:val="00427970"/>
    <w:rsid w:val="004316B6"/>
    <w:rsid w:val="0043229C"/>
    <w:rsid w:val="0043633F"/>
    <w:rsid w:val="004369FF"/>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70175"/>
    <w:rsid w:val="00470AD8"/>
    <w:rsid w:val="0047155E"/>
    <w:rsid w:val="00473958"/>
    <w:rsid w:val="00476EAE"/>
    <w:rsid w:val="00477F16"/>
    <w:rsid w:val="00482192"/>
    <w:rsid w:val="00482D18"/>
    <w:rsid w:val="004847C0"/>
    <w:rsid w:val="004866E7"/>
    <w:rsid w:val="004905F1"/>
    <w:rsid w:val="004918AF"/>
    <w:rsid w:val="00494995"/>
    <w:rsid w:val="00496A70"/>
    <w:rsid w:val="00497709"/>
    <w:rsid w:val="004A088C"/>
    <w:rsid w:val="004A1CB2"/>
    <w:rsid w:val="004A5282"/>
    <w:rsid w:val="004A5AB9"/>
    <w:rsid w:val="004A5D95"/>
    <w:rsid w:val="004B020E"/>
    <w:rsid w:val="004B04BE"/>
    <w:rsid w:val="004B09B3"/>
    <w:rsid w:val="004B18D2"/>
    <w:rsid w:val="004B22BC"/>
    <w:rsid w:val="004B3FA0"/>
    <w:rsid w:val="004B442C"/>
    <w:rsid w:val="004B6240"/>
    <w:rsid w:val="004B692D"/>
    <w:rsid w:val="004C1BAD"/>
    <w:rsid w:val="004C1F0D"/>
    <w:rsid w:val="004C269A"/>
    <w:rsid w:val="004C3BA2"/>
    <w:rsid w:val="004C45F2"/>
    <w:rsid w:val="004C50FE"/>
    <w:rsid w:val="004C5229"/>
    <w:rsid w:val="004C5246"/>
    <w:rsid w:val="004C5F43"/>
    <w:rsid w:val="004C6361"/>
    <w:rsid w:val="004C6F60"/>
    <w:rsid w:val="004C76BF"/>
    <w:rsid w:val="004D33B9"/>
    <w:rsid w:val="004D5553"/>
    <w:rsid w:val="004D692F"/>
    <w:rsid w:val="004D7F83"/>
    <w:rsid w:val="004E2819"/>
    <w:rsid w:val="004E28B6"/>
    <w:rsid w:val="004E38FB"/>
    <w:rsid w:val="004E5A2F"/>
    <w:rsid w:val="004F4B6D"/>
    <w:rsid w:val="004F673A"/>
    <w:rsid w:val="004F7CDC"/>
    <w:rsid w:val="004F7F70"/>
    <w:rsid w:val="00503B62"/>
    <w:rsid w:val="0050509A"/>
    <w:rsid w:val="00505C99"/>
    <w:rsid w:val="005064E6"/>
    <w:rsid w:val="0051019C"/>
    <w:rsid w:val="005102CA"/>
    <w:rsid w:val="005103FC"/>
    <w:rsid w:val="005114A6"/>
    <w:rsid w:val="005115F8"/>
    <w:rsid w:val="00511D76"/>
    <w:rsid w:val="00513840"/>
    <w:rsid w:val="0051405A"/>
    <w:rsid w:val="00514E58"/>
    <w:rsid w:val="00515161"/>
    <w:rsid w:val="0051593A"/>
    <w:rsid w:val="005160CB"/>
    <w:rsid w:val="00516FBC"/>
    <w:rsid w:val="0052145B"/>
    <w:rsid w:val="00521A8B"/>
    <w:rsid w:val="0052233E"/>
    <w:rsid w:val="00526006"/>
    <w:rsid w:val="00526E3C"/>
    <w:rsid w:val="00530B59"/>
    <w:rsid w:val="00534B98"/>
    <w:rsid w:val="005365B3"/>
    <w:rsid w:val="00537B1E"/>
    <w:rsid w:val="005409B2"/>
    <w:rsid w:val="00540AFE"/>
    <w:rsid w:val="00541273"/>
    <w:rsid w:val="00542DD8"/>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7DA1"/>
    <w:rsid w:val="0057078C"/>
    <w:rsid w:val="00571C4C"/>
    <w:rsid w:val="00572FA9"/>
    <w:rsid w:val="00574160"/>
    <w:rsid w:val="0058198A"/>
    <w:rsid w:val="00584C7D"/>
    <w:rsid w:val="005854D7"/>
    <w:rsid w:val="005857AA"/>
    <w:rsid w:val="0058602E"/>
    <w:rsid w:val="005862A8"/>
    <w:rsid w:val="00591241"/>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50BA"/>
    <w:rsid w:val="006051D9"/>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74CF"/>
    <w:rsid w:val="00660658"/>
    <w:rsid w:val="00663ABA"/>
    <w:rsid w:val="00664231"/>
    <w:rsid w:val="00666629"/>
    <w:rsid w:val="00667CFC"/>
    <w:rsid w:val="00671070"/>
    <w:rsid w:val="006751BA"/>
    <w:rsid w:val="006754AA"/>
    <w:rsid w:val="00677B8A"/>
    <w:rsid w:val="00680226"/>
    <w:rsid w:val="00680EF2"/>
    <w:rsid w:val="0068173F"/>
    <w:rsid w:val="00682518"/>
    <w:rsid w:val="00683046"/>
    <w:rsid w:val="0068367B"/>
    <w:rsid w:val="00683CA8"/>
    <w:rsid w:val="00685563"/>
    <w:rsid w:val="00690BC5"/>
    <w:rsid w:val="006911BB"/>
    <w:rsid w:val="006928FB"/>
    <w:rsid w:val="00693196"/>
    <w:rsid w:val="0069591F"/>
    <w:rsid w:val="00695B5A"/>
    <w:rsid w:val="0069603F"/>
    <w:rsid w:val="00696716"/>
    <w:rsid w:val="00696EBD"/>
    <w:rsid w:val="00697C07"/>
    <w:rsid w:val="006A0E65"/>
    <w:rsid w:val="006A2188"/>
    <w:rsid w:val="006A4F59"/>
    <w:rsid w:val="006A5105"/>
    <w:rsid w:val="006A64E6"/>
    <w:rsid w:val="006A7FCE"/>
    <w:rsid w:val="006B00C2"/>
    <w:rsid w:val="006B0916"/>
    <w:rsid w:val="006B0D43"/>
    <w:rsid w:val="006B0D45"/>
    <w:rsid w:val="006B4488"/>
    <w:rsid w:val="006B481C"/>
    <w:rsid w:val="006B6267"/>
    <w:rsid w:val="006C0AFF"/>
    <w:rsid w:val="006C2E2C"/>
    <w:rsid w:val="006D17B2"/>
    <w:rsid w:val="006D18F9"/>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3DD6"/>
    <w:rsid w:val="00724CF1"/>
    <w:rsid w:val="00726E7C"/>
    <w:rsid w:val="00727622"/>
    <w:rsid w:val="007279FB"/>
    <w:rsid w:val="00727AA6"/>
    <w:rsid w:val="00730121"/>
    <w:rsid w:val="00730489"/>
    <w:rsid w:val="00732601"/>
    <w:rsid w:val="007335E8"/>
    <w:rsid w:val="00733A49"/>
    <w:rsid w:val="00733E4E"/>
    <w:rsid w:val="00745A55"/>
    <w:rsid w:val="007511B0"/>
    <w:rsid w:val="00754884"/>
    <w:rsid w:val="00754AE8"/>
    <w:rsid w:val="007551AF"/>
    <w:rsid w:val="00755992"/>
    <w:rsid w:val="00755D54"/>
    <w:rsid w:val="00761C1E"/>
    <w:rsid w:val="00761D5C"/>
    <w:rsid w:val="007624E9"/>
    <w:rsid w:val="00762C97"/>
    <w:rsid w:val="00764239"/>
    <w:rsid w:val="00764B62"/>
    <w:rsid w:val="00764BF6"/>
    <w:rsid w:val="007659B3"/>
    <w:rsid w:val="00765DA1"/>
    <w:rsid w:val="007667BF"/>
    <w:rsid w:val="007677D5"/>
    <w:rsid w:val="00770F2D"/>
    <w:rsid w:val="007718C0"/>
    <w:rsid w:val="00772447"/>
    <w:rsid w:val="00772D5F"/>
    <w:rsid w:val="00772E64"/>
    <w:rsid w:val="00773021"/>
    <w:rsid w:val="00773184"/>
    <w:rsid w:val="00774706"/>
    <w:rsid w:val="00775068"/>
    <w:rsid w:val="0077630B"/>
    <w:rsid w:val="00777CA1"/>
    <w:rsid w:val="00780798"/>
    <w:rsid w:val="0078154A"/>
    <w:rsid w:val="007826BA"/>
    <w:rsid w:val="00782A35"/>
    <w:rsid w:val="0078370D"/>
    <w:rsid w:val="00784187"/>
    <w:rsid w:val="0078479D"/>
    <w:rsid w:val="00786C3E"/>
    <w:rsid w:val="0079043C"/>
    <w:rsid w:val="0079478B"/>
    <w:rsid w:val="00797FC9"/>
    <w:rsid w:val="007A1EFB"/>
    <w:rsid w:val="007A24BE"/>
    <w:rsid w:val="007A34ED"/>
    <w:rsid w:val="007A5842"/>
    <w:rsid w:val="007B080C"/>
    <w:rsid w:val="007B114D"/>
    <w:rsid w:val="007B32A8"/>
    <w:rsid w:val="007B4301"/>
    <w:rsid w:val="007B56D1"/>
    <w:rsid w:val="007C04C3"/>
    <w:rsid w:val="007C0ACD"/>
    <w:rsid w:val="007C0DCF"/>
    <w:rsid w:val="007C1C74"/>
    <w:rsid w:val="007C1E2F"/>
    <w:rsid w:val="007C56BC"/>
    <w:rsid w:val="007C6897"/>
    <w:rsid w:val="007C6D48"/>
    <w:rsid w:val="007C77AA"/>
    <w:rsid w:val="007D0FC4"/>
    <w:rsid w:val="007D1A36"/>
    <w:rsid w:val="007D2F91"/>
    <w:rsid w:val="007D3B78"/>
    <w:rsid w:val="007D3EB6"/>
    <w:rsid w:val="007D6004"/>
    <w:rsid w:val="007D60EA"/>
    <w:rsid w:val="007D695C"/>
    <w:rsid w:val="007D703C"/>
    <w:rsid w:val="007D74B2"/>
    <w:rsid w:val="007E2602"/>
    <w:rsid w:val="007E3BFD"/>
    <w:rsid w:val="007E5070"/>
    <w:rsid w:val="007E55D2"/>
    <w:rsid w:val="007E7028"/>
    <w:rsid w:val="007F02B6"/>
    <w:rsid w:val="007F0CC6"/>
    <w:rsid w:val="007F0ED4"/>
    <w:rsid w:val="007F10CB"/>
    <w:rsid w:val="007F1F9E"/>
    <w:rsid w:val="007F1FC1"/>
    <w:rsid w:val="007F2758"/>
    <w:rsid w:val="007F4318"/>
    <w:rsid w:val="007F461C"/>
    <w:rsid w:val="007F473E"/>
    <w:rsid w:val="007F5C60"/>
    <w:rsid w:val="007F6FB0"/>
    <w:rsid w:val="007F78C6"/>
    <w:rsid w:val="007F7BDA"/>
    <w:rsid w:val="0080107D"/>
    <w:rsid w:val="008013F0"/>
    <w:rsid w:val="00801852"/>
    <w:rsid w:val="00802CC5"/>
    <w:rsid w:val="00803A21"/>
    <w:rsid w:val="00805C3F"/>
    <w:rsid w:val="00811EE1"/>
    <w:rsid w:val="008141CD"/>
    <w:rsid w:val="008158B8"/>
    <w:rsid w:val="00816D54"/>
    <w:rsid w:val="0082074B"/>
    <w:rsid w:val="00820EBA"/>
    <w:rsid w:val="00820F35"/>
    <w:rsid w:val="00821ABF"/>
    <w:rsid w:val="00823C9D"/>
    <w:rsid w:val="00830C32"/>
    <w:rsid w:val="00832AE5"/>
    <w:rsid w:val="0083323F"/>
    <w:rsid w:val="00835C99"/>
    <w:rsid w:val="00835E2B"/>
    <w:rsid w:val="00841360"/>
    <w:rsid w:val="00844A6C"/>
    <w:rsid w:val="00847AEA"/>
    <w:rsid w:val="008502BB"/>
    <w:rsid w:val="0085122C"/>
    <w:rsid w:val="008520FC"/>
    <w:rsid w:val="00853DAD"/>
    <w:rsid w:val="00854517"/>
    <w:rsid w:val="00855A96"/>
    <w:rsid w:val="00857DBD"/>
    <w:rsid w:val="00864F3D"/>
    <w:rsid w:val="00866E22"/>
    <w:rsid w:val="00866F57"/>
    <w:rsid w:val="00867284"/>
    <w:rsid w:val="00870068"/>
    <w:rsid w:val="008723F5"/>
    <w:rsid w:val="008737CA"/>
    <w:rsid w:val="008776CF"/>
    <w:rsid w:val="00882392"/>
    <w:rsid w:val="0088347B"/>
    <w:rsid w:val="00884683"/>
    <w:rsid w:val="00891D92"/>
    <w:rsid w:val="0089297D"/>
    <w:rsid w:val="008962CA"/>
    <w:rsid w:val="008971A4"/>
    <w:rsid w:val="00897CCD"/>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024"/>
    <w:rsid w:val="008C4590"/>
    <w:rsid w:val="008C6415"/>
    <w:rsid w:val="008C744F"/>
    <w:rsid w:val="008C7798"/>
    <w:rsid w:val="008D1EEF"/>
    <w:rsid w:val="008D31E6"/>
    <w:rsid w:val="008D52B1"/>
    <w:rsid w:val="008D5772"/>
    <w:rsid w:val="008D6D83"/>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C82"/>
    <w:rsid w:val="009254D0"/>
    <w:rsid w:val="00925F07"/>
    <w:rsid w:val="00926AE8"/>
    <w:rsid w:val="009300CE"/>
    <w:rsid w:val="00930372"/>
    <w:rsid w:val="0093182A"/>
    <w:rsid w:val="009322D3"/>
    <w:rsid w:val="00934827"/>
    <w:rsid w:val="00935409"/>
    <w:rsid w:val="00935CCB"/>
    <w:rsid w:val="00936293"/>
    <w:rsid w:val="009408DB"/>
    <w:rsid w:val="0094178E"/>
    <w:rsid w:val="0094309D"/>
    <w:rsid w:val="009432A7"/>
    <w:rsid w:val="009459A4"/>
    <w:rsid w:val="00946EBB"/>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E8A"/>
    <w:rsid w:val="009B000B"/>
    <w:rsid w:val="009B0585"/>
    <w:rsid w:val="009B3797"/>
    <w:rsid w:val="009B4ACA"/>
    <w:rsid w:val="009B5271"/>
    <w:rsid w:val="009B5A69"/>
    <w:rsid w:val="009B5DF2"/>
    <w:rsid w:val="009B7E23"/>
    <w:rsid w:val="009C111C"/>
    <w:rsid w:val="009C16C1"/>
    <w:rsid w:val="009C1B9E"/>
    <w:rsid w:val="009C2F8C"/>
    <w:rsid w:val="009C6788"/>
    <w:rsid w:val="009C6844"/>
    <w:rsid w:val="009C793E"/>
    <w:rsid w:val="009D3EBB"/>
    <w:rsid w:val="009D59CC"/>
    <w:rsid w:val="009D5EB5"/>
    <w:rsid w:val="009E04FF"/>
    <w:rsid w:val="009E0E6A"/>
    <w:rsid w:val="009E148C"/>
    <w:rsid w:val="009E1691"/>
    <w:rsid w:val="009E1F6C"/>
    <w:rsid w:val="009E5A4F"/>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10362"/>
    <w:rsid w:val="00A12508"/>
    <w:rsid w:val="00A1268D"/>
    <w:rsid w:val="00A16894"/>
    <w:rsid w:val="00A17426"/>
    <w:rsid w:val="00A17802"/>
    <w:rsid w:val="00A1795E"/>
    <w:rsid w:val="00A22EAE"/>
    <w:rsid w:val="00A23B90"/>
    <w:rsid w:val="00A25345"/>
    <w:rsid w:val="00A27771"/>
    <w:rsid w:val="00A32043"/>
    <w:rsid w:val="00A3244F"/>
    <w:rsid w:val="00A3377B"/>
    <w:rsid w:val="00A34D40"/>
    <w:rsid w:val="00A35D63"/>
    <w:rsid w:val="00A401AA"/>
    <w:rsid w:val="00A40BA9"/>
    <w:rsid w:val="00A413FE"/>
    <w:rsid w:val="00A415F3"/>
    <w:rsid w:val="00A42903"/>
    <w:rsid w:val="00A43169"/>
    <w:rsid w:val="00A44113"/>
    <w:rsid w:val="00A46142"/>
    <w:rsid w:val="00A46F33"/>
    <w:rsid w:val="00A47273"/>
    <w:rsid w:val="00A47F95"/>
    <w:rsid w:val="00A50464"/>
    <w:rsid w:val="00A5255B"/>
    <w:rsid w:val="00A53283"/>
    <w:rsid w:val="00A53C3C"/>
    <w:rsid w:val="00A61B18"/>
    <w:rsid w:val="00A66973"/>
    <w:rsid w:val="00A6737E"/>
    <w:rsid w:val="00A67416"/>
    <w:rsid w:val="00A70D48"/>
    <w:rsid w:val="00A7156B"/>
    <w:rsid w:val="00A74227"/>
    <w:rsid w:val="00A74D08"/>
    <w:rsid w:val="00A75BE2"/>
    <w:rsid w:val="00A75F3B"/>
    <w:rsid w:val="00A766BE"/>
    <w:rsid w:val="00A76EBA"/>
    <w:rsid w:val="00A77657"/>
    <w:rsid w:val="00A8014C"/>
    <w:rsid w:val="00A812D7"/>
    <w:rsid w:val="00A815D1"/>
    <w:rsid w:val="00A82406"/>
    <w:rsid w:val="00A83D90"/>
    <w:rsid w:val="00A84D7F"/>
    <w:rsid w:val="00A86222"/>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F100B"/>
    <w:rsid w:val="00AF15AD"/>
    <w:rsid w:val="00AF2B3B"/>
    <w:rsid w:val="00AF6949"/>
    <w:rsid w:val="00B01263"/>
    <w:rsid w:val="00B0210D"/>
    <w:rsid w:val="00B041EC"/>
    <w:rsid w:val="00B04A0D"/>
    <w:rsid w:val="00B04ADA"/>
    <w:rsid w:val="00B10075"/>
    <w:rsid w:val="00B1210C"/>
    <w:rsid w:val="00B13120"/>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CF8"/>
    <w:rsid w:val="00B356CF"/>
    <w:rsid w:val="00B35715"/>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BB0"/>
    <w:rsid w:val="00B7348A"/>
    <w:rsid w:val="00B779C3"/>
    <w:rsid w:val="00B77D12"/>
    <w:rsid w:val="00B81B47"/>
    <w:rsid w:val="00B82764"/>
    <w:rsid w:val="00B838E2"/>
    <w:rsid w:val="00B83B10"/>
    <w:rsid w:val="00B84EF5"/>
    <w:rsid w:val="00B87603"/>
    <w:rsid w:val="00B90163"/>
    <w:rsid w:val="00B9175F"/>
    <w:rsid w:val="00B91E32"/>
    <w:rsid w:val="00B9609C"/>
    <w:rsid w:val="00BA056B"/>
    <w:rsid w:val="00BA1AC8"/>
    <w:rsid w:val="00BA466F"/>
    <w:rsid w:val="00BA56F4"/>
    <w:rsid w:val="00BA69EF"/>
    <w:rsid w:val="00BB0113"/>
    <w:rsid w:val="00BB4089"/>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2CB0"/>
    <w:rsid w:val="00BE5B6B"/>
    <w:rsid w:val="00BE6CA6"/>
    <w:rsid w:val="00BE6CAC"/>
    <w:rsid w:val="00BE6E6D"/>
    <w:rsid w:val="00BE7983"/>
    <w:rsid w:val="00BF0505"/>
    <w:rsid w:val="00BF347E"/>
    <w:rsid w:val="00BF43D3"/>
    <w:rsid w:val="00BF5F38"/>
    <w:rsid w:val="00BF70F1"/>
    <w:rsid w:val="00C02811"/>
    <w:rsid w:val="00C046A4"/>
    <w:rsid w:val="00C076E8"/>
    <w:rsid w:val="00C15DD4"/>
    <w:rsid w:val="00C163B2"/>
    <w:rsid w:val="00C175C0"/>
    <w:rsid w:val="00C21575"/>
    <w:rsid w:val="00C223EF"/>
    <w:rsid w:val="00C22E0C"/>
    <w:rsid w:val="00C236BB"/>
    <w:rsid w:val="00C257E0"/>
    <w:rsid w:val="00C2676F"/>
    <w:rsid w:val="00C27A23"/>
    <w:rsid w:val="00C32274"/>
    <w:rsid w:val="00C348B1"/>
    <w:rsid w:val="00C34AC9"/>
    <w:rsid w:val="00C35520"/>
    <w:rsid w:val="00C363DB"/>
    <w:rsid w:val="00C42F13"/>
    <w:rsid w:val="00C464F1"/>
    <w:rsid w:val="00C472FB"/>
    <w:rsid w:val="00C50259"/>
    <w:rsid w:val="00C5067D"/>
    <w:rsid w:val="00C5171A"/>
    <w:rsid w:val="00C51FAE"/>
    <w:rsid w:val="00C531D0"/>
    <w:rsid w:val="00C53F0F"/>
    <w:rsid w:val="00C54DE2"/>
    <w:rsid w:val="00C564E0"/>
    <w:rsid w:val="00C56A67"/>
    <w:rsid w:val="00C603D7"/>
    <w:rsid w:val="00C625B2"/>
    <w:rsid w:val="00C62ECC"/>
    <w:rsid w:val="00C65D06"/>
    <w:rsid w:val="00C708DA"/>
    <w:rsid w:val="00C71500"/>
    <w:rsid w:val="00C73733"/>
    <w:rsid w:val="00C7432A"/>
    <w:rsid w:val="00C74D58"/>
    <w:rsid w:val="00C75E60"/>
    <w:rsid w:val="00C76B21"/>
    <w:rsid w:val="00C804DA"/>
    <w:rsid w:val="00C80642"/>
    <w:rsid w:val="00C868EA"/>
    <w:rsid w:val="00C9050A"/>
    <w:rsid w:val="00C9239E"/>
    <w:rsid w:val="00C933AC"/>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DF7"/>
    <w:rsid w:val="00CC6C82"/>
    <w:rsid w:val="00CC74F4"/>
    <w:rsid w:val="00CC7F41"/>
    <w:rsid w:val="00CD03A6"/>
    <w:rsid w:val="00CD1C91"/>
    <w:rsid w:val="00CD237F"/>
    <w:rsid w:val="00CD2E4D"/>
    <w:rsid w:val="00CD5294"/>
    <w:rsid w:val="00CD6F9F"/>
    <w:rsid w:val="00CD7BA4"/>
    <w:rsid w:val="00CD7EF0"/>
    <w:rsid w:val="00CE197E"/>
    <w:rsid w:val="00CE2F50"/>
    <w:rsid w:val="00CE45D0"/>
    <w:rsid w:val="00CE4DBB"/>
    <w:rsid w:val="00CE4DBC"/>
    <w:rsid w:val="00CE60DE"/>
    <w:rsid w:val="00CE6EA0"/>
    <w:rsid w:val="00CF2835"/>
    <w:rsid w:val="00CF4995"/>
    <w:rsid w:val="00D005D1"/>
    <w:rsid w:val="00D02904"/>
    <w:rsid w:val="00D02C1F"/>
    <w:rsid w:val="00D07AAD"/>
    <w:rsid w:val="00D109F3"/>
    <w:rsid w:val="00D128BB"/>
    <w:rsid w:val="00D134BF"/>
    <w:rsid w:val="00D164B2"/>
    <w:rsid w:val="00D17CDB"/>
    <w:rsid w:val="00D210BC"/>
    <w:rsid w:val="00D224B4"/>
    <w:rsid w:val="00D257F6"/>
    <w:rsid w:val="00D25F9E"/>
    <w:rsid w:val="00D2749F"/>
    <w:rsid w:val="00D27525"/>
    <w:rsid w:val="00D3083F"/>
    <w:rsid w:val="00D30992"/>
    <w:rsid w:val="00D30BCF"/>
    <w:rsid w:val="00D34D18"/>
    <w:rsid w:val="00D35ED0"/>
    <w:rsid w:val="00D36404"/>
    <w:rsid w:val="00D36887"/>
    <w:rsid w:val="00D40542"/>
    <w:rsid w:val="00D40898"/>
    <w:rsid w:val="00D4378B"/>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CF1"/>
    <w:rsid w:val="00D74378"/>
    <w:rsid w:val="00D77707"/>
    <w:rsid w:val="00D842F7"/>
    <w:rsid w:val="00D90062"/>
    <w:rsid w:val="00D9108B"/>
    <w:rsid w:val="00D9179D"/>
    <w:rsid w:val="00D91937"/>
    <w:rsid w:val="00D91B85"/>
    <w:rsid w:val="00D929A8"/>
    <w:rsid w:val="00DA125C"/>
    <w:rsid w:val="00DA1327"/>
    <w:rsid w:val="00DA1CFC"/>
    <w:rsid w:val="00DA3097"/>
    <w:rsid w:val="00DA36B3"/>
    <w:rsid w:val="00DA6A20"/>
    <w:rsid w:val="00DB5E82"/>
    <w:rsid w:val="00DB69C1"/>
    <w:rsid w:val="00DB6D3B"/>
    <w:rsid w:val="00DC04D1"/>
    <w:rsid w:val="00DC064E"/>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21D5"/>
    <w:rsid w:val="00E23CBC"/>
    <w:rsid w:val="00E24358"/>
    <w:rsid w:val="00E26422"/>
    <w:rsid w:val="00E26AFB"/>
    <w:rsid w:val="00E278B9"/>
    <w:rsid w:val="00E33649"/>
    <w:rsid w:val="00E34247"/>
    <w:rsid w:val="00E364A5"/>
    <w:rsid w:val="00E364BC"/>
    <w:rsid w:val="00E36886"/>
    <w:rsid w:val="00E368CA"/>
    <w:rsid w:val="00E41112"/>
    <w:rsid w:val="00E478FE"/>
    <w:rsid w:val="00E51708"/>
    <w:rsid w:val="00E51F15"/>
    <w:rsid w:val="00E53CF7"/>
    <w:rsid w:val="00E541B5"/>
    <w:rsid w:val="00E54670"/>
    <w:rsid w:val="00E55F16"/>
    <w:rsid w:val="00E5756F"/>
    <w:rsid w:val="00E6175F"/>
    <w:rsid w:val="00E61A63"/>
    <w:rsid w:val="00E61C21"/>
    <w:rsid w:val="00E62757"/>
    <w:rsid w:val="00E62B7C"/>
    <w:rsid w:val="00E638D3"/>
    <w:rsid w:val="00E65F41"/>
    <w:rsid w:val="00E67421"/>
    <w:rsid w:val="00E71C3C"/>
    <w:rsid w:val="00E726E5"/>
    <w:rsid w:val="00E72A54"/>
    <w:rsid w:val="00E73B91"/>
    <w:rsid w:val="00E73C37"/>
    <w:rsid w:val="00E7412E"/>
    <w:rsid w:val="00E75695"/>
    <w:rsid w:val="00E77F18"/>
    <w:rsid w:val="00E818B3"/>
    <w:rsid w:val="00E82718"/>
    <w:rsid w:val="00E82D32"/>
    <w:rsid w:val="00E82FA7"/>
    <w:rsid w:val="00E8305B"/>
    <w:rsid w:val="00E84ED8"/>
    <w:rsid w:val="00E8584B"/>
    <w:rsid w:val="00E86786"/>
    <w:rsid w:val="00E90891"/>
    <w:rsid w:val="00E908F4"/>
    <w:rsid w:val="00E90978"/>
    <w:rsid w:val="00E939AF"/>
    <w:rsid w:val="00E940EB"/>
    <w:rsid w:val="00EA0893"/>
    <w:rsid w:val="00EA0F3C"/>
    <w:rsid w:val="00EA20E8"/>
    <w:rsid w:val="00EA26F5"/>
    <w:rsid w:val="00EA27BD"/>
    <w:rsid w:val="00EA35DC"/>
    <w:rsid w:val="00EA4362"/>
    <w:rsid w:val="00EA4AC5"/>
    <w:rsid w:val="00EA4AE2"/>
    <w:rsid w:val="00EA70CE"/>
    <w:rsid w:val="00EB1D78"/>
    <w:rsid w:val="00EB2CFC"/>
    <w:rsid w:val="00EC0C81"/>
    <w:rsid w:val="00EC1212"/>
    <w:rsid w:val="00EC1D7C"/>
    <w:rsid w:val="00EC237B"/>
    <w:rsid w:val="00EC2D21"/>
    <w:rsid w:val="00EC3291"/>
    <w:rsid w:val="00ED1A3D"/>
    <w:rsid w:val="00ED3231"/>
    <w:rsid w:val="00ED49D2"/>
    <w:rsid w:val="00ED6683"/>
    <w:rsid w:val="00ED727D"/>
    <w:rsid w:val="00ED72B2"/>
    <w:rsid w:val="00EE0461"/>
    <w:rsid w:val="00EE3582"/>
    <w:rsid w:val="00EE6743"/>
    <w:rsid w:val="00EE6E51"/>
    <w:rsid w:val="00EE732F"/>
    <w:rsid w:val="00EE7FE1"/>
    <w:rsid w:val="00EF0526"/>
    <w:rsid w:val="00EF0934"/>
    <w:rsid w:val="00EF26B7"/>
    <w:rsid w:val="00EF366E"/>
    <w:rsid w:val="00EF470E"/>
    <w:rsid w:val="00EF4969"/>
    <w:rsid w:val="00EF76B2"/>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0F3"/>
    <w:rsid w:val="00F16229"/>
    <w:rsid w:val="00F17566"/>
    <w:rsid w:val="00F200A0"/>
    <w:rsid w:val="00F22A9C"/>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A18"/>
    <w:rsid w:val="00F72368"/>
    <w:rsid w:val="00F76387"/>
    <w:rsid w:val="00F80BB5"/>
    <w:rsid w:val="00F810EA"/>
    <w:rsid w:val="00F8126E"/>
    <w:rsid w:val="00F812AB"/>
    <w:rsid w:val="00F824B8"/>
    <w:rsid w:val="00F839F2"/>
    <w:rsid w:val="00F867C6"/>
    <w:rsid w:val="00F874AB"/>
    <w:rsid w:val="00F87563"/>
    <w:rsid w:val="00F90D05"/>
    <w:rsid w:val="00F91414"/>
    <w:rsid w:val="00F918D4"/>
    <w:rsid w:val="00F951B2"/>
    <w:rsid w:val="00F9767B"/>
    <w:rsid w:val="00F97D7C"/>
    <w:rsid w:val="00FA0128"/>
    <w:rsid w:val="00FA11A0"/>
    <w:rsid w:val="00FA3C76"/>
    <w:rsid w:val="00FA6E97"/>
    <w:rsid w:val="00FB00F0"/>
    <w:rsid w:val="00FB2799"/>
    <w:rsid w:val="00FB3480"/>
    <w:rsid w:val="00FB3EAF"/>
    <w:rsid w:val="00FB5625"/>
    <w:rsid w:val="00FB606A"/>
    <w:rsid w:val="00FB6A86"/>
    <w:rsid w:val="00FB7117"/>
    <w:rsid w:val="00FC1607"/>
    <w:rsid w:val="00FC1B0B"/>
    <w:rsid w:val="00FC2369"/>
    <w:rsid w:val="00FC28B7"/>
    <w:rsid w:val="00FC464E"/>
    <w:rsid w:val="00FC471D"/>
    <w:rsid w:val="00FC4A58"/>
    <w:rsid w:val="00FC5C08"/>
    <w:rsid w:val="00FC7AD6"/>
    <w:rsid w:val="00FD1928"/>
    <w:rsid w:val="00FD22F2"/>
    <w:rsid w:val="00FD324F"/>
    <w:rsid w:val="00FD4B2E"/>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CFR-2011-title40-vol6/pdf/CFR-2011-title40-vol6-part60-subpartJJJJ.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arcweb.sos.state.or.us/pages/rules/oars_600/oar_660/660_tofc.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IIII.pdf" TargetMode="External"/><Relationship Id="rId25" Type="http://schemas.openxmlformats.org/officeDocument/2006/relationships/hyperlink" Target="http://www.leg.state.or.us/13reg/measpdf/sb0200.dir/sb0249.en.pdf" TargetMode="External"/><Relationship Id="rId33" Type="http://schemas.openxmlformats.org/officeDocument/2006/relationships/hyperlink" Target="http://www.leg.state.or.us/ors/197.html" TargetMode="External"/><Relationship Id="rId38" Type="http://schemas.openxmlformats.org/officeDocument/2006/relationships/hyperlink" Target="http://www.oregon.gov/deq/RulesandRegulations/Pages/2013/aqperm.aspx"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epa.gov/ttn/atw/area/fr18ja08.pdf" TargetMode="External"/><Relationship Id="rId29" Type="http://schemas.openxmlformats.org/officeDocument/2006/relationships/hyperlink" Target="http://arcweb.sos.state.or.us/pages/rules/oars_300/oar_340/_340_tables/340-216-0020_3-27.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3-02-01/pdf/2012-31645.pdf" TargetMode="External"/><Relationship Id="rId32" Type="http://schemas.openxmlformats.org/officeDocument/2006/relationships/hyperlink" Target="http://www.leg.state.or.us/ors/468a.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www.leg.state.or.us/ors/183.html"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gpo.gov/fdsys/pkg/FR-2013-01-30/pdf/2013-01288.pdf" TargetMode="External"/><Relationship Id="rId31" Type="http://schemas.openxmlformats.org/officeDocument/2006/relationships/hyperlink" Target="http://oregonstate.edu/cla/polisci/sites/default/files/faculty-research/sahr/inflation-conversion/excel/cv1998.xl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13reg/measpdf/sb0200.dir/sb0249.en.pdf" TargetMode="External"/><Relationship Id="rId22" Type="http://schemas.openxmlformats.org/officeDocument/2006/relationships/hyperlink" Target="http://www.deq.state.or.us/aq/forms/2011AirQualityAnnualReport.pdf" TargetMode="External"/><Relationship Id="rId27" Type="http://schemas.openxmlformats.org/officeDocument/2006/relationships/hyperlink" Target="http://www.leg.state.or.us/ors/183.html" TargetMode="External"/><Relationship Id="rId30" Type="http://schemas.openxmlformats.org/officeDocument/2006/relationships/hyperlink" Target="http://www.epa.gov/ttn/catc/dir1/cost_toc.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8302AC47-EB51-478A-B02A-FB6B1EA3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12858</Words>
  <Characters>73291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2013-10-21T17:58:00Z</cp:lastPrinted>
  <dcterms:created xsi:type="dcterms:W3CDTF">2013-10-28T20:13:00Z</dcterms:created>
  <dcterms:modified xsi:type="dcterms:W3CDTF">2013-10-28T20:13:00Z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