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Default="00FB16F4">
      <w:r>
        <w:t>Information for 11/13 letter to legislators:</w:t>
      </w:r>
    </w:p>
    <w:p w:rsidR="00FB16F4" w:rsidRDefault="00FB16F4"/>
    <w:p w:rsidR="00FB16F4" w:rsidRDefault="00FB16F4"/>
    <w:p w:rsidR="00FB16F4" w:rsidRDefault="006B64A0">
      <w:r>
        <w:rPr>
          <w:b/>
        </w:rPr>
        <w:t>Why are we doing this?</w:t>
      </w:r>
    </w:p>
    <w:p w:rsidR="00300E0E" w:rsidRDefault="00300E0E" w:rsidP="00FB16F4">
      <w:pPr>
        <w:ind w:left="-48"/>
      </w:pPr>
    </w:p>
    <w:p w:rsidR="00FB16F4" w:rsidRPr="00FB16F4" w:rsidRDefault="00FB16F4" w:rsidP="00FB16F4">
      <w:pPr>
        <w:ind w:left="-48"/>
      </w:pPr>
      <w:r w:rsidRPr="00FB16F4">
        <w:t>There are areas in the state where air quality is close to or over the fine particulate matter ambient air quality standard. Work on the Klamath Falls attainment plan showed that impacts from a single business along with the background concentration could be up to 70 percent of the standard. Similar areas with similar sources are also in danger of violating the ambient air quality standard. This is a big risk for public health and economic development. If emissions from a single business can push an area to the brink of violating ambient air quality standards, new businesses may not able to come into the area</w:t>
      </w:r>
      <w:r w:rsidR="00300E0E">
        <w:t>, limiting economic development</w:t>
      </w:r>
      <w:r w:rsidRPr="00FB16F4">
        <w:t xml:space="preserve">. </w:t>
      </w:r>
    </w:p>
    <w:p w:rsidR="00FB16F4" w:rsidRPr="00FB16F4" w:rsidRDefault="00FB16F4" w:rsidP="00FB16F4"/>
    <w:p w:rsidR="00FB16F4" w:rsidRDefault="00FB16F4" w:rsidP="00FB16F4">
      <w:r w:rsidRPr="00FB16F4">
        <w:t xml:space="preserve">The proposed changes in the statewide particulate matter standards are proactive measures to help prevent violations of current standards and potentially even more stringent standards in the future. DEQ adopted similar, more stringent rules when areas like Medford and La Grande exceeded the coarse particulate ambient air quality standard and were designated as nonattainment areas by EPA. Adopting more stringent rules before areas exceed ambient air quality standards and become nonattainment areas, will help to avoid the severe nonattainment area restrictions that are required for businesses that want to build or expand in a nonattainment area. </w:t>
      </w:r>
    </w:p>
    <w:p w:rsidR="00FB16F4" w:rsidRDefault="00FB16F4" w:rsidP="00FB16F4"/>
    <w:p w:rsidR="00DF1B53" w:rsidRPr="00DF1B53" w:rsidRDefault="00DF1B53" w:rsidP="00DF1B53">
      <w:r w:rsidRPr="00DF1B53">
        <w:rPr>
          <w:b/>
          <w:bCs/>
        </w:rPr>
        <w:t>Health Effects</w:t>
      </w:r>
      <w:r w:rsidRPr="00DF1B53">
        <w:t xml:space="preserve"> </w:t>
      </w:r>
    </w:p>
    <w:p w:rsidR="006B64A0" w:rsidRDefault="006B64A0" w:rsidP="006B64A0">
      <w:r w:rsidRPr="006B64A0">
        <w:t>PM emissions from the combustion of wood, whether in a residential woodstoves or industrial boilers, are a significant concern for human health. The PM emissions contain very small particles that get lodged in people’s lungs and cause health effects</w:t>
      </w:r>
      <w:r>
        <w:t xml:space="preserve"> such as:</w:t>
      </w:r>
    </w:p>
    <w:p w:rsidR="005020D7" w:rsidRPr="00DF1B53" w:rsidRDefault="003B7831" w:rsidP="006B64A0">
      <w:pPr>
        <w:pStyle w:val="ListParagraph"/>
        <w:numPr>
          <w:ilvl w:val="0"/>
          <w:numId w:val="18"/>
        </w:numPr>
      </w:pPr>
      <w:r w:rsidRPr="00DF1B53">
        <w:t>Premature death in people with heart and lung disease</w:t>
      </w:r>
    </w:p>
    <w:p w:rsidR="005020D7" w:rsidRPr="00DF1B53" w:rsidRDefault="003B7831" w:rsidP="00DF1B53">
      <w:pPr>
        <w:numPr>
          <w:ilvl w:val="0"/>
          <w:numId w:val="13"/>
        </w:numPr>
      </w:pPr>
      <w:r w:rsidRPr="00DF1B53">
        <w:t>Non-fatal heart attacks</w:t>
      </w:r>
    </w:p>
    <w:p w:rsidR="005020D7" w:rsidRPr="00DF1B53" w:rsidRDefault="003B7831" w:rsidP="00DF1B53">
      <w:pPr>
        <w:numPr>
          <w:ilvl w:val="0"/>
          <w:numId w:val="13"/>
        </w:numPr>
      </w:pPr>
      <w:r w:rsidRPr="00DF1B53">
        <w:t>Increased hospital admissions, emergency room visits and doctor’s visits for respiratory diseases</w:t>
      </w:r>
    </w:p>
    <w:p w:rsidR="005020D7" w:rsidRPr="00DF1B53" w:rsidRDefault="003B7831" w:rsidP="00DF1B53">
      <w:pPr>
        <w:numPr>
          <w:ilvl w:val="0"/>
          <w:numId w:val="13"/>
        </w:numPr>
      </w:pPr>
      <w:r w:rsidRPr="00DF1B53">
        <w:t>Increased hospital admission and ER visits for cardiovascular diseases</w:t>
      </w:r>
    </w:p>
    <w:p w:rsidR="005020D7" w:rsidRPr="00DF1B53" w:rsidRDefault="003B7831" w:rsidP="00DF1B53">
      <w:pPr>
        <w:numPr>
          <w:ilvl w:val="0"/>
          <w:numId w:val="13"/>
        </w:numPr>
      </w:pPr>
      <w:r w:rsidRPr="00DF1B53">
        <w:t>Increased respiratory symptoms such as coughing, wheezing and shortness of breath</w:t>
      </w:r>
    </w:p>
    <w:p w:rsidR="005020D7" w:rsidRPr="00DF1B53" w:rsidRDefault="003B7831" w:rsidP="00DF1B53">
      <w:pPr>
        <w:numPr>
          <w:ilvl w:val="0"/>
          <w:numId w:val="13"/>
        </w:numPr>
      </w:pPr>
      <w:r w:rsidRPr="00DF1B53">
        <w:t>Lung function changes, especially in children and people wi</w:t>
      </w:r>
      <w:r w:rsidR="00300E0E">
        <w:t>th lung diseases such as asthma</w:t>
      </w:r>
    </w:p>
    <w:p w:rsidR="005020D7" w:rsidRPr="00DF1B53" w:rsidRDefault="003B7831" w:rsidP="00DF1B53">
      <w:pPr>
        <w:numPr>
          <w:ilvl w:val="0"/>
          <w:numId w:val="13"/>
        </w:numPr>
      </w:pPr>
      <w:r w:rsidRPr="00DF1B53">
        <w:t>Changes in heart rate variability</w:t>
      </w:r>
    </w:p>
    <w:p w:rsidR="005020D7" w:rsidRPr="00DF1B53" w:rsidRDefault="003B7831" w:rsidP="00DF1B53">
      <w:pPr>
        <w:numPr>
          <w:ilvl w:val="0"/>
          <w:numId w:val="13"/>
        </w:numPr>
      </w:pPr>
      <w:r w:rsidRPr="00DF1B53">
        <w:t>Irregular heartbeat</w:t>
      </w:r>
    </w:p>
    <w:p w:rsidR="005020D7" w:rsidRPr="00DF1B53" w:rsidRDefault="00300E0E" w:rsidP="00300E0E">
      <w:pPr>
        <w:ind w:left="720" w:hanging="720"/>
      </w:pPr>
      <w:r>
        <w:t>The m</w:t>
      </w:r>
      <w:r w:rsidR="003B7831" w:rsidRPr="00DF1B53">
        <w:t>ost susceptible</w:t>
      </w:r>
      <w:r>
        <w:t xml:space="preserve"> are</w:t>
      </w:r>
      <w:r w:rsidR="003B7831" w:rsidRPr="00DF1B53">
        <w:t xml:space="preserve">: </w:t>
      </w:r>
    </w:p>
    <w:p w:rsidR="005020D7" w:rsidRPr="00DF1B53" w:rsidRDefault="003B7831" w:rsidP="00300E0E">
      <w:pPr>
        <w:pStyle w:val="ListParagraph"/>
        <w:numPr>
          <w:ilvl w:val="0"/>
          <w:numId w:val="17"/>
        </w:numPr>
      </w:pPr>
      <w:r w:rsidRPr="00DF1B53">
        <w:t>people with heart or lung diseases</w:t>
      </w:r>
    </w:p>
    <w:p w:rsidR="005020D7" w:rsidRDefault="003B7831" w:rsidP="00300E0E">
      <w:pPr>
        <w:pStyle w:val="ListParagraph"/>
        <w:numPr>
          <w:ilvl w:val="0"/>
          <w:numId w:val="17"/>
        </w:numPr>
      </w:pPr>
      <w:r w:rsidRPr="00DF1B53">
        <w:t xml:space="preserve">children and older adults </w:t>
      </w:r>
    </w:p>
    <w:p w:rsidR="00300E0E" w:rsidRDefault="00300E0E" w:rsidP="00300E0E">
      <w:pPr>
        <w:pStyle w:val="ListParagraph"/>
        <w:numPr>
          <w:ilvl w:val="0"/>
          <w:numId w:val="17"/>
        </w:numPr>
      </w:pPr>
      <w:r w:rsidRPr="00300E0E">
        <w:t>people of lower socioeconomic status</w:t>
      </w:r>
    </w:p>
    <w:p w:rsidR="005020D7" w:rsidRPr="00DF1B53" w:rsidRDefault="00300E0E" w:rsidP="00300E0E">
      <w:pPr>
        <w:pStyle w:val="ListParagraph"/>
        <w:numPr>
          <w:ilvl w:val="0"/>
          <w:numId w:val="17"/>
        </w:numPr>
      </w:pPr>
      <w:r w:rsidRPr="00300E0E">
        <w:t>pregnant women</w:t>
      </w:r>
    </w:p>
    <w:p w:rsidR="00FB16F4" w:rsidRDefault="00FB16F4" w:rsidP="00300E0E"/>
    <w:p w:rsidR="004F3769" w:rsidRDefault="004F3769" w:rsidP="00FB16F4"/>
    <w:p w:rsidR="00DF1B53" w:rsidRPr="00DF1B53" w:rsidRDefault="00DF1B53" w:rsidP="00DF1B53">
      <w:r w:rsidRPr="00DF1B53">
        <w:rPr>
          <w:b/>
          <w:bCs/>
        </w:rPr>
        <w:t>BENEFITS AND COSTS</w:t>
      </w:r>
    </w:p>
    <w:p w:rsidR="00DF1B53" w:rsidRPr="00DF1B53" w:rsidRDefault="00DF1B53" w:rsidP="00DF1B53">
      <w:r w:rsidRPr="00DF1B53">
        <w:t>While the Clean Air Act prevents EPA from considering costs in setting or revising National Ambient Air Quality Standards, the Agency does analyze the benefits and costs of</w:t>
      </w:r>
      <w:r w:rsidR="00300E0E">
        <w:t xml:space="preserve"> implementing standards.  T</w:t>
      </w:r>
      <w:r w:rsidRPr="00DF1B53">
        <w:t>o estimate the benefits of meeting a standard, EPA uses peer-reviewed studies of air quality and health and welfare effects, sophisticated air quality models, and peer-reviewed studies of the dollar values of public health improvements.</w:t>
      </w:r>
      <w:r w:rsidR="00300E0E">
        <w:t xml:space="preserve"> </w:t>
      </w:r>
      <w:r w:rsidRPr="00DF1B53">
        <w:t>When fully met, the revised 24-hour PM2.5 standards are estimated to yield between $9 billion and $75 billion a year in health and visibility benefits in 2020. This estimate is based on the opinions of outside experts on PM and the risk of premature death, along with other benefits information.</w:t>
      </w:r>
    </w:p>
    <w:p w:rsidR="00DF1B53" w:rsidRDefault="00DF1B53" w:rsidP="00FB16F4"/>
    <w:p w:rsidR="00DF1B53" w:rsidRPr="00DF1B53" w:rsidRDefault="00DF1B53" w:rsidP="00DF1B53">
      <w:r w:rsidRPr="00DF1B53">
        <w:t>The benefits of meeting the revised 24-hour PM2.5 standards include the value of an estimated reduction in:</w:t>
      </w:r>
    </w:p>
    <w:p w:rsidR="005020D7" w:rsidRPr="00DF1B53" w:rsidRDefault="003B7831" w:rsidP="00DF1B53">
      <w:pPr>
        <w:numPr>
          <w:ilvl w:val="0"/>
          <w:numId w:val="14"/>
        </w:numPr>
      </w:pPr>
      <w:r w:rsidRPr="00DF1B53">
        <w:t>2,500 premature deaths in people with heart or lung disease.</w:t>
      </w:r>
    </w:p>
    <w:p w:rsidR="005020D7" w:rsidRPr="00DF1B53" w:rsidRDefault="003B7831" w:rsidP="00DF1B53">
      <w:pPr>
        <w:numPr>
          <w:ilvl w:val="0"/>
          <w:numId w:val="14"/>
        </w:numPr>
      </w:pPr>
      <w:r w:rsidRPr="00DF1B53">
        <w:t>2,600 cases of chronic bronchitis.</w:t>
      </w:r>
    </w:p>
    <w:p w:rsidR="005020D7" w:rsidRPr="00DF1B53" w:rsidRDefault="003B7831" w:rsidP="00DF1B53">
      <w:pPr>
        <w:numPr>
          <w:ilvl w:val="0"/>
          <w:numId w:val="14"/>
        </w:numPr>
      </w:pPr>
      <w:r w:rsidRPr="00DF1B53">
        <w:t>5,000 nonfatal heart attacks,</w:t>
      </w:r>
    </w:p>
    <w:p w:rsidR="005020D7" w:rsidRPr="00DF1B53" w:rsidRDefault="003B7831" w:rsidP="00DF1B53">
      <w:pPr>
        <w:numPr>
          <w:ilvl w:val="0"/>
          <w:numId w:val="14"/>
        </w:numPr>
      </w:pPr>
      <w:r w:rsidRPr="00DF1B53">
        <w:t>1,630 hospital admissions for cardiovascular or respiratory symptoms,</w:t>
      </w:r>
    </w:p>
    <w:p w:rsidR="005020D7" w:rsidRPr="00DF1B53" w:rsidRDefault="003B7831" w:rsidP="00DF1B53">
      <w:pPr>
        <w:numPr>
          <w:ilvl w:val="0"/>
          <w:numId w:val="14"/>
        </w:numPr>
      </w:pPr>
      <w:r w:rsidRPr="00DF1B53">
        <w:t>1,200 emergency room visits for asthma,</w:t>
      </w:r>
    </w:p>
    <w:p w:rsidR="005020D7" w:rsidRPr="00DF1B53" w:rsidRDefault="003B7831" w:rsidP="00DF1B53">
      <w:pPr>
        <w:numPr>
          <w:ilvl w:val="0"/>
          <w:numId w:val="14"/>
        </w:numPr>
      </w:pPr>
      <w:r w:rsidRPr="00DF1B53">
        <w:t>7,300 cases of acute bronchitis,</w:t>
      </w:r>
    </w:p>
    <w:p w:rsidR="005020D7" w:rsidRPr="00DF1B53" w:rsidRDefault="003B7831" w:rsidP="00DF1B53">
      <w:pPr>
        <w:numPr>
          <w:ilvl w:val="0"/>
          <w:numId w:val="14"/>
        </w:numPr>
      </w:pPr>
      <w:r w:rsidRPr="00DF1B53">
        <w:t>97,000 cases of upper and lower respiratory symptoms,</w:t>
      </w:r>
    </w:p>
    <w:p w:rsidR="005020D7" w:rsidRPr="00DF1B53" w:rsidRDefault="003B7831" w:rsidP="00DF1B53">
      <w:pPr>
        <w:numPr>
          <w:ilvl w:val="0"/>
          <w:numId w:val="14"/>
        </w:numPr>
      </w:pPr>
      <w:r w:rsidRPr="00DF1B53">
        <w:t>51,000 cases of aggravated asthma,</w:t>
      </w:r>
    </w:p>
    <w:p w:rsidR="005020D7" w:rsidRPr="00DF1B53" w:rsidRDefault="003B7831" w:rsidP="00DF1B53">
      <w:pPr>
        <w:numPr>
          <w:ilvl w:val="0"/>
          <w:numId w:val="14"/>
        </w:numPr>
      </w:pPr>
      <w:r w:rsidRPr="00DF1B53">
        <w:lastRenderedPageBreak/>
        <w:t>350,000 days when people miss work or school, and</w:t>
      </w:r>
    </w:p>
    <w:p w:rsidR="005020D7" w:rsidRPr="00DF1B53" w:rsidRDefault="003B7831" w:rsidP="00DF1B53">
      <w:pPr>
        <w:numPr>
          <w:ilvl w:val="0"/>
          <w:numId w:val="14"/>
        </w:numPr>
      </w:pPr>
      <w:r w:rsidRPr="00DF1B53">
        <w:t>2 million days when people must restrict their activities because of particle pollution related symptoms.</w:t>
      </w:r>
    </w:p>
    <w:p w:rsidR="00DF1B53" w:rsidRDefault="00DF1B53" w:rsidP="00FB16F4"/>
    <w:p w:rsidR="00DF1B53" w:rsidRDefault="00DF1B53" w:rsidP="00FB16F4"/>
    <w:p w:rsidR="004F3769" w:rsidRDefault="00300E0E" w:rsidP="00FB16F4">
      <w:r>
        <w:t>DEQ is considering the following o</w:t>
      </w:r>
      <w:r w:rsidR="00415855">
        <w:t>ptions</w:t>
      </w:r>
      <w:r w:rsidR="006B64A0">
        <w:t xml:space="preserve"> for the PM grain loading standards</w:t>
      </w:r>
      <w:r w:rsidR="00415855">
        <w:t>:</w:t>
      </w:r>
    </w:p>
    <w:p w:rsidR="00415855" w:rsidRDefault="00415855" w:rsidP="00FB16F4"/>
    <w:p w:rsidR="00415855" w:rsidRDefault="00415855" w:rsidP="00FB16F4">
      <w:r>
        <w:t>1</w:t>
      </w:r>
      <w:r w:rsidR="006B64A0">
        <w:t>.  Option A</w:t>
      </w:r>
      <w:r w:rsidR="00F07571">
        <w:t>:</w:t>
      </w:r>
      <w:r w:rsidR="006B64A0">
        <w:t xml:space="preserve"> </w:t>
      </w:r>
      <w:r w:rsidR="00F07571">
        <w:t xml:space="preserve"> </w:t>
      </w:r>
      <w:proofErr w:type="gramStart"/>
      <w:r>
        <w:t>0.10 gr/dscf by 2019</w:t>
      </w:r>
      <w:r w:rsidR="00300E0E">
        <w:t xml:space="preserve"> for all sources</w:t>
      </w:r>
      <w:proofErr w:type="gramEnd"/>
    </w:p>
    <w:p w:rsidR="006B64A0" w:rsidRDefault="00415855" w:rsidP="006B64A0">
      <w:r>
        <w:t xml:space="preserve">2.  Option </w:t>
      </w:r>
      <w:r w:rsidR="006B64A0">
        <w:t>B</w:t>
      </w:r>
      <w:r w:rsidR="00F07571">
        <w:t>:</w:t>
      </w:r>
      <w:r w:rsidR="008E3E15">
        <w:t xml:space="preserve"> by 2019 </w:t>
      </w:r>
    </w:p>
    <w:p w:rsidR="006B64A0" w:rsidRPr="006B64A0" w:rsidRDefault="006B64A0" w:rsidP="006B64A0">
      <w:pPr>
        <w:pStyle w:val="ListParagraph"/>
        <w:numPr>
          <w:ilvl w:val="0"/>
          <w:numId w:val="20"/>
        </w:numPr>
      </w:pPr>
      <w:r w:rsidRPr="006B64A0">
        <w:t>pre-1970 sources:  high efficiency multiclone or 0.</w:t>
      </w:r>
      <w:r w:rsidR="008E3E15">
        <w:t>15</w:t>
      </w:r>
      <w:r w:rsidRPr="006B64A0">
        <w:t xml:space="preserve"> gr/dscf, whichever is less,</w:t>
      </w:r>
    </w:p>
    <w:p w:rsidR="006B64A0" w:rsidRPr="006B64A0" w:rsidRDefault="006B64A0" w:rsidP="006B64A0">
      <w:pPr>
        <w:pStyle w:val="ListParagraph"/>
        <w:numPr>
          <w:ilvl w:val="0"/>
          <w:numId w:val="20"/>
        </w:numPr>
      </w:pPr>
      <w:r w:rsidRPr="006B64A0">
        <w:t>post-1970 sources: high efficiency multiclone or 0.1</w:t>
      </w:r>
      <w:r w:rsidR="008E3E15">
        <w:t>0</w:t>
      </w:r>
      <w:r w:rsidR="00DC64C8">
        <w:t xml:space="preserve"> gr/dscf</w:t>
      </w:r>
      <w:r w:rsidRPr="006B64A0">
        <w:t>, whichever is less;</w:t>
      </w:r>
    </w:p>
    <w:p w:rsidR="006B64A0" w:rsidRPr="006B64A0" w:rsidRDefault="008E3E15" w:rsidP="00F07571">
      <w:pPr>
        <w:pStyle w:val="ListParagraph"/>
        <w:numPr>
          <w:ilvl w:val="0"/>
          <w:numId w:val="20"/>
        </w:numPr>
      </w:pPr>
      <w:r>
        <w:t>Or install or upgrade multiclone</w:t>
      </w:r>
      <w:r w:rsidR="00265076">
        <w:t>s</w:t>
      </w:r>
      <w:r>
        <w:t xml:space="preserve"> and </w:t>
      </w:r>
      <w:r w:rsidR="006B64A0" w:rsidRPr="006B64A0">
        <w:t xml:space="preserve">comply with source specific limits </w:t>
      </w:r>
      <w:proofErr w:type="gramStart"/>
      <w:r w:rsidR="006B64A0" w:rsidRPr="006B64A0">
        <w:t>less than 0.</w:t>
      </w:r>
      <w:r>
        <w:t>15</w:t>
      </w:r>
      <w:r w:rsidR="004A2997">
        <w:t xml:space="preserve"> gr/dscf</w:t>
      </w:r>
      <w:proofErr w:type="gramEnd"/>
      <w:r w:rsidR="004A2997">
        <w:t xml:space="preserve"> </w:t>
      </w:r>
      <w:r w:rsidR="006B64A0" w:rsidRPr="006B64A0">
        <w:t>or 0.1</w:t>
      </w:r>
      <w:r>
        <w:t>0</w:t>
      </w:r>
      <w:r w:rsidR="006B64A0" w:rsidRPr="006B64A0">
        <w:t xml:space="preserve"> </w:t>
      </w:r>
      <w:r w:rsidR="004A2997">
        <w:t xml:space="preserve">gr/dscf </w:t>
      </w:r>
      <w:r w:rsidR="006B64A0" w:rsidRPr="006B64A0">
        <w:t>that are based on high efficiency multiclone</w:t>
      </w:r>
      <w:r w:rsidR="00265076">
        <w:t>s</w:t>
      </w:r>
      <w:r w:rsidR="006B64A0" w:rsidRPr="006B64A0">
        <w:t>.</w:t>
      </w:r>
    </w:p>
    <w:p w:rsidR="00F07571" w:rsidRDefault="006B64A0" w:rsidP="006B64A0">
      <w:r w:rsidRPr="006B64A0">
        <w:t>3.  Option C</w:t>
      </w:r>
      <w:r w:rsidR="00F07571">
        <w:t xml:space="preserve">:  </w:t>
      </w:r>
      <w:r w:rsidR="008E3E15">
        <w:t>by 2019</w:t>
      </w:r>
    </w:p>
    <w:p w:rsidR="006B64A0" w:rsidRPr="006B64A0" w:rsidRDefault="006B64A0" w:rsidP="00F07571">
      <w:pPr>
        <w:pStyle w:val="ListParagraph"/>
        <w:numPr>
          <w:ilvl w:val="0"/>
          <w:numId w:val="21"/>
        </w:numPr>
      </w:pPr>
      <w:proofErr w:type="gramStart"/>
      <w:r w:rsidRPr="006B64A0">
        <w:t>presumptive</w:t>
      </w:r>
      <w:proofErr w:type="gramEnd"/>
      <w:r w:rsidRPr="006B64A0">
        <w:t xml:space="preserve"> emission limit based on generic modeling and protective impacts; or source specific limit based on source specific modeling not to exceed 0.20 for pre-1970 sources and 0.15 for post-1970 sources.</w:t>
      </w:r>
    </w:p>
    <w:p w:rsidR="006B64A0" w:rsidRPr="006B64A0" w:rsidRDefault="006B64A0" w:rsidP="00F07571">
      <w:pPr>
        <w:pStyle w:val="ListParagraph"/>
        <w:numPr>
          <w:ilvl w:val="0"/>
          <w:numId w:val="21"/>
        </w:numPr>
      </w:pPr>
      <w:r w:rsidRPr="006B64A0">
        <w:t>5 years to comply with limits, 0.15 and 0.20 apply in the interim.</w:t>
      </w:r>
    </w:p>
    <w:p w:rsidR="006B64A0" w:rsidRPr="006B64A0" w:rsidRDefault="006B64A0" w:rsidP="006B64A0">
      <w:r w:rsidRPr="006B64A0">
        <w:t>4.  Exemptions:</w:t>
      </w:r>
      <w:r w:rsidRPr="006B64A0">
        <w:tab/>
        <w:t>limited use boilers/equipment (&lt;10% capacity factor): 0.2</w:t>
      </w:r>
      <w:r w:rsidR="00DC64C8">
        <w:t>5</w:t>
      </w:r>
      <w:r w:rsidRPr="006B64A0">
        <w:t xml:space="preserve"> for pre-1970, 0.15 for post-1970</w:t>
      </w:r>
    </w:p>
    <w:p w:rsidR="006B64A0" w:rsidRDefault="006B64A0" w:rsidP="006B64A0"/>
    <w:p w:rsidR="00DD6194" w:rsidRPr="006B64A0" w:rsidRDefault="00DD6194" w:rsidP="006B64A0"/>
    <w:p w:rsidR="006B64A0" w:rsidRPr="006B64A0" w:rsidRDefault="00DD6194" w:rsidP="006B64A0">
      <w:r>
        <w:t>Two</w:t>
      </w:r>
      <w:r w:rsidR="006B64A0" w:rsidRPr="006B64A0">
        <w:t xml:space="preserve"> options for </w:t>
      </w:r>
      <w:r>
        <w:t xml:space="preserve">pre-1970 </w:t>
      </w:r>
      <w:r w:rsidR="006B64A0" w:rsidRPr="006B64A0">
        <w:t>opacity:</w:t>
      </w:r>
    </w:p>
    <w:p w:rsidR="006B64A0" w:rsidRDefault="006B64A0" w:rsidP="006B64A0">
      <w:pPr>
        <w:numPr>
          <w:ilvl w:val="0"/>
          <w:numId w:val="19"/>
        </w:numPr>
      </w:pPr>
      <w:r w:rsidRPr="006B64A0">
        <w:t>O</w:t>
      </w:r>
      <w:r w:rsidR="004A2997">
        <w:t>ption</w:t>
      </w:r>
      <w:r w:rsidRPr="006B64A0">
        <w:t xml:space="preserve"> A – </w:t>
      </w:r>
      <w:r w:rsidR="00D36E80">
        <w:t xml:space="preserve">for all sources: </w:t>
      </w:r>
      <w:r w:rsidRPr="006B64A0">
        <w:t>20% opacity by 2019</w:t>
      </w:r>
    </w:p>
    <w:p w:rsidR="00D36E80" w:rsidRPr="006B64A0" w:rsidRDefault="00D36E80" w:rsidP="00D36E80">
      <w:pPr>
        <w:numPr>
          <w:ilvl w:val="0"/>
          <w:numId w:val="19"/>
        </w:numPr>
      </w:pPr>
      <w:r>
        <w:t>Option B – 30% opacity with continuous opacity monitoring system by 2016</w:t>
      </w:r>
    </w:p>
    <w:p w:rsidR="00265076" w:rsidRPr="006B64A0" w:rsidRDefault="00265076" w:rsidP="00D36E80">
      <w:pPr>
        <w:numPr>
          <w:ilvl w:val="0"/>
          <w:numId w:val="19"/>
        </w:numPr>
      </w:pPr>
      <w:r w:rsidRPr="006B64A0">
        <w:t>Exemptions:</w:t>
      </w:r>
    </w:p>
    <w:p w:rsidR="00265076" w:rsidRDefault="00D36E80" w:rsidP="00D36E80">
      <w:pPr>
        <w:numPr>
          <w:ilvl w:val="1"/>
          <w:numId w:val="19"/>
        </w:numPr>
      </w:pPr>
      <w:r>
        <w:t>1</w:t>
      </w:r>
      <w:r w:rsidR="00265076" w:rsidRPr="006B64A0">
        <w:t>2 minutes during any hour (2 six minute periods) not to exceed 40% opacity</w:t>
      </w:r>
      <w:r w:rsidR="00265076">
        <w:t xml:space="preserve"> </w:t>
      </w:r>
    </w:p>
    <w:p w:rsidR="00265076" w:rsidRPr="006B64A0" w:rsidRDefault="00265076" w:rsidP="00D36E80">
      <w:pPr>
        <w:numPr>
          <w:ilvl w:val="1"/>
          <w:numId w:val="19"/>
        </w:numPr>
      </w:pPr>
      <w:r w:rsidRPr="006B64A0">
        <w:t>40% opacity during grate cleaning or soot blowing performed in accordance with approved plant</w:t>
      </w:r>
    </w:p>
    <w:p w:rsidR="00265076" w:rsidRDefault="00265076" w:rsidP="00D36E80">
      <w:pPr>
        <w:numPr>
          <w:ilvl w:val="1"/>
          <w:numId w:val="19"/>
        </w:numPr>
      </w:pPr>
      <w:r w:rsidRPr="006B64A0">
        <w:t>40% opacity for limited use boilers/equipment</w:t>
      </w:r>
      <w:r w:rsidR="002C2D6E">
        <w:t xml:space="preserve"> (10% capacity factor)</w:t>
      </w:r>
    </w:p>
    <w:p w:rsidR="006B64A0" w:rsidRPr="006B64A0" w:rsidRDefault="006B64A0" w:rsidP="006B64A0"/>
    <w:p w:rsidR="006B64A0" w:rsidRPr="006B64A0" w:rsidRDefault="006B64A0" w:rsidP="006B64A0">
      <w:r w:rsidRPr="006B64A0">
        <w:t>Compliance:</w:t>
      </w:r>
    </w:p>
    <w:p w:rsidR="006B64A0" w:rsidRPr="006B64A0" w:rsidRDefault="006B64A0" w:rsidP="006B64A0"/>
    <w:p w:rsidR="00081B2C" w:rsidRPr="00081B2C" w:rsidRDefault="006B64A0" w:rsidP="00081B2C">
      <w:r w:rsidRPr="006B64A0">
        <w:t xml:space="preserve">As with the current standards, the standards must be met at all times. </w:t>
      </w:r>
      <w:r w:rsidR="00081B2C">
        <w:t>Compliance certifications require that the information submitted are true, accurate and complete. O</w:t>
      </w:r>
      <w:r w:rsidR="00081B2C" w:rsidRPr="00081B2C">
        <w:t>wner</w:t>
      </w:r>
      <w:r w:rsidR="00081B2C">
        <w:t>s</w:t>
      </w:r>
      <w:r w:rsidR="00081B2C" w:rsidRPr="00081B2C">
        <w:t xml:space="preserve"> or operator</w:t>
      </w:r>
      <w:r w:rsidR="00081B2C">
        <w:t>s</w:t>
      </w:r>
      <w:r w:rsidR="00081B2C" w:rsidRPr="00081B2C">
        <w:t xml:space="preserve"> must </w:t>
      </w:r>
      <w:r w:rsidR="00081B2C">
        <w:t xml:space="preserve">also </w:t>
      </w:r>
      <w:r w:rsidR="00081B2C" w:rsidRPr="00081B2C">
        <w:t xml:space="preserve">identify any other material information that must be included in the certification to comply with </w:t>
      </w:r>
      <w:r w:rsidR="00081B2C">
        <w:t>federal clean air act,</w:t>
      </w:r>
      <w:r w:rsidR="00081B2C" w:rsidRPr="00081B2C">
        <w:t xml:space="preserve"> which prohibits knowingly making a false certification or omitting material information</w:t>
      </w:r>
      <w:r w:rsidR="00081B2C">
        <w:t xml:space="preserve">.  </w:t>
      </w:r>
      <w:r w:rsidR="00081B2C" w:rsidRPr="00081B2C">
        <w:t>Based on conversations with businesses regarding intermittent compliance with grain loading and opacity standards, DEQ is very concerned about the compliance status</w:t>
      </w:r>
      <w:r w:rsidR="00613113">
        <w:t xml:space="preserve"> of these wood fired boilers and therefore </w:t>
      </w:r>
      <w:r w:rsidR="00081B2C" w:rsidRPr="00081B2C">
        <w:t>believes that a continuous opacity monitoring system (COMS) should be required. High opacity is a good indicator that the boiler is not operating well</w:t>
      </w:r>
      <w:r w:rsidR="00081B2C">
        <w:t xml:space="preserve"> and can </w:t>
      </w:r>
      <w:r w:rsidR="00613113">
        <w:t>trigger corrective action to prevent noncompliance with the opacity and grain loading standards</w:t>
      </w:r>
      <w:r w:rsidR="00081B2C" w:rsidRPr="00081B2C">
        <w:t>.</w:t>
      </w:r>
      <w:r w:rsidR="00613113">
        <w:t xml:space="preserve"> </w:t>
      </w:r>
    </w:p>
    <w:p w:rsidR="00081B2C" w:rsidRDefault="00081B2C" w:rsidP="00081B2C"/>
    <w:p w:rsidR="00081B2C" w:rsidRDefault="00081B2C" w:rsidP="00081B2C"/>
    <w:sectPr w:rsidR="00081B2C"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2C98"/>
    <w:multiLevelType w:val="hybridMultilevel"/>
    <w:tmpl w:val="4A3EA29C"/>
    <w:lvl w:ilvl="0" w:tplc="ED00DE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B6AE3"/>
    <w:multiLevelType w:val="hybridMultilevel"/>
    <w:tmpl w:val="86527F4A"/>
    <w:lvl w:ilvl="0" w:tplc="ED00DE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7767A"/>
    <w:multiLevelType w:val="hybridMultilevel"/>
    <w:tmpl w:val="0A4C464E"/>
    <w:lvl w:ilvl="0" w:tplc="97F2BFFE">
      <w:start w:val="1"/>
      <w:numFmt w:val="bullet"/>
      <w:lvlText w:val="•"/>
      <w:lvlJc w:val="left"/>
      <w:pPr>
        <w:tabs>
          <w:tab w:val="num" w:pos="720"/>
        </w:tabs>
        <w:ind w:left="720" w:hanging="360"/>
      </w:pPr>
      <w:rPr>
        <w:rFonts w:ascii="Arial" w:hAnsi="Arial" w:hint="default"/>
      </w:rPr>
    </w:lvl>
    <w:lvl w:ilvl="1" w:tplc="09B605A2" w:tentative="1">
      <w:start w:val="1"/>
      <w:numFmt w:val="bullet"/>
      <w:lvlText w:val="•"/>
      <w:lvlJc w:val="left"/>
      <w:pPr>
        <w:tabs>
          <w:tab w:val="num" w:pos="1440"/>
        </w:tabs>
        <w:ind w:left="1440" w:hanging="360"/>
      </w:pPr>
      <w:rPr>
        <w:rFonts w:ascii="Arial" w:hAnsi="Arial" w:hint="default"/>
      </w:rPr>
    </w:lvl>
    <w:lvl w:ilvl="2" w:tplc="96E079C0" w:tentative="1">
      <w:start w:val="1"/>
      <w:numFmt w:val="bullet"/>
      <w:lvlText w:val="•"/>
      <w:lvlJc w:val="left"/>
      <w:pPr>
        <w:tabs>
          <w:tab w:val="num" w:pos="2160"/>
        </w:tabs>
        <w:ind w:left="2160" w:hanging="360"/>
      </w:pPr>
      <w:rPr>
        <w:rFonts w:ascii="Arial" w:hAnsi="Arial" w:hint="default"/>
      </w:rPr>
    </w:lvl>
    <w:lvl w:ilvl="3" w:tplc="33B87B32" w:tentative="1">
      <w:start w:val="1"/>
      <w:numFmt w:val="bullet"/>
      <w:lvlText w:val="•"/>
      <w:lvlJc w:val="left"/>
      <w:pPr>
        <w:tabs>
          <w:tab w:val="num" w:pos="2880"/>
        </w:tabs>
        <w:ind w:left="2880" w:hanging="360"/>
      </w:pPr>
      <w:rPr>
        <w:rFonts w:ascii="Arial" w:hAnsi="Arial" w:hint="default"/>
      </w:rPr>
    </w:lvl>
    <w:lvl w:ilvl="4" w:tplc="B7560662" w:tentative="1">
      <w:start w:val="1"/>
      <w:numFmt w:val="bullet"/>
      <w:lvlText w:val="•"/>
      <w:lvlJc w:val="left"/>
      <w:pPr>
        <w:tabs>
          <w:tab w:val="num" w:pos="3600"/>
        </w:tabs>
        <w:ind w:left="3600" w:hanging="360"/>
      </w:pPr>
      <w:rPr>
        <w:rFonts w:ascii="Arial" w:hAnsi="Arial" w:hint="default"/>
      </w:rPr>
    </w:lvl>
    <w:lvl w:ilvl="5" w:tplc="42A4033A" w:tentative="1">
      <w:start w:val="1"/>
      <w:numFmt w:val="bullet"/>
      <w:lvlText w:val="•"/>
      <w:lvlJc w:val="left"/>
      <w:pPr>
        <w:tabs>
          <w:tab w:val="num" w:pos="4320"/>
        </w:tabs>
        <w:ind w:left="4320" w:hanging="360"/>
      </w:pPr>
      <w:rPr>
        <w:rFonts w:ascii="Arial" w:hAnsi="Arial" w:hint="default"/>
      </w:rPr>
    </w:lvl>
    <w:lvl w:ilvl="6" w:tplc="09F2EA80" w:tentative="1">
      <w:start w:val="1"/>
      <w:numFmt w:val="bullet"/>
      <w:lvlText w:val="•"/>
      <w:lvlJc w:val="left"/>
      <w:pPr>
        <w:tabs>
          <w:tab w:val="num" w:pos="5040"/>
        </w:tabs>
        <w:ind w:left="5040" w:hanging="360"/>
      </w:pPr>
      <w:rPr>
        <w:rFonts w:ascii="Arial" w:hAnsi="Arial" w:hint="default"/>
      </w:rPr>
    </w:lvl>
    <w:lvl w:ilvl="7" w:tplc="E7D6880A" w:tentative="1">
      <w:start w:val="1"/>
      <w:numFmt w:val="bullet"/>
      <w:lvlText w:val="•"/>
      <w:lvlJc w:val="left"/>
      <w:pPr>
        <w:tabs>
          <w:tab w:val="num" w:pos="5760"/>
        </w:tabs>
        <w:ind w:left="5760" w:hanging="360"/>
      </w:pPr>
      <w:rPr>
        <w:rFonts w:ascii="Arial" w:hAnsi="Arial" w:hint="default"/>
      </w:rPr>
    </w:lvl>
    <w:lvl w:ilvl="8" w:tplc="80ACAF1A" w:tentative="1">
      <w:start w:val="1"/>
      <w:numFmt w:val="bullet"/>
      <w:lvlText w:val="•"/>
      <w:lvlJc w:val="left"/>
      <w:pPr>
        <w:tabs>
          <w:tab w:val="num" w:pos="6480"/>
        </w:tabs>
        <w:ind w:left="6480" w:hanging="360"/>
      </w:pPr>
      <w:rPr>
        <w:rFonts w:ascii="Arial" w:hAnsi="Arial" w:hint="default"/>
      </w:rPr>
    </w:lvl>
  </w:abstractNum>
  <w:abstractNum w:abstractNumId="3">
    <w:nsid w:val="208C5F13"/>
    <w:multiLevelType w:val="hybridMultilevel"/>
    <w:tmpl w:val="61A68AAE"/>
    <w:lvl w:ilvl="0" w:tplc="9B2A263E">
      <w:start w:val="1"/>
      <w:numFmt w:val="bullet"/>
      <w:lvlText w:val="•"/>
      <w:lvlJc w:val="left"/>
      <w:pPr>
        <w:tabs>
          <w:tab w:val="num" w:pos="720"/>
        </w:tabs>
        <w:ind w:left="720" w:hanging="360"/>
      </w:pPr>
      <w:rPr>
        <w:rFonts w:ascii="Arial" w:hAnsi="Arial" w:hint="default"/>
      </w:rPr>
    </w:lvl>
    <w:lvl w:ilvl="1" w:tplc="7B780618">
      <w:start w:val="1538"/>
      <w:numFmt w:val="bullet"/>
      <w:lvlText w:val="–"/>
      <w:lvlJc w:val="left"/>
      <w:pPr>
        <w:tabs>
          <w:tab w:val="num" w:pos="1440"/>
        </w:tabs>
        <w:ind w:left="1440" w:hanging="360"/>
      </w:pPr>
      <w:rPr>
        <w:rFonts w:ascii="Arial" w:hAnsi="Arial" w:hint="default"/>
      </w:rPr>
    </w:lvl>
    <w:lvl w:ilvl="2" w:tplc="446C7284" w:tentative="1">
      <w:start w:val="1"/>
      <w:numFmt w:val="bullet"/>
      <w:lvlText w:val="•"/>
      <w:lvlJc w:val="left"/>
      <w:pPr>
        <w:tabs>
          <w:tab w:val="num" w:pos="2160"/>
        </w:tabs>
        <w:ind w:left="2160" w:hanging="360"/>
      </w:pPr>
      <w:rPr>
        <w:rFonts w:ascii="Arial" w:hAnsi="Arial" w:hint="default"/>
      </w:rPr>
    </w:lvl>
    <w:lvl w:ilvl="3" w:tplc="B396059E" w:tentative="1">
      <w:start w:val="1"/>
      <w:numFmt w:val="bullet"/>
      <w:lvlText w:val="•"/>
      <w:lvlJc w:val="left"/>
      <w:pPr>
        <w:tabs>
          <w:tab w:val="num" w:pos="2880"/>
        </w:tabs>
        <w:ind w:left="2880" w:hanging="360"/>
      </w:pPr>
      <w:rPr>
        <w:rFonts w:ascii="Arial" w:hAnsi="Arial" w:hint="default"/>
      </w:rPr>
    </w:lvl>
    <w:lvl w:ilvl="4" w:tplc="D5DCFFF4" w:tentative="1">
      <w:start w:val="1"/>
      <w:numFmt w:val="bullet"/>
      <w:lvlText w:val="•"/>
      <w:lvlJc w:val="left"/>
      <w:pPr>
        <w:tabs>
          <w:tab w:val="num" w:pos="3600"/>
        </w:tabs>
        <w:ind w:left="3600" w:hanging="360"/>
      </w:pPr>
      <w:rPr>
        <w:rFonts w:ascii="Arial" w:hAnsi="Arial" w:hint="default"/>
      </w:rPr>
    </w:lvl>
    <w:lvl w:ilvl="5" w:tplc="CF30E9D4" w:tentative="1">
      <w:start w:val="1"/>
      <w:numFmt w:val="bullet"/>
      <w:lvlText w:val="•"/>
      <w:lvlJc w:val="left"/>
      <w:pPr>
        <w:tabs>
          <w:tab w:val="num" w:pos="4320"/>
        </w:tabs>
        <w:ind w:left="4320" w:hanging="360"/>
      </w:pPr>
      <w:rPr>
        <w:rFonts w:ascii="Arial" w:hAnsi="Arial" w:hint="default"/>
      </w:rPr>
    </w:lvl>
    <w:lvl w:ilvl="6" w:tplc="0256E894" w:tentative="1">
      <w:start w:val="1"/>
      <w:numFmt w:val="bullet"/>
      <w:lvlText w:val="•"/>
      <w:lvlJc w:val="left"/>
      <w:pPr>
        <w:tabs>
          <w:tab w:val="num" w:pos="5040"/>
        </w:tabs>
        <w:ind w:left="5040" w:hanging="360"/>
      </w:pPr>
      <w:rPr>
        <w:rFonts w:ascii="Arial" w:hAnsi="Arial" w:hint="default"/>
      </w:rPr>
    </w:lvl>
    <w:lvl w:ilvl="7" w:tplc="229865A6" w:tentative="1">
      <w:start w:val="1"/>
      <w:numFmt w:val="bullet"/>
      <w:lvlText w:val="•"/>
      <w:lvlJc w:val="left"/>
      <w:pPr>
        <w:tabs>
          <w:tab w:val="num" w:pos="5760"/>
        </w:tabs>
        <w:ind w:left="5760" w:hanging="360"/>
      </w:pPr>
      <w:rPr>
        <w:rFonts w:ascii="Arial" w:hAnsi="Arial" w:hint="default"/>
      </w:rPr>
    </w:lvl>
    <w:lvl w:ilvl="8" w:tplc="EE8287D0" w:tentative="1">
      <w:start w:val="1"/>
      <w:numFmt w:val="bullet"/>
      <w:lvlText w:val="•"/>
      <w:lvlJc w:val="left"/>
      <w:pPr>
        <w:tabs>
          <w:tab w:val="num" w:pos="6480"/>
        </w:tabs>
        <w:ind w:left="6480" w:hanging="360"/>
      </w:pPr>
      <w:rPr>
        <w:rFonts w:ascii="Arial" w:hAnsi="Arial" w:hint="default"/>
      </w:rPr>
    </w:lvl>
  </w:abstractNum>
  <w:abstractNum w:abstractNumId="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06BC4"/>
    <w:multiLevelType w:val="hybridMultilevel"/>
    <w:tmpl w:val="D5F81A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636F99"/>
    <w:multiLevelType w:val="hybridMultilevel"/>
    <w:tmpl w:val="0DC8F358"/>
    <w:lvl w:ilvl="0" w:tplc="ED00DE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54F7B"/>
    <w:multiLevelType w:val="hybridMultilevel"/>
    <w:tmpl w:val="D868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00089"/>
    <w:multiLevelType w:val="hybridMultilevel"/>
    <w:tmpl w:val="909A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0">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1">
    <w:nsid w:val="57DC5110"/>
    <w:multiLevelType w:val="hybridMultilevel"/>
    <w:tmpl w:val="A1B4E500"/>
    <w:lvl w:ilvl="0" w:tplc="ED00DE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0F459F"/>
    <w:multiLevelType w:val="hybridMultilevel"/>
    <w:tmpl w:val="2ED6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4"/>
  </w:num>
  <w:num w:numId="12">
    <w:abstractNumId w:val="10"/>
  </w:num>
  <w:num w:numId="13">
    <w:abstractNumId w:val="3"/>
  </w:num>
  <w:num w:numId="14">
    <w:abstractNumId w:val="2"/>
  </w:num>
  <w:num w:numId="15">
    <w:abstractNumId w:val="8"/>
  </w:num>
  <w:num w:numId="16">
    <w:abstractNumId w:val="12"/>
  </w:num>
  <w:num w:numId="17">
    <w:abstractNumId w:val="6"/>
  </w:num>
  <w:num w:numId="18">
    <w:abstractNumId w:val="1"/>
  </w:num>
  <w:num w:numId="19">
    <w:abstractNumId w:val="5"/>
  </w:num>
  <w:num w:numId="20">
    <w:abstractNumId w:val="1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B16F4"/>
    <w:rsid w:val="000149A2"/>
    <w:rsid w:val="000459F4"/>
    <w:rsid w:val="000460DC"/>
    <w:rsid w:val="00081B2C"/>
    <w:rsid w:val="000B4697"/>
    <w:rsid w:val="000D5C02"/>
    <w:rsid w:val="00104AC6"/>
    <w:rsid w:val="00176EEF"/>
    <w:rsid w:val="00195444"/>
    <w:rsid w:val="001A22A5"/>
    <w:rsid w:val="001B1595"/>
    <w:rsid w:val="001F0FD8"/>
    <w:rsid w:val="001F4426"/>
    <w:rsid w:val="0020056E"/>
    <w:rsid w:val="00265076"/>
    <w:rsid w:val="002A506D"/>
    <w:rsid w:val="002C2D6E"/>
    <w:rsid w:val="00300E0E"/>
    <w:rsid w:val="00312201"/>
    <w:rsid w:val="003419DD"/>
    <w:rsid w:val="003A1E7B"/>
    <w:rsid w:val="003A60DE"/>
    <w:rsid w:val="003B7831"/>
    <w:rsid w:val="00400586"/>
    <w:rsid w:val="00414F67"/>
    <w:rsid w:val="00415855"/>
    <w:rsid w:val="0043117D"/>
    <w:rsid w:val="00451F91"/>
    <w:rsid w:val="004A2997"/>
    <w:rsid w:val="004A69AF"/>
    <w:rsid w:val="004B2364"/>
    <w:rsid w:val="004D578D"/>
    <w:rsid w:val="004F3769"/>
    <w:rsid w:val="005020D7"/>
    <w:rsid w:val="00526BD8"/>
    <w:rsid w:val="00583080"/>
    <w:rsid w:val="0058737B"/>
    <w:rsid w:val="005A4F7A"/>
    <w:rsid w:val="005B3E72"/>
    <w:rsid w:val="005D7215"/>
    <w:rsid w:val="00613113"/>
    <w:rsid w:val="006A116F"/>
    <w:rsid w:val="006A1C1A"/>
    <w:rsid w:val="006B64A0"/>
    <w:rsid w:val="006E4A30"/>
    <w:rsid w:val="006F65EA"/>
    <w:rsid w:val="007260E4"/>
    <w:rsid w:val="0072678D"/>
    <w:rsid w:val="007329B3"/>
    <w:rsid w:val="00732F05"/>
    <w:rsid w:val="00734469"/>
    <w:rsid w:val="007615C6"/>
    <w:rsid w:val="007C644B"/>
    <w:rsid w:val="008114C7"/>
    <w:rsid w:val="00822FC3"/>
    <w:rsid w:val="00882A13"/>
    <w:rsid w:val="008A12AC"/>
    <w:rsid w:val="008A5039"/>
    <w:rsid w:val="008A7A14"/>
    <w:rsid w:val="008C638D"/>
    <w:rsid w:val="008E3E15"/>
    <w:rsid w:val="00942A04"/>
    <w:rsid w:val="009B3E5A"/>
    <w:rsid w:val="00A931E0"/>
    <w:rsid w:val="00AE1F83"/>
    <w:rsid w:val="00AE630B"/>
    <w:rsid w:val="00B45EA8"/>
    <w:rsid w:val="00B517E5"/>
    <w:rsid w:val="00B80CC8"/>
    <w:rsid w:val="00BA746E"/>
    <w:rsid w:val="00BC407B"/>
    <w:rsid w:val="00C13E37"/>
    <w:rsid w:val="00C2695F"/>
    <w:rsid w:val="00CB3E5D"/>
    <w:rsid w:val="00CF2E54"/>
    <w:rsid w:val="00D36E80"/>
    <w:rsid w:val="00DC64C8"/>
    <w:rsid w:val="00DD6194"/>
    <w:rsid w:val="00DF1B53"/>
    <w:rsid w:val="00E60434"/>
    <w:rsid w:val="00E939D0"/>
    <w:rsid w:val="00EA1896"/>
    <w:rsid w:val="00EA2B8C"/>
    <w:rsid w:val="00EB4211"/>
    <w:rsid w:val="00ED5A52"/>
    <w:rsid w:val="00EE7544"/>
    <w:rsid w:val="00EF19FA"/>
    <w:rsid w:val="00EF4C04"/>
    <w:rsid w:val="00F032C1"/>
    <w:rsid w:val="00F07571"/>
    <w:rsid w:val="00F21A48"/>
    <w:rsid w:val="00F24902"/>
    <w:rsid w:val="00F3736D"/>
    <w:rsid w:val="00F40738"/>
    <w:rsid w:val="00F469F5"/>
    <w:rsid w:val="00F53C38"/>
    <w:rsid w:val="00FA69E6"/>
    <w:rsid w:val="00FB16F4"/>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606741870">
      <w:bodyDiv w:val="1"/>
      <w:marLeft w:val="0"/>
      <w:marRight w:val="0"/>
      <w:marTop w:val="0"/>
      <w:marBottom w:val="0"/>
      <w:divBdr>
        <w:top w:val="none" w:sz="0" w:space="0" w:color="auto"/>
        <w:left w:val="none" w:sz="0" w:space="0" w:color="auto"/>
        <w:bottom w:val="none" w:sz="0" w:space="0" w:color="auto"/>
        <w:right w:val="none" w:sz="0" w:space="0" w:color="auto"/>
      </w:divBdr>
      <w:divsChild>
        <w:div w:id="1545367591">
          <w:marLeft w:val="0"/>
          <w:marRight w:val="0"/>
          <w:marTop w:val="0"/>
          <w:marBottom w:val="0"/>
          <w:divBdr>
            <w:top w:val="none" w:sz="0" w:space="0" w:color="auto"/>
            <w:left w:val="none" w:sz="0" w:space="0" w:color="auto"/>
            <w:bottom w:val="none" w:sz="0" w:space="0" w:color="auto"/>
            <w:right w:val="none" w:sz="0" w:space="0" w:color="auto"/>
          </w:divBdr>
          <w:divsChild>
            <w:div w:id="1640384152">
              <w:marLeft w:val="0"/>
              <w:marRight w:val="0"/>
              <w:marTop w:val="0"/>
              <w:marBottom w:val="0"/>
              <w:divBdr>
                <w:top w:val="none" w:sz="0" w:space="0" w:color="auto"/>
                <w:left w:val="none" w:sz="0" w:space="0" w:color="auto"/>
                <w:bottom w:val="none" w:sz="0" w:space="0" w:color="auto"/>
                <w:right w:val="none" w:sz="0" w:space="0" w:color="auto"/>
              </w:divBdr>
              <w:divsChild>
                <w:div w:id="361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56441">
      <w:bodyDiv w:val="1"/>
      <w:marLeft w:val="0"/>
      <w:marRight w:val="0"/>
      <w:marTop w:val="0"/>
      <w:marBottom w:val="0"/>
      <w:divBdr>
        <w:top w:val="none" w:sz="0" w:space="0" w:color="auto"/>
        <w:left w:val="none" w:sz="0" w:space="0" w:color="auto"/>
        <w:bottom w:val="none" w:sz="0" w:space="0" w:color="auto"/>
        <w:right w:val="none" w:sz="0" w:space="0" w:color="auto"/>
      </w:divBdr>
    </w:div>
    <w:div w:id="1453750473">
      <w:bodyDiv w:val="1"/>
      <w:marLeft w:val="0"/>
      <w:marRight w:val="0"/>
      <w:marTop w:val="0"/>
      <w:marBottom w:val="0"/>
      <w:divBdr>
        <w:top w:val="none" w:sz="0" w:space="0" w:color="auto"/>
        <w:left w:val="none" w:sz="0" w:space="0" w:color="auto"/>
        <w:bottom w:val="none" w:sz="0" w:space="0" w:color="auto"/>
        <w:right w:val="none" w:sz="0" w:space="0" w:color="auto"/>
      </w:divBdr>
      <w:divsChild>
        <w:div w:id="377362466">
          <w:marLeft w:val="0"/>
          <w:marRight w:val="0"/>
          <w:marTop w:val="0"/>
          <w:marBottom w:val="0"/>
          <w:divBdr>
            <w:top w:val="none" w:sz="0" w:space="0" w:color="auto"/>
            <w:left w:val="none" w:sz="0" w:space="0" w:color="auto"/>
            <w:bottom w:val="none" w:sz="0" w:space="0" w:color="auto"/>
            <w:right w:val="none" w:sz="0" w:space="0" w:color="auto"/>
          </w:divBdr>
          <w:divsChild>
            <w:div w:id="1823306474">
              <w:marLeft w:val="0"/>
              <w:marRight w:val="0"/>
              <w:marTop w:val="0"/>
              <w:marBottom w:val="0"/>
              <w:divBdr>
                <w:top w:val="none" w:sz="0" w:space="0" w:color="auto"/>
                <w:left w:val="none" w:sz="0" w:space="0" w:color="auto"/>
                <w:bottom w:val="none" w:sz="0" w:space="0" w:color="auto"/>
                <w:right w:val="none" w:sz="0" w:space="0" w:color="auto"/>
              </w:divBdr>
              <w:divsChild>
                <w:div w:id="3255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3871">
      <w:bodyDiv w:val="1"/>
      <w:marLeft w:val="0"/>
      <w:marRight w:val="0"/>
      <w:marTop w:val="0"/>
      <w:marBottom w:val="0"/>
      <w:divBdr>
        <w:top w:val="none" w:sz="0" w:space="0" w:color="auto"/>
        <w:left w:val="none" w:sz="0" w:space="0" w:color="auto"/>
        <w:bottom w:val="none" w:sz="0" w:space="0" w:color="auto"/>
        <w:right w:val="none" w:sz="0" w:space="0" w:color="auto"/>
      </w:divBdr>
      <w:divsChild>
        <w:div w:id="636031650">
          <w:marLeft w:val="0"/>
          <w:marRight w:val="0"/>
          <w:marTop w:val="0"/>
          <w:marBottom w:val="0"/>
          <w:divBdr>
            <w:top w:val="none" w:sz="0" w:space="0" w:color="auto"/>
            <w:left w:val="none" w:sz="0" w:space="0" w:color="auto"/>
            <w:bottom w:val="none" w:sz="0" w:space="0" w:color="auto"/>
            <w:right w:val="none" w:sz="0" w:space="0" w:color="auto"/>
          </w:divBdr>
          <w:divsChild>
            <w:div w:id="2142571959">
              <w:marLeft w:val="0"/>
              <w:marRight w:val="0"/>
              <w:marTop w:val="0"/>
              <w:marBottom w:val="0"/>
              <w:divBdr>
                <w:top w:val="none" w:sz="0" w:space="0" w:color="auto"/>
                <w:left w:val="none" w:sz="0" w:space="0" w:color="auto"/>
                <w:bottom w:val="none" w:sz="0" w:space="0" w:color="auto"/>
                <w:right w:val="none" w:sz="0" w:space="0" w:color="auto"/>
              </w:divBdr>
              <w:divsChild>
                <w:div w:id="19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4387">
      <w:bodyDiv w:val="1"/>
      <w:marLeft w:val="0"/>
      <w:marRight w:val="0"/>
      <w:marTop w:val="0"/>
      <w:marBottom w:val="0"/>
      <w:divBdr>
        <w:top w:val="none" w:sz="0" w:space="0" w:color="auto"/>
        <w:left w:val="none" w:sz="0" w:space="0" w:color="auto"/>
        <w:bottom w:val="none" w:sz="0" w:space="0" w:color="auto"/>
        <w:right w:val="none" w:sz="0" w:space="0" w:color="auto"/>
      </w:divBdr>
      <w:divsChild>
        <w:div w:id="1851531143">
          <w:marLeft w:val="533"/>
          <w:marRight w:val="0"/>
          <w:marTop w:val="62"/>
          <w:marBottom w:val="0"/>
          <w:divBdr>
            <w:top w:val="none" w:sz="0" w:space="0" w:color="auto"/>
            <w:left w:val="none" w:sz="0" w:space="0" w:color="auto"/>
            <w:bottom w:val="none" w:sz="0" w:space="0" w:color="auto"/>
            <w:right w:val="none" w:sz="0" w:space="0" w:color="auto"/>
          </w:divBdr>
        </w:div>
        <w:div w:id="295646682">
          <w:marLeft w:val="533"/>
          <w:marRight w:val="0"/>
          <w:marTop w:val="62"/>
          <w:marBottom w:val="0"/>
          <w:divBdr>
            <w:top w:val="none" w:sz="0" w:space="0" w:color="auto"/>
            <w:left w:val="none" w:sz="0" w:space="0" w:color="auto"/>
            <w:bottom w:val="none" w:sz="0" w:space="0" w:color="auto"/>
            <w:right w:val="none" w:sz="0" w:space="0" w:color="auto"/>
          </w:divBdr>
        </w:div>
        <w:div w:id="295567473">
          <w:marLeft w:val="533"/>
          <w:marRight w:val="0"/>
          <w:marTop w:val="62"/>
          <w:marBottom w:val="0"/>
          <w:divBdr>
            <w:top w:val="none" w:sz="0" w:space="0" w:color="auto"/>
            <w:left w:val="none" w:sz="0" w:space="0" w:color="auto"/>
            <w:bottom w:val="none" w:sz="0" w:space="0" w:color="auto"/>
            <w:right w:val="none" w:sz="0" w:space="0" w:color="auto"/>
          </w:divBdr>
        </w:div>
        <w:div w:id="1899123358">
          <w:marLeft w:val="533"/>
          <w:marRight w:val="0"/>
          <w:marTop w:val="62"/>
          <w:marBottom w:val="0"/>
          <w:divBdr>
            <w:top w:val="none" w:sz="0" w:space="0" w:color="auto"/>
            <w:left w:val="none" w:sz="0" w:space="0" w:color="auto"/>
            <w:bottom w:val="none" w:sz="0" w:space="0" w:color="auto"/>
            <w:right w:val="none" w:sz="0" w:space="0" w:color="auto"/>
          </w:divBdr>
        </w:div>
        <w:div w:id="348988054">
          <w:marLeft w:val="533"/>
          <w:marRight w:val="0"/>
          <w:marTop w:val="62"/>
          <w:marBottom w:val="0"/>
          <w:divBdr>
            <w:top w:val="none" w:sz="0" w:space="0" w:color="auto"/>
            <w:left w:val="none" w:sz="0" w:space="0" w:color="auto"/>
            <w:bottom w:val="none" w:sz="0" w:space="0" w:color="auto"/>
            <w:right w:val="none" w:sz="0" w:space="0" w:color="auto"/>
          </w:divBdr>
        </w:div>
        <w:div w:id="1913807357">
          <w:marLeft w:val="533"/>
          <w:marRight w:val="0"/>
          <w:marTop w:val="62"/>
          <w:marBottom w:val="0"/>
          <w:divBdr>
            <w:top w:val="none" w:sz="0" w:space="0" w:color="auto"/>
            <w:left w:val="none" w:sz="0" w:space="0" w:color="auto"/>
            <w:bottom w:val="none" w:sz="0" w:space="0" w:color="auto"/>
            <w:right w:val="none" w:sz="0" w:space="0" w:color="auto"/>
          </w:divBdr>
        </w:div>
        <w:div w:id="1580476736">
          <w:marLeft w:val="533"/>
          <w:marRight w:val="0"/>
          <w:marTop w:val="62"/>
          <w:marBottom w:val="0"/>
          <w:divBdr>
            <w:top w:val="none" w:sz="0" w:space="0" w:color="auto"/>
            <w:left w:val="none" w:sz="0" w:space="0" w:color="auto"/>
            <w:bottom w:val="none" w:sz="0" w:space="0" w:color="auto"/>
            <w:right w:val="none" w:sz="0" w:space="0" w:color="auto"/>
          </w:divBdr>
        </w:div>
        <w:div w:id="293145316">
          <w:marLeft w:val="533"/>
          <w:marRight w:val="0"/>
          <w:marTop w:val="62"/>
          <w:marBottom w:val="0"/>
          <w:divBdr>
            <w:top w:val="none" w:sz="0" w:space="0" w:color="auto"/>
            <w:left w:val="none" w:sz="0" w:space="0" w:color="auto"/>
            <w:bottom w:val="none" w:sz="0" w:space="0" w:color="auto"/>
            <w:right w:val="none" w:sz="0" w:space="0" w:color="auto"/>
          </w:divBdr>
        </w:div>
        <w:div w:id="1465074956">
          <w:marLeft w:val="533"/>
          <w:marRight w:val="0"/>
          <w:marTop w:val="62"/>
          <w:marBottom w:val="0"/>
          <w:divBdr>
            <w:top w:val="none" w:sz="0" w:space="0" w:color="auto"/>
            <w:left w:val="none" w:sz="0" w:space="0" w:color="auto"/>
            <w:bottom w:val="none" w:sz="0" w:space="0" w:color="auto"/>
            <w:right w:val="none" w:sz="0" w:space="0" w:color="auto"/>
          </w:divBdr>
        </w:div>
        <w:div w:id="2015766922">
          <w:marLeft w:val="533"/>
          <w:marRight w:val="0"/>
          <w:marTop w:val="62"/>
          <w:marBottom w:val="0"/>
          <w:divBdr>
            <w:top w:val="none" w:sz="0" w:space="0" w:color="auto"/>
            <w:left w:val="none" w:sz="0" w:space="0" w:color="auto"/>
            <w:bottom w:val="none" w:sz="0" w:space="0" w:color="auto"/>
            <w:right w:val="none" w:sz="0" w:space="0" w:color="auto"/>
          </w:divBdr>
        </w:div>
        <w:div w:id="719747438">
          <w:marLeft w:val="533"/>
          <w:marRight w:val="0"/>
          <w:marTop w:val="62"/>
          <w:marBottom w:val="0"/>
          <w:divBdr>
            <w:top w:val="none" w:sz="0" w:space="0" w:color="auto"/>
            <w:left w:val="none" w:sz="0" w:space="0" w:color="auto"/>
            <w:bottom w:val="none" w:sz="0" w:space="0" w:color="auto"/>
            <w:right w:val="none" w:sz="0" w:space="0" w:color="auto"/>
          </w:divBdr>
        </w:div>
        <w:div w:id="213201798">
          <w:marLeft w:val="533"/>
          <w:marRight w:val="0"/>
          <w:marTop w:val="62"/>
          <w:marBottom w:val="0"/>
          <w:divBdr>
            <w:top w:val="none" w:sz="0" w:space="0" w:color="auto"/>
            <w:left w:val="none" w:sz="0" w:space="0" w:color="auto"/>
            <w:bottom w:val="none" w:sz="0" w:space="0" w:color="auto"/>
            <w:right w:val="none" w:sz="0" w:space="0" w:color="auto"/>
          </w:divBdr>
        </w:div>
        <w:div w:id="1139497330">
          <w:marLeft w:val="533"/>
          <w:marRight w:val="0"/>
          <w:marTop w:val="62"/>
          <w:marBottom w:val="0"/>
          <w:divBdr>
            <w:top w:val="none" w:sz="0" w:space="0" w:color="auto"/>
            <w:left w:val="none" w:sz="0" w:space="0" w:color="auto"/>
            <w:bottom w:val="none" w:sz="0" w:space="0" w:color="auto"/>
            <w:right w:val="none" w:sz="0" w:space="0" w:color="auto"/>
          </w:divBdr>
        </w:div>
        <w:div w:id="6107009">
          <w:marLeft w:val="1166"/>
          <w:marRight w:val="0"/>
          <w:marTop w:val="58"/>
          <w:marBottom w:val="0"/>
          <w:divBdr>
            <w:top w:val="none" w:sz="0" w:space="0" w:color="auto"/>
            <w:left w:val="none" w:sz="0" w:space="0" w:color="auto"/>
            <w:bottom w:val="none" w:sz="0" w:space="0" w:color="auto"/>
            <w:right w:val="none" w:sz="0" w:space="0" w:color="auto"/>
          </w:divBdr>
        </w:div>
        <w:div w:id="202060169">
          <w:marLeft w:val="1166"/>
          <w:marRight w:val="0"/>
          <w:marTop w:val="58"/>
          <w:marBottom w:val="0"/>
          <w:divBdr>
            <w:top w:val="none" w:sz="0" w:space="0" w:color="auto"/>
            <w:left w:val="none" w:sz="0" w:space="0" w:color="auto"/>
            <w:bottom w:val="none" w:sz="0" w:space="0" w:color="auto"/>
            <w:right w:val="none" w:sz="0" w:space="0" w:color="auto"/>
          </w:divBdr>
        </w:div>
        <w:div w:id="1857428705">
          <w:marLeft w:val="1166"/>
          <w:marRight w:val="0"/>
          <w:marTop w:val="58"/>
          <w:marBottom w:val="0"/>
          <w:divBdr>
            <w:top w:val="none" w:sz="0" w:space="0" w:color="auto"/>
            <w:left w:val="none" w:sz="0" w:space="0" w:color="auto"/>
            <w:bottom w:val="none" w:sz="0" w:space="0" w:color="auto"/>
            <w:right w:val="none" w:sz="0" w:space="0" w:color="auto"/>
          </w:divBdr>
        </w:div>
      </w:divsChild>
    </w:div>
    <w:div w:id="1737119928">
      <w:bodyDiv w:val="1"/>
      <w:marLeft w:val="0"/>
      <w:marRight w:val="0"/>
      <w:marTop w:val="0"/>
      <w:marBottom w:val="0"/>
      <w:divBdr>
        <w:top w:val="none" w:sz="0" w:space="0" w:color="auto"/>
        <w:left w:val="none" w:sz="0" w:space="0" w:color="auto"/>
        <w:bottom w:val="none" w:sz="0" w:space="0" w:color="auto"/>
        <w:right w:val="none" w:sz="0" w:space="0" w:color="auto"/>
      </w:divBdr>
      <w:divsChild>
        <w:div w:id="1349218615">
          <w:marLeft w:val="0"/>
          <w:marRight w:val="0"/>
          <w:marTop w:val="0"/>
          <w:marBottom w:val="0"/>
          <w:divBdr>
            <w:top w:val="none" w:sz="0" w:space="0" w:color="auto"/>
            <w:left w:val="none" w:sz="0" w:space="0" w:color="auto"/>
            <w:bottom w:val="none" w:sz="0" w:space="0" w:color="auto"/>
            <w:right w:val="none" w:sz="0" w:space="0" w:color="auto"/>
          </w:divBdr>
          <w:divsChild>
            <w:div w:id="1240366041">
              <w:marLeft w:val="0"/>
              <w:marRight w:val="0"/>
              <w:marTop w:val="0"/>
              <w:marBottom w:val="0"/>
              <w:divBdr>
                <w:top w:val="none" w:sz="0" w:space="0" w:color="auto"/>
                <w:left w:val="none" w:sz="0" w:space="0" w:color="auto"/>
                <w:bottom w:val="none" w:sz="0" w:space="0" w:color="auto"/>
                <w:right w:val="none" w:sz="0" w:space="0" w:color="auto"/>
              </w:divBdr>
              <w:divsChild>
                <w:div w:id="10153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6273">
      <w:bodyDiv w:val="1"/>
      <w:marLeft w:val="0"/>
      <w:marRight w:val="0"/>
      <w:marTop w:val="0"/>
      <w:marBottom w:val="0"/>
      <w:divBdr>
        <w:top w:val="none" w:sz="0" w:space="0" w:color="auto"/>
        <w:left w:val="none" w:sz="0" w:space="0" w:color="auto"/>
        <w:bottom w:val="none" w:sz="0" w:space="0" w:color="auto"/>
        <w:right w:val="none" w:sz="0" w:space="0" w:color="auto"/>
      </w:divBdr>
      <w:divsChild>
        <w:div w:id="102964875">
          <w:marLeft w:val="533"/>
          <w:marRight w:val="0"/>
          <w:marTop w:val="86"/>
          <w:marBottom w:val="0"/>
          <w:divBdr>
            <w:top w:val="none" w:sz="0" w:space="0" w:color="auto"/>
            <w:left w:val="none" w:sz="0" w:space="0" w:color="auto"/>
            <w:bottom w:val="none" w:sz="0" w:space="0" w:color="auto"/>
            <w:right w:val="none" w:sz="0" w:space="0" w:color="auto"/>
          </w:divBdr>
        </w:div>
        <w:div w:id="999113572">
          <w:marLeft w:val="533"/>
          <w:marRight w:val="0"/>
          <w:marTop w:val="86"/>
          <w:marBottom w:val="0"/>
          <w:divBdr>
            <w:top w:val="none" w:sz="0" w:space="0" w:color="auto"/>
            <w:left w:val="none" w:sz="0" w:space="0" w:color="auto"/>
            <w:bottom w:val="none" w:sz="0" w:space="0" w:color="auto"/>
            <w:right w:val="none" w:sz="0" w:space="0" w:color="auto"/>
          </w:divBdr>
        </w:div>
        <w:div w:id="2029795432">
          <w:marLeft w:val="533"/>
          <w:marRight w:val="0"/>
          <w:marTop w:val="86"/>
          <w:marBottom w:val="0"/>
          <w:divBdr>
            <w:top w:val="none" w:sz="0" w:space="0" w:color="auto"/>
            <w:left w:val="none" w:sz="0" w:space="0" w:color="auto"/>
            <w:bottom w:val="none" w:sz="0" w:space="0" w:color="auto"/>
            <w:right w:val="none" w:sz="0" w:space="0" w:color="auto"/>
          </w:divBdr>
        </w:div>
        <w:div w:id="2022001839">
          <w:marLeft w:val="533"/>
          <w:marRight w:val="0"/>
          <w:marTop w:val="86"/>
          <w:marBottom w:val="0"/>
          <w:divBdr>
            <w:top w:val="none" w:sz="0" w:space="0" w:color="auto"/>
            <w:left w:val="none" w:sz="0" w:space="0" w:color="auto"/>
            <w:bottom w:val="none" w:sz="0" w:space="0" w:color="auto"/>
            <w:right w:val="none" w:sz="0" w:space="0" w:color="auto"/>
          </w:divBdr>
        </w:div>
        <w:div w:id="1838303100">
          <w:marLeft w:val="533"/>
          <w:marRight w:val="0"/>
          <w:marTop w:val="86"/>
          <w:marBottom w:val="0"/>
          <w:divBdr>
            <w:top w:val="none" w:sz="0" w:space="0" w:color="auto"/>
            <w:left w:val="none" w:sz="0" w:space="0" w:color="auto"/>
            <w:bottom w:val="none" w:sz="0" w:space="0" w:color="auto"/>
            <w:right w:val="none" w:sz="0" w:space="0" w:color="auto"/>
          </w:divBdr>
        </w:div>
        <w:div w:id="2112771741">
          <w:marLeft w:val="533"/>
          <w:marRight w:val="0"/>
          <w:marTop w:val="86"/>
          <w:marBottom w:val="0"/>
          <w:divBdr>
            <w:top w:val="none" w:sz="0" w:space="0" w:color="auto"/>
            <w:left w:val="none" w:sz="0" w:space="0" w:color="auto"/>
            <w:bottom w:val="none" w:sz="0" w:space="0" w:color="auto"/>
            <w:right w:val="none" w:sz="0" w:space="0" w:color="auto"/>
          </w:divBdr>
        </w:div>
        <w:div w:id="1587576262">
          <w:marLeft w:val="533"/>
          <w:marRight w:val="0"/>
          <w:marTop w:val="86"/>
          <w:marBottom w:val="0"/>
          <w:divBdr>
            <w:top w:val="none" w:sz="0" w:space="0" w:color="auto"/>
            <w:left w:val="none" w:sz="0" w:space="0" w:color="auto"/>
            <w:bottom w:val="none" w:sz="0" w:space="0" w:color="auto"/>
            <w:right w:val="none" w:sz="0" w:space="0" w:color="auto"/>
          </w:divBdr>
        </w:div>
        <w:div w:id="894312378">
          <w:marLeft w:val="533"/>
          <w:marRight w:val="0"/>
          <w:marTop w:val="86"/>
          <w:marBottom w:val="0"/>
          <w:divBdr>
            <w:top w:val="none" w:sz="0" w:space="0" w:color="auto"/>
            <w:left w:val="none" w:sz="0" w:space="0" w:color="auto"/>
            <w:bottom w:val="none" w:sz="0" w:space="0" w:color="auto"/>
            <w:right w:val="none" w:sz="0" w:space="0" w:color="auto"/>
          </w:divBdr>
        </w:div>
        <w:div w:id="1009016916">
          <w:marLeft w:val="533"/>
          <w:marRight w:val="0"/>
          <w:marTop w:val="86"/>
          <w:marBottom w:val="0"/>
          <w:divBdr>
            <w:top w:val="none" w:sz="0" w:space="0" w:color="auto"/>
            <w:left w:val="none" w:sz="0" w:space="0" w:color="auto"/>
            <w:bottom w:val="none" w:sz="0" w:space="0" w:color="auto"/>
            <w:right w:val="none" w:sz="0" w:space="0" w:color="auto"/>
          </w:divBdr>
        </w:div>
        <w:div w:id="765274685">
          <w:marLeft w:val="533"/>
          <w:marRight w:val="0"/>
          <w:marTop w:val="86"/>
          <w:marBottom w:val="0"/>
          <w:divBdr>
            <w:top w:val="none" w:sz="0" w:space="0" w:color="auto"/>
            <w:left w:val="none" w:sz="0" w:space="0" w:color="auto"/>
            <w:bottom w:val="none" w:sz="0" w:space="0" w:color="auto"/>
            <w:right w:val="none" w:sz="0" w:space="0" w:color="auto"/>
          </w:divBdr>
        </w:div>
      </w:divsChild>
    </w:div>
    <w:div w:id="1954359266">
      <w:bodyDiv w:val="1"/>
      <w:marLeft w:val="0"/>
      <w:marRight w:val="0"/>
      <w:marTop w:val="0"/>
      <w:marBottom w:val="0"/>
      <w:divBdr>
        <w:top w:val="none" w:sz="0" w:space="0" w:color="auto"/>
        <w:left w:val="none" w:sz="0" w:space="0" w:color="auto"/>
        <w:bottom w:val="none" w:sz="0" w:space="0" w:color="auto"/>
        <w:right w:val="none" w:sz="0" w:space="0" w:color="auto"/>
      </w:divBdr>
      <w:divsChild>
        <w:div w:id="1504276617">
          <w:marLeft w:val="0"/>
          <w:marRight w:val="0"/>
          <w:marTop w:val="0"/>
          <w:marBottom w:val="0"/>
          <w:divBdr>
            <w:top w:val="none" w:sz="0" w:space="0" w:color="auto"/>
            <w:left w:val="none" w:sz="0" w:space="0" w:color="auto"/>
            <w:bottom w:val="none" w:sz="0" w:space="0" w:color="auto"/>
            <w:right w:val="none" w:sz="0" w:space="0" w:color="auto"/>
          </w:divBdr>
          <w:divsChild>
            <w:div w:id="2136636477">
              <w:marLeft w:val="0"/>
              <w:marRight w:val="0"/>
              <w:marTop w:val="0"/>
              <w:marBottom w:val="0"/>
              <w:divBdr>
                <w:top w:val="none" w:sz="0" w:space="0" w:color="auto"/>
                <w:left w:val="none" w:sz="0" w:space="0" w:color="auto"/>
                <w:bottom w:val="none" w:sz="0" w:space="0" w:color="auto"/>
                <w:right w:val="none" w:sz="0" w:space="0" w:color="auto"/>
              </w:divBdr>
              <w:divsChild>
                <w:div w:id="866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086">
      <w:bodyDiv w:val="1"/>
      <w:marLeft w:val="0"/>
      <w:marRight w:val="0"/>
      <w:marTop w:val="0"/>
      <w:marBottom w:val="0"/>
      <w:divBdr>
        <w:top w:val="none" w:sz="0" w:space="0" w:color="auto"/>
        <w:left w:val="none" w:sz="0" w:space="0" w:color="auto"/>
        <w:bottom w:val="none" w:sz="0" w:space="0" w:color="auto"/>
        <w:right w:val="none" w:sz="0" w:space="0" w:color="auto"/>
      </w:divBdr>
      <w:divsChild>
        <w:div w:id="1670405737">
          <w:marLeft w:val="0"/>
          <w:marRight w:val="0"/>
          <w:marTop w:val="0"/>
          <w:marBottom w:val="0"/>
          <w:divBdr>
            <w:top w:val="none" w:sz="0" w:space="0" w:color="auto"/>
            <w:left w:val="none" w:sz="0" w:space="0" w:color="auto"/>
            <w:bottom w:val="none" w:sz="0" w:space="0" w:color="auto"/>
            <w:right w:val="none" w:sz="0" w:space="0" w:color="auto"/>
          </w:divBdr>
          <w:divsChild>
            <w:div w:id="1285161193">
              <w:marLeft w:val="0"/>
              <w:marRight w:val="0"/>
              <w:marTop w:val="0"/>
              <w:marBottom w:val="0"/>
              <w:divBdr>
                <w:top w:val="none" w:sz="0" w:space="0" w:color="auto"/>
                <w:left w:val="none" w:sz="0" w:space="0" w:color="auto"/>
                <w:bottom w:val="none" w:sz="0" w:space="0" w:color="auto"/>
                <w:right w:val="none" w:sz="0" w:space="0" w:color="auto"/>
              </w:divBdr>
              <w:divsChild>
                <w:div w:id="2778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14</cp:revision>
  <dcterms:created xsi:type="dcterms:W3CDTF">2013-10-24T18:53:00Z</dcterms:created>
  <dcterms:modified xsi:type="dcterms:W3CDTF">2013-10-29T17:59:00Z</dcterms:modified>
</cp:coreProperties>
</file>