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7B0FBC" w:rsidP="00B34CF8">
      <w:pPr>
        <w:spacing w:after="120"/>
        <w:ind w:left="0" w:right="18"/>
        <w:outlineLvl w:val="0"/>
        <w:rPr>
          <w:rFonts w:ascii="Times New Roman" w:eastAsia="Times New Roman" w:hAnsi="Times New Roman" w:cs="Times New Roman"/>
        </w:rPr>
      </w:pPr>
      <w:r w:rsidRPr="007B0FB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F5700" w:rsidRPr="00C74D58" w:rsidRDefault="007F5700" w:rsidP="006751BA">
                  <w:pPr>
                    <w:tabs>
                      <w:tab w:val="left" w:pos="16582"/>
                    </w:tabs>
                    <w:ind w:left="0"/>
                    <w:jc w:val="center"/>
                    <w:rPr>
                      <w:rFonts w:ascii="Times New Roman" w:eastAsia="Times New Roman" w:hAnsi="Times New Roman" w:cs="Times New Roman"/>
                      <w:b/>
                      <w:color w:val="000000"/>
                    </w:rPr>
                  </w:pPr>
                </w:p>
                <w:p w:rsidR="007F5700" w:rsidRPr="00C74D58" w:rsidRDefault="007F570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F5700" w:rsidRPr="00C74D58" w:rsidRDefault="007F5700" w:rsidP="006751BA">
                  <w:pPr>
                    <w:tabs>
                      <w:tab w:val="left" w:pos="908"/>
                      <w:tab w:val="left" w:pos="16582"/>
                    </w:tabs>
                    <w:ind w:left="108"/>
                    <w:jc w:val="center"/>
                    <w:rPr>
                      <w:rFonts w:ascii="Times New Roman" w:eastAsia="Times New Roman" w:hAnsi="Times New Roman" w:cs="Times New Roman"/>
                      <w:b/>
                      <w:color w:val="000000"/>
                    </w:rPr>
                  </w:pPr>
                </w:p>
                <w:p w:rsidR="007F5700" w:rsidRPr="00A019B4" w:rsidRDefault="007F570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17, 2013</w:t>
                  </w:r>
                </w:p>
                <w:p w:rsidR="007F5700" w:rsidRPr="00A019B4" w:rsidRDefault="007F570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5C3744">
      <w:pPr>
        <w:ind w:left="1080" w:right="1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F2758">
      <w:pPr>
        <w:ind w:left="1080" w:right="1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361CB0">
      <w:pPr>
        <w:tabs>
          <w:tab w:val="left" w:pos="1440"/>
        </w:tabs>
        <w:ind w:left="1440" w:right="14"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are regulated by the permitting program </w:t>
      </w:r>
    </w:p>
    <w:p w:rsidR="00BD5BC2" w:rsidRPr="00D35ED0" w:rsidRDefault="00BD5BC2" w:rsidP="005C3744">
      <w:pPr>
        <w:ind w:left="1080" w:right="1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to be reorganized.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3C2903">
      <w:pPr>
        <w:ind w:left="1080" w:right="14"/>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00613D52" w:rsidRPr="00D35ED0">
        <w:rPr>
          <w:rFonts w:ascii="Times New Roman" w:hAnsi="Times New Roman" w:cs="Times New Roman"/>
          <w:bCs/>
        </w:rPr>
        <w:t xml:space="preserve"> </w:t>
      </w:r>
      <w:r>
        <w:rPr>
          <w:rFonts w:ascii="Times New Roman" w:hAnsi="Times New Roman" w:cs="Times New Roman"/>
          <w:bCs/>
        </w:rPr>
        <w:t xml:space="preserve"> that included less protective standards for “grandfathered” businesses that were operating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 xml:space="preserve">minimize costs, ensure that no biomass boilers would need to be converted to fossil fuel, and </w:t>
      </w:r>
      <w:r w:rsidR="00DA1CFC">
        <w:rPr>
          <w:rFonts w:ascii="Times New Roman" w:hAnsi="Times New Roman" w:cs="Times New Roman"/>
          <w:bCs/>
        </w:rPr>
        <w:t xml:space="preserve">assist affected businesses with the transition.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Stationary Reciprocating Internal Combustion Engines.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rFonts w:asciiTheme="minorHAnsi" w:eastAsia="Times New Roman" w:hAnsiTheme="minorHAnsi" w:cstheme="minorHAnsi"/>
          <w:u w:val="single"/>
        </w:rPr>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440767" w:rsidRPr="00396AC2" w:rsidRDefault="006E204D" w:rsidP="00440767">
      <w:pPr>
        <w:pStyle w:val="ListParagraph"/>
        <w:ind w:left="1080" w:right="18"/>
        <w:outlineLvl w:val="0"/>
        <w:rPr>
          <w:rFonts w:ascii="Times New Roman" w:eastAsia="Times New Roman" w:hAnsi="Times New Roman" w:cs="Times New Roman"/>
        </w:rPr>
      </w:pPr>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r w:rsidR="005A08B2" w:rsidRPr="00396AC2">
        <w:rPr>
          <w:rFonts w:ascii="Times New Roman" w:eastAsia="Times New Roman" w:hAnsi="Times New Roman" w:cs="Times New Roman"/>
        </w:rPr>
        <w:t>designation</w:t>
      </w:r>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p>
    <w:p w:rsidR="00440767" w:rsidRDefault="00440767" w:rsidP="00440767">
      <w:pPr>
        <w:pStyle w:val="ListParagraph"/>
        <w:ind w:left="1080" w:right="18"/>
        <w:outlineLvl w:val="0"/>
        <w:rPr>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rFonts w:ascii="Times New Roman" w:eastAsia="Times New Roman" w:hAnsi="Times New Roman" w:cs="Times New Roman"/>
          <w:u w:val="single"/>
        </w:rPr>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7F2758">
      <w:pPr>
        <w:ind w:left="720" w:right="18"/>
        <w:outlineLvl w:val="0"/>
        <w:rPr>
          <w:rFonts w:ascii="Times New Roman" w:eastAsia="Times New Roman" w:hAnsi="Times New Roman" w:cs="Times New Roman"/>
          <w:u w:val="single"/>
        </w:rPr>
      </w:pPr>
    </w:p>
    <w:p w:rsidR="007F2758" w:rsidRDefault="007F2758" w:rsidP="007F2758">
      <w:pPr>
        <w:ind w:left="1080" w:right="18"/>
        <w:outlineLvl w:val="0"/>
        <w:rPr>
          <w:rFonts w:ascii="Times New Roman" w:eastAsia="Times New Roman" w:hAnsi="Times New Roman" w:cs="Times New Roman"/>
          <w:u w:val="single"/>
        </w:rPr>
      </w:pPr>
      <w:r w:rsidRPr="00935508">
        <w:rPr>
          <w:rFonts w:ascii="Times New Roman" w:eastAsia="Times New Roman" w:hAnsi="Times New Roman" w:cs="Times New Roman"/>
        </w:rPr>
        <w:lastRenderedPageBreak/>
        <w:t>Air quality in Lakeview currently exceeds</w:t>
      </w:r>
      <w:r w:rsidRPr="007F2758">
        <w:rPr>
          <w:rFonts w:ascii="Times New Roman" w:eastAsia="Times New Roman" w:hAnsi="Times New Roman" w:cs="Times New Roman"/>
        </w:rPr>
        <w:t xml:space="preserve"> the ambient air quality standards for fine particulates. However, EPA has not </w:t>
      </w:r>
      <w:r w:rsidR="00537B1E">
        <w:rPr>
          <w:rFonts w:ascii="Times New Roman" w:eastAsia="Times New Roman" w:hAnsi="Times New Roman" w:cs="Times New Roman"/>
        </w:rPr>
        <w:t xml:space="preserve">yet </w:t>
      </w:r>
      <w:r w:rsidRPr="007F2758">
        <w:rPr>
          <w:rFonts w:ascii="Times New Roman" w:eastAsia="Times New Roman" w:hAnsi="Times New Roman" w:cs="Times New Roman"/>
        </w:rPr>
        <w:t xml:space="preserve">designated Lakeview as a nonattainment area. This makes it nearly impossible for </w:t>
      </w:r>
      <w:r w:rsidR="00E818B3">
        <w:rPr>
          <w:rFonts w:ascii="Times New Roman" w:eastAsia="Times New Roman" w:hAnsi="Times New Roman" w:cs="Times New Roman"/>
        </w:rPr>
        <w:t>industrial</w:t>
      </w:r>
      <w:r w:rsidRPr="007F2758">
        <w:rPr>
          <w:rFonts w:ascii="Times New Roman" w:eastAsia="Times New Roman" w:hAnsi="Times New Roman" w:cs="Times New Roman"/>
        </w:rPr>
        <w:t xml:space="preserve"> business to build or expand in the Lakeview area because permitting provisions for areas that </w:t>
      </w:r>
      <w:r w:rsidR="007D0FC4">
        <w:rPr>
          <w:rFonts w:ascii="Times New Roman" w:eastAsia="Times New Roman" w:hAnsi="Times New Roman" w:cs="Times New Roman"/>
        </w:rPr>
        <w:t>violate</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federal</w:t>
      </w:r>
      <w:r w:rsidRPr="007F2758">
        <w:rPr>
          <w:rFonts w:ascii="Times New Roman" w:eastAsia="Times New Roman" w:hAnsi="Times New Roman" w:cs="Times New Roman"/>
        </w:rPr>
        <w:t xml:space="preserve"> air quality standards</w:t>
      </w:r>
      <w:r w:rsidR="007D0FC4">
        <w:rPr>
          <w:rFonts w:ascii="Times New Roman" w:eastAsia="Times New Roman" w:hAnsi="Times New Roman" w:cs="Times New Roman"/>
        </w:rPr>
        <w:t xml:space="preserve"> are not available in attainment areas</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7F2758">
        <w:rPr>
          <w:rFonts w:ascii="Times New Roman" w:eastAsia="Times New Roman" w:hAnsi="Times New Roman" w:cs="Times New Roman"/>
        </w:rPr>
        <w:t>providing Lakeview with new tools to improve ambient air quality</w:t>
      </w:r>
      <w:r w:rsidR="00537B1E">
        <w:rPr>
          <w:rFonts w:ascii="Times New Roman" w:eastAsia="Times New Roman" w:hAnsi="Times New Roman" w:cs="Times New Roman"/>
        </w:rPr>
        <w:t xml:space="preserve"> and more flexible permitting requirements</w:t>
      </w:r>
      <w:r w:rsidRPr="007F2758">
        <w:rPr>
          <w:rFonts w:ascii="Times New Roman" w:eastAsia="Times New Roman" w:hAnsi="Times New Roman" w:cs="Times New Roman"/>
        </w:rPr>
        <w:t>.</w:t>
      </w:r>
    </w:p>
    <w:p w:rsidR="007F2758" w:rsidRPr="007F2758" w:rsidRDefault="007F2758" w:rsidP="007F2758">
      <w:pPr>
        <w:ind w:left="720" w:right="18"/>
        <w:outlineLvl w:val="0"/>
        <w:rPr>
          <w:rFonts w:ascii="Times New Roman" w:eastAsia="Times New Roman" w:hAnsi="Times New Roman" w:cs="Times New Roman"/>
          <w:u w:val="single"/>
        </w:rPr>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NSR requirements for sources above and below the federal major source threshold and would establish NSR requirements for the proposed new sustainment and reattainment area designations.</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0954CE" w:rsidRDefault="000954CE" w:rsidP="003C2903">
      <w:pPr>
        <w:pStyle w:val="ListParagraph"/>
        <w:numPr>
          <w:ilvl w:val="0"/>
          <w:numId w:val="19"/>
        </w:numPr>
        <w:ind w:right="1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CC307C">
      <w:pPr>
        <w:ind w:left="1080"/>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79478B" w:rsidRPr="00060528">
        <w:rPr>
          <w:rFonts w:ascii="Times New Roman" w:eastAsia="Times New Roman" w:hAnsi="Times New Roman" w:cs="Times New Roman"/>
        </w:rPr>
        <w:t xml:space="preserve">national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These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lastRenderedPageBreak/>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(BART)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commentRangeStart w:id="0"/>
            <w:r w:rsidRPr="004272FD">
              <w:rPr>
                <w:rFonts w:ascii="Times New Roman" w:eastAsia="Times New Roman" w:hAnsi="Times New Roman" w:cs="Times New Roman"/>
              </w:rPr>
              <w:lastRenderedPageBreak/>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commentRangeEnd w:id="0"/>
            <w:r w:rsidR="0070224C">
              <w:rPr>
                <w:rStyle w:val="CommentReference"/>
              </w:rPr>
              <w:commentReference w:id="0"/>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712AA9">
              <w:rPr>
                <w:rFonts w:ascii="Times New Roman" w:eastAsia="Times New Roman" w:hAnsi="Times New Roman" w:cs="Times New Roman"/>
              </w:rPr>
              <w:t>up to 70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Mill City and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lastRenderedPageBreak/>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5B7826" w:rsidP="00137427">
            <w:pPr>
              <w:pStyle w:val="ListParagraph"/>
              <w:numPr>
                <w:ilvl w:val="0"/>
                <w:numId w:val="14"/>
              </w:numPr>
              <w:ind w:right="18"/>
              <w:rPr>
                <w:rFonts w:ascii="Times New Roman" w:eastAsia="Times New Roman" w:hAnsi="Times New Roman" w:cs="Times New Roman"/>
                <w:bCs/>
              </w:rPr>
            </w:pPr>
            <w:r w:rsidRPr="00E638D3" w:rsidDel="00BA69EF">
              <w:rPr>
                <w:rFonts w:ascii="Times New Roman" w:eastAsia="Times New Roman" w:hAnsi="Times New Roman" w:cs="Times New Roman"/>
                <w:bCs/>
              </w:rPr>
              <w:t>Post 1970 unit: 0.1 gr/dscf and 20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coarse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includes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 xml:space="preserve">minute </w:t>
            </w:r>
            <w:r w:rsidR="005B7826" w:rsidRPr="00E638D3">
              <w:rPr>
                <w:rFonts w:ascii="Times New Roman" w:eastAsia="Times New Roman" w:hAnsi="Times New Roman" w:cs="Times New Roman"/>
              </w:rPr>
              <w:lastRenderedPageBreak/>
              <w:t>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modified EPA Method 9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005B7826"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F5CD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In addition to addressing problems with the </w:t>
            </w:r>
            <w:r w:rsidR="005A08B2">
              <w:rPr>
                <w:rFonts w:ascii="Times New Roman" w:eastAsia="Times New Roman" w:hAnsi="Times New Roman" w:cs="Times New Roman"/>
              </w:rPr>
              <w:t>statewide</w:t>
            </w:r>
            <w:r>
              <w:rPr>
                <w:rFonts w:ascii="Times New Roman" w:eastAsia="Times New Roman" w:hAnsi="Times New Roman" w:cs="Times New Roman"/>
              </w:rPr>
              <w:t xml:space="preserve"> opacity standard, the proposal is intended to address similar problems with a</w:t>
            </w:r>
            <w:r w:rsidR="008C4024">
              <w:rPr>
                <w:rFonts w:ascii="Times New Roman" w:eastAsia="Times New Roman" w:hAnsi="Times New Roman" w:cs="Times New Roman"/>
              </w:rPr>
              <w:t xml:space="preserve"> local</w:t>
            </w:r>
            <w:r>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or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p>
          <w:p w:rsidR="00A413FE" w:rsidRDefault="00A413FE" w:rsidP="00A413FE">
            <w:pPr>
              <w:ind w:left="0" w:right="18"/>
              <w:rPr>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 xml:space="preserve">ractically increase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sidR="002B6A4B">
              <w:rPr>
                <w:rFonts w:ascii="Times New Roman" w:eastAsia="Times New Roman" w:hAnsi="Times New Roman" w:cs="Times New Roman"/>
              </w:rPr>
              <w:t>-</w:t>
            </w:r>
            <w:r w:rsidRPr="00E638D3">
              <w:rPr>
                <w:rFonts w:ascii="Times New Roman" w:eastAsia="Times New Roman" w:hAnsi="Times New Roman" w:cs="Times New Roman"/>
              </w:rPr>
              <w:t>1970 units.</w:t>
            </w:r>
            <w:r w:rsidR="00DC064E">
              <w:rPr>
                <w:rFonts w:ascii="Times New Roman" w:eastAsia="Times New Roman" w:hAnsi="Times New Roman" w:cs="Times New Roman"/>
              </w:rPr>
              <w:t xml:space="preserve"> </w:t>
            </w:r>
            <w:commentRangeStart w:id="1"/>
            <w:r w:rsidR="00A12508">
              <w:rPr>
                <w:rFonts w:ascii="Times New Roman" w:eastAsia="Times New Roman" w:hAnsi="Times New Roman" w:cs="Times New Roman"/>
              </w:rPr>
              <w:t xml:space="preserve">The proposal would allow businesses a six year transition period with an opportunity for additional extensions if necessary. The proposal ensures that no business would be required to replace a boiler by providing an option to install </w:t>
            </w:r>
            <w:r w:rsidR="00ED3AF5">
              <w:rPr>
                <w:rFonts w:ascii="Times New Roman" w:eastAsia="Times New Roman" w:hAnsi="Times New Roman" w:cs="Times New Roman"/>
              </w:rPr>
              <w:t xml:space="preserve">or upgrade </w:t>
            </w:r>
            <w:r w:rsidR="00A12508">
              <w:rPr>
                <w:rFonts w:ascii="Times New Roman" w:eastAsia="Times New Roman" w:hAnsi="Times New Roman" w:cs="Times New Roman"/>
              </w:rPr>
              <w:t>basic emission control equipment in lieu of meeting the revised standards.</w:t>
            </w:r>
            <w:commentRangeEnd w:id="1"/>
            <w:r w:rsidR="00A12508">
              <w:rPr>
                <w:rStyle w:val="CommentReference"/>
              </w:rPr>
              <w:commentReference w:id="1"/>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lastRenderedPageBreak/>
              <w:t xml:space="preserve">To align the particulate matter standard with EPA’s policy that standards have 2 significant figures, </w:t>
            </w:r>
            <w:r w:rsidR="00FD4B2E" w:rsidRPr="00ED3AF5">
              <w:rPr>
                <w:rFonts w:ascii="Times New Roman" w:eastAsia="Times New Roman" w:hAnsi="Times New Roman" w:cs="Times New Roman"/>
                <w:highlight w:val="magenta"/>
              </w:rPr>
              <w:t xml:space="preserve">DEQ is proposing to </w:t>
            </w:r>
            <w:r w:rsidRPr="00ED3AF5">
              <w:rPr>
                <w:rFonts w:ascii="Times New Roman" w:eastAsia="Times New Roman" w:hAnsi="Times New Roman" w:cs="Times New Roman"/>
                <w:highlight w:val="magenta"/>
              </w:rPr>
              <w:t>chang</w:t>
            </w:r>
            <w:r w:rsidR="00F615A3" w:rsidRPr="00ED3AF5">
              <w:rPr>
                <w:rFonts w:ascii="Times New Roman" w:eastAsia="Times New Roman" w:hAnsi="Times New Roman" w:cs="Times New Roman"/>
                <w:highlight w:val="magenta"/>
              </w:rPr>
              <w:t>e the standard</w:t>
            </w:r>
            <w:r w:rsidRPr="00ED3AF5">
              <w:rPr>
                <w:rFonts w:ascii="Times New Roman" w:eastAsia="Times New Roman" w:hAnsi="Times New Roman" w:cs="Times New Roman"/>
                <w:highlight w:val="magenta"/>
              </w:rPr>
              <w:t xml:space="preserve"> from 0.1 gr/dscf </w:t>
            </w:r>
            <w:r w:rsidR="002111C1" w:rsidRPr="00ED3AF5">
              <w:rPr>
                <w:rFonts w:ascii="Times New Roman" w:eastAsia="Times New Roman" w:hAnsi="Times New Roman" w:cs="Times New Roman"/>
                <w:highlight w:val="magenta"/>
              </w:rPr>
              <w:t>to 0.10</w:t>
            </w:r>
            <w:r w:rsidR="00FD4B2E" w:rsidRPr="00ED3AF5">
              <w:rPr>
                <w:rFonts w:ascii="Times New Roman" w:eastAsia="Times New Roman" w:hAnsi="Times New Roman" w:cs="Times New Roman"/>
                <w:highlight w:val="magenta"/>
              </w:rPr>
              <w:t xml:space="preserve"> gr/dscf.</w:t>
            </w:r>
            <w:r w:rsidR="00F615A3">
              <w:rPr>
                <w:rFonts w:ascii="Times New Roman" w:eastAsia="Times New Roman" w:hAnsi="Times New Roman" w:cs="Times New Roman"/>
              </w:rPr>
              <w:t xml:space="preserve"> This prevents rounding that currently allows compliance with emissions up to 150% of standard.</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w:t>
            </w:r>
            <w:r w:rsidR="00ED3AF5">
              <w:rPr>
                <w:rFonts w:ascii="Times New Roman" w:eastAsia="Times New Roman" w:hAnsi="Times New Roman" w:cs="Times New Roman"/>
              </w:rPr>
              <w:t>9</w:t>
            </w:r>
            <w:r w:rsidR="00427970" w:rsidRPr="00E638D3">
              <w:rPr>
                <w:rFonts w:ascii="Times New Roman" w:eastAsia="Times New Roman" w:hAnsi="Times New Roman" w:cs="Times New Roman"/>
              </w:rPr>
              <w:t xml:space="preserve"> to comply with </w:t>
            </w:r>
            <w:r w:rsidR="00ED3AF5">
              <w:rPr>
                <w:rFonts w:ascii="Times New Roman" w:eastAsia="Times New Roman" w:hAnsi="Times New Roman" w:cs="Times New Roman"/>
              </w:rPr>
              <w:t xml:space="preserve">both </w:t>
            </w:r>
            <w:r w:rsidR="00427970" w:rsidRPr="00E638D3">
              <w:rPr>
                <w:rFonts w:ascii="Times New Roman" w:eastAsia="Times New Roman" w:hAnsi="Times New Roman" w:cs="Times New Roman"/>
              </w:rPr>
              <w:t>the lower opacity standard</w:t>
            </w:r>
            <w:r w:rsidR="00427970">
              <w:rPr>
                <w:rFonts w:ascii="Times New Roman" w:eastAsia="Times New Roman" w:hAnsi="Times New Roman" w:cs="Times New Roman"/>
              </w:rPr>
              <w:t xml:space="preserve"> and </w:t>
            </w:r>
            <w:r w:rsidRPr="00E638D3">
              <w:rPr>
                <w:rFonts w:ascii="Times New Roman" w:eastAsia="Times New Roman" w:hAnsi="Times New Roman" w:cs="Times New Roman"/>
              </w:rPr>
              <w:t>the lower particulate matter standard</w:t>
            </w:r>
            <w:r>
              <w:rPr>
                <w:rFonts w:ascii="Times New Roman" w:eastAsia="Times New Roman" w:hAnsi="Times New Roman" w:cs="Times New Roman"/>
              </w:rPr>
              <w:t>.</w:t>
            </w:r>
            <w:r w:rsidR="00F615A3">
              <w:rPr>
                <w:rFonts w:ascii="Times New Roman" w:eastAsia="Times New Roman" w:hAnsi="Times New Roman" w:cs="Times New Roman"/>
              </w:rPr>
              <w:t xml:space="preserve"> This six-year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w:t>
            </w:r>
            <w:commentRangeStart w:id="2"/>
            <w:r w:rsidR="00613367">
              <w:rPr>
                <w:rFonts w:ascii="Times New Roman" w:eastAsia="Times New Roman" w:hAnsi="Times New Roman" w:cs="Times New Roman"/>
              </w:rPr>
              <w:t>As noted above, the proposal would also allow businesses to apply for an extension if needed.</w:t>
            </w:r>
            <w:commentRangeEnd w:id="2"/>
            <w:r w:rsidR="00613367">
              <w:rPr>
                <w:rStyle w:val="CommentReference"/>
              </w:rPr>
              <w:commentReference w:id="2"/>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to 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 opacity standards</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400EF8">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that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lastRenderedPageBreak/>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477F16">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designed by EPA as “nonattainment” areas, while all other areas are designated as “attainment” or “unclassifiable” areas. Under current Oregon law, former nonattainment areas that are reclassified by EPA to attainment are designated as “maintenance” areas under state law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w:t>
            </w:r>
            <w:r w:rsidRPr="00133A57">
              <w:rPr>
                <w:rFonts w:ascii="Times New Roman" w:eastAsia="Times New Roman" w:hAnsi="Times New Roman" w:cs="Times New Roman"/>
              </w:rPr>
              <w:lastRenderedPageBreak/>
              <w:t xml:space="preserve">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How would the proposed rule solve the problem?</w:t>
            </w:r>
          </w:p>
        </w:tc>
        <w:tc>
          <w:tcPr>
            <w:tcW w:w="8280" w:type="dxa"/>
            <w:tcBorders>
              <w:bottom w:val="dotted" w:sz="4" w:space="0" w:color="auto"/>
            </w:tcBorders>
            <w:shd w:val="clear" w:color="auto" w:fill="auto"/>
          </w:tcPr>
          <w:p w:rsidR="00A040A2" w:rsidRDefault="0051019C" w:rsidP="00A040A2">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A040A2">
            <w:pPr>
              <w:pStyle w:val="ListParagraph"/>
              <w:ind w:left="0" w:right="18"/>
              <w:outlineLvl w:val="0"/>
              <w:rPr>
                <w:rFonts w:ascii="Times New Roman" w:eastAsia="Times New Roman" w:hAnsi="Times New Roman" w:cs="Times New Roman"/>
              </w:rPr>
            </w:pPr>
          </w:p>
          <w:p w:rsidR="0051019C" w:rsidRPr="00133A57" w:rsidRDefault="0051019C"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51019C">
            <w:pPr>
              <w:pStyle w:val="ListParagraph"/>
              <w:ind w:left="0" w:right="18"/>
              <w:outlineLvl w:val="0"/>
              <w:rPr>
                <w:rFonts w:ascii="Times New Roman" w:eastAsia="Times New Roman" w:hAnsi="Times New Roman" w:cs="Times New Roman"/>
              </w:rPr>
            </w:pPr>
          </w:p>
          <w:p w:rsidR="00133A57" w:rsidRPr="00133A57" w:rsidRDefault="00533497" w:rsidP="0051019C">
            <w:pPr>
              <w:pStyle w:val="ListParagraph"/>
              <w:ind w:left="0" w:right="18"/>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133A57" w:rsidRPr="00133A57" w:rsidRDefault="00133A57" w:rsidP="0051019C">
            <w:pPr>
              <w:pStyle w:val="ListParagraph"/>
              <w:ind w:left="0" w:right="18"/>
              <w:outlineLvl w:val="0"/>
              <w:rPr>
                <w:rFonts w:ascii="Times New Roman" w:eastAsia="Times New Roman" w:hAnsi="Times New Roman" w:cs="Times New Roman"/>
              </w:rPr>
            </w:pPr>
          </w:p>
          <w:p w:rsidR="00784187" w:rsidRPr="00133A57" w:rsidRDefault="00423957"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51019C">
            <w:pPr>
              <w:pStyle w:val="ListParagraph"/>
              <w:ind w:left="0" w:right="18"/>
              <w:outlineLvl w:val="0"/>
              <w:rPr>
                <w:rFonts w:ascii="Times New Roman" w:eastAsia="Times New Roman" w:hAnsi="Times New Roman" w:cs="Times New Roman"/>
              </w:rPr>
            </w:pPr>
          </w:p>
          <w:p w:rsidR="00A040A2" w:rsidRPr="00133A57" w:rsidRDefault="00784187" w:rsidP="0051019C">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part of the sustainment area designation as the primary cause of degraded air quality (see section 6 below).</w:t>
            </w:r>
          </w:p>
          <w:p w:rsidR="00A040A2" w:rsidRPr="00133A57" w:rsidRDefault="00A040A2" w:rsidP="0051019C">
            <w:pPr>
              <w:pStyle w:val="ListParagraph"/>
              <w:ind w:left="0" w:right="18"/>
              <w:outlineLvl w:val="0"/>
              <w:rPr>
                <w:rFonts w:ascii="Times New Roman" w:eastAsia="Times New Roman" w:hAnsi="Times New Roman" w:cs="Times New Roman"/>
              </w:rPr>
            </w:pPr>
          </w:p>
          <w:p w:rsidR="0051019C" w:rsidRPr="00133A57" w:rsidRDefault="00533497" w:rsidP="00270D01">
            <w:pPr>
              <w:ind w:left="0" w:right="18"/>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51019C" w:rsidRPr="00133A57" w:rsidRDefault="0051019C" w:rsidP="00270D01">
            <w:pPr>
              <w:ind w:left="0" w:right="18"/>
              <w:rPr>
                <w:rFonts w:ascii="Times New Roman" w:eastAsia="Times New Roman" w:hAnsi="Times New Roman" w:cs="Times New Roman"/>
              </w:rPr>
            </w:pPr>
          </w:p>
          <w:p w:rsidR="00377170" w:rsidRDefault="00591241">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w:t>
            </w:r>
            <w:r w:rsidR="007F02B6">
              <w:rPr>
                <w:rFonts w:ascii="Times New Roman" w:eastAsia="Times New Roman" w:hAnsi="Times New Roman" w:cs="Times New Roman"/>
              </w:rPr>
              <w:lastRenderedPageBreak/>
              <w:t xml:space="preserve">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133A57">
            <w:pPr>
              <w:ind w:left="0" w:right="18"/>
              <w:rPr>
                <w:rFonts w:ascii="Times New Roman" w:eastAsia="Times New Roman" w:hAnsi="Times New Roman" w:cs="Times New Roman"/>
              </w:rPr>
            </w:pPr>
          </w:p>
          <w:p w:rsidR="00133A57" w:rsidRPr="00133A57" w:rsidRDefault="007F02B6" w:rsidP="00591241">
            <w:pPr>
              <w:ind w:left="0" w:right="18"/>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the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2D31BC">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2D31BC">
            <w:pPr>
              <w:keepNext/>
              <w:keepLines/>
              <w:ind w:left="0" w:right="14"/>
              <w:rPr>
                <w:rFonts w:ascii="Times New Roman" w:eastAsia="Times New Roman" w:hAnsi="Times New Roman" w:cs="Times New Roman"/>
              </w:rPr>
            </w:pPr>
          </w:p>
          <w:p w:rsidR="00E14911" w:rsidRPr="00E14911" w:rsidRDefault="007A5842" w:rsidP="00E86786">
            <w:pPr>
              <w:keepNext/>
              <w:keepLines/>
              <w:spacing w:after="120"/>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commentRangeStart w:id="3"/>
            <w:r>
              <w:rPr>
                <w:rFonts w:ascii="Times New Roman" w:eastAsia="Times New Roman" w:hAnsi="Times New Roman" w:cs="Times New Roman"/>
              </w:rPr>
              <w:t xml:space="preserve">The PM Advance plan currently being developed would serve as the prevention plan required by the sustainment area designation. </w:t>
            </w:r>
            <w:commentRangeEnd w:id="3"/>
            <w:r w:rsidR="002D31BC">
              <w:rPr>
                <w:rStyle w:val="CommentReference"/>
              </w:rPr>
              <w:commentReference w:id="3"/>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CD5294">
              <w:rPr>
                <w:rFonts w:ascii="Times New Roman" w:eastAsia="Times New Roman" w:hAnsi="Times New Roman" w:cs="Times New Roman"/>
              </w:rPr>
              <w:t xml:space="preserve">would be able to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E14911">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commentRangeStart w:id="4"/>
            <w:r w:rsidR="00533497" w:rsidRPr="00195027">
              <w:rPr>
                <w:rFonts w:ascii="Times New Roman" w:eastAsia="Times New Roman" w:hAnsi="Times New Roman" w:cs="Times New Roman"/>
              </w:rPr>
              <w:t>Attachment X.</w:t>
            </w:r>
            <w:commentRangeEnd w:id="4"/>
            <w:r>
              <w:rPr>
                <w:rStyle w:val="CommentReference"/>
              </w:rPr>
              <w:commentReference w:id="4"/>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Program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ins w:id="5" w:author="aginsbu" w:date="2013-10-22T13:51:00Z"/>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w:t>
            </w:r>
            <w:r w:rsidR="00296CD3" w:rsidRPr="00296CD3">
              <w:rPr>
                <w:rFonts w:ascii="Times New Roman" w:eastAsia="Times New Roman" w:hAnsi="Times New Roman" w:cs="Times New Roman"/>
              </w:rPr>
              <w:lastRenderedPageBreak/>
              <w:t>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areas.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to demonstrate that the proposal together with offsetting emission reductions would create a net air quality benefit. </w:t>
            </w:r>
            <w:r w:rsidRPr="00C93F8D">
              <w:rPr>
                <w:rFonts w:ascii="Times New Roman" w:eastAsia="Times New Roman" w:hAnsi="Times New Roman" w:cs="Times New Roman"/>
                <w:highlight w:val="magenta"/>
              </w:rPr>
              <w:t>The current process, based solely on air quality modeling,</w:t>
            </w:r>
            <w:r>
              <w:rPr>
                <w:rFonts w:ascii="Times New Roman" w:eastAsia="Times New Roman" w:hAnsi="Times New Roman" w:cs="Times New Roman"/>
              </w:rPr>
              <w:t xml:space="preserve"> would be replaced by a system that requires emissions offsets to be greater than emissions increases together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2A6E24" w:rsidRPr="00E638D3" w:rsidDel="00EB1D78" w:rsidRDefault="002A6E24" w:rsidP="00A413FE">
            <w:pPr>
              <w:ind w:left="0" w:right="18"/>
              <w:rPr>
                <w:del w:id="6" w:author="aginsbu" w:date="2013-10-22T17:39:00Z"/>
                <w:rFonts w:ascii="Times New Roman" w:eastAsia="Times New Roman" w:hAnsi="Times New Roman" w:cs="Times New Roman"/>
              </w:rPr>
            </w:pPr>
          </w:p>
          <w:p w:rsidR="002B1663"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extensions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xml:space="preserve">, including teleconferences, video </w:t>
            </w:r>
            <w:r w:rsidR="00261127">
              <w:rPr>
                <w:rFonts w:asciiTheme="minorHAnsi" w:eastAsia="Times New Roman" w:hAnsiTheme="minorHAnsi" w:cstheme="minorHAnsi"/>
              </w:rPr>
              <w:lastRenderedPageBreak/>
              <w:t>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lastRenderedPageBreak/>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95B08">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261127">
              <w:rPr>
                <w:rFonts w:ascii="Times New Roman" w:eastAsia="Times New Roman" w:hAnsi="Times New Roman" w:cs="Times New Roman"/>
              </w:rPr>
              <w:t>national emission standards for hazardous air pollutants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national emission standards for hazardous air pollutants,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9408DB">
              <w:rPr>
                <w:rFonts w:ascii="Times New Roman" w:eastAsia="Times New Roman" w:hAnsi="Times New Roman" w:cs="Times New Roman"/>
              </w:rPr>
              <w:t>the facility’s</w:t>
            </w:r>
            <w:r w:rsidR="0094178E" w:rsidRPr="00E638D3">
              <w:rPr>
                <w:rFonts w:ascii="Times New Roman" w:eastAsia="Times New Roman" w:hAnsi="Times New Roman" w:cs="Times New Roman"/>
              </w:rPr>
              <w:t xml:space="preserve"> tank(s)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 xml:space="preserve">ubmit a one-time initial notification </w:t>
            </w:r>
            <w:commentRangeStart w:id="7"/>
            <w:r w:rsidR="0094178E" w:rsidRPr="00E638D3">
              <w:rPr>
                <w:rFonts w:ascii="Times New Roman" w:eastAsia="Times New Roman" w:hAnsi="Times New Roman" w:cs="Times New Roman"/>
              </w:rPr>
              <w:t>and no</w:t>
            </w:r>
            <w:r w:rsidR="00925F07" w:rsidRPr="00E638D3">
              <w:rPr>
                <w:rFonts w:ascii="Times New Roman" w:eastAsia="Times New Roman" w:hAnsi="Times New Roman" w:cs="Times New Roman"/>
              </w:rPr>
              <w:t xml:space="preserve">tification </w:t>
            </w:r>
            <w:commentRangeEnd w:id="7"/>
            <w:r w:rsidR="009408DB">
              <w:rPr>
                <w:rStyle w:val="CommentReference"/>
              </w:rPr>
              <w:commentReference w:id="7"/>
            </w:r>
            <w:r w:rsidR="00925F07" w:rsidRPr="00E638D3">
              <w:rPr>
                <w:rFonts w:ascii="Times New Roman" w:eastAsia="Times New Roman" w:hAnsi="Times New Roman" w:cs="Times New Roman"/>
              </w:rPr>
              <w:t>of compliance status</w:t>
            </w:r>
            <w:r w:rsidR="0094178E" w:rsidRPr="00E638D3">
              <w:rPr>
                <w:rFonts w:ascii="Times New Roman" w:eastAsia="Times New Roman" w:hAnsi="Times New Roman" w:cs="Times New Roman"/>
              </w:rPr>
              <w:t xml:space="preserve"> </w:t>
            </w:r>
            <w:r w:rsidR="00C93F8D">
              <w:rPr>
                <w:rFonts w:ascii="Times New Roman" w:eastAsia="Times New Roman" w:hAnsi="Times New Roman" w:cs="Times New Roman"/>
              </w:rPr>
              <w:t xml:space="preserve">and </w:t>
            </w:r>
            <w:r w:rsidR="0094178E" w:rsidRPr="00113C15">
              <w:rPr>
                <w:rFonts w:ascii="Times New Roman" w:eastAsia="Times New Roman" w:hAnsi="Times New Roman" w:cs="Times New Roman"/>
              </w:rPr>
              <w:t>submit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702190" w:rsidRDefault="00702190" w:rsidP="00B34CF8">
      <w:pPr>
        <w:ind w:left="720" w:right="18"/>
        <w:rPr>
          <w:rFonts w:ascii="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 xml:space="preserve">all of nine categories in the table </w:t>
      </w:r>
      <w:r w:rsidRPr="00E638D3">
        <w:rPr>
          <w:rFonts w:ascii="Times New Roman" w:hAnsi="Times New Roman" w:cs="Times New Roman"/>
        </w:rPr>
        <w:t xml:space="preserve">above,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w:t>
      </w:r>
      <w:r w:rsidR="009408DB">
        <w:rPr>
          <w:rFonts w:ascii="Times New Roman" w:hAnsi="Times New Roman" w:cs="Times New Roman"/>
        </w:rPr>
        <w:t>if adopted by the EQC after consideration of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8"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8"/>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92287A">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 xml:space="preserve">340-232-0090,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DB4AA3">
        <w:rPr>
          <w:rFonts w:ascii="Times New Roman" w:eastAsia="Times New Roman" w:hAnsi="Times New Roman" w:cs="Times New Roman"/>
          <w:bCs/>
          <w:highlight w:val="yellow"/>
        </w:rPr>
        <w:t xml:space="preserve">340-244-0232, 340-244-0234, 340-244-0236, 340-244-0238, 340-244-0239, 340-244-0240, 340-244-0242, 340-244-0244, 340-244-0246, 340-244-0248, </w:t>
      </w:r>
      <w:r w:rsidRPr="00DB4AA3">
        <w:rPr>
          <w:rFonts w:ascii="Times New Roman" w:eastAsia="Times New Roman" w:hAnsi="Times New Roman" w:cs="Times New Roman"/>
          <w:bCs/>
          <w:highlight w:val="yellow"/>
        </w:rPr>
        <w:t xml:space="preserve">340-244-0250, </w:t>
      </w:r>
      <w:r w:rsidR="00DB4AA3" w:rsidRPr="00DB4AA3">
        <w:rPr>
          <w:rFonts w:ascii="Times New Roman" w:eastAsia="Times New Roman" w:hAnsi="Times New Roman" w:cs="Times New Roman"/>
          <w:bCs/>
          <w:highlight w:val="yellow"/>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w:t>
      </w:r>
      <w:r w:rsidR="0092287A" w:rsidRPr="000A53B0">
        <w:rPr>
          <w:rFonts w:ascii="Times New Roman" w:eastAsia="Times New Roman" w:hAnsi="Times New Roman" w:cs="Times New Roman"/>
          <w:bCs/>
        </w:rPr>
        <w:t>urrent</w:t>
      </w:r>
      <w:proofErr w:type="gramEnd"/>
      <w:r w:rsidR="0092287A" w:rsidRPr="000A53B0">
        <w:rPr>
          <w:rFonts w:ascii="Times New Roman" w:eastAsia="Times New Roman" w:hAnsi="Times New Roman" w:cs="Times New Roman"/>
          <w:bCs/>
        </w:rPr>
        <w:t xml:space="preserve"> OAR 340-216-0020 Table 1 amended and renumbered to 340-216-8005;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2 amended and renumbered to 340-216-8010;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353E1B" w:rsidRDefault="0092287A" w:rsidP="0092287A">
      <w:pPr>
        <w:ind w:left="720" w:right="18"/>
        <w:rPr>
          <w:rFonts w:ascii="Times New Roman" w:eastAsia="Times New Roman" w:hAnsi="Times New Roman" w:cs="Times New Roman"/>
          <w:bCs/>
        </w:rPr>
      </w:pPr>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lastRenderedPageBreak/>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7B0FBC"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7B0FBC"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7B0FB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7B0FB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7B0FB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3539AD" w:rsidRPr="00704E28" w:rsidRDefault="007B0FBC"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7B0FBC"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7B0FBC"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7B0FBC"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7B0FBC"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7B0FBC"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9" w:name="RANGE!A226:B243"/>
      <w:bookmarkEnd w:id="9"/>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to the nonattainment area, 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696EBD" w:rsidRPr="00935FB1">
        <w:rPr>
          <w:rFonts w:ascii="Times New Roman" w:eastAsia="Times New Roman" w:hAnsi="Times New Roman" w:cs="Times New Roman"/>
          <w:bCs/>
        </w:rPr>
        <w:t>negative impacts described under the fiscal and economic impact 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CB4DA0" w:rsidRPr="00935FB1">
        <w:rPr>
          <w:rFonts w:ascii="Times New Roman" w:eastAsia="Times New Roman" w:hAnsi="Times New Roman" w:cs="Times New Roman"/>
          <w:bCs/>
          <w:iCs/>
        </w:rPr>
        <w:t xml:space="preserve">and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impacts described under the </w:t>
      </w:r>
      <w:r w:rsidRPr="00223226">
        <w:rPr>
          <w:rFonts w:ascii="Times New Roman" w:eastAsia="Times New Roman" w:hAnsi="Times New Roman" w:cs="Times New Roman"/>
          <w:bCs/>
        </w:rPr>
        <w:t>fiscal and economic impact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that 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lastRenderedPageBreak/>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 described 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described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 xml:space="preserve">the cost of the new permits could increase the cost of 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 is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reattainment areas would require approximately the same work as designating a maintenance area but would happen sooner and </w:t>
      </w:r>
      <w:r w:rsidR="006C4805">
        <w:rPr>
          <w:rFonts w:ascii="Times New Roman" w:eastAsia="Times New Roman" w:hAnsi="Times New Roman" w:cs="Times New Roman"/>
          <w:bCs/>
          <w:iCs/>
        </w:rPr>
        <w:t xml:space="preserve">the work </w:t>
      </w:r>
      <w:r w:rsidR="00EC3F11" w:rsidRPr="00EC3F11">
        <w:rPr>
          <w:rFonts w:ascii="Times New Roman" w:eastAsia="Times New Roman" w:hAnsi="Times New Roman" w:cs="Times New Roman"/>
          <w:bCs/>
          <w:iCs/>
        </w:rPr>
        <w:t>would be used for maintenance area designation.</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businesses protect air quality.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would have any direct fiscal or economic impacts on the public because of the sustainment </w:t>
      </w:r>
      <w:r w:rsidR="00747220">
        <w:rPr>
          <w:rFonts w:ascii="Times New Roman" w:eastAsia="Times New Roman" w:hAnsi="Times New Roman" w:cs="Times New Roman"/>
          <w:bCs/>
        </w:rPr>
        <w:t xml:space="preserve">or reattainment </w:t>
      </w:r>
      <w:r w:rsidRPr="00747220">
        <w:rPr>
          <w:rFonts w:ascii="Times New Roman" w:eastAsia="Times New Roman" w:hAnsi="Times New Roman" w:cs="Times New Roman"/>
          <w:bCs/>
        </w:rPr>
        <w:t xml:space="preserve">area designation.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businesses protect </w:t>
      </w:r>
      <w:r w:rsidRPr="00E638D3">
        <w:rPr>
          <w:rFonts w:ascii="Times New Roman" w:eastAsia="Times New Roman" w:hAnsi="Times New Roman" w:cs="Times New Roman"/>
          <w:bCs/>
        </w:rPr>
        <w:t>air quality</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rules would have </w:t>
      </w:r>
      <w:r w:rsidRPr="00E638D3">
        <w:rPr>
          <w:rFonts w:ascii="Times New Roman" w:eastAsia="Times New Roman" w:hAnsi="Times New Roman" w:cs="Times New Roman"/>
          <w:bCs/>
        </w:rPr>
        <w:t>any direct fiscal or economic impacts on the public because of the Lakeview sustainment area designation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w:t>
      </w:r>
      <w:r w:rsidRPr="00E638D3">
        <w:rPr>
          <w:rFonts w:ascii="Times New Roman" w:eastAsia="Times New Roman" w:hAnsi="Times New Roman" w:cs="Times New Roman"/>
          <w:bCs/>
        </w:rPr>
        <w:lastRenderedPageBreak/>
        <w:t xml:space="preserve">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1C7506" w:rsidRPr="00EC3F11" w:rsidRDefault="001C7506" w:rsidP="00EC3F11">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r w:rsidR="003753B9">
        <w:rPr>
          <w:rFonts w:ascii="Times New Roman" w:eastAsia="Times New Roman" w:hAnsi="Times New Roman" w:cs="Times New Roman"/>
          <w:bCs/>
          <w:iCs/>
        </w:rPr>
        <w:t>, though not likely,</w:t>
      </w:r>
      <w:r w:rsidR="00647542">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r w:rsidR="009B5A69" w:rsidRPr="003734B5">
        <w:rPr>
          <w:rFonts w:ascii="Times New Roman" w:eastAsia="Times New Roman" w:hAnsi="Times New Roman" w:cs="Times New Roman"/>
          <w:bCs/>
          <w:highlight w:val="yellow"/>
        </w:rPr>
        <w:t xml:space="preserve">described under the fiscal and economic impact section </w:t>
      </w:r>
      <w:commentRangeStart w:id="10"/>
      <w:r w:rsidR="009B5A69" w:rsidRPr="003734B5">
        <w:rPr>
          <w:rFonts w:ascii="Times New Roman" w:eastAsia="Times New Roman" w:hAnsi="Times New Roman" w:cs="Times New Roman"/>
          <w:bCs/>
          <w:highlight w:val="yellow"/>
        </w:rPr>
        <w:t>above</w:t>
      </w:r>
      <w:commentRangeEnd w:id="10"/>
      <w:r w:rsidR="00C938A5">
        <w:rPr>
          <w:rStyle w:val="CommentReference"/>
        </w:rPr>
        <w:commentReference w:id="10"/>
      </w:r>
      <w:r w:rsidR="009B5A69" w:rsidRPr="003734B5">
        <w:rPr>
          <w:rFonts w:ascii="Times New Roman" w:eastAsia="Times New Roman" w:hAnsi="Times New Roman" w:cs="Times New Roman"/>
          <w:bCs/>
          <w:highlight w:val="yellow"/>
        </w:rPr>
        <w:t>.</w:t>
      </w:r>
      <w:r w:rsidR="00EC3F11">
        <w:rPr>
          <w:rFonts w:ascii="Times New Roman" w:eastAsia="Times New Roman" w:hAnsi="Times New Roman" w:cs="Times New Roman"/>
          <w:bCs/>
        </w:rPr>
        <w:t xml:space="preserve"> </w:t>
      </w:r>
      <w:r w:rsidR="00DE3622" w:rsidRPr="00EC3F11">
        <w:rPr>
          <w:rFonts w:ascii="Times New Roman" w:eastAsia="Times New Roman" w:hAnsi="Times New Roman" w:cs="Times New Roman"/>
          <w:bCs/>
          <w:iCs/>
        </w:rPr>
        <w:t>DEQ</w:t>
      </w:r>
      <w:r w:rsidRPr="00EC3F11">
        <w:rPr>
          <w:rFonts w:ascii="Times New Roman" w:eastAsia="Times New Roman" w:hAnsi="Times New Roman" w:cs="Times New Roman"/>
          <w:bCs/>
          <w:iCs/>
        </w:rPr>
        <w:t xml:space="preserve"> workload</w:t>
      </w:r>
      <w:r w:rsidR="005854D7" w:rsidRPr="00EC3F11">
        <w:rPr>
          <w:rFonts w:ascii="Times New Roman" w:eastAsia="Times New Roman" w:hAnsi="Times New Roman" w:cs="Times New Roman"/>
          <w:bCs/>
          <w:iCs/>
        </w:rPr>
        <w:t xml:space="preserve"> would </w:t>
      </w:r>
      <w:r w:rsidRPr="00EC3F11">
        <w:rPr>
          <w:rFonts w:ascii="Times New Roman" w:eastAsia="Times New Roman" w:hAnsi="Times New Roman" w:cs="Times New Roman"/>
          <w:bCs/>
          <w:iCs/>
        </w:rPr>
        <w:t>increase</w:t>
      </w:r>
      <w:r w:rsidR="00D40542" w:rsidRPr="00EC3F11">
        <w:rPr>
          <w:rFonts w:ascii="Times New Roman" w:eastAsia="Times New Roman" w:hAnsi="Times New Roman" w:cs="Times New Roman"/>
          <w:bCs/>
          <w:iCs/>
        </w:rPr>
        <w:t>, but</w:t>
      </w:r>
      <w:r w:rsidRPr="00EC3F11">
        <w:rPr>
          <w:rFonts w:ascii="Times New Roman" w:eastAsia="Times New Roman" w:hAnsi="Times New Roman" w:cs="Times New Roman"/>
          <w:bCs/>
          <w:iCs/>
        </w:rPr>
        <w:t xml:space="preserve"> </w:t>
      </w:r>
      <w:r w:rsidR="002D08C7" w:rsidRPr="00EC3F11">
        <w:rPr>
          <w:rFonts w:ascii="Times New Roman" w:eastAsia="Times New Roman" w:hAnsi="Times New Roman" w:cs="Times New Roman"/>
          <w:bCs/>
          <w:iCs/>
        </w:rPr>
        <w:t xml:space="preserve">would </w:t>
      </w:r>
      <w:r w:rsidRPr="00EC3F11">
        <w:rPr>
          <w:rFonts w:ascii="Times New Roman" w:eastAsia="Times New Roman" w:hAnsi="Times New Roman" w:cs="Times New Roman"/>
          <w:bCs/>
          <w:iCs/>
        </w:rPr>
        <w:t>eventually decrease</w:t>
      </w:r>
      <w:r w:rsidR="00D40542" w:rsidRPr="00EC3F11">
        <w:rPr>
          <w:rFonts w:ascii="Times New Roman" w:eastAsia="Times New Roman" w:hAnsi="Times New Roman" w:cs="Times New Roman"/>
          <w:bCs/>
          <w:iCs/>
        </w:rPr>
        <w:t>,</w:t>
      </w:r>
      <w:r w:rsidRPr="00EC3F11">
        <w:rPr>
          <w:rFonts w:ascii="Times New Roman" w:eastAsia="Times New Roman" w:hAnsi="Times New Roman" w:cs="Times New Roman"/>
          <w:bCs/>
          <w:iCs/>
        </w:rPr>
        <w:t xml:space="preserve"> as staff becomes familiar with the proposed rules. Preventing areas from becoming nonattainment </w:t>
      </w:r>
      <w:r w:rsidR="00DE3622" w:rsidRPr="00EC3F11">
        <w:rPr>
          <w:rFonts w:ascii="Times New Roman" w:eastAsia="Times New Roman" w:hAnsi="Times New Roman" w:cs="Times New Roman"/>
          <w:bCs/>
          <w:iCs/>
        </w:rPr>
        <w:t xml:space="preserve">would </w:t>
      </w:r>
      <w:r w:rsidRPr="00EC3F11">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impacts </w:t>
      </w:r>
      <w:r w:rsidRPr="00567A6D">
        <w:rPr>
          <w:rFonts w:ascii="Times New Roman" w:eastAsia="Times New Roman" w:hAnsi="Times New Roman" w:cs="Times New Roman"/>
          <w:bCs/>
          <w:iCs/>
          <w:highlight w:val="yellow"/>
        </w:rPr>
        <w:t xml:space="preserve">described under the </w:t>
      </w:r>
      <w:r w:rsidRPr="00567A6D">
        <w:rPr>
          <w:rFonts w:ascii="Times New Roman" w:eastAsia="Times New Roman" w:hAnsi="Times New Roman" w:cs="Times New Roman"/>
          <w:bCs/>
          <w:highlight w:val="yellow"/>
        </w:rPr>
        <w:t>fiscal and economic impact section above</w:t>
      </w:r>
      <w:r w:rsidR="00567A6D" w:rsidRPr="00567A6D">
        <w:rPr>
          <w:rFonts w:ascii="Times New Roman" w:eastAsia="Times New Roman" w:hAnsi="Times New Roman" w:cs="Times New Roman"/>
          <w:bCs/>
          <w:iCs/>
        </w:rPr>
        <w:t xml:space="preserve"> though not likely because these facilities would probably never trigger the this program</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w:t>
      </w:r>
      <w:commentRangeStart w:id="11"/>
      <w:r w:rsidR="00D224B4" w:rsidRPr="00E638D3">
        <w:rPr>
          <w:rFonts w:ascii="Times New Roman" w:eastAsia="Times New Roman" w:hAnsi="Times New Roman" w:cs="Times New Roman"/>
          <w:bCs/>
        </w:rPr>
        <w:t xml:space="preserve">New Source Review </w:t>
      </w:r>
      <w:commentRangeEnd w:id="11"/>
      <w:r w:rsidR="00CC7922">
        <w:rPr>
          <w:rStyle w:val="CommentReference"/>
        </w:rPr>
        <w:commentReference w:id="11"/>
      </w:r>
      <w:r w:rsidR="00D224B4" w:rsidRPr="00E638D3">
        <w:rPr>
          <w:rFonts w:ascii="Times New Roman" w:eastAsia="Times New Roman" w:hAnsi="Times New Roman" w:cs="Times New Roman"/>
          <w:bCs/>
        </w:rPr>
        <w:t>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an area from becoming a nonattainment area and transition 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from woodstove replacements.</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 xml:space="preserve">The proposed rule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the impacts described 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Default="002E7578" w:rsidP="002E7578">
      <w:pPr>
        <w:ind w:left="1080" w:right="18"/>
        <w:outlineLvl w:val="0"/>
        <w:rPr>
          <w:rFonts w:ascii="Times New Roman" w:eastAsia="Times New Roman" w:hAnsi="Times New Roman" w:cs="Times New Roman"/>
          <w:bCs/>
          <w:iCs/>
        </w:rPr>
      </w:pPr>
      <w:r w:rsidRPr="0057735D">
        <w:rPr>
          <w:rFonts w:ascii="Times New Roman" w:eastAsia="Times New Roman" w:hAnsi="Times New Roman" w:cs="Times New Roman"/>
          <w:bCs/>
          <w:iCs/>
        </w:rPr>
        <w:t xml:space="preserve">DEQ identified </w:t>
      </w:r>
      <w:r w:rsidR="00814165" w:rsidRPr="0057735D">
        <w:rPr>
          <w:rFonts w:ascii="Times New Roman" w:eastAsia="Times New Roman" w:hAnsi="Times New Roman" w:cs="Times New Roman"/>
          <w:bCs/>
          <w:iCs/>
          <w:highlight w:val="yellow"/>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that may not be able to comply with 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814165" w:rsidRPr="0057735D">
        <w:rPr>
          <w:rFonts w:ascii="Times New Roman" w:eastAsia="Times New Roman" w:hAnsi="Times New Roman" w:cs="Times New Roman"/>
          <w:bCs/>
          <w:iCs/>
        </w:rPr>
        <w:t xml:space="preserve">upgrade or </w:t>
      </w:r>
      <w:r w:rsidRPr="0057735D">
        <w:rPr>
          <w:rFonts w:ascii="Times New Roman" w:eastAsia="Times New Roman" w:hAnsi="Times New Roman" w:cs="Times New Roman"/>
          <w:bCs/>
          <w:iCs/>
        </w:rPr>
        <w:t xml:space="preserve">installation of control equipment. </w:t>
      </w:r>
      <w:r w:rsidR="00814165" w:rsidRPr="0057735D">
        <w:rPr>
          <w:rFonts w:ascii="Times New Roman" w:eastAsia="Times New Roman" w:hAnsi="Times New Roman" w:cs="Times New Roman"/>
          <w:bCs/>
          <w:iCs/>
        </w:rPr>
        <w:t>Eight of t</w:t>
      </w:r>
      <w:r w:rsidRPr="0057735D">
        <w:rPr>
          <w:rFonts w:ascii="Times New Roman" w:eastAsia="Times New Roman" w:hAnsi="Times New Roman" w:cs="Times New Roman"/>
          <w:bCs/>
          <w:iCs/>
        </w:rPr>
        <w:t>hese businesses are wood products facilities with wood-fired boilers</w:t>
      </w:r>
      <w:r w:rsidR="0057735D">
        <w:rPr>
          <w:rFonts w:ascii="Times New Roman" w:eastAsia="Times New Roman" w:hAnsi="Times New Roman" w:cs="Times New Roman"/>
          <w:bCs/>
          <w:iCs/>
        </w:rPr>
        <w:t xml:space="preserve"> and </w:t>
      </w:r>
      <w:r w:rsidR="0057735D" w:rsidRPr="0057735D">
        <w:rPr>
          <w:rFonts w:ascii="Times New Roman" w:eastAsia="Times New Roman" w:hAnsi="Times New Roman" w:cs="Times New Roman"/>
          <w:bCs/>
          <w:iCs/>
          <w:highlight w:val="yellow"/>
        </w:rPr>
        <w:t>three</w:t>
      </w:r>
      <w:r w:rsid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are asphalt plants.</w:t>
      </w:r>
      <w:r w:rsidRPr="007F78C6">
        <w:rPr>
          <w:rFonts w:ascii="Times New Roman" w:eastAsia="Times New Roman" w:hAnsi="Times New Roman" w:cs="Times New Roman"/>
          <w:bCs/>
          <w:iCs/>
        </w:rPr>
        <w:t xml:space="preserve">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EA3EC9">
      <w:pPr>
        <w:spacing w:after="120"/>
        <w:ind w:left="108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EA3EC9">
        <w:rPr>
          <w:rFonts w:ascii="Times New Roman" w:eastAsia="Times New Roman" w:hAnsi="Times New Roman" w:cs="Times New Roman"/>
          <w:bCs/>
          <w:highlight w:val="yellow"/>
        </w:rPr>
        <w:t>furnace</w:t>
      </w:r>
      <w:r w:rsidRPr="00600E0D">
        <w:rPr>
          <w:rFonts w:ascii="Times New Roman" w:eastAsia="Times New Roman" w:hAnsi="Times New Roman" w:cs="Times New Roman"/>
          <w:bCs/>
        </w:rPr>
        <w:t xml:space="preserve"> air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2287A" w:rsidRDefault="0092287A" w:rsidP="00635602">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the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 fueled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Baghouses have been avoided in the forest products industry behind boilers due to the potential for spark carry over which would burn holes in the bags (including fiberglass bags) or potentially lead to fires or possibly explosions should unburned particulate accumulate</w:t>
      </w:r>
      <w:r w:rsidR="00510B7C">
        <w:rPr>
          <w:rFonts w:ascii="Times New Roman" w:eastAsia="Times New Roman" w:hAnsi="Times New Roman" w:cs="Times New Roman"/>
          <w:bCs/>
        </w:rPr>
        <w:t xml:space="preserve">. </w:t>
      </w:r>
    </w:p>
    <w:p w:rsidR="00635602" w:rsidRPr="0092287A" w:rsidRDefault="00635602" w:rsidP="00635602">
      <w:pPr>
        <w:ind w:left="1080" w:right="18"/>
        <w:outlineLvl w:val="0"/>
        <w:rPr>
          <w:rFonts w:ascii="Times New Roman" w:eastAsia="Times New Roman" w:hAnsi="Times New Roman" w:cs="Times New Roman"/>
          <w:bCs/>
        </w:rPr>
      </w:pPr>
    </w:p>
    <w:p w:rsidR="00FF1C43" w:rsidRDefault="00635602"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Vendors state that compliance with a 0.1 gr/dscf particulate matter standard </w:t>
      </w:r>
      <w:r w:rsidR="00165AA1">
        <w:rPr>
          <w:rFonts w:ascii="Times New Roman" w:eastAsia="Times New Roman" w:hAnsi="Times New Roman" w:cs="Times New Roman"/>
          <w:bCs/>
        </w:rPr>
        <w:t>is possible with multiclones, especially ceramic high efficiency cones but is not guaranteed.</w:t>
      </w:r>
      <w:r>
        <w:rPr>
          <w:rFonts w:ascii="Times New Roman" w:eastAsia="Times New Roman" w:hAnsi="Times New Roman" w:cs="Times New Roman"/>
          <w:bCs/>
        </w:rPr>
        <w:t xml:space="preserve"> </w:t>
      </w:r>
      <w:r w:rsidR="00A25EC6">
        <w:rPr>
          <w:rFonts w:ascii="Times New Roman" w:eastAsia="Times New Roman" w:hAnsi="Times New Roman" w:cs="Times New Roman"/>
          <w:bCs/>
        </w:rPr>
        <w:t xml:space="preserve">The table below shows the range of costs for regular and ceramic high efficiency multiple </w:t>
      </w:r>
      <w:r w:rsidR="005A08B2">
        <w:rPr>
          <w:rFonts w:ascii="Times New Roman" w:eastAsia="Times New Roman" w:hAnsi="Times New Roman" w:cs="Times New Roman"/>
          <w:bCs/>
        </w:rPr>
        <w:t>cyclones</w:t>
      </w:r>
      <w:r w:rsidR="00A25EC6">
        <w:rPr>
          <w:rFonts w:ascii="Times New Roman" w:eastAsia="Times New Roman" w:hAnsi="Times New Roman" w:cs="Times New Roman"/>
          <w:bCs/>
        </w:rPr>
        <w:t xml:space="preserve">. </w:t>
      </w:r>
      <w:r>
        <w:rPr>
          <w:rFonts w:ascii="Times New Roman" w:eastAsia="Times New Roman" w:hAnsi="Times New Roman" w:cs="Times New Roman"/>
          <w:bCs/>
        </w:rPr>
        <w:t xml:space="preserve">Installation costs </w:t>
      </w:r>
      <w:r w:rsidR="0038246B">
        <w:rPr>
          <w:rFonts w:ascii="Times New Roman" w:eastAsia="Times New Roman" w:hAnsi="Times New Roman" w:cs="Times New Roman"/>
          <w:bCs/>
        </w:rPr>
        <w:t>are very config</w:t>
      </w:r>
      <w:r w:rsidR="00165AA1">
        <w:rPr>
          <w:rFonts w:ascii="Times New Roman" w:eastAsia="Times New Roman" w:hAnsi="Times New Roman" w:cs="Times New Roman"/>
          <w:bCs/>
        </w:rPr>
        <w:t>u</w:t>
      </w:r>
      <w:r w:rsidR="0038246B">
        <w:rPr>
          <w:rFonts w:ascii="Times New Roman" w:eastAsia="Times New Roman" w:hAnsi="Times New Roman" w:cs="Times New Roman"/>
          <w:bCs/>
        </w:rPr>
        <w:t>r</w:t>
      </w:r>
      <w:r w:rsidR="00A25EC6">
        <w:rPr>
          <w:rFonts w:ascii="Times New Roman" w:eastAsia="Times New Roman" w:hAnsi="Times New Roman" w:cs="Times New Roman"/>
          <w:bCs/>
        </w:rPr>
        <w:t xml:space="preserve">ation specific and some vendors would not estimate those costs without </w:t>
      </w:r>
      <w:r w:rsidR="00284C59">
        <w:rPr>
          <w:rFonts w:ascii="Times New Roman" w:eastAsia="Times New Roman" w:hAnsi="Times New Roman" w:cs="Times New Roman"/>
          <w:bCs/>
        </w:rPr>
        <w:t>seeing the wood fired boiler</w:t>
      </w:r>
      <w:r w:rsidR="00A25EC6">
        <w:rPr>
          <w:rFonts w:ascii="Times New Roman" w:eastAsia="Times New Roman" w:hAnsi="Times New Roman" w:cs="Times New Roman"/>
          <w:bCs/>
        </w:rPr>
        <w:t xml:space="preserve">.  </w:t>
      </w:r>
    </w:p>
    <w:p w:rsidR="00A25EC6" w:rsidRDefault="00A25EC6" w:rsidP="0092287A">
      <w:pPr>
        <w:ind w:left="1080" w:right="18"/>
        <w:outlineLvl w:val="0"/>
        <w:rPr>
          <w:rFonts w:ascii="Times New Roman" w:eastAsia="Times New Roman" w:hAnsi="Times New Roman" w:cs="Times New Roman"/>
          <w:bCs/>
        </w:rPr>
      </w:pPr>
    </w:p>
    <w:tbl>
      <w:tblPr>
        <w:tblStyle w:val="TableGrid"/>
        <w:tblW w:w="0" w:type="auto"/>
        <w:tblInd w:w="1080" w:type="dxa"/>
        <w:tblLayout w:type="fixed"/>
        <w:tblLook w:val="04A0"/>
      </w:tblPr>
      <w:tblGrid>
        <w:gridCol w:w="1188"/>
        <w:gridCol w:w="1980"/>
        <w:gridCol w:w="2160"/>
        <w:gridCol w:w="1350"/>
        <w:gridCol w:w="1530"/>
        <w:gridCol w:w="810"/>
      </w:tblGrid>
      <w:tr w:rsidR="00FF1C43" w:rsidRPr="00FF1C43" w:rsidTr="00567DD2">
        <w:tc>
          <w:tcPr>
            <w:tcW w:w="1188" w:type="dxa"/>
          </w:tcPr>
          <w:p w:rsidR="00FF1C43" w:rsidRPr="00FF1C43" w:rsidRDefault="00FF1C43" w:rsidP="00FF1C43">
            <w:pPr>
              <w:ind w:left="0" w:right="18"/>
              <w:jc w:val="center"/>
              <w:outlineLvl w:val="0"/>
              <w:rPr>
                <w:rFonts w:ascii="Times New Roman" w:eastAsia="Times New Roman" w:hAnsi="Times New Roman" w:cs="Times New Roman"/>
                <w:b/>
                <w:bCs/>
              </w:rPr>
            </w:pPr>
            <w:r w:rsidRPr="00FF1C43">
              <w:rPr>
                <w:rFonts w:ascii="Times New Roman" w:eastAsia="Times New Roman" w:hAnsi="Times New Roman" w:cs="Times New Roman"/>
                <w:b/>
                <w:bCs/>
              </w:rPr>
              <w:t>V</w:t>
            </w:r>
            <w:r w:rsidR="001E629B" w:rsidRPr="00FF1C43">
              <w:rPr>
                <w:rFonts w:ascii="Times New Roman" w:eastAsia="Times New Roman" w:hAnsi="Times New Roman" w:cs="Times New Roman"/>
                <w:b/>
                <w:bCs/>
              </w:rPr>
              <w:t>endor</w:t>
            </w:r>
          </w:p>
        </w:tc>
        <w:tc>
          <w:tcPr>
            <w:tcW w:w="1980" w:type="dxa"/>
          </w:tcPr>
          <w:p w:rsidR="00FF1C43" w:rsidRPr="00FF1C43" w:rsidRDefault="001E629B" w:rsidP="00FF1C43">
            <w:pPr>
              <w:ind w:left="0" w:right="18"/>
              <w:jc w:val="center"/>
              <w:outlineLvl w:val="0"/>
              <w:rPr>
                <w:rFonts w:ascii="Times New Roman" w:eastAsia="Times New Roman" w:hAnsi="Times New Roman" w:cs="Times New Roman"/>
                <w:b/>
                <w:bCs/>
              </w:rPr>
            </w:pPr>
            <w:r>
              <w:rPr>
                <w:rFonts w:ascii="Times New Roman" w:eastAsia="Times New Roman" w:hAnsi="Times New Roman" w:cs="Times New Roman"/>
                <w:b/>
                <w:bCs/>
              </w:rPr>
              <w:t xml:space="preserve">Control </w:t>
            </w:r>
            <w:r w:rsidR="00FF1C43" w:rsidRPr="00FF1C43">
              <w:rPr>
                <w:rFonts w:ascii="Times New Roman" w:eastAsia="Times New Roman" w:hAnsi="Times New Roman" w:cs="Times New Roman"/>
                <w:b/>
                <w:bCs/>
              </w:rPr>
              <w:t>Equipment Type</w:t>
            </w:r>
          </w:p>
        </w:tc>
        <w:tc>
          <w:tcPr>
            <w:tcW w:w="2160" w:type="dxa"/>
          </w:tcPr>
          <w:p w:rsidR="00FF1C43" w:rsidRPr="00FF1C43" w:rsidRDefault="001E629B" w:rsidP="00FF1C43">
            <w:pPr>
              <w:ind w:left="0" w:right="18"/>
              <w:jc w:val="center"/>
              <w:outlineLvl w:val="0"/>
              <w:rPr>
                <w:rFonts w:ascii="Times New Roman" w:eastAsia="Times New Roman" w:hAnsi="Times New Roman" w:cs="Times New Roman"/>
                <w:b/>
                <w:bCs/>
              </w:rPr>
            </w:pPr>
            <w:r>
              <w:rPr>
                <w:rFonts w:ascii="Times New Roman" w:eastAsia="Times New Roman" w:hAnsi="Times New Roman" w:cs="Times New Roman"/>
                <w:b/>
                <w:bCs/>
              </w:rPr>
              <w:t xml:space="preserve">Control </w:t>
            </w:r>
            <w:r w:rsidR="00FF1C43" w:rsidRPr="00FF1C43">
              <w:rPr>
                <w:rFonts w:ascii="Times New Roman" w:eastAsia="Times New Roman" w:hAnsi="Times New Roman" w:cs="Times New Roman"/>
                <w:b/>
                <w:bCs/>
              </w:rPr>
              <w:t>Equipment Cost</w:t>
            </w:r>
          </w:p>
        </w:tc>
        <w:tc>
          <w:tcPr>
            <w:tcW w:w="1350" w:type="dxa"/>
          </w:tcPr>
          <w:p w:rsidR="00FF1C43" w:rsidRPr="00FF1C43" w:rsidRDefault="00FF1C43" w:rsidP="00FF1C43">
            <w:pPr>
              <w:ind w:left="0" w:right="18"/>
              <w:jc w:val="center"/>
              <w:outlineLvl w:val="0"/>
              <w:rPr>
                <w:rFonts w:ascii="Times New Roman" w:eastAsia="Times New Roman" w:hAnsi="Times New Roman" w:cs="Times New Roman"/>
                <w:b/>
                <w:bCs/>
              </w:rPr>
            </w:pPr>
            <w:r w:rsidRPr="00FF1C43">
              <w:rPr>
                <w:rFonts w:ascii="Times New Roman" w:eastAsia="Times New Roman" w:hAnsi="Times New Roman" w:cs="Times New Roman"/>
                <w:b/>
                <w:bCs/>
              </w:rPr>
              <w:t>Installation Cost</w:t>
            </w:r>
          </w:p>
        </w:tc>
        <w:tc>
          <w:tcPr>
            <w:tcW w:w="1530" w:type="dxa"/>
          </w:tcPr>
          <w:p w:rsidR="00FF1C43" w:rsidRPr="00FF1C43" w:rsidRDefault="00FF1C43" w:rsidP="00FF1C43">
            <w:pPr>
              <w:ind w:left="0" w:right="18"/>
              <w:jc w:val="center"/>
              <w:outlineLvl w:val="0"/>
              <w:rPr>
                <w:rFonts w:ascii="Times New Roman" w:eastAsia="Times New Roman" w:hAnsi="Times New Roman" w:cs="Times New Roman"/>
                <w:b/>
                <w:bCs/>
              </w:rPr>
            </w:pPr>
            <w:r>
              <w:rPr>
                <w:rFonts w:ascii="Times New Roman" w:eastAsia="Times New Roman" w:hAnsi="Times New Roman" w:cs="Times New Roman"/>
                <w:b/>
                <w:bCs/>
              </w:rPr>
              <w:t>Total Cost</w:t>
            </w:r>
          </w:p>
        </w:tc>
        <w:tc>
          <w:tcPr>
            <w:tcW w:w="810" w:type="dxa"/>
          </w:tcPr>
          <w:p w:rsidR="00FF1C43" w:rsidRPr="00FF1C43" w:rsidRDefault="00FF1C43" w:rsidP="00FF1C43">
            <w:pPr>
              <w:ind w:left="0" w:right="18"/>
              <w:jc w:val="center"/>
              <w:outlineLvl w:val="0"/>
              <w:rPr>
                <w:rFonts w:ascii="Times New Roman" w:eastAsia="Times New Roman" w:hAnsi="Times New Roman" w:cs="Times New Roman"/>
                <w:b/>
                <w:bCs/>
              </w:rPr>
            </w:pPr>
            <w:r w:rsidRPr="00FF1C43">
              <w:rPr>
                <w:rFonts w:ascii="Times New Roman" w:eastAsia="Times New Roman" w:hAnsi="Times New Roman" w:cs="Times New Roman"/>
                <w:b/>
                <w:bCs/>
              </w:rPr>
              <w:t>Boiler Size</w:t>
            </w:r>
          </w:p>
        </w:tc>
      </w:tr>
      <w:tr w:rsidR="00567DD2" w:rsidTr="00567DD2">
        <w:tc>
          <w:tcPr>
            <w:tcW w:w="1188" w:type="dxa"/>
            <w:vMerge w:val="restart"/>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A</w:t>
            </w:r>
          </w:p>
        </w:tc>
        <w:tc>
          <w:tcPr>
            <w:tcW w:w="1980" w:type="dxa"/>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multiple cyclone</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$70,000</w:t>
            </w:r>
          </w:p>
        </w:tc>
        <w:tc>
          <w:tcPr>
            <w:tcW w:w="135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$30,000</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$100,000</w:t>
            </w:r>
          </w:p>
        </w:tc>
        <w:tc>
          <w:tcPr>
            <w:tcW w:w="810" w:type="dxa"/>
          </w:tcPr>
          <w:p w:rsidR="00567DD2" w:rsidRDefault="00567DD2" w:rsidP="00FF1C43">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large </w:t>
            </w:r>
          </w:p>
        </w:tc>
      </w:tr>
      <w:tr w:rsidR="00567DD2" w:rsidTr="00567DD2">
        <w:tc>
          <w:tcPr>
            <w:tcW w:w="1188" w:type="dxa"/>
            <w:vMerge/>
          </w:tcPr>
          <w:p w:rsidR="00567DD2" w:rsidRDefault="00567DD2" w:rsidP="0092287A">
            <w:pPr>
              <w:ind w:left="0" w:right="18"/>
              <w:outlineLvl w:val="0"/>
              <w:rPr>
                <w:rFonts w:ascii="Times New Roman" w:eastAsia="Times New Roman" w:hAnsi="Times New Roman" w:cs="Times New Roman"/>
                <w:bCs/>
              </w:rPr>
            </w:pPr>
          </w:p>
        </w:tc>
        <w:tc>
          <w:tcPr>
            <w:tcW w:w="1980"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multiple cyclone</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$40,000</w:t>
            </w:r>
          </w:p>
        </w:tc>
        <w:tc>
          <w:tcPr>
            <w:tcW w:w="135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$20,000</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$60,000</w:t>
            </w:r>
          </w:p>
        </w:tc>
        <w:tc>
          <w:tcPr>
            <w:tcW w:w="810" w:type="dxa"/>
          </w:tcPr>
          <w:p w:rsidR="00567DD2" w:rsidRDefault="00567DD2" w:rsidP="00FF1C43">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small </w:t>
            </w:r>
          </w:p>
        </w:tc>
      </w:tr>
      <w:tr w:rsidR="00567DD2" w:rsidTr="00567DD2">
        <w:tc>
          <w:tcPr>
            <w:tcW w:w="1188" w:type="dxa"/>
            <w:vMerge w:val="restart"/>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B</w:t>
            </w:r>
          </w:p>
        </w:tc>
        <w:tc>
          <w:tcPr>
            <w:tcW w:w="1980" w:type="dxa"/>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multiple cyclones</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$12,000-$15,000</w:t>
            </w:r>
          </w:p>
        </w:tc>
        <w:tc>
          <w:tcPr>
            <w:tcW w:w="1350" w:type="dxa"/>
          </w:tcPr>
          <w:p w:rsidR="00567DD2" w:rsidRDefault="00284C59" w:rsidP="00284C59">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p>
        </w:tc>
        <w:tc>
          <w:tcPr>
            <w:tcW w:w="810" w:type="dxa"/>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small</w:t>
            </w:r>
          </w:p>
        </w:tc>
      </w:tr>
      <w:tr w:rsidR="00567DD2" w:rsidTr="00567DD2">
        <w:tc>
          <w:tcPr>
            <w:tcW w:w="1188" w:type="dxa"/>
            <w:vMerge/>
          </w:tcPr>
          <w:p w:rsidR="00567DD2" w:rsidRDefault="00567DD2" w:rsidP="00ED7F0D">
            <w:pPr>
              <w:ind w:left="0" w:right="18"/>
              <w:outlineLvl w:val="0"/>
              <w:rPr>
                <w:rFonts w:ascii="Times New Roman" w:eastAsia="Times New Roman" w:hAnsi="Times New Roman" w:cs="Times New Roman"/>
                <w:bCs/>
              </w:rPr>
            </w:pPr>
          </w:p>
        </w:tc>
        <w:tc>
          <w:tcPr>
            <w:tcW w:w="1980"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multiple cyclones</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$55,000 - $60,000</w:t>
            </w:r>
          </w:p>
        </w:tc>
        <w:tc>
          <w:tcPr>
            <w:tcW w:w="1350" w:type="dxa"/>
          </w:tcPr>
          <w:p w:rsidR="00567DD2" w:rsidRDefault="00284C59" w:rsidP="00284C59">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p>
        </w:tc>
        <w:tc>
          <w:tcPr>
            <w:tcW w:w="810" w:type="dxa"/>
          </w:tcPr>
          <w:p w:rsidR="00567DD2" w:rsidRDefault="00567DD2" w:rsidP="008A3B33">
            <w:pPr>
              <w:ind w:left="0" w:right="18"/>
              <w:outlineLvl w:val="0"/>
              <w:rPr>
                <w:rFonts w:ascii="Times New Roman" w:eastAsia="Times New Roman" w:hAnsi="Times New Roman" w:cs="Times New Roman"/>
                <w:bCs/>
              </w:rPr>
            </w:pPr>
            <w:r>
              <w:rPr>
                <w:rFonts w:ascii="Times New Roman" w:eastAsia="Times New Roman" w:hAnsi="Times New Roman" w:cs="Times New Roman"/>
                <w:bCs/>
              </w:rPr>
              <w:t>large</w:t>
            </w:r>
          </w:p>
        </w:tc>
      </w:tr>
      <w:tr w:rsidR="00567DD2" w:rsidTr="00567DD2">
        <w:tc>
          <w:tcPr>
            <w:tcW w:w="1188"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C</w:t>
            </w:r>
          </w:p>
        </w:tc>
        <w:tc>
          <w:tcPr>
            <w:tcW w:w="1980"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ceramic multiclones</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$110,000</w:t>
            </w:r>
          </w:p>
        </w:tc>
        <w:tc>
          <w:tcPr>
            <w:tcW w:w="135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$17,000</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$117,000</w:t>
            </w:r>
          </w:p>
        </w:tc>
        <w:tc>
          <w:tcPr>
            <w:tcW w:w="810"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large</w:t>
            </w:r>
          </w:p>
        </w:tc>
      </w:tr>
      <w:tr w:rsidR="00567DD2" w:rsidTr="00567DD2">
        <w:tc>
          <w:tcPr>
            <w:tcW w:w="1188" w:type="dxa"/>
          </w:tcPr>
          <w:p w:rsidR="008A3B33" w:rsidRDefault="008A3B33"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D</w:t>
            </w:r>
          </w:p>
        </w:tc>
        <w:tc>
          <w:tcPr>
            <w:tcW w:w="1980" w:type="dxa"/>
          </w:tcPr>
          <w:p w:rsidR="008A3B33" w:rsidRDefault="008A3B33"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ceramic multiclones</w:t>
            </w:r>
          </w:p>
        </w:tc>
        <w:tc>
          <w:tcPr>
            <w:tcW w:w="2160" w:type="dxa"/>
          </w:tcPr>
          <w:p w:rsidR="008A3B33" w:rsidRDefault="008A3B33" w:rsidP="00284C59">
            <w:pPr>
              <w:ind w:left="0" w:right="18"/>
              <w:jc w:val="right"/>
              <w:outlineLvl w:val="0"/>
              <w:rPr>
                <w:rFonts w:ascii="Times New Roman" w:eastAsia="Times New Roman" w:hAnsi="Times New Roman" w:cs="Times New Roman"/>
                <w:bCs/>
              </w:rPr>
            </w:pPr>
          </w:p>
        </w:tc>
        <w:tc>
          <w:tcPr>
            <w:tcW w:w="1350" w:type="dxa"/>
          </w:tcPr>
          <w:p w:rsidR="008A3B33" w:rsidRDefault="008A3B33" w:rsidP="00284C59">
            <w:pPr>
              <w:ind w:left="0" w:right="18"/>
              <w:jc w:val="center"/>
              <w:outlineLvl w:val="0"/>
              <w:rPr>
                <w:rFonts w:ascii="Times New Roman" w:eastAsia="Times New Roman" w:hAnsi="Times New Roman" w:cs="Times New Roman"/>
                <w:bCs/>
              </w:rPr>
            </w:pPr>
          </w:p>
        </w:tc>
        <w:tc>
          <w:tcPr>
            <w:tcW w:w="1530" w:type="dxa"/>
          </w:tcPr>
          <w:p w:rsidR="008A3B33" w:rsidRDefault="008A3B33"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$108,000 –</w:t>
            </w:r>
          </w:p>
          <w:p w:rsidR="008A3B33" w:rsidRDefault="008A3B33"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$120,000</w:t>
            </w:r>
          </w:p>
        </w:tc>
        <w:tc>
          <w:tcPr>
            <w:tcW w:w="810" w:type="dxa"/>
          </w:tcPr>
          <w:p w:rsidR="008A3B33" w:rsidRDefault="001E629B" w:rsidP="00ED7F0D">
            <w:pPr>
              <w:ind w:left="0" w:right="18"/>
              <w:outlineLvl w:val="0"/>
              <w:rPr>
                <w:rFonts w:ascii="Times New Roman" w:eastAsia="Times New Roman" w:hAnsi="Times New Roman" w:cs="Times New Roman"/>
                <w:bCs/>
              </w:rPr>
            </w:pPr>
            <w:r w:rsidRPr="001E629B">
              <w:rPr>
                <w:rFonts w:ascii="Times New Roman" w:eastAsia="Times New Roman" w:hAnsi="Times New Roman" w:cs="Times New Roman"/>
                <w:bCs/>
                <w:highlight w:val="yellow"/>
              </w:rPr>
              <w:t>??</w:t>
            </w:r>
          </w:p>
        </w:tc>
      </w:tr>
      <w:tr w:rsidR="00567DD2" w:rsidTr="00567DD2">
        <w:tc>
          <w:tcPr>
            <w:tcW w:w="1188" w:type="dxa"/>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E</w:t>
            </w:r>
          </w:p>
        </w:tc>
        <w:tc>
          <w:tcPr>
            <w:tcW w:w="1980" w:type="dxa"/>
          </w:tcPr>
          <w:p w:rsidR="00567DD2" w:rsidRDefault="00567DD2" w:rsidP="00ED7F0D">
            <w:pPr>
              <w:ind w:left="0" w:right="18"/>
              <w:outlineLvl w:val="0"/>
              <w:rPr>
                <w:rFonts w:ascii="Times New Roman" w:eastAsia="Times New Roman" w:hAnsi="Times New Roman" w:cs="Times New Roman"/>
                <w:bCs/>
              </w:rPr>
            </w:pPr>
            <w:r>
              <w:rPr>
                <w:rFonts w:ascii="Times New Roman" w:eastAsia="Times New Roman" w:hAnsi="Times New Roman" w:cs="Times New Roman"/>
                <w:bCs/>
              </w:rPr>
              <w:t>ceramic multiclones</w:t>
            </w:r>
          </w:p>
        </w:tc>
        <w:tc>
          <w:tcPr>
            <w:tcW w:w="2160" w:type="dxa"/>
          </w:tcPr>
          <w:p w:rsidR="00567DD2" w:rsidRDefault="00567DD2" w:rsidP="00284C59">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$150,000</w:t>
            </w:r>
          </w:p>
        </w:tc>
        <w:tc>
          <w:tcPr>
            <w:tcW w:w="1350" w:type="dxa"/>
          </w:tcPr>
          <w:p w:rsidR="00567DD2" w:rsidRDefault="00284C59" w:rsidP="00284C59">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w:t>
            </w:r>
          </w:p>
        </w:tc>
        <w:tc>
          <w:tcPr>
            <w:tcW w:w="1530" w:type="dxa"/>
          </w:tcPr>
          <w:p w:rsidR="00567DD2" w:rsidRDefault="00567DD2" w:rsidP="00284C59">
            <w:pPr>
              <w:ind w:left="0" w:right="18"/>
              <w:jc w:val="right"/>
              <w:outlineLvl w:val="0"/>
              <w:rPr>
                <w:rFonts w:ascii="Times New Roman" w:eastAsia="Times New Roman" w:hAnsi="Times New Roman" w:cs="Times New Roman"/>
                <w:bCs/>
              </w:rPr>
            </w:pPr>
          </w:p>
        </w:tc>
        <w:tc>
          <w:tcPr>
            <w:tcW w:w="810" w:type="dxa"/>
          </w:tcPr>
          <w:p w:rsidR="00567DD2" w:rsidRDefault="00567DD2" w:rsidP="0092287A">
            <w:pPr>
              <w:ind w:left="0" w:right="18"/>
              <w:outlineLvl w:val="0"/>
              <w:rPr>
                <w:rFonts w:ascii="Times New Roman" w:eastAsia="Times New Roman" w:hAnsi="Times New Roman" w:cs="Times New Roman"/>
                <w:bCs/>
              </w:rPr>
            </w:pPr>
            <w:r>
              <w:rPr>
                <w:rFonts w:ascii="Times New Roman" w:eastAsia="Times New Roman" w:hAnsi="Times New Roman" w:cs="Times New Roman"/>
                <w:bCs/>
              </w:rPr>
              <w:t>large</w:t>
            </w:r>
          </w:p>
        </w:tc>
      </w:tr>
    </w:tbl>
    <w:p w:rsidR="00362ED0" w:rsidRDefault="00362ED0" w:rsidP="0092287A">
      <w:pPr>
        <w:ind w:left="1080" w:right="18"/>
        <w:outlineLvl w:val="0"/>
        <w:rPr>
          <w:rFonts w:ascii="Times New Roman" w:eastAsia="Times New Roman" w:hAnsi="Times New Roman" w:cs="Times New Roman"/>
          <w:bCs/>
        </w:rPr>
      </w:pPr>
    </w:p>
    <w:p w:rsidR="00BA4ABE" w:rsidRDefault="00BA4ABE"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Multiple cyclones last approximately </w:t>
      </w:r>
      <w:r w:rsidR="00C66C45">
        <w:rPr>
          <w:rFonts w:ascii="Times New Roman" w:eastAsia="Times New Roman" w:hAnsi="Times New Roman" w:cs="Times New Roman"/>
          <w:bCs/>
        </w:rPr>
        <w:t>12</w:t>
      </w:r>
      <w:r>
        <w:rPr>
          <w:rFonts w:ascii="Times New Roman" w:eastAsia="Times New Roman" w:hAnsi="Times New Roman" w:cs="Times New Roman"/>
          <w:bCs/>
        </w:rPr>
        <w:t xml:space="preserve"> to </w:t>
      </w:r>
      <w:r w:rsidR="00C66C45">
        <w:rPr>
          <w:rFonts w:ascii="Times New Roman" w:eastAsia="Times New Roman" w:hAnsi="Times New Roman" w:cs="Times New Roman"/>
          <w:bCs/>
        </w:rPr>
        <w:t>15</w:t>
      </w:r>
      <w:r>
        <w:rPr>
          <w:rFonts w:ascii="Times New Roman" w:eastAsia="Times New Roman" w:hAnsi="Times New Roman" w:cs="Times New Roman"/>
          <w:bCs/>
        </w:rPr>
        <w:t xml:space="preserve"> years before needing replacement. </w:t>
      </w:r>
    </w:p>
    <w:p w:rsidR="00BA4ABE" w:rsidRDefault="00BA4ABE"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Information from vendors indicates a new ESP costs approximately $1.8 to $2.2 million. One vendor stated that the cost could vary by plus or minus 40 percent, and another vendor indicated a </w:t>
      </w:r>
      <w:commentRangeStart w:id="12"/>
      <w:r w:rsidRPr="0092287A">
        <w:rPr>
          <w:rFonts w:ascii="Times New Roman" w:eastAsia="Times New Roman" w:hAnsi="Times New Roman" w:cs="Times New Roman"/>
          <w:bCs/>
        </w:rPr>
        <w:t xml:space="preserve">smaller electrostatic precipitator </w:t>
      </w:r>
      <w:commentRangeEnd w:id="12"/>
      <w:r w:rsidR="00C044ED">
        <w:rPr>
          <w:rStyle w:val="CommentReference"/>
        </w:rPr>
        <w:commentReference w:id="12"/>
      </w:r>
      <w:r w:rsidRPr="0092287A">
        <w:rPr>
          <w:rFonts w:ascii="Times New Roman" w:eastAsia="Times New Roman" w:hAnsi="Times New Roman" w:cs="Times New Roman"/>
          <w:bCs/>
        </w:rPr>
        <w:t xml:space="preserve">could be used if the goal were simply to comply with the 0.10 gr/dscf standard. </w:t>
      </w:r>
    </w:p>
    <w:p w:rsidR="0092287A" w:rsidRPr="0092287A" w:rsidRDefault="0092287A"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Costs for the addition of wet scrubbers are not included because many wood products businesses do not have wastewater treatment facilities onsite, making wet scrubber technology cost prohibitive. </w:t>
      </w:r>
    </w:p>
    <w:p w:rsidR="0092287A" w:rsidRPr="0092287A" w:rsidRDefault="0092287A" w:rsidP="0092287A">
      <w:pPr>
        <w:ind w:left="1080" w:right="18"/>
        <w:outlineLvl w:val="0"/>
        <w:rPr>
          <w:rFonts w:ascii="Times New Roman" w:eastAsia="Times New Roman" w:hAnsi="Times New Roman" w:cs="Times New Roman"/>
          <w:bCs/>
        </w:rPr>
      </w:pPr>
    </w:p>
    <w:p w:rsidR="007426BE" w:rsidRDefault="0092287A" w:rsidP="0092287A">
      <w:pPr>
        <w:ind w:left="1080" w:right="18"/>
        <w:outlineLvl w:val="0"/>
        <w:rPr>
          <w:rFonts w:ascii="Times New Roman" w:eastAsia="Times New Roman" w:hAnsi="Times New Roman" w:cs="Times New Roman"/>
          <w:bCs/>
          <w:iCs/>
        </w:rPr>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Pr="001E629B">
        <w:rPr>
          <w:rFonts w:ascii="Times New Roman" w:eastAsia="Times New Roman" w:hAnsi="Times New Roman" w:cs="Times New Roman"/>
          <w:bCs/>
          <w:iCs/>
          <w:highlight w:val="yellow"/>
        </w:rPr>
        <w:t>three</w:t>
      </w:r>
      <w:r w:rsidRPr="0092287A">
        <w:rPr>
          <w:rFonts w:ascii="Times New Roman" w:eastAsia="Times New Roman" w:hAnsi="Times New Roman" w:cs="Times New Roman"/>
          <w:bCs/>
          <w:iCs/>
        </w:rPr>
        <w:t xml:space="preserve"> asphalt plants that may not meet the lower standards are older plants that utilize wet scrubber controls. In general, asphalt plants with old wet scrubbers that have not been well maintained are the businesses that cannot meet lower particulate matter standards. 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An asphalt plant consultant recommends changing to a baghouse rather than upgrading old wet scrubbers to meet lower standards. </w:t>
      </w:r>
    </w:p>
    <w:p w:rsidR="007426BE" w:rsidRDefault="007426BE" w:rsidP="0092287A">
      <w:pPr>
        <w:ind w:left="1080" w:right="18"/>
        <w:outlineLvl w:val="0"/>
        <w:rPr>
          <w:rFonts w:ascii="Times New Roman" w:eastAsia="Times New Roman" w:hAnsi="Times New Roman" w:cs="Times New Roman"/>
          <w:b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to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bag replacement costs of $30,000 </w:t>
      </w:r>
      <w:proofErr w:type="gramStart"/>
      <w:r w:rsidRPr="0092287A">
        <w:rPr>
          <w:rFonts w:ascii="Times New Roman" w:eastAsia="Times New Roman" w:hAnsi="Times New Roman" w:cs="Times New Roman"/>
          <w:bCs/>
        </w:rPr>
        <w:t>to  $</w:t>
      </w:r>
      <w:proofErr w:type="gramEnd"/>
      <w:r w:rsidRPr="0092287A">
        <w:rPr>
          <w:rFonts w:ascii="Times New Roman" w:eastAsia="Times New Roman" w:hAnsi="Times New Roman" w:cs="Times New Roman"/>
          <w:bCs/>
        </w:rPr>
        <w:t xml:space="preserve">45,500. </w:t>
      </w:r>
    </w:p>
    <w:p w:rsidR="007426BE" w:rsidRDefault="007426BE"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A major tune-up of an asphalt plant costs approximately $3,000 and a source test is $12,000. A</w:t>
      </w:r>
      <w:r w:rsidR="007426BE">
        <w:rPr>
          <w:rFonts w:ascii="Times New Roman" w:eastAsia="Times New Roman" w:hAnsi="Times New Roman" w:cs="Times New Roman"/>
          <w:bCs/>
        </w:rPr>
        <w:t xml:space="preserve">sphalt plant tune-ups can also </w:t>
      </w:r>
      <w:r w:rsidR="005A08B2" w:rsidRPr="0092287A">
        <w:rPr>
          <w:rFonts w:ascii="Times New Roman" w:eastAsia="Times New Roman" w:hAnsi="Times New Roman" w:cs="Times New Roman"/>
          <w:bCs/>
        </w:rPr>
        <w:t>save money</w:t>
      </w:r>
      <w:r w:rsidRPr="0092287A">
        <w:rPr>
          <w:rFonts w:ascii="Times New Roman" w:eastAsia="Times New Roman" w:hAnsi="Times New Roman" w:cs="Times New Roman"/>
          <w:bCs/>
        </w:rPr>
        <w:t xml:space="preserve"> by reducing fuel usage</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  </w:t>
      </w:r>
    </w:p>
    <w:p w:rsidR="0092287A" w:rsidRPr="0092287A" w:rsidRDefault="0092287A" w:rsidP="0092287A">
      <w:pPr>
        <w:ind w:left="108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Pr="00814165">
        <w:rPr>
          <w:rFonts w:ascii="Times New Roman" w:eastAsia="Times New Roman" w:hAnsi="Times New Roman" w:cs="Times New Roman"/>
          <w:bCs/>
          <w:highlight w:val="yellow"/>
        </w:rPr>
        <w:t>XXX</w:t>
      </w:r>
      <w:r w:rsidRPr="0092287A">
        <w:rPr>
          <w:rFonts w:ascii="Times New Roman" w:eastAsia="Times New Roman" w:hAnsi="Times New Roman" w:cs="Times New Roman"/>
          <w:bCs/>
        </w:rPr>
        <w:t xml:space="preserve"> of 73 permitted asphalt plants in Oregon must meet this lower standard</w:t>
      </w:r>
      <w:r w:rsidR="00510B7C">
        <w:rPr>
          <w:rFonts w:ascii="Times New Roman" w:eastAsia="Times New Roman" w:hAnsi="Times New Roman" w:cs="Times New Roman"/>
          <w:bCs/>
        </w:rPr>
        <w:t xml:space="preserve">. </w:t>
      </w:r>
    </w:p>
    <w:p w:rsidR="0092287A" w:rsidRPr="0092287A" w:rsidRDefault="0092287A" w:rsidP="0092287A">
      <w:pPr>
        <w:ind w:left="1080" w:right="18"/>
        <w:outlineLvl w:val="0"/>
        <w:rPr>
          <w:rFonts w:ascii="Times New Roman" w:eastAsia="Times New Roman" w:hAnsi="Times New Roman" w:cs="Times New Roman"/>
          <w:bCs/>
          <w:iCs/>
        </w:rPr>
      </w:pPr>
    </w:p>
    <w:p w:rsidR="0092287A" w:rsidRP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DEQ has source test data from old asphalt plants with inefficient scrubbers that comply with the lower particulate matter standard so new equipment or additional control equipment may not be necessary</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would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a business 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the business chooses to get the offsets from the sources causing the problem 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the business chooses to obtain offsets from 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00855294">
        <w:rPr>
          <w:rFonts w:ascii="Times New Roman" w:eastAsia="Times New Roman" w:hAnsi="Times New Roman" w:cs="Times New Roman"/>
          <w:bCs/>
        </w:rPr>
        <w:t>The cost of one</w:t>
      </w:r>
      <w:r w:rsidRPr="00BD316E">
        <w:rPr>
          <w:rFonts w:ascii="Times New Roman" w:eastAsia="Times New Roman" w:hAnsi="Times New Roman" w:cs="Times New Roman"/>
          <w:bCs/>
        </w:rPr>
        <w:t xml:space="preserve">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areas </w:t>
      </w:r>
      <w:r>
        <w:rPr>
          <w:rFonts w:ascii="Times New Roman" w:eastAsia="Times New Roman" w:hAnsi="Times New Roman" w:cs="Times New Roman"/>
          <w:bCs/>
        </w:rPr>
        <w:t xml:space="preserve">where </w:t>
      </w:r>
      <w:r w:rsidRPr="00E638D3">
        <w:rPr>
          <w:rFonts w:ascii="Times New Roman" w:eastAsia="Times New Roman" w:hAnsi="Times New Roman" w:cs="Times New Roman"/>
          <w:bCs/>
        </w:rPr>
        <w:t>DEQ wants to transition back to attainment quick</w:t>
      </w:r>
      <w:r>
        <w:rPr>
          <w:rFonts w:ascii="Times New Roman" w:eastAsia="Times New Roman" w:hAnsi="Times New Roman" w:cs="Times New Roman"/>
          <w:bCs/>
        </w:rPr>
        <w:t>er</w:t>
      </w:r>
      <w:r w:rsidRPr="00E638D3">
        <w:rPr>
          <w:rFonts w:ascii="Times New Roman" w:eastAsia="Times New Roman" w:hAnsi="Times New Roman" w:cs="Times New Roman"/>
          <w:bCs/>
        </w:rPr>
        <w:t xml:space="preserve"> than EPA could redesignate the area, the proposed rules </w:t>
      </w:r>
      <w:r>
        <w:rPr>
          <w:rFonts w:ascii="Times New Roman" w:eastAsia="Times New Roman" w:hAnsi="Times New Roman" w:cs="Times New Roman"/>
          <w:bCs/>
        </w:rPr>
        <w:t xml:space="preserve">would allow businesses </w:t>
      </w:r>
      <w:r w:rsidRPr="00E638D3">
        <w:rPr>
          <w:rFonts w:ascii="Times New Roman" w:eastAsia="Times New Roman" w:hAnsi="Times New Roman" w:cs="Times New Roman"/>
          <w:bCs/>
        </w:rPr>
        <w:t xml:space="preserve">to meet the </w:t>
      </w:r>
      <w:r>
        <w:rPr>
          <w:rFonts w:ascii="Times New Roman" w:eastAsia="Times New Roman" w:hAnsi="Times New Roman" w:cs="Times New Roman"/>
          <w:bCs/>
        </w:rPr>
        <w:t xml:space="preserve">maintenance </w:t>
      </w:r>
      <w:r w:rsidRPr="00E638D3">
        <w:rPr>
          <w:rFonts w:ascii="Times New Roman" w:eastAsia="Times New Roman" w:hAnsi="Times New Roman" w:cs="Times New Roman"/>
          <w:bCs/>
        </w:rPr>
        <w:t>area requirements rather than the more stringent nonattainment area requirements</w:t>
      </w:r>
      <w:r>
        <w:rPr>
          <w:rFonts w:ascii="Times New Roman" w:eastAsia="Times New Roman" w:hAnsi="Times New Roman" w:cs="Times New Roman"/>
          <w:bCs/>
        </w:rPr>
        <w:t xml:space="preserve">. This would </w:t>
      </w:r>
      <w:r w:rsidRPr="00E638D3">
        <w:rPr>
          <w:rFonts w:ascii="Times New Roman" w:eastAsia="Times New Roman" w:hAnsi="Times New Roman" w:cs="Times New Roman"/>
          <w:bCs/>
        </w:rPr>
        <w:t xml:space="preserve">have a positive fiscal and economic impact on businesses. The control technology </w:t>
      </w:r>
      <w:r>
        <w:rPr>
          <w:rFonts w:ascii="Times New Roman" w:eastAsia="Times New Roman" w:hAnsi="Times New Roman" w:cs="Times New Roman"/>
          <w:bCs/>
        </w:rPr>
        <w:t xml:space="preserve">in a maintenance area </w:t>
      </w:r>
      <w:r w:rsidRPr="00E638D3">
        <w:rPr>
          <w:rFonts w:ascii="Times New Roman" w:eastAsia="Times New Roman" w:hAnsi="Times New Roman" w:cs="Times New Roman"/>
          <w:bCs/>
        </w:rPr>
        <w:t xml:space="preserve">may be less expensive but </w:t>
      </w:r>
      <w:r>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Pr="00E638D3">
        <w:rPr>
          <w:rFonts w:ascii="Times New Roman" w:eastAsia="Times New Roman" w:hAnsi="Times New Roman" w:cs="Times New Roman"/>
          <w:bCs/>
        </w:rPr>
        <w:t>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lastRenderedPageBreak/>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w:t>
            </w:r>
            <w:r w:rsidRPr="00E638D3">
              <w:rPr>
                <w:rFonts w:ascii="Times New Roman" w:eastAsia="Times New Roman" w:hAnsi="Times New Roman" w:cs="Times New Roman"/>
              </w:rPr>
              <w:lastRenderedPageBreak/>
              <w:t>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E2016F">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w:t>
            </w:r>
            <w:r w:rsidR="00D02904" w:rsidRPr="00E638D3">
              <w:rPr>
                <w:rFonts w:ascii="Times New Roman" w:eastAsia="Times New Roman" w:hAnsi="Times New Roman" w:cs="Times New Roman"/>
                <w:bCs/>
                <w:iCs/>
              </w:rPr>
              <w:lastRenderedPageBreak/>
              <w:t xml:space="preserve">the DEQ website, through direct mailings and email lists, </w:t>
            </w:r>
            <w:r w:rsidR="0059415B">
              <w:rPr>
                <w:rFonts w:ascii="Times New Roman" w:eastAsia="Times New Roman" w:hAnsi="Times New Roman" w:cs="Times New Roman"/>
                <w:bCs/>
                <w:iCs/>
              </w:rPr>
              <w:t>stakeholder meetings,</w:t>
            </w:r>
            <w:r w:rsidR="00E2016F">
              <w:rPr>
                <w:rFonts w:ascii="Times New Roman" w:eastAsia="Times New Roman" w:hAnsi="Times New Roman" w:cs="Times New Roman"/>
                <w:bCs/>
                <w:iCs/>
              </w:rPr>
              <w:t xml:space="preserve"> a fiscal </w:t>
            </w:r>
            <w:proofErr w:type="spellStart"/>
            <w:r w:rsidR="00E2016F">
              <w:rPr>
                <w:rFonts w:ascii="Times New Roman" w:eastAsia="Times New Roman" w:hAnsi="Times New Roman" w:cs="Times New Roman"/>
                <w:bCs/>
                <w:iCs/>
              </w:rPr>
              <w:t>advisoty</w:t>
            </w:r>
            <w:proofErr w:type="spellEnd"/>
            <w:r w:rsidR="00E2016F">
              <w:rPr>
                <w:rFonts w:ascii="Times New Roman" w:eastAsia="Times New Roman" w:hAnsi="Times New Roman" w:cs="Times New Roman"/>
                <w:bCs/>
                <w:iCs/>
              </w:rPr>
              <w:t xml:space="preserve">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E2016F">
              <w:rPr>
                <w:rFonts w:ascii="Times New Roman" w:eastAsia="Times New Roman" w:hAnsi="Times New Roman" w:cs="Times New Roman"/>
                <w:bCs/>
                <w:iCs/>
              </w:rPr>
              <w:t>January</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7B0FBC"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The fiscal advisory committee met in November and _________________</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commentRangeStart w:id="13"/>
      <w:r w:rsidRPr="00BD316E">
        <w:rPr>
          <w:rFonts w:asciiTheme="majorHAnsi" w:eastAsia="Times New Roman" w:hAnsiTheme="majorHAnsi" w:cstheme="majorHAnsi"/>
          <w:bCs/>
          <w:sz w:val="22"/>
          <w:szCs w:val="22"/>
        </w:rPr>
        <w:t xml:space="preserve">Relationship to federal requirements </w:t>
      </w:r>
      <w:commentRangeEnd w:id="13"/>
      <w:r w:rsidR="00780798">
        <w:rPr>
          <w:rStyle w:val="CommentReference"/>
        </w:rPr>
        <w:commentReference w:id="13"/>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lastRenderedPageBreak/>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the 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w:t>
      </w:r>
      <w:r w:rsidRPr="00BD316E">
        <w:rPr>
          <w:rFonts w:ascii="Times New Roman" w:hAnsi="Times New Roman" w:cs="Times New Roman"/>
          <w:bCs/>
        </w:rPr>
        <w:lastRenderedPageBreak/>
        <w:t>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4C7FD1" w:rsidP="004C7FD1">
      <w:pPr>
        <w:ind w:left="1080" w:right="18"/>
        <w:rPr>
          <w:rFonts w:ascii="Times New Roman" w:hAnsi="Times New Roman" w:cs="Times New Roman"/>
          <w:bCs/>
        </w:rPr>
      </w:pPr>
      <w:r w:rsidRPr="005B116B">
        <w:rPr>
          <w:rFonts w:ascii="Times New Roman" w:hAnsi="Times New Roman" w:cs="Times New Roman"/>
          <w:bCs/>
        </w:rPr>
        <w:t>DEQ considered not designating Lakeview a sustainment area</w:t>
      </w:r>
      <w:r>
        <w:rPr>
          <w:rFonts w:ascii="Times New Roman" w:hAnsi="Times New Roman" w:cs="Times New Roman"/>
          <w:bCs/>
        </w:rPr>
        <w:t xml:space="preserve"> because the desire of the local community was unknown at the time. </w:t>
      </w:r>
      <w:r w:rsidRPr="005B116B">
        <w:rPr>
          <w:rFonts w:ascii="Times New Roman" w:hAnsi="Times New Roman" w:cs="Times New Roman"/>
          <w:bCs/>
        </w:rPr>
        <w:t xml:space="preserve">DEQ did not pursue this alternative because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 xml:space="preserve">DEQ considered leaving the requirements for public hearings and meetings as is but the economic benefits and improved effectiveness of outreach using recent technology supported the </w:t>
      </w:r>
      <w:r w:rsidRPr="005B116B">
        <w:rPr>
          <w:rFonts w:ascii="Times New Roman" w:hAnsi="Times New Roman" w:cs="Times New Roman"/>
          <w:bCs/>
        </w:rPr>
        <w:lastRenderedPageBreak/>
        <w:t>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lastRenderedPageBreak/>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7B0FBC"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4" w:name="AdvisoryCommittee"/>
      <w:r w:rsidR="00C9239E" w:rsidRPr="006E3C74">
        <w:rPr>
          <w:rFonts w:asciiTheme="majorHAnsi" w:eastAsia="Times New Roman" w:hAnsiTheme="majorHAnsi" w:cstheme="majorHAnsi"/>
          <w:bCs/>
          <w:sz w:val="22"/>
          <w:szCs w:val="22"/>
        </w:rPr>
        <w:t>Advisory committee</w:t>
      </w:r>
      <w:bookmarkEnd w:id="14"/>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t>
      </w:r>
      <w:r w:rsidRPr="006E3C74">
        <w:rPr>
          <w:rFonts w:asciiTheme="minorHAnsi" w:eastAsia="Times New Roman" w:hAnsiTheme="minorHAnsi" w:cstheme="minorHAnsi"/>
        </w:rPr>
        <w:lastRenderedPageBreak/>
        <w:t>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December 11, </w:t>
      </w:r>
      <w:r w:rsidR="0001243A">
        <w:rPr>
          <w:rFonts w:ascii="Times New Roman" w:eastAsia="Times New Roman" w:hAnsi="Times New Roman" w:cs="Times New Roman"/>
        </w:rPr>
        <w:t>2013 EQC meeting and a</w:t>
      </w:r>
      <w:r w:rsidR="00A74227" w:rsidRPr="00B13120">
        <w:rPr>
          <w:rFonts w:ascii="Times New Roman" w:eastAsia="Times New Roman" w:hAnsi="Times New Roman" w:cs="Times New Roman"/>
        </w:rPr>
        <w:t>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01243A">
        <w:rPr>
          <w:rFonts w:ascii="Times New Roman" w:eastAsia="Times New Roman" w:hAnsi="Times New Roman" w:cs="Times New Roman"/>
        </w:rPr>
        <w:t>March XX</w:t>
      </w:r>
      <w:r w:rsidR="00601B00" w:rsidRPr="00B13120">
        <w:rPr>
          <w:rFonts w:ascii="Times New Roman" w:eastAsia="Times New Roman" w:hAnsi="Times New Roman" w:cs="Times New Roman"/>
        </w:rPr>
        <w:t>, 201</w:t>
      </w:r>
      <w:r w:rsidR="0001243A">
        <w:rPr>
          <w:rFonts w:ascii="Times New Roman" w:eastAsia="Times New Roman" w:hAnsi="Times New Roman" w:cs="Times New Roman"/>
        </w:rPr>
        <w:t>4</w:t>
      </w:r>
      <w:r w:rsidR="00A74227" w:rsidRPr="00B13120">
        <w:rPr>
          <w:rFonts w:ascii="Times New Roman" w:eastAsia="Times New Roman" w:hAnsi="Times New Roman" w:cs="Times New Roman"/>
        </w:rPr>
        <w:t xml:space="preserve"> EQC agenda</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01243A">
        <w:rPr>
          <w:rFonts w:asciiTheme="minorHAnsi" w:eastAsia="Times New Roman" w:hAnsiTheme="minorHAnsi" w:cstheme="minorHAnsi"/>
          <w:bCs/>
        </w:rPr>
        <w:t>January</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6510A0" w:rsidRPr="006510A0">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FB5B86">
        <w:rPr>
          <w:rFonts w:asciiTheme="minorHAnsi" w:eastAsia="Times New Roman" w:hAnsiTheme="minorHAnsi" w:cstheme="minorHAnsi"/>
        </w:rPr>
        <w:t>Decem</w:t>
      </w:r>
      <w:r w:rsidR="00C21575" w:rsidRPr="006E3C74">
        <w:rPr>
          <w:rFonts w:asciiTheme="minorHAnsi" w:eastAsia="Times New Roman" w:hAnsiTheme="minorHAnsi" w:cstheme="minorHAnsi"/>
        </w:rPr>
        <w:t>ber 1</w:t>
      </w:r>
      <w:r w:rsidR="007F5700">
        <w:rPr>
          <w:rFonts w:asciiTheme="minorHAnsi" w:eastAsia="Times New Roman" w:hAnsiTheme="minorHAnsi" w:cstheme="minorHAnsi"/>
        </w:rPr>
        <w:t>7</w:t>
      </w:r>
      <w:r w:rsidR="00C21575" w:rsidRPr="006E3C74">
        <w:rPr>
          <w:rFonts w:asciiTheme="minorHAnsi" w:eastAsia="Times New Roman" w:hAnsiTheme="minorHAnsi" w:cstheme="minorHAnsi"/>
        </w:rPr>
        <w:t xml:space="preserve">,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commentRangeStart w:id="15"/>
      <w:r w:rsidR="00C22E0C" w:rsidRPr="006E3C74">
        <w:rPr>
          <w:rFonts w:asciiTheme="minorHAnsi" w:eastAsia="Times New Roman" w:hAnsiTheme="minorHAnsi" w:cstheme="minorHAnsi"/>
        </w:rPr>
        <w:t xml:space="preserve">key legislators </w:t>
      </w:r>
      <w:commentRangeEnd w:id="15"/>
      <w:r w:rsidR="00FB5B86">
        <w:rPr>
          <w:rStyle w:val="CommentReference"/>
        </w:rPr>
        <w:commentReference w:id="15"/>
      </w:r>
      <w:r w:rsidR="00C22E0C" w:rsidRPr="006E3C74">
        <w:rPr>
          <w:rFonts w:asciiTheme="minorHAnsi" w:eastAsia="Times New Roman" w:hAnsiTheme="minorHAnsi" w:cstheme="minorHAnsi"/>
        </w:rPr>
        <w:t xml:space="preserve">required under </w:t>
      </w:r>
      <w:hyperlink r:id="rId37"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16" w:name="SBT"/>
      <w:r w:rsidRPr="008723F5">
        <w:rPr>
          <w:rFonts w:asciiTheme="minorHAnsi" w:eastAsia="Times New Roman" w:hAnsiTheme="minorHAnsi" w:cstheme="minorHAnsi"/>
        </w:rPr>
        <w:t>Business and Transportation</w:t>
      </w:r>
      <w:bookmarkEnd w:id="16"/>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17" w:name="SENR"/>
      <w:r w:rsidRPr="008723F5">
        <w:rPr>
          <w:rFonts w:asciiTheme="minorHAnsi" w:eastAsia="Times New Roman" w:hAnsiTheme="minorHAnsi" w:cstheme="minorHAnsi"/>
          <w:bCs/>
        </w:rPr>
        <w:t>Senate Environment and Natural Resources</w:t>
      </w:r>
      <w:bookmarkEnd w:id="17"/>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18" w:name="HEE"/>
      <w:r w:rsidRPr="008723F5">
        <w:rPr>
          <w:rFonts w:asciiTheme="minorHAnsi" w:eastAsia="Times New Roman" w:hAnsiTheme="minorHAnsi" w:cstheme="minorHAnsi"/>
          <w:bCs/>
        </w:rPr>
        <w:t>House Energy and Environment</w:t>
      </w:r>
      <w:bookmarkEnd w:id="18"/>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w:t>
      </w:r>
      <w:r w:rsidR="00FB5B86">
        <w:rPr>
          <w:rFonts w:asciiTheme="minorHAnsi" w:eastAsia="Times New Roman" w:hAnsiTheme="minorHAnsi" w:cstheme="minorHAnsi"/>
        </w:rPr>
        <w:t>Decem</w:t>
      </w:r>
      <w:r w:rsidR="00B13120">
        <w:rPr>
          <w:rFonts w:asciiTheme="minorHAnsi" w:eastAsia="Times New Roman" w:hAnsiTheme="minorHAnsi" w:cstheme="minorHAnsi"/>
        </w:rPr>
        <w:t>ber 1</w:t>
      </w:r>
      <w:r w:rsidR="007F5700">
        <w:rPr>
          <w:rFonts w:asciiTheme="minorHAnsi" w:eastAsia="Times New Roman" w:hAnsiTheme="minorHAnsi" w:cstheme="minorHAnsi"/>
        </w:rPr>
        <w:t>7</w:t>
      </w:r>
      <w:r w:rsidR="00B13120">
        <w:rPr>
          <w:rFonts w:asciiTheme="minorHAnsi" w:eastAsia="Times New Roman" w:hAnsiTheme="minorHAnsi" w:cstheme="minorHAnsi"/>
        </w:rPr>
        <w:t>,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aily Journal of Commerce on Decem</w:t>
      </w:r>
      <w:r>
        <w:rPr>
          <w:rFonts w:asciiTheme="minorHAnsi" w:eastAsia="Times New Roman" w:hAnsiTheme="minorHAnsi" w:cstheme="minorHAnsi"/>
        </w:rPr>
        <w:t>ber 1</w:t>
      </w:r>
      <w:r w:rsidR="007F5700">
        <w:rPr>
          <w:rFonts w:asciiTheme="minorHAnsi" w:eastAsia="Times New Roman" w:hAnsiTheme="minorHAnsi" w:cstheme="minorHAnsi"/>
        </w:rPr>
        <w:t>7</w:t>
      </w:r>
      <w:r>
        <w:rPr>
          <w:rFonts w:asciiTheme="minorHAnsi" w:eastAsia="Times New Roman" w:hAnsiTheme="minorHAnsi" w:cstheme="minorHAnsi"/>
        </w:rPr>
        <w:t>,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FB5B86">
        <w:rPr>
          <w:rFonts w:asciiTheme="minorHAnsi" w:eastAsia="Times New Roman" w:hAnsiTheme="minorHAnsi" w:cstheme="minorHAnsi"/>
          <w:bCs/>
        </w:rPr>
        <w:t>Decem</w:t>
      </w:r>
      <w:r w:rsidR="00B13120" w:rsidRPr="00B13120">
        <w:rPr>
          <w:rFonts w:asciiTheme="minorHAnsi" w:eastAsia="Times New Roman" w:hAnsiTheme="minorHAnsi" w:cstheme="minorHAnsi"/>
          <w:bCs/>
        </w:rPr>
        <w:t>ber 1</w:t>
      </w:r>
      <w:r w:rsidR="007F5700">
        <w:rPr>
          <w:rFonts w:asciiTheme="minorHAnsi" w:eastAsia="Times New Roman" w:hAnsiTheme="minorHAnsi" w:cstheme="minorHAnsi"/>
          <w:bCs/>
        </w:rPr>
        <w:t>7</w:t>
      </w:r>
      <w:r w:rsidR="00B13120" w:rsidRPr="00B13120">
        <w:rPr>
          <w:rFonts w:asciiTheme="minorHAnsi" w:eastAsia="Times New Roman" w:hAnsiTheme="minorHAnsi" w:cstheme="minorHAnsi"/>
          <w:bCs/>
        </w:rPr>
        <w:t>,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lastRenderedPageBreak/>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9" w:name="_MON_1421138453"/>
    <w:bookmarkEnd w:id="19"/>
    <w:p w:rsidR="00982C6B" w:rsidRPr="006E3C74" w:rsidRDefault="00FB5B86" w:rsidP="00306AF4">
      <w:pPr>
        <w:ind w:left="630" w:right="18"/>
        <w:rPr>
          <w:b/>
          <w:bCs/>
          <w:sz w:val="28"/>
          <w:szCs w:val="28"/>
        </w:rPr>
      </w:pPr>
      <w:r w:rsidRPr="006E3C74">
        <w:rPr>
          <w:b/>
          <w:bCs/>
          <w:sz w:val="28"/>
          <w:szCs w:val="28"/>
        </w:rPr>
        <w:object w:dxaOrig="9875" w:dyaOrig="4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08.6pt" o:ole="">
            <v:imagedata r:id="rId40" o:title=""/>
          </v:shape>
          <o:OLEObject Type="Embed" ProgID="Excel.Sheet.12" ShapeID="_x0000_i1025" DrawAspect="Content" ObjectID="_1444737686" r:id="rId41"/>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B5B86">
        <w:rPr>
          <w:rFonts w:asciiTheme="minorHAnsi" w:eastAsia="Times New Roman" w:hAnsiTheme="minorHAnsi" w:cstheme="minorHAnsi"/>
          <w:bCs/>
        </w:rPr>
        <w:t>January</w:t>
      </w:r>
      <w:r w:rsidR="006F220B" w:rsidRPr="006E3C74">
        <w:rPr>
          <w:rFonts w:asciiTheme="minorHAnsi" w:eastAsia="Times New Roman" w:hAnsiTheme="minorHAnsi" w:cstheme="minorHAnsi"/>
          <w:bCs/>
        </w:rPr>
        <w:t xml:space="preserve"> </w:t>
      </w:r>
      <w:r w:rsidR="00FB5B86">
        <w:rPr>
          <w:rFonts w:asciiTheme="minorHAnsi" w:eastAsia="Times New Roman" w:hAnsiTheme="minorHAnsi" w:cstheme="minorHAnsi"/>
          <w:bCs/>
        </w:rPr>
        <w:t>31</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bookmarkStart w:id="20" w:name="_GoBack"/>
      <w:bookmarkEnd w:id="20"/>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FB5B86" w:rsidRPr="00E638D3" w:rsidRDefault="00FB5B86">
      <w:pPr>
        <w:spacing w:after="120"/>
        <w:ind w:left="720" w:right="18"/>
        <w:outlineLvl w:val="0"/>
        <w:rPr>
          <w:rFonts w:asciiTheme="minorHAnsi" w:eastAsia="Times New Roman" w:hAnsiTheme="minorHAnsi" w:cstheme="minorHAnsi"/>
          <w:bCs/>
        </w:rPr>
      </w:pPr>
    </w:p>
    <w:sectPr w:rsidR="00FB5B86" w:rsidRPr="00E638D3" w:rsidSect="00B34CF8">
      <w:footerReference w:type="default" r:id="rId42"/>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ginsbu" w:date="2013-10-22T18:18:00Z" w:initials="ADG">
    <w:p w:rsidR="007F5700" w:rsidRDefault="007F5700">
      <w:pPr>
        <w:pStyle w:val="CommentText"/>
      </w:pPr>
      <w:r>
        <w:rPr>
          <w:rStyle w:val="CommentReference"/>
        </w:rPr>
        <w:annotationRef/>
      </w:r>
      <w:r>
        <w:t>Update this section to match current thinking and plan.</w:t>
      </w:r>
    </w:p>
  </w:comment>
  <w:comment w:id="1" w:author="aginsbu" w:date="2013-10-22T13:37:00Z" w:initials="a">
    <w:p w:rsidR="007F5700" w:rsidRDefault="007F5700">
      <w:pPr>
        <w:pStyle w:val="CommentText"/>
      </w:pPr>
      <w:r>
        <w:rPr>
          <w:rStyle w:val="CommentReference"/>
        </w:rPr>
        <w:annotationRef/>
      </w:r>
      <w:r>
        <w:t>Revise this to match any additional flexibility added as a result of the pre-notice period.</w:t>
      </w:r>
    </w:p>
  </w:comment>
  <w:comment w:id="2" w:author="aginsbu" w:date="2013-10-22T13:37:00Z" w:initials="a">
    <w:p w:rsidR="007F5700" w:rsidRDefault="007F5700" w:rsidP="00613367">
      <w:pPr>
        <w:pStyle w:val="CommentText"/>
        <w:ind w:left="0"/>
      </w:pPr>
      <w:r>
        <w:rPr>
          <w:rStyle w:val="CommentReference"/>
        </w:rPr>
        <w:annotationRef/>
      </w:r>
      <w:r>
        <w:t>Expand on explanation of any additional flexibility or off ramp here.</w:t>
      </w:r>
    </w:p>
  </w:comment>
  <w:comment w:id="3" w:author="Mark" w:date="2013-10-30T15:26:00Z" w:initials="M">
    <w:p w:rsidR="007F5700" w:rsidRDefault="007F5700">
      <w:pPr>
        <w:pStyle w:val="CommentText"/>
      </w:pPr>
      <w:r>
        <w:rPr>
          <w:rStyle w:val="CommentReference"/>
        </w:rPr>
        <w:annotationRef/>
      </w:r>
      <w:r>
        <w:t>This is not in the rules</w:t>
      </w:r>
    </w:p>
  </w:comment>
  <w:comment w:id="4" w:author="aginsbu" w:date="2013-10-22T13:37:00Z" w:initials="ADG">
    <w:p w:rsidR="007F5700" w:rsidRDefault="007F5700">
      <w:pPr>
        <w:pStyle w:val="CommentText"/>
      </w:pPr>
      <w:r>
        <w:rPr>
          <w:rStyle w:val="CommentReference"/>
        </w:rPr>
        <w:annotationRef/>
      </w:r>
      <w:r>
        <w:t>I have in mind a credible analysis of the area, including a summary of emission sources, justification for the boundary, justification for identifying residential wood heating as the primary source of air pollution that non-federal PSD sources could use to get a discount in the offset ratio, a description of the PM Advance program that will serve as the prevention plan, a description of the community advisory committee process, expected timelines, etc.</w:t>
      </w:r>
    </w:p>
  </w:comment>
  <w:comment w:id="7" w:author="aginsbu" w:date="2013-10-22T17:59:00Z" w:initials="ADG">
    <w:p w:rsidR="007F5700" w:rsidRDefault="007F5700">
      <w:pPr>
        <w:pStyle w:val="CommentText"/>
      </w:pPr>
      <w:r>
        <w:rPr>
          <w:rStyle w:val="CommentReference"/>
        </w:rPr>
        <w:annotationRef/>
      </w:r>
      <w:r>
        <w:t>unclear</w:t>
      </w:r>
    </w:p>
  </w:comment>
  <w:comment w:id="10" w:author="Mark" w:date="2013-10-30T17:16:00Z" w:initials="M">
    <w:p w:rsidR="007F5700" w:rsidRDefault="007F5700">
      <w:pPr>
        <w:pStyle w:val="CommentText"/>
      </w:pPr>
      <w:r>
        <w:rPr>
          <w:rStyle w:val="CommentReference"/>
        </w:rPr>
        <w:annotationRef/>
      </w:r>
      <w:proofErr w:type="gramStart"/>
      <w:r>
        <w:t>should</w:t>
      </w:r>
      <w:proofErr w:type="gramEnd"/>
      <w:r>
        <w:t xml:space="preserve"> this say below like for businesses?</w:t>
      </w:r>
    </w:p>
  </w:comment>
  <w:comment w:id="11" w:author="Mark" w:date="2013-10-30T17:08:00Z" w:initials="M">
    <w:p w:rsidR="007F5700" w:rsidRDefault="007F5700">
      <w:pPr>
        <w:pStyle w:val="CommentText"/>
      </w:pPr>
      <w:r>
        <w:rPr>
          <w:rStyle w:val="CommentReference"/>
        </w:rPr>
        <w:annotationRef/>
      </w:r>
      <w:proofErr w:type="gramStart"/>
      <w:r>
        <w:t>talk</w:t>
      </w:r>
      <w:proofErr w:type="gramEnd"/>
      <w:r>
        <w:t xml:space="preserve"> about NSR extensions, new state NSR program?  Don’t repeat sustainment and reattainment impacts?</w:t>
      </w:r>
    </w:p>
  </w:comment>
  <w:comment w:id="12" w:author="Mark" w:date="2013-10-30T12:06:00Z" w:initials="M">
    <w:p w:rsidR="007F5700" w:rsidRDefault="007F5700">
      <w:pPr>
        <w:pStyle w:val="CommentText"/>
      </w:pPr>
      <w:r>
        <w:rPr>
          <w:rStyle w:val="CommentReference"/>
        </w:rPr>
        <w:annotationRef/>
      </w:r>
      <w:proofErr w:type="gramStart"/>
      <w:r>
        <w:t>cost</w:t>
      </w:r>
      <w:proofErr w:type="gramEnd"/>
      <w:r>
        <w:t xml:space="preserve"> of smaller ESP?</w:t>
      </w:r>
    </w:p>
  </w:comment>
  <w:comment w:id="13" w:author="aginsbu" w:date="2013-10-22T18:04:00Z" w:initials="ADG">
    <w:p w:rsidR="007F5700" w:rsidRDefault="007F5700" w:rsidP="00780798">
      <w:pPr>
        <w:pStyle w:val="CommentText"/>
      </w:pPr>
      <w:r>
        <w:rPr>
          <w:rStyle w:val="CommentReference"/>
        </w:rPr>
        <w:annotationRef/>
      </w:r>
      <w:r>
        <w:t>Use the same titles and order for the 8 items as above.</w:t>
      </w:r>
    </w:p>
    <w:p w:rsidR="007F5700" w:rsidRDefault="007F5700">
      <w:pPr>
        <w:pStyle w:val="CommentText"/>
      </w:pPr>
    </w:p>
  </w:comment>
  <w:comment w:id="15" w:author="Mark" w:date="2013-10-30T17:41:00Z" w:initials="M">
    <w:p w:rsidR="007F5700" w:rsidRDefault="007F5700">
      <w:pPr>
        <w:pStyle w:val="CommentText"/>
      </w:pPr>
      <w:r>
        <w:rPr>
          <w:rStyle w:val="CommentReference"/>
        </w:rPr>
        <w:annotationRef/>
      </w:r>
      <w:r>
        <w:t>Add the others??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700" w:rsidRDefault="007F5700" w:rsidP="00BD316E">
      <w:r>
        <w:separator/>
      </w:r>
    </w:p>
  </w:endnote>
  <w:endnote w:type="continuationSeparator" w:id="0">
    <w:p w:rsidR="007F5700" w:rsidRDefault="007F570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700" w:rsidRPr="00BD316E" w:rsidRDefault="007F5700">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10/31/2013 9:50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8A704E">
      <w:rPr>
        <w:rFonts w:asciiTheme="minorHAnsi" w:hAnsiTheme="minorHAnsi" w:cstheme="minorHAnsi"/>
        <w:noProof/>
        <w:sz w:val="20"/>
        <w:szCs w:val="20"/>
      </w:rPr>
      <w:t>29</w:t>
    </w:r>
    <w:r w:rsidRPr="00BD316E">
      <w:rPr>
        <w:rFonts w:asciiTheme="minorHAnsi" w:hAnsiTheme="minorHAnsi" w:cstheme="minorHAnsi"/>
        <w:sz w:val="20"/>
        <w:szCs w:val="20"/>
      </w:rPr>
      <w:fldChar w:fldCharType="end"/>
    </w:r>
  </w:p>
  <w:p w:rsidR="007F5700" w:rsidRDefault="007F5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700" w:rsidRDefault="007F5700" w:rsidP="00BD316E">
      <w:r>
        <w:separator/>
      </w:r>
    </w:p>
  </w:footnote>
  <w:footnote w:type="continuationSeparator" w:id="0">
    <w:p w:rsidR="007F5700" w:rsidRDefault="007F5700"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1"/>
  </w:num>
  <w:num w:numId="30">
    <w:abstractNumId w:val="18"/>
  </w:num>
  <w:num w:numId="31">
    <w:abstractNumId w:val="40"/>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243A"/>
    <w:rsid w:val="000144E0"/>
    <w:rsid w:val="00015E14"/>
    <w:rsid w:val="00016F5E"/>
    <w:rsid w:val="000176BD"/>
    <w:rsid w:val="000179CE"/>
    <w:rsid w:val="00021CEF"/>
    <w:rsid w:val="000229FF"/>
    <w:rsid w:val="00025EC3"/>
    <w:rsid w:val="00026313"/>
    <w:rsid w:val="00026A45"/>
    <w:rsid w:val="000277C4"/>
    <w:rsid w:val="000308D9"/>
    <w:rsid w:val="000319E1"/>
    <w:rsid w:val="0003247E"/>
    <w:rsid w:val="000334BE"/>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5FD1"/>
    <w:rsid w:val="0006798B"/>
    <w:rsid w:val="0007166A"/>
    <w:rsid w:val="00071D04"/>
    <w:rsid w:val="0007563A"/>
    <w:rsid w:val="0007627C"/>
    <w:rsid w:val="00076D25"/>
    <w:rsid w:val="0007703C"/>
    <w:rsid w:val="000778E2"/>
    <w:rsid w:val="00081F93"/>
    <w:rsid w:val="000832D3"/>
    <w:rsid w:val="00084C0A"/>
    <w:rsid w:val="000855AB"/>
    <w:rsid w:val="000904FA"/>
    <w:rsid w:val="0009279B"/>
    <w:rsid w:val="00092C70"/>
    <w:rsid w:val="00092CB8"/>
    <w:rsid w:val="00092F0F"/>
    <w:rsid w:val="00093659"/>
    <w:rsid w:val="00093735"/>
    <w:rsid w:val="0009416B"/>
    <w:rsid w:val="000954CE"/>
    <w:rsid w:val="00095A1D"/>
    <w:rsid w:val="00095E31"/>
    <w:rsid w:val="0009694C"/>
    <w:rsid w:val="00096DC5"/>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40BC"/>
    <w:rsid w:val="000D7803"/>
    <w:rsid w:val="000E0C74"/>
    <w:rsid w:val="000E4491"/>
    <w:rsid w:val="000E5208"/>
    <w:rsid w:val="000E5ECC"/>
    <w:rsid w:val="000E60A5"/>
    <w:rsid w:val="000F0C2A"/>
    <w:rsid w:val="000F2916"/>
    <w:rsid w:val="000F38D9"/>
    <w:rsid w:val="000F4BA0"/>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0F3A"/>
    <w:rsid w:val="001329B4"/>
    <w:rsid w:val="001329E5"/>
    <w:rsid w:val="001333E2"/>
    <w:rsid w:val="00133795"/>
    <w:rsid w:val="00133A57"/>
    <w:rsid w:val="0013432F"/>
    <w:rsid w:val="00136667"/>
    <w:rsid w:val="00137086"/>
    <w:rsid w:val="00137427"/>
    <w:rsid w:val="00141EBE"/>
    <w:rsid w:val="0014434D"/>
    <w:rsid w:val="00145BC8"/>
    <w:rsid w:val="00146E30"/>
    <w:rsid w:val="001474B5"/>
    <w:rsid w:val="001502FB"/>
    <w:rsid w:val="001530D6"/>
    <w:rsid w:val="0015450A"/>
    <w:rsid w:val="001547D2"/>
    <w:rsid w:val="00154DBC"/>
    <w:rsid w:val="00157C03"/>
    <w:rsid w:val="001602E5"/>
    <w:rsid w:val="001618D1"/>
    <w:rsid w:val="00161CEB"/>
    <w:rsid w:val="00164210"/>
    <w:rsid w:val="00165AA1"/>
    <w:rsid w:val="00167802"/>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2CF"/>
    <w:rsid w:val="0019133B"/>
    <w:rsid w:val="00192959"/>
    <w:rsid w:val="001936CC"/>
    <w:rsid w:val="0019385F"/>
    <w:rsid w:val="00194ACD"/>
    <w:rsid w:val="00195027"/>
    <w:rsid w:val="0019640C"/>
    <w:rsid w:val="001A0FDF"/>
    <w:rsid w:val="001A273D"/>
    <w:rsid w:val="001A3880"/>
    <w:rsid w:val="001A403A"/>
    <w:rsid w:val="001A4AB6"/>
    <w:rsid w:val="001A5840"/>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E1BD3"/>
    <w:rsid w:val="001E2BD3"/>
    <w:rsid w:val="001E3F8A"/>
    <w:rsid w:val="001E57C6"/>
    <w:rsid w:val="001E629B"/>
    <w:rsid w:val="001E62D1"/>
    <w:rsid w:val="001E6DCA"/>
    <w:rsid w:val="001E7E10"/>
    <w:rsid w:val="001F04FD"/>
    <w:rsid w:val="001F088B"/>
    <w:rsid w:val="001F178C"/>
    <w:rsid w:val="001F2D3C"/>
    <w:rsid w:val="001F544C"/>
    <w:rsid w:val="002023EE"/>
    <w:rsid w:val="002042B6"/>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42F1"/>
    <w:rsid w:val="00225AE8"/>
    <w:rsid w:val="00227427"/>
    <w:rsid w:val="00230762"/>
    <w:rsid w:val="00232062"/>
    <w:rsid w:val="0023418C"/>
    <w:rsid w:val="00234297"/>
    <w:rsid w:val="00235585"/>
    <w:rsid w:val="00236519"/>
    <w:rsid w:val="002404EF"/>
    <w:rsid w:val="002405F8"/>
    <w:rsid w:val="00240C51"/>
    <w:rsid w:val="00240FFF"/>
    <w:rsid w:val="00243AF1"/>
    <w:rsid w:val="0024501F"/>
    <w:rsid w:val="0024580A"/>
    <w:rsid w:val="00245E7E"/>
    <w:rsid w:val="00247AB0"/>
    <w:rsid w:val="00250E7E"/>
    <w:rsid w:val="00252800"/>
    <w:rsid w:val="0025467F"/>
    <w:rsid w:val="00257D81"/>
    <w:rsid w:val="00261127"/>
    <w:rsid w:val="00261C1B"/>
    <w:rsid w:val="00262AC3"/>
    <w:rsid w:val="00263B9C"/>
    <w:rsid w:val="00264FDD"/>
    <w:rsid w:val="002654B2"/>
    <w:rsid w:val="0026750D"/>
    <w:rsid w:val="00270504"/>
    <w:rsid w:val="00270D01"/>
    <w:rsid w:val="0027111E"/>
    <w:rsid w:val="0027774D"/>
    <w:rsid w:val="00281104"/>
    <w:rsid w:val="00284C59"/>
    <w:rsid w:val="00284F61"/>
    <w:rsid w:val="00286CEC"/>
    <w:rsid w:val="00291129"/>
    <w:rsid w:val="0029119A"/>
    <w:rsid w:val="00291A33"/>
    <w:rsid w:val="00292E18"/>
    <w:rsid w:val="0029662E"/>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D43"/>
    <w:rsid w:val="002B0C9C"/>
    <w:rsid w:val="002B1149"/>
    <w:rsid w:val="002B1663"/>
    <w:rsid w:val="002B1B77"/>
    <w:rsid w:val="002B4E81"/>
    <w:rsid w:val="002B68A3"/>
    <w:rsid w:val="002B6A4B"/>
    <w:rsid w:val="002B6D58"/>
    <w:rsid w:val="002B7331"/>
    <w:rsid w:val="002C068B"/>
    <w:rsid w:val="002C1C59"/>
    <w:rsid w:val="002C27BF"/>
    <w:rsid w:val="002C2D98"/>
    <w:rsid w:val="002C3A6B"/>
    <w:rsid w:val="002C5923"/>
    <w:rsid w:val="002C5A4C"/>
    <w:rsid w:val="002C7A23"/>
    <w:rsid w:val="002D08C7"/>
    <w:rsid w:val="002D1EF7"/>
    <w:rsid w:val="002D31BC"/>
    <w:rsid w:val="002D735D"/>
    <w:rsid w:val="002D7385"/>
    <w:rsid w:val="002E046A"/>
    <w:rsid w:val="002E27EF"/>
    <w:rsid w:val="002E283F"/>
    <w:rsid w:val="002E4AA0"/>
    <w:rsid w:val="002E4B0F"/>
    <w:rsid w:val="002E5F1C"/>
    <w:rsid w:val="002E7578"/>
    <w:rsid w:val="002F0C21"/>
    <w:rsid w:val="002F0C40"/>
    <w:rsid w:val="002F18FE"/>
    <w:rsid w:val="002F204B"/>
    <w:rsid w:val="002F25B7"/>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6AF4"/>
    <w:rsid w:val="0031008D"/>
    <w:rsid w:val="00316157"/>
    <w:rsid w:val="00324289"/>
    <w:rsid w:val="003248CA"/>
    <w:rsid w:val="003249D9"/>
    <w:rsid w:val="003309C4"/>
    <w:rsid w:val="00332F0A"/>
    <w:rsid w:val="00333429"/>
    <w:rsid w:val="0033534B"/>
    <w:rsid w:val="003359FB"/>
    <w:rsid w:val="003372D5"/>
    <w:rsid w:val="00342615"/>
    <w:rsid w:val="00343477"/>
    <w:rsid w:val="00347173"/>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CB0"/>
    <w:rsid w:val="00362542"/>
    <w:rsid w:val="00362DE0"/>
    <w:rsid w:val="00362ED0"/>
    <w:rsid w:val="00365C19"/>
    <w:rsid w:val="00370B6C"/>
    <w:rsid w:val="00372C6F"/>
    <w:rsid w:val="003733C9"/>
    <w:rsid w:val="003734B5"/>
    <w:rsid w:val="00373B13"/>
    <w:rsid w:val="003753B9"/>
    <w:rsid w:val="00376B3E"/>
    <w:rsid w:val="00376D28"/>
    <w:rsid w:val="00377170"/>
    <w:rsid w:val="00380513"/>
    <w:rsid w:val="003818D5"/>
    <w:rsid w:val="00381C3C"/>
    <w:rsid w:val="0038246B"/>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6AC2"/>
    <w:rsid w:val="003970AB"/>
    <w:rsid w:val="00397D49"/>
    <w:rsid w:val="003A039C"/>
    <w:rsid w:val="003A2F55"/>
    <w:rsid w:val="003A508B"/>
    <w:rsid w:val="003B015F"/>
    <w:rsid w:val="003B28BE"/>
    <w:rsid w:val="003B2BBA"/>
    <w:rsid w:val="003B467D"/>
    <w:rsid w:val="003B5574"/>
    <w:rsid w:val="003B628A"/>
    <w:rsid w:val="003B6F1C"/>
    <w:rsid w:val="003C12DB"/>
    <w:rsid w:val="003C2903"/>
    <w:rsid w:val="003C2EA5"/>
    <w:rsid w:val="003C325E"/>
    <w:rsid w:val="003C60B9"/>
    <w:rsid w:val="003C6C7E"/>
    <w:rsid w:val="003D04F0"/>
    <w:rsid w:val="003D1D26"/>
    <w:rsid w:val="003D25CF"/>
    <w:rsid w:val="003D3A6B"/>
    <w:rsid w:val="003D3B3C"/>
    <w:rsid w:val="003D4960"/>
    <w:rsid w:val="003D6D98"/>
    <w:rsid w:val="003D7A50"/>
    <w:rsid w:val="003E0361"/>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2135A"/>
    <w:rsid w:val="0042225B"/>
    <w:rsid w:val="004228DE"/>
    <w:rsid w:val="004229AB"/>
    <w:rsid w:val="00423957"/>
    <w:rsid w:val="00423BCC"/>
    <w:rsid w:val="00425244"/>
    <w:rsid w:val="004272FD"/>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2192"/>
    <w:rsid w:val="00482D18"/>
    <w:rsid w:val="004847C0"/>
    <w:rsid w:val="004866E7"/>
    <w:rsid w:val="004905F1"/>
    <w:rsid w:val="004918AF"/>
    <w:rsid w:val="00494995"/>
    <w:rsid w:val="00496A70"/>
    <w:rsid w:val="00497709"/>
    <w:rsid w:val="004A088C"/>
    <w:rsid w:val="004A1CB2"/>
    <w:rsid w:val="004A5282"/>
    <w:rsid w:val="004A5AB9"/>
    <w:rsid w:val="004A5D95"/>
    <w:rsid w:val="004B020E"/>
    <w:rsid w:val="004B04BE"/>
    <w:rsid w:val="004B09B3"/>
    <w:rsid w:val="004B18D2"/>
    <w:rsid w:val="004B22BC"/>
    <w:rsid w:val="004B3FA0"/>
    <w:rsid w:val="004B442C"/>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C7FD1"/>
    <w:rsid w:val="004D33B9"/>
    <w:rsid w:val="004D5553"/>
    <w:rsid w:val="004D692F"/>
    <w:rsid w:val="004D7F83"/>
    <w:rsid w:val="004E2819"/>
    <w:rsid w:val="004E28B6"/>
    <w:rsid w:val="004E38FB"/>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E58"/>
    <w:rsid w:val="00515161"/>
    <w:rsid w:val="0051593A"/>
    <w:rsid w:val="00515D51"/>
    <w:rsid w:val="005160CB"/>
    <w:rsid w:val="00516C2F"/>
    <w:rsid w:val="00516FBC"/>
    <w:rsid w:val="0052145B"/>
    <w:rsid w:val="00521A8B"/>
    <w:rsid w:val="0052233E"/>
    <w:rsid w:val="00526006"/>
    <w:rsid w:val="00526E3C"/>
    <w:rsid w:val="00530B59"/>
    <w:rsid w:val="00533497"/>
    <w:rsid w:val="00534B98"/>
    <w:rsid w:val="005365B3"/>
    <w:rsid w:val="00537B1E"/>
    <w:rsid w:val="005409B2"/>
    <w:rsid w:val="00540AFE"/>
    <w:rsid w:val="00541273"/>
    <w:rsid w:val="00542DD8"/>
    <w:rsid w:val="005450D2"/>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91241"/>
    <w:rsid w:val="00591E7A"/>
    <w:rsid w:val="00592199"/>
    <w:rsid w:val="005932DD"/>
    <w:rsid w:val="00593446"/>
    <w:rsid w:val="0059415B"/>
    <w:rsid w:val="00596D65"/>
    <w:rsid w:val="0059713A"/>
    <w:rsid w:val="005A08B2"/>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50BA"/>
    <w:rsid w:val="006051D9"/>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306E2"/>
    <w:rsid w:val="00633FD4"/>
    <w:rsid w:val="00635602"/>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67CFC"/>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0D45"/>
    <w:rsid w:val="006B4488"/>
    <w:rsid w:val="006B481C"/>
    <w:rsid w:val="006B6267"/>
    <w:rsid w:val="006C0AFF"/>
    <w:rsid w:val="006C2E2C"/>
    <w:rsid w:val="006C311B"/>
    <w:rsid w:val="006C4805"/>
    <w:rsid w:val="006D17B2"/>
    <w:rsid w:val="006D18F9"/>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3DD6"/>
    <w:rsid w:val="00724CF1"/>
    <w:rsid w:val="00726E7C"/>
    <w:rsid w:val="00727622"/>
    <w:rsid w:val="007279FB"/>
    <w:rsid w:val="00727AA6"/>
    <w:rsid w:val="00730121"/>
    <w:rsid w:val="00730489"/>
    <w:rsid w:val="00732601"/>
    <w:rsid w:val="007335E8"/>
    <w:rsid w:val="00733A49"/>
    <w:rsid w:val="00733E4E"/>
    <w:rsid w:val="00734D35"/>
    <w:rsid w:val="007426BE"/>
    <w:rsid w:val="00745A55"/>
    <w:rsid w:val="00747220"/>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30B"/>
    <w:rsid w:val="00777CA1"/>
    <w:rsid w:val="00780798"/>
    <w:rsid w:val="0078154A"/>
    <w:rsid w:val="007826BA"/>
    <w:rsid w:val="00782A35"/>
    <w:rsid w:val="0078370D"/>
    <w:rsid w:val="00784187"/>
    <w:rsid w:val="0078479D"/>
    <w:rsid w:val="00786C3E"/>
    <w:rsid w:val="0079043C"/>
    <w:rsid w:val="0079478B"/>
    <w:rsid w:val="00797FC9"/>
    <w:rsid w:val="007A1EFB"/>
    <w:rsid w:val="007A24BE"/>
    <w:rsid w:val="007A34ED"/>
    <w:rsid w:val="007A5842"/>
    <w:rsid w:val="007B080C"/>
    <w:rsid w:val="007B0FBC"/>
    <w:rsid w:val="007B114D"/>
    <w:rsid w:val="007B32A8"/>
    <w:rsid w:val="007B4301"/>
    <w:rsid w:val="007B56D1"/>
    <w:rsid w:val="007C04C3"/>
    <w:rsid w:val="007C0ACD"/>
    <w:rsid w:val="007C0DCF"/>
    <w:rsid w:val="007C1C74"/>
    <w:rsid w:val="007C1E2F"/>
    <w:rsid w:val="007C56BC"/>
    <w:rsid w:val="007C6897"/>
    <w:rsid w:val="007C6D48"/>
    <w:rsid w:val="007C77AA"/>
    <w:rsid w:val="007D0FC4"/>
    <w:rsid w:val="007D1A36"/>
    <w:rsid w:val="007D2F91"/>
    <w:rsid w:val="007D3B78"/>
    <w:rsid w:val="007D3EB6"/>
    <w:rsid w:val="007D6004"/>
    <w:rsid w:val="007D60EA"/>
    <w:rsid w:val="007D695C"/>
    <w:rsid w:val="007D703C"/>
    <w:rsid w:val="007D74B2"/>
    <w:rsid w:val="007E2602"/>
    <w:rsid w:val="007E3BFD"/>
    <w:rsid w:val="007E5070"/>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8C6"/>
    <w:rsid w:val="007F7BDA"/>
    <w:rsid w:val="0080107D"/>
    <w:rsid w:val="008013F0"/>
    <w:rsid w:val="00801852"/>
    <w:rsid w:val="00802CC5"/>
    <w:rsid w:val="00803A21"/>
    <w:rsid w:val="00805C3F"/>
    <w:rsid w:val="00811EE1"/>
    <w:rsid w:val="00814165"/>
    <w:rsid w:val="008141CD"/>
    <w:rsid w:val="008158B8"/>
    <w:rsid w:val="00816D54"/>
    <w:rsid w:val="0082074B"/>
    <w:rsid w:val="00820EBA"/>
    <w:rsid w:val="00820F35"/>
    <w:rsid w:val="00821ABF"/>
    <w:rsid w:val="00823C9D"/>
    <w:rsid w:val="00830C32"/>
    <w:rsid w:val="00832AE5"/>
    <w:rsid w:val="0083323F"/>
    <w:rsid w:val="008349B4"/>
    <w:rsid w:val="00835C99"/>
    <w:rsid w:val="00835E2B"/>
    <w:rsid w:val="00841360"/>
    <w:rsid w:val="00844A6C"/>
    <w:rsid w:val="00847AEA"/>
    <w:rsid w:val="008502BB"/>
    <w:rsid w:val="0085122C"/>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91D92"/>
    <w:rsid w:val="0089297D"/>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D0"/>
    <w:rsid w:val="008B2F7A"/>
    <w:rsid w:val="008B471D"/>
    <w:rsid w:val="008B7037"/>
    <w:rsid w:val="008C0573"/>
    <w:rsid w:val="008C2AEB"/>
    <w:rsid w:val="008C4024"/>
    <w:rsid w:val="008C4590"/>
    <w:rsid w:val="008C6415"/>
    <w:rsid w:val="008C744F"/>
    <w:rsid w:val="008C7798"/>
    <w:rsid w:val="008D1EEF"/>
    <w:rsid w:val="008D31E6"/>
    <w:rsid w:val="008D52B1"/>
    <w:rsid w:val="008D5772"/>
    <w:rsid w:val="008D6D83"/>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309D"/>
    <w:rsid w:val="009432A7"/>
    <w:rsid w:val="009459A4"/>
    <w:rsid w:val="00946EBB"/>
    <w:rsid w:val="00947593"/>
    <w:rsid w:val="009506DD"/>
    <w:rsid w:val="00953012"/>
    <w:rsid w:val="0095365D"/>
    <w:rsid w:val="009562EA"/>
    <w:rsid w:val="00956BBF"/>
    <w:rsid w:val="009572DD"/>
    <w:rsid w:val="00957A9E"/>
    <w:rsid w:val="00962F6A"/>
    <w:rsid w:val="0096369D"/>
    <w:rsid w:val="009642E7"/>
    <w:rsid w:val="009648CA"/>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3797"/>
    <w:rsid w:val="009B4ACA"/>
    <w:rsid w:val="009B5271"/>
    <w:rsid w:val="009B5A69"/>
    <w:rsid w:val="009B5DF2"/>
    <w:rsid w:val="009B7E23"/>
    <w:rsid w:val="009C111C"/>
    <w:rsid w:val="009C16C1"/>
    <w:rsid w:val="009C1B9E"/>
    <w:rsid w:val="009C2F8C"/>
    <w:rsid w:val="009C6788"/>
    <w:rsid w:val="009C6844"/>
    <w:rsid w:val="009C793E"/>
    <w:rsid w:val="009D3EBB"/>
    <w:rsid w:val="009D59CC"/>
    <w:rsid w:val="009D5EB5"/>
    <w:rsid w:val="009E04FF"/>
    <w:rsid w:val="009E0E6A"/>
    <w:rsid w:val="009E148C"/>
    <w:rsid w:val="009E1691"/>
    <w:rsid w:val="009E1F6C"/>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10362"/>
    <w:rsid w:val="00A12125"/>
    <w:rsid w:val="00A12508"/>
    <w:rsid w:val="00A1268D"/>
    <w:rsid w:val="00A16894"/>
    <w:rsid w:val="00A17426"/>
    <w:rsid w:val="00A17802"/>
    <w:rsid w:val="00A1795E"/>
    <w:rsid w:val="00A22EAE"/>
    <w:rsid w:val="00A23B90"/>
    <w:rsid w:val="00A25345"/>
    <w:rsid w:val="00A25EC6"/>
    <w:rsid w:val="00A27771"/>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F95"/>
    <w:rsid w:val="00A50464"/>
    <w:rsid w:val="00A52184"/>
    <w:rsid w:val="00A5255B"/>
    <w:rsid w:val="00A53283"/>
    <w:rsid w:val="00A53C3C"/>
    <w:rsid w:val="00A61B18"/>
    <w:rsid w:val="00A66973"/>
    <w:rsid w:val="00A6737E"/>
    <w:rsid w:val="00A67416"/>
    <w:rsid w:val="00A70D48"/>
    <w:rsid w:val="00A7156B"/>
    <w:rsid w:val="00A74227"/>
    <w:rsid w:val="00A74D08"/>
    <w:rsid w:val="00A75BE2"/>
    <w:rsid w:val="00A75F3B"/>
    <w:rsid w:val="00A766BE"/>
    <w:rsid w:val="00A76EBA"/>
    <w:rsid w:val="00A77657"/>
    <w:rsid w:val="00A8014C"/>
    <w:rsid w:val="00A812D7"/>
    <w:rsid w:val="00A815D1"/>
    <w:rsid w:val="00A82406"/>
    <w:rsid w:val="00A83D90"/>
    <w:rsid w:val="00A84D7F"/>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8E2"/>
    <w:rsid w:val="00B83B10"/>
    <w:rsid w:val="00B84EF5"/>
    <w:rsid w:val="00B87603"/>
    <w:rsid w:val="00B90163"/>
    <w:rsid w:val="00B9175F"/>
    <w:rsid w:val="00B91E32"/>
    <w:rsid w:val="00B9609C"/>
    <w:rsid w:val="00BA056B"/>
    <w:rsid w:val="00BA1AC8"/>
    <w:rsid w:val="00BA466F"/>
    <w:rsid w:val="00BA4ABE"/>
    <w:rsid w:val="00BA56F4"/>
    <w:rsid w:val="00BA69EF"/>
    <w:rsid w:val="00BB0113"/>
    <w:rsid w:val="00BB4089"/>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5DD4"/>
    <w:rsid w:val="00C163B2"/>
    <w:rsid w:val="00C175C0"/>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50259"/>
    <w:rsid w:val="00C5067D"/>
    <w:rsid w:val="00C5171A"/>
    <w:rsid w:val="00C51FAE"/>
    <w:rsid w:val="00C531D0"/>
    <w:rsid w:val="00C53F0F"/>
    <w:rsid w:val="00C54DE2"/>
    <w:rsid w:val="00C564E0"/>
    <w:rsid w:val="00C56A67"/>
    <w:rsid w:val="00C603D7"/>
    <w:rsid w:val="00C625B2"/>
    <w:rsid w:val="00C62ECC"/>
    <w:rsid w:val="00C65D06"/>
    <w:rsid w:val="00C66C45"/>
    <w:rsid w:val="00C708DA"/>
    <w:rsid w:val="00C71500"/>
    <w:rsid w:val="00C73733"/>
    <w:rsid w:val="00C7432A"/>
    <w:rsid w:val="00C74D58"/>
    <w:rsid w:val="00C75E60"/>
    <w:rsid w:val="00C76B21"/>
    <w:rsid w:val="00C804DA"/>
    <w:rsid w:val="00C80642"/>
    <w:rsid w:val="00C868EA"/>
    <w:rsid w:val="00C9050A"/>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C91"/>
    <w:rsid w:val="00CD237F"/>
    <w:rsid w:val="00CD2E4D"/>
    <w:rsid w:val="00CD5294"/>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7AAD"/>
    <w:rsid w:val="00D109F3"/>
    <w:rsid w:val="00D128BB"/>
    <w:rsid w:val="00D134BF"/>
    <w:rsid w:val="00D164B2"/>
    <w:rsid w:val="00D17CDB"/>
    <w:rsid w:val="00D210BC"/>
    <w:rsid w:val="00D224B4"/>
    <w:rsid w:val="00D257F6"/>
    <w:rsid w:val="00D25F9E"/>
    <w:rsid w:val="00D2749F"/>
    <w:rsid w:val="00D27525"/>
    <w:rsid w:val="00D3083F"/>
    <w:rsid w:val="00D30992"/>
    <w:rsid w:val="00D30BCF"/>
    <w:rsid w:val="00D34D18"/>
    <w:rsid w:val="00D35ED0"/>
    <w:rsid w:val="00D36404"/>
    <w:rsid w:val="00D36887"/>
    <w:rsid w:val="00D40542"/>
    <w:rsid w:val="00D40898"/>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CF1"/>
    <w:rsid w:val="00D74378"/>
    <w:rsid w:val="00D77707"/>
    <w:rsid w:val="00D842F7"/>
    <w:rsid w:val="00D90062"/>
    <w:rsid w:val="00D9108B"/>
    <w:rsid w:val="00D913F6"/>
    <w:rsid w:val="00D9179D"/>
    <w:rsid w:val="00D91937"/>
    <w:rsid w:val="00D91B85"/>
    <w:rsid w:val="00D929A8"/>
    <w:rsid w:val="00D94885"/>
    <w:rsid w:val="00DA125C"/>
    <w:rsid w:val="00DA1327"/>
    <w:rsid w:val="00DA1CFC"/>
    <w:rsid w:val="00DA3097"/>
    <w:rsid w:val="00DA36B3"/>
    <w:rsid w:val="00DA6A2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67421"/>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84B"/>
    <w:rsid w:val="00E86786"/>
    <w:rsid w:val="00E90891"/>
    <w:rsid w:val="00E908F4"/>
    <w:rsid w:val="00E90978"/>
    <w:rsid w:val="00E939AF"/>
    <w:rsid w:val="00E940EB"/>
    <w:rsid w:val="00EA0893"/>
    <w:rsid w:val="00EA0F3C"/>
    <w:rsid w:val="00EA20E8"/>
    <w:rsid w:val="00EA26F5"/>
    <w:rsid w:val="00EA27BD"/>
    <w:rsid w:val="00EA35DC"/>
    <w:rsid w:val="00EA3EC9"/>
    <w:rsid w:val="00EA4362"/>
    <w:rsid w:val="00EA4AC5"/>
    <w:rsid w:val="00EA4AE2"/>
    <w:rsid w:val="00EA70CE"/>
    <w:rsid w:val="00EB1D78"/>
    <w:rsid w:val="00EB2CFC"/>
    <w:rsid w:val="00EC0C81"/>
    <w:rsid w:val="00EC1212"/>
    <w:rsid w:val="00EC1D7C"/>
    <w:rsid w:val="00EC237B"/>
    <w:rsid w:val="00EC2D21"/>
    <w:rsid w:val="00EC3291"/>
    <w:rsid w:val="00EC3F11"/>
    <w:rsid w:val="00ED1A3D"/>
    <w:rsid w:val="00ED3231"/>
    <w:rsid w:val="00ED3AF5"/>
    <w:rsid w:val="00ED49D2"/>
    <w:rsid w:val="00ED727D"/>
    <w:rsid w:val="00ED72B2"/>
    <w:rsid w:val="00ED7F0D"/>
    <w:rsid w:val="00EE0461"/>
    <w:rsid w:val="00EE3582"/>
    <w:rsid w:val="00EE6743"/>
    <w:rsid w:val="00EE6E51"/>
    <w:rsid w:val="00EE732F"/>
    <w:rsid w:val="00EE7FE1"/>
    <w:rsid w:val="00EF0526"/>
    <w:rsid w:val="00EF0934"/>
    <w:rsid w:val="00EF0AF0"/>
    <w:rsid w:val="00EF26B7"/>
    <w:rsid w:val="00EF366E"/>
    <w:rsid w:val="00EF470E"/>
    <w:rsid w:val="00EF4969"/>
    <w:rsid w:val="00EF688F"/>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3EAF"/>
    <w:rsid w:val="00FB5625"/>
    <w:rsid w:val="00FB5B86"/>
    <w:rsid w:val="00FB606A"/>
    <w:rsid w:val="00FB6A86"/>
    <w:rsid w:val="00FB7117"/>
    <w:rsid w:val="00FC1607"/>
    <w:rsid w:val="00FC1B0B"/>
    <w:rsid w:val="00FC2369"/>
    <w:rsid w:val="00FC28B7"/>
    <w:rsid w:val="00FC464E"/>
    <w:rsid w:val="00FC471D"/>
    <w:rsid w:val="00FC4A58"/>
    <w:rsid w:val="00FC5C08"/>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C158A-C34A-40CF-B62A-BA648628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14973</Words>
  <Characters>85348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2013-10-29T17:37:00Z</cp:lastPrinted>
  <dcterms:created xsi:type="dcterms:W3CDTF">2013-10-31T22:15:00Z</dcterms:created>
  <dcterms:modified xsi:type="dcterms:W3CDTF">2013-10-31T22:15:00Z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