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F5" w:rsidRPr="00E12EF5" w:rsidRDefault="00E12EF5" w:rsidP="00E12EF5">
      <w:pPr>
        <w:spacing w:line="360" w:lineRule="auto"/>
        <w:rPr>
          <w:sz w:val="24"/>
          <w:szCs w:val="24"/>
        </w:rPr>
      </w:pPr>
      <w:r w:rsidRPr="00E12EF5">
        <w:rPr>
          <w:b/>
          <w:bCs/>
          <w:sz w:val="24"/>
          <w:szCs w:val="24"/>
        </w:rPr>
        <w:t>340-208-0110</w:t>
      </w:r>
    </w:p>
    <w:p w:rsidR="00E12EF5" w:rsidRPr="00E12EF5" w:rsidRDefault="00E12EF5" w:rsidP="00E12EF5">
      <w:pPr>
        <w:spacing w:line="360" w:lineRule="auto"/>
        <w:rPr>
          <w:sz w:val="24"/>
          <w:szCs w:val="24"/>
        </w:rPr>
      </w:pPr>
      <w:r w:rsidRPr="00E12EF5">
        <w:rPr>
          <w:b/>
          <w:bCs/>
          <w:sz w:val="24"/>
          <w:szCs w:val="24"/>
        </w:rPr>
        <w:t>Visible Air Contaminant Limitations</w:t>
      </w:r>
    </w:p>
    <w:p w:rsidR="00E12EF5" w:rsidRPr="00E12EF5" w:rsidRDefault="00E12EF5" w:rsidP="00E12EF5">
      <w:pPr>
        <w:spacing w:line="360" w:lineRule="auto"/>
        <w:rPr>
          <w:sz w:val="24"/>
          <w:szCs w:val="24"/>
        </w:rPr>
      </w:pPr>
    </w:p>
    <w:p w:rsidR="00E12EF5" w:rsidRPr="00E12EF5" w:rsidRDefault="00E12EF5" w:rsidP="00E12EF5">
      <w:pPr>
        <w:spacing w:line="360" w:lineRule="auto"/>
        <w:rPr>
          <w:sz w:val="24"/>
          <w:szCs w:val="24"/>
        </w:rPr>
      </w:pPr>
      <w:r w:rsidRPr="00E12EF5">
        <w:rPr>
          <w:sz w:val="24"/>
          <w:szCs w:val="24"/>
        </w:rPr>
        <w:t>(1) For non-fugitive emission sources installed, constructed, or modified before June 1, 1970 located outside special control areas:</w:t>
      </w:r>
    </w:p>
    <w:p w:rsidR="00E12EF5" w:rsidRPr="00E12EF5" w:rsidRDefault="00E12EF5" w:rsidP="00E12EF5">
      <w:pPr>
        <w:spacing w:line="360" w:lineRule="auto"/>
        <w:rPr>
          <w:sz w:val="24"/>
          <w:szCs w:val="24"/>
        </w:rPr>
      </w:pPr>
      <w:r w:rsidRPr="00E12EF5">
        <w:rPr>
          <w:sz w:val="24"/>
          <w:szCs w:val="24"/>
        </w:rPr>
        <w:t xml:space="preserve">(a) Visible emissions must not equal or exceed 40% opacity through December 31, 2019; </w:t>
      </w:r>
    </w:p>
    <w:p w:rsidR="00E12EF5" w:rsidRPr="00E12EF5" w:rsidRDefault="00E12EF5" w:rsidP="00E12EF5">
      <w:pPr>
        <w:spacing w:line="360" w:lineRule="auto"/>
        <w:rPr>
          <w:sz w:val="24"/>
          <w:szCs w:val="24"/>
        </w:rPr>
      </w:pPr>
      <w:r w:rsidRPr="00E12EF5">
        <w:rPr>
          <w:sz w:val="24"/>
          <w:szCs w:val="24"/>
        </w:rPr>
        <w:t>(b</w:t>
      </w:r>
      <w:r w:rsidR="00025D4D">
        <w:rPr>
          <w:sz w:val="24"/>
          <w:szCs w:val="24"/>
        </w:rPr>
        <w:t xml:space="preserve">) </w:t>
      </w:r>
      <w:r w:rsidRPr="00E12EF5">
        <w:rPr>
          <w:sz w:val="24"/>
          <w:szCs w:val="24"/>
        </w:rPr>
        <w:t>Visible emissions must not equal or exceed 20% opacity</w:t>
      </w:r>
      <w:r w:rsidR="00025D4D">
        <w:rPr>
          <w:sz w:val="24"/>
          <w:szCs w:val="24"/>
        </w:rPr>
        <w:t xml:space="preserve"> as a 6-minute average </w:t>
      </w:r>
      <w:r w:rsidR="00025D4D" w:rsidRPr="00E12EF5">
        <w:rPr>
          <w:sz w:val="24"/>
          <w:szCs w:val="24"/>
        </w:rPr>
        <w:t>beginning January 1, 2020</w:t>
      </w:r>
      <w:r w:rsidR="00025D4D">
        <w:rPr>
          <w:sz w:val="24"/>
          <w:szCs w:val="24"/>
        </w:rPr>
        <w:t xml:space="preserve">.  </w:t>
      </w:r>
    </w:p>
    <w:p w:rsidR="00025D4D" w:rsidRDefault="00025D4D" w:rsidP="00E12EF5">
      <w:pPr>
        <w:spacing w:line="360" w:lineRule="auto"/>
        <w:rPr>
          <w:sz w:val="24"/>
          <w:szCs w:val="24"/>
        </w:rPr>
      </w:pPr>
    </w:p>
    <w:p w:rsidR="00025D4D" w:rsidRPr="00025D4D" w:rsidRDefault="00025D4D" w:rsidP="00025D4D">
      <w:pPr>
        <w:spacing w:line="360" w:lineRule="auto"/>
        <w:rPr>
          <w:sz w:val="24"/>
          <w:szCs w:val="24"/>
        </w:rPr>
      </w:pPr>
      <w:r w:rsidRPr="00025D4D">
        <w:rPr>
          <w:sz w:val="24"/>
          <w:szCs w:val="24"/>
        </w:rPr>
        <w:t>(</w:t>
      </w:r>
      <w:r>
        <w:rPr>
          <w:sz w:val="24"/>
          <w:szCs w:val="24"/>
        </w:rPr>
        <w:t>2</w:t>
      </w:r>
      <w:r w:rsidRPr="00025D4D">
        <w:rPr>
          <w:sz w:val="24"/>
          <w:szCs w:val="24"/>
        </w:rPr>
        <w:t>) For fuel burning equipment utilizing wood wastes installed on or before June 1, 1970 that has not been modified since June 1, 1970 and located within special control areas:</w:t>
      </w:r>
    </w:p>
    <w:p w:rsidR="00025D4D" w:rsidRPr="00025D4D" w:rsidRDefault="00025D4D" w:rsidP="00025D4D">
      <w:pPr>
        <w:spacing w:line="360" w:lineRule="auto"/>
        <w:rPr>
          <w:sz w:val="24"/>
          <w:szCs w:val="24"/>
        </w:rPr>
      </w:pPr>
      <w:r w:rsidRPr="00025D4D">
        <w:rPr>
          <w:sz w:val="24"/>
          <w:szCs w:val="24"/>
        </w:rPr>
        <w:t xml:space="preserve">(a) Visible emissions must not equal or exceed 40% opacity through December 31, 2019; </w:t>
      </w:r>
    </w:p>
    <w:p w:rsidR="00025D4D" w:rsidRDefault="00025D4D" w:rsidP="00025D4D">
      <w:pPr>
        <w:spacing w:line="360" w:lineRule="auto"/>
        <w:rPr>
          <w:sz w:val="24"/>
          <w:szCs w:val="24"/>
        </w:rPr>
      </w:pPr>
      <w:r w:rsidRPr="00025D4D">
        <w:rPr>
          <w:sz w:val="24"/>
          <w:szCs w:val="24"/>
        </w:rPr>
        <w:t xml:space="preserve">(b) </w:t>
      </w:r>
      <w:r w:rsidR="00982DCD">
        <w:rPr>
          <w:sz w:val="24"/>
          <w:szCs w:val="24"/>
        </w:rPr>
        <w:t>V</w:t>
      </w:r>
      <w:r w:rsidRPr="00025D4D">
        <w:rPr>
          <w:sz w:val="24"/>
          <w:szCs w:val="24"/>
        </w:rPr>
        <w:t>isible emissions must not equal or exceed 20% opacity</w:t>
      </w:r>
      <w:r>
        <w:rPr>
          <w:sz w:val="24"/>
          <w:szCs w:val="24"/>
        </w:rPr>
        <w:t xml:space="preserve"> as a 6-miute average </w:t>
      </w:r>
      <w:r w:rsidR="00982DCD" w:rsidRPr="00025D4D">
        <w:rPr>
          <w:sz w:val="24"/>
          <w:szCs w:val="24"/>
        </w:rPr>
        <w:t>beginning January 1, 2020</w:t>
      </w:r>
      <w:r w:rsidR="00982DCD">
        <w:rPr>
          <w:sz w:val="24"/>
          <w:szCs w:val="24"/>
        </w:rPr>
        <w:t xml:space="preserve">, </w:t>
      </w:r>
      <w:r>
        <w:rPr>
          <w:sz w:val="24"/>
          <w:szCs w:val="24"/>
        </w:rPr>
        <w:t>with the following exceptions:</w:t>
      </w:r>
    </w:p>
    <w:p w:rsidR="00025D4D" w:rsidRPr="00025D4D" w:rsidRDefault="00025D4D" w:rsidP="00025D4D">
      <w:pPr>
        <w:spacing w:line="360" w:lineRule="auto"/>
        <w:rPr>
          <w:sz w:val="24"/>
          <w:szCs w:val="24"/>
        </w:rPr>
      </w:pPr>
      <w:r>
        <w:rPr>
          <w:sz w:val="24"/>
          <w:szCs w:val="24"/>
        </w:rPr>
        <w:t>(A) V</w:t>
      </w:r>
      <w:r w:rsidRPr="00025D4D">
        <w:rPr>
          <w:sz w:val="24"/>
          <w:szCs w:val="24"/>
        </w:rPr>
        <w:t>isible emissions must not equal or exceed 40% opacity ex</w:t>
      </w:r>
      <w:r w:rsidR="00EE5EDD">
        <w:rPr>
          <w:sz w:val="24"/>
          <w:szCs w:val="24"/>
        </w:rPr>
        <w:t>cept for 12 minutes in any hour</w:t>
      </w:r>
      <w:r w:rsidRPr="00025D4D">
        <w:rPr>
          <w:sz w:val="24"/>
          <w:szCs w:val="24"/>
        </w:rPr>
        <w:t>; or</w:t>
      </w:r>
    </w:p>
    <w:p w:rsidR="00E91F6F" w:rsidRDefault="00025D4D" w:rsidP="00025D4D">
      <w:pPr>
        <w:spacing w:line="360" w:lineRule="auto"/>
        <w:rPr>
          <w:sz w:val="24"/>
          <w:szCs w:val="24"/>
        </w:rPr>
      </w:pPr>
      <w:r w:rsidRPr="00025D4D">
        <w:rPr>
          <w:sz w:val="24"/>
          <w:szCs w:val="24"/>
        </w:rPr>
        <w:t>(B) Visible emissions during grate cleaning operations must not equal or exceed 40% opacity</w:t>
      </w:r>
      <w:r w:rsidR="00E91F6F">
        <w:rPr>
          <w:sz w:val="24"/>
          <w:szCs w:val="24"/>
        </w:rPr>
        <w:t xml:space="preserve"> as an average</w:t>
      </w:r>
      <w:r w:rsidR="003F4507">
        <w:rPr>
          <w:sz w:val="24"/>
          <w:szCs w:val="24"/>
        </w:rPr>
        <w:t xml:space="preserve"> during the whole grate cleaning period</w:t>
      </w:r>
      <w:r w:rsidRPr="00025D4D">
        <w:rPr>
          <w:sz w:val="24"/>
          <w:szCs w:val="24"/>
        </w:rPr>
        <w:t xml:space="preserve">, provided the permittee conducts grate cleaning in accordance with the DEQ approved plan. The grate cleaning plan must be submitted to DEQ by July 1, 2018.  </w:t>
      </w:r>
    </w:p>
    <w:p w:rsidR="00982DCD" w:rsidRDefault="00982DCD" w:rsidP="00025D4D">
      <w:pPr>
        <w:spacing w:line="360" w:lineRule="auto"/>
        <w:rPr>
          <w:sz w:val="24"/>
          <w:szCs w:val="24"/>
        </w:rPr>
      </w:pPr>
    </w:p>
    <w:p w:rsidR="00025D4D" w:rsidRPr="00025D4D" w:rsidRDefault="00982DCD" w:rsidP="00025D4D">
      <w:pPr>
        <w:spacing w:line="360" w:lineRule="auto"/>
        <w:rPr>
          <w:sz w:val="24"/>
          <w:szCs w:val="24"/>
        </w:rPr>
      </w:pPr>
      <w:r>
        <w:rPr>
          <w:sz w:val="24"/>
          <w:szCs w:val="24"/>
        </w:rPr>
        <w:t>(3</w:t>
      </w:r>
      <w:r w:rsidR="00025D4D" w:rsidRPr="00025D4D">
        <w:rPr>
          <w:sz w:val="24"/>
          <w:szCs w:val="24"/>
        </w:rPr>
        <w:t xml:space="preserve">) </w:t>
      </w:r>
      <w:r w:rsidR="00EE5EDD" w:rsidRPr="00EE5EDD">
        <w:rPr>
          <w:sz w:val="24"/>
          <w:szCs w:val="24"/>
        </w:rPr>
        <w:t xml:space="preserve">For non-fugitive </w:t>
      </w:r>
      <w:r w:rsidR="00EE5EDD" w:rsidRPr="00025D4D">
        <w:rPr>
          <w:sz w:val="24"/>
          <w:szCs w:val="24"/>
        </w:rPr>
        <w:t xml:space="preserve">equipment or a mode of operation (e.g., backup fuel) </w:t>
      </w:r>
      <w:r w:rsidR="00EE5EDD" w:rsidRPr="00EE5EDD">
        <w:rPr>
          <w:sz w:val="24"/>
          <w:szCs w:val="24"/>
        </w:rPr>
        <w:t xml:space="preserve">installed, constructed, or modified before June 1, 1970 </w:t>
      </w:r>
      <w:r w:rsidR="00025D4D" w:rsidRPr="00025D4D">
        <w:rPr>
          <w:sz w:val="24"/>
          <w:szCs w:val="24"/>
        </w:rPr>
        <w:t>that is used less than 876 hours per calendar year, visible emissions must not equal or exceed 40%</w:t>
      </w:r>
      <w:r>
        <w:rPr>
          <w:sz w:val="24"/>
          <w:szCs w:val="24"/>
        </w:rPr>
        <w:t xml:space="preserve"> as a 6-minute average</w:t>
      </w:r>
      <w:r w:rsidR="00025D4D" w:rsidRPr="00025D4D">
        <w:rPr>
          <w:sz w:val="24"/>
          <w:szCs w:val="24"/>
        </w:rPr>
        <w:t>.</w:t>
      </w:r>
    </w:p>
    <w:p w:rsidR="00025D4D" w:rsidRPr="00E12EF5" w:rsidRDefault="00025D4D" w:rsidP="00E12EF5">
      <w:pPr>
        <w:spacing w:line="360" w:lineRule="auto"/>
        <w:rPr>
          <w:sz w:val="24"/>
          <w:szCs w:val="24"/>
        </w:rPr>
      </w:pPr>
    </w:p>
    <w:p w:rsidR="00FA7B3E" w:rsidRDefault="00E12EF5" w:rsidP="00E12EF5">
      <w:pPr>
        <w:spacing w:line="360" w:lineRule="auto"/>
        <w:rPr>
          <w:sz w:val="24"/>
          <w:szCs w:val="24"/>
        </w:rPr>
      </w:pPr>
      <w:r w:rsidRPr="00E12EF5">
        <w:rPr>
          <w:sz w:val="24"/>
          <w:szCs w:val="24"/>
        </w:rPr>
        <w:t>(</w:t>
      </w:r>
      <w:r w:rsidR="00982DCD">
        <w:rPr>
          <w:sz w:val="24"/>
          <w:szCs w:val="24"/>
        </w:rPr>
        <w:t>4</w:t>
      </w:r>
      <w:r w:rsidRPr="00E12EF5">
        <w:rPr>
          <w:sz w:val="24"/>
          <w:szCs w:val="24"/>
        </w:rPr>
        <w:t xml:space="preserve">) For non-fugitive emission sources installed, constructed, or modified before June 1, 1970 in special control areas, except fuel burning equipment utilizing wood wastes that has not been modified since June 1, 1970, and </w:t>
      </w:r>
    </w:p>
    <w:p w:rsidR="00E12EF5" w:rsidRDefault="00E12EF5" w:rsidP="00E12EF5">
      <w:pPr>
        <w:spacing w:line="360" w:lineRule="auto"/>
        <w:rPr>
          <w:sz w:val="24"/>
          <w:szCs w:val="24"/>
        </w:rPr>
      </w:pPr>
      <w:proofErr w:type="gramStart"/>
      <w:r w:rsidRPr="00E12EF5">
        <w:rPr>
          <w:sz w:val="24"/>
          <w:szCs w:val="24"/>
        </w:rPr>
        <w:t>for</w:t>
      </w:r>
      <w:proofErr w:type="gramEnd"/>
      <w:r w:rsidRPr="00E12EF5">
        <w:rPr>
          <w:sz w:val="24"/>
          <w:szCs w:val="24"/>
        </w:rPr>
        <w:t xml:space="preserve"> all sources installed, constructed, or modified after June 1, 1970, visible emissions must not equal or exceed 20% opacity</w:t>
      </w:r>
      <w:r w:rsidR="00FA7B3E">
        <w:rPr>
          <w:sz w:val="24"/>
          <w:szCs w:val="24"/>
        </w:rPr>
        <w:t xml:space="preserve"> </w:t>
      </w:r>
      <w:r w:rsidR="00FB5AC2">
        <w:rPr>
          <w:sz w:val="24"/>
          <w:szCs w:val="24"/>
        </w:rPr>
        <w:t>a</w:t>
      </w:r>
      <w:r w:rsidR="00FA7B3E">
        <w:rPr>
          <w:sz w:val="24"/>
          <w:szCs w:val="24"/>
        </w:rPr>
        <w:t xml:space="preserve">s </w:t>
      </w:r>
      <w:r w:rsidR="00FB5AC2">
        <w:rPr>
          <w:sz w:val="24"/>
          <w:szCs w:val="24"/>
        </w:rPr>
        <w:t>a</w:t>
      </w:r>
      <w:r w:rsidR="00FA7B3E">
        <w:rPr>
          <w:sz w:val="24"/>
          <w:szCs w:val="24"/>
        </w:rPr>
        <w:t xml:space="preserve"> 6-minute average</w:t>
      </w:r>
      <w:r w:rsidRPr="00E12EF5">
        <w:rPr>
          <w:sz w:val="24"/>
          <w:szCs w:val="24"/>
        </w:rPr>
        <w:t>.</w:t>
      </w:r>
    </w:p>
    <w:p w:rsidR="00025D4D" w:rsidRPr="00E12EF5" w:rsidRDefault="00025D4D" w:rsidP="00E12EF5">
      <w:pPr>
        <w:spacing w:line="360" w:lineRule="auto"/>
        <w:rPr>
          <w:sz w:val="24"/>
          <w:szCs w:val="24"/>
        </w:rPr>
      </w:pPr>
    </w:p>
    <w:p w:rsidR="00E12EF5" w:rsidRPr="00E12EF5" w:rsidRDefault="00982DCD" w:rsidP="00E12EF5">
      <w:pPr>
        <w:spacing w:line="360" w:lineRule="auto"/>
        <w:rPr>
          <w:sz w:val="24"/>
          <w:szCs w:val="24"/>
        </w:rPr>
      </w:pPr>
      <w:r>
        <w:rPr>
          <w:sz w:val="24"/>
          <w:szCs w:val="24"/>
        </w:rPr>
        <w:t>(5</w:t>
      </w:r>
      <w:r w:rsidR="00E12EF5" w:rsidRPr="00E12EF5">
        <w:rPr>
          <w:sz w:val="24"/>
          <w:szCs w:val="24"/>
        </w:rPr>
        <w:t xml:space="preserve">) Compliance with the opacity standards in sections (1) </w:t>
      </w:r>
      <w:r w:rsidR="00FB5AC2">
        <w:rPr>
          <w:sz w:val="24"/>
          <w:szCs w:val="24"/>
        </w:rPr>
        <w:t>through</w:t>
      </w:r>
      <w:r w:rsidR="00E12EF5" w:rsidRPr="00E12EF5">
        <w:rPr>
          <w:sz w:val="24"/>
          <w:szCs w:val="24"/>
        </w:rPr>
        <w:t xml:space="preserve"> (</w:t>
      </w:r>
      <w:r w:rsidR="00FB5AC2">
        <w:rPr>
          <w:sz w:val="24"/>
          <w:szCs w:val="24"/>
        </w:rPr>
        <w:t>5</w:t>
      </w:r>
      <w:r w:rsidR="00E12EF5" w:rsidRPr="00E12EF5">
        <w:rPr>
          <w:sz w:val="24"/>
          <w:szCs w:val="24"/>
        </w:rPr>
        <w:t>) is determined using EPA Method 9 or a continuous opacity monitoring system (COMS) conducted using the DEQ Continuous Monitoring Manual.</w:t>
      </w:r>
    </w:p>
    <w:p w:rsidR="00E12EF5" w:rsidRPr="00E12EF5" w:rsidRDefault="00E12EF5" w:rsidP="00E12EF5">
      <w:pPr>
        <w:spacing w:line="360" w:lineRule="auto"/>
        <w:rPr>
          <w:sz w:val="24"/>
          <w:szCs w:val="24"/>
        </w:rPr>
      </w:pPr>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This rule is included in the State of Oregon Clean Air Act Implementation Plan as adopted by the EQC under OAR 340-200-0040.</w:t>
      </w:r>
    </w:p>
    <w:p w:rsidR="008A5039" w:rsidRPr="00E12EF5" w:rsidRDefault="00E12EF5" w:rsidP="00E12EF5">
      <w:pPr>
        <w:spacing w:line="360" w:lineRule="auto"/>
        <w:rPr>
          <w:sz w:val="24"/>
          <w:szCs w:val="24"/>
        </w:rPr>
      </w:pPr>
      <w:r w:rsidRPr="00E12EF5">
        <w:rPr>
          <w:sz w:val="24"/>
          <w:szCs w:val="24"/>
        </w:rPr>
        <w:t>Stat. Auth.: ORS 468 &amp; 468A </w:t>
      </w:r>
      <w:r w:rsidRPr="00E12EF5">
        <w:rPr>
          <w:sz w:val="24"/>
          <w:szCs w:val="24"/>
        </w:rPr>
        <w:br/>
        <w:t>Stats. Implemented: ORS 468.020 &amp; 468A.025 </w:t>
      </w:r>
      <w:r w:rsidRPr="00E12EF5">
        <w:rPr>
          <w:sz w:val="24"/>
          <w:szCs w:val="24"/>
        </w:rPr>
        <w:br/>
        <w:t xml:space="preserve">Hist.: DEQ 16, f. 6-12-70, ef. </w:t>
      </w:r>
      <w:proofErr w:type="gramStart"/>
      <w:r w:rsidRPr="00E12EF5">
        <w:rPr>
          <w:sz w:val="24"/>
          <w:szCs w:val="24"/>
        </w:rPr>
        <w:t>7-11-70; DEQ 4-1993, f. &amp; cert. ef.</w:t>
      </w:r>
      <w:proofErr w:type="gramEnd"/>
      <w:r w:rsidRPr="00E12EF5">
        <w:rPr>
          <w:sz w:val="24"/>
          <w:szCs w:val="24"/>
        </w:rPr>
        <w:t xml:space="preserve"> </w:t>
      </w:r>
      <w:proofErr w:type="gramStart"/>
      <w:r w:rsidRPr="00E12EF5">
        <w:rPr>
          <w:sz w:val="24"/>
          <w:szCs w:val="24"/>
        </w:rPr>
        <w:t>3-10-93; DEQ 3-1996, f. &amp; cert. ef.</w:t>
      </w:r>
      <w:proofErr w:type="gramEnd"/>
      <w:r w:rsidRPr="00E12EF5">
        <w:rPr>
          <w:sz w:val="24"/>
          <w:szCs w:val="24"/>
        </w:rPr>
        <w:t xml:space="preserve"> 1-29-96;</w:t>
      </w:r>
    </w:p>
    <w:p w:rsidR="00E12EF5" w:rsidRPr="00E12EF5" w:rsidRDefault="00E12EF5" w:rsidP="00E12EF5">
      <w:pPr>
        <w:spacing w:line="360" w:lineRule="auto"/>
        <w:rPr>
          <w:sz w:val="24"/>
          <w:szCs w:val="24"/>
        </w:rPr>
      </w:pPr>
    </w:p>
    <w:p w:rsidR="00E12EF5" w:rsidRPr="00E12EF5" w:rsidRDefault="00E12EF5" w:rsidP="00E12EF5">
      <w:pPr>
        <w:spacing w:line="360" w:lineRule="auto"/>
        <w:rPr>
          <w:sz w:val="24"/>
          <w:szCs w:val="24"/>
        </w:rPr>
      </w:pPr>
    </w:p>
    <w:p w:rsidR="00E12EF5" w:rsidRPr="00E12EF5" w:rsidRDefault="00E12EF5" w:rsidP="00E12EF5">
      <w:pPr>
        <w:spacing w:line="360" w:lineRule="auto"/>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RDefault="00E12EF5" w:rsidP="00E12EF5">
      <w:pPr>
        <w:spacing w:line="360" w:lineRule="auto"/>
        <w:rPr>
          <w:b/>
          <w:bCs/>
          <w:sz w:val="24"/>
          <w:szCs w:val="24"/>
        </w:rPr>
      </w:pPr>
      <w:r w:rsidRPr="00E12EF5">
        <w:rPr>
          <w:b/>
          <w:bCs/>
          <w:sz w:val="24"/>
          <w:szCs w:val="24"/>
        </w:rPr>
        <w:t>Particulate Emission Limitations for Sources Other Than Fuel Burning Equipment, Refuse Burning Equipment, and Fugitive Emissions</w:t>
      </w:r>
    </w:p>
    <w:p w:rsidR="00E12EF5" w:rsidRPr="00E12EF5" w:rsidRDefault="00E12EF5" w:rsidP="00E12EF5">
      <w:pPr>
        <w:spacing w:line="360" w:lineRule="auto"/>
        <w:rPr>
          <w:sz w:val="24"/>
          <w:szCs w:val="24"/>
        </w:rPr>
      </w:pPr>
      <w:r w:rsidRPr="00E12EF5">
        <w:rPr>
          <w:sz w:val="24"/>
          <w:szCs w:val="24"/>
        </w:rPr>
        <w:t>(1) No person may cause, suffer, allow, or permit particulate matter emission from any air contaminant source in excess of:</w:t>
      </w:r>
    </w:p>
    <w:p w:rsidR="00E12EF5" w:rsidRPr="00E12EF5" w:rsidRDefault="00E12EF5" w:rsidP="00E12EF5">
      <w:pPr>
        <w:spacing w:line="360" w:lineRule="auto"/>
        <w:rPr>
          <w:sz w:val="24"/>
          <w:szCs w:val="24"/>
        </w:rPr>
      </w:pPr>
      <w:r w:rsidRPr="00E12EF5">
        <w:rPr>
          <w:sz w:val="24"/>
          <w:szCs w:val="24"/>
        </w:rPr>
        <w:t>(a) For sources installed, constructed, or modified before June 1, 1970:</w:t>
      </w:r>
    </w:p>
    <w:p w:rsidR="00E12EF5" w:rsidRPr="00E12EF5" w:rsidRDefault="00E12EF5" w:rsidP="00E12EF5">
      <w:pPr>
        <w:spacing w:line="360" w:lineRule="auto"/>
        <w:rPr>
          <w:sz w:val="24"/>
          <w:szCs w:val="24"/>
        </w:rPr>
      </w:pPr>
      <w:r w:rsidRPr="00E12EF5">
        <w:rPr>
          <w:sz w:val="24"/>
          <w:szCs w:val="24"/>
        </w:rPr>
        <w:t xml:space="preserve">(A) 0.2 grains per dry standard cubic foot through December 31, 2019; </w:t>
      </w:r>
    </w:p>
    <w:p w:rsidR="00E12EF5" w:rsidRPr="00E12EF5" w:rsidRDefault="00E12EF5" w:rsidP="00E12EF5">
      <w:pPr>
        <w:spacing w:line="360" w:lineRule="auto"/>
        <w:rPr>
          <w:sz w:val="24"/>
          <w:szCs w:val="24"/>
        </w:rPr>
      </w:pPr>
      <w:r w:rsidRPr="00E12EF5">
        <w:rPr>
          <w:sz w:val="24"/>
          <w:szCs w:val="24"/>
        </w:rPr>
        <w:t>(B) Except as provided in paragraph (C), 0.15 grains per dry standard cubic foot beginning Janu</w:t>
      </w:r>
      <w:r w:rsidR="003F4507">
        <w:rPr>
          <w:sz w:val="24"/>
          <w:szCs w:val="24"/>
        </w:rPr>
        <w:t>ary 1, 2020; or</w:t>
      </w:r>
      <w:r w:rsidRPr="00E12EF5">
        <w:rPr>
          <w:sz w:val="24"/>
          <w:szCs w:val="24"/>
        </w:rPr>
        <w:t xml:space="preserve">  </w:t>
      </w:r>
    </w:p>
    <w:p w:rsidR="00E12EF5" w:rsidRDefault="00E12EF5" w:rsidP="00E12EF5">
      <w:pPr>
        <w:spacing w:line="360" w:lineRule="auto"/>
        <w:rPr>
          <w:sz w:val="24"/>
          <w:szCs w:val="24"/>
        </w:rPr>
      </w:pPr>
      <w:r w:rsidRPr="00E12EF5">
        <w:rPr>
          <w:sz w:val="24"/>
          <w:szCs w:val="24"/>
        </w:rPr>
        <w:t>(C) For equipment or a mode of operation (e.g., backup fuel) that is used less than 876 hours per calendar year, 0.20 grains per standard cubic foot beginning January 1, 2020.</w:t>
      </w:r>
    </w:p>
    <w:p w:rsidR="003F4507" w:rsidRPr="00E12EF5" w:rsidRDefault="003F4507" w:rsidP="00E12EF5">
      <w:pPr>
        <w:spacing w:line="360" w:lineRule="auto"/>
        <w:rPr>
          <w:sz w:val="24"/>
          <w:szCs w:val="24"/>
        </w:rPr>
      </w:pPr>
    </w:p>
    <w:p w:rsidR="00E12EF5" w:rsidRPr="00E12EF5" w:rsidRDefault="00E12EF5" w:rsidP="00E12EF5">
      <w:pPr>
        <w:spacing w:line="360" w:lineRule="auto"/>
        <w:rPr>
          <w:sz w:val="24"/>
          <w:szCs w:val="24"/>
        </w:rPr>
      </w:pPr>
      <w:r w:rsidRPr="00E12EF5">
        <w:rPr>
          <w:sz w:val="24"/>
          <w:szCs w:val="24"/>
        </w:rPr>
        <w:t>(b) For sources installed, constructed, or modified on or after June 1, 1970:</w:t>
      </w:r>
    </w:p>
    <w:p w:rsidR="00E12EF5" w:rsidRPr="00E12EF5" w:rsidRDefault="00E12EF5" w:rsidP="00E12EF5">
      <w:pPr>
        <w:spacing w:line="360" w:lineRule="auto"/>
        <w:rPr>
          <w:sz w:val="24"/>
          <w:szCs w:val="24"/>
        </w:rPr>
      </w:pPr>
      <w:r w:rsidRPr="00E12EF5">
        <w:rPr>
          <w:sz w:val="24"/>
          <w:szCs w:val="24"/>
        </w:rPr>
        <w:t>(A) 0.1 grains per dry standard cubic foot through December 31, 2019;</w:t>
      </w:r>
      <w:r w:rsidR="003F4507">
        <w:rPr>
          <w:sz w:val="24"/>
          <w:szCs w:val="24"/>
        </w:rPr>
        <w:t xml:space="preserve"> or</w:t>
      </w:r>
    </w:p>
    <w:p w:rsidR="00E12EF5" w:rsidRPr="00E12EF5" w:rsidRDefault="00E12EF5" w:rsidP="00E12EF5">
      <w:pPr>
        <w:spacing w:line="360" w:lineRule="auto"/>
        <w:rPr>
          <w:sz w:val="24"/>
          <w:szCs w:val="24"/>
        </w:rPr>
      </w:pPr>
      <w:r w:rsidRPr="00E12EF5">
        <w:rPr>
          <w:sz w:val="24"/>
          <w:szCs w:val="24"/>
        </w:rPr>
        <w:t xml:space="preserve">(B) </w:t>
      </w:r>
      <w:r w:rsidR="003F4507">
        <w:rPr>
          <w:sz w:val="24"/>
          <w:szCs w:val="24"/>
        </w:rPr>
        <w:t>0.15</w:t>
      </w:r>
      <w:r w:rsidRPr="00E12EF5">
        <w:rPr>
          <w:sz w:val="24"/>
          <w:szCs w:val="24"/>
        </w:rPr>
        <w:t xml:space="preserve"> grains per dry standard cubic foot </w:t>
      </w:r>
      <w:r w:rsidR="003F4507">
        <w:rPr>
          <w:sz w:val="24"/>
          <w:szCs w:val="24"/>
        </w:rPr>
        <w:t xml:space="preserve">unless all representative compliance source test data prior to January 1, 2015 is less than or equal to 0.080 grains per dry standard cubic foot, then 0.10 grains per dry standard cubic foot </w:t>
      </w:r>
      <w:r w:rsidRPr="00E12EF5">
        <w:rPr>
          <w:sz w:val="24"/>
          <w:szCs w:val="24"/>
        </w:rPr>
        <w:t xml:space="preserve">beginning January 1, 2020. </w:t>
      </w:r>
    </w:p>
    <w:p w:rsidR="003F4507" w:rsidRPr="00E12EF5" w:rsidRDefault="003F4507" w:rsidP="00E12EF5">
      <w:pPr>
        <w:spacing w:line="360" w:lineRule="auto"/>
        <w:rPr>
          <w:sz w:val="24"/>
          <w:szCs w:val="24"/>
        </w:rPr>
      </w:pPr>
    </w:p>
    <w:p w:rsidR="00E12EF5" w:rsidRPr="00E12EF5" w:rsidRDefault="00E12EF5" w:rsidP="00E12EF5">
      <w:pPr>
        <w:spacing w:line="360" w:lineRule="auto"/>
        <w:rPr>
          <w:sz w:val="24"/>
          <w:szCs w:val="24"/>
        </w:rPr>
      </w:pPr>
      <w:r w:rsidRPr="00E12EF5">
        <w:rPr>
          <w:sz w:val="24"/>
          <w:szCs w:val="24"/>
        </w:rPr>
        <w:t xml:space="preserve">(c) For sources installed, constructed or modified after </w:t>
      </w:r>
      <w:commentRangeStart w:id="0"/>
      <w:r w:rsidR="003F4507">
        <w:rPr>
          <w:sz w:val="24"/>
          <w:szCs w:val="24"/>
        </w:rPr>
        <w:t xml:space="preserve">January </w:t>
      </w:r>
      <w:r w:rsidRPr="00E12EF5">
        <w:rPr>
          <w:sz w:val="24"/>
          <w:szCs w:val="24"/>
        </w:rPr>
        <w:t>1, 2014</w:t>
      </w:r>
      <w:commentRangeEnd w:id="0"/>
      <w:r w:rsidR="003F4507">
        <w:rPr>
          <w:rStyle w:val="CommentReference"/>
          <w:rFonts w:eastAsiaTheme="minorHAnsi"/>
        </w:rPr>
        <w:commentReference w:id="0"/>
      </w:r>
      <w:r w:rsidRPr="00E12EF5">
        <w:rPr>
          <w:sz w:val="24"/>
          <w:szCs w:val="24"/>
        </w:rPr>
        <w:t>, 0.10 grains per dry standard cubic foot.</w:t>
      </w:r>
    </w:p>
    <w:p w:rsidR="00E12EF5" w:rsidRPr="00E12EF5" w:rsidRDefault="00E12EF5" w:rsidP="00E12EF5">
      <w:pPr>
        <w:spacing w:line="360" w:lineRule="auto"/>
        <w:rPr>
          <w:sz w:val="24"/>
          <w:szCs w:val="24"/>
        </w:rPr>
      </w:pPr>
      <w:r w:rsidRPr="00E12EF5">
        <w:rPr>
          <w:sz w:val="24"/>
          <w:szCs w:val="24"/>
        </w:rPr>
        <w:t>(d) The owner or operator of an source installed, constructed or modified before November 1, 2014 who is unable to comply with any of the compliance dates specified in paragraphs (a</w:t>
      </w:r>
      <w:proofErr w:type="gramStart"/>
      <w:r w:rsidRPr="00E12EF5">
        <w:rPr>
          <w:sz w:val="24"/>
          <w:szCs w:val="24"/>
        </w:rPr>
        <w:t>)(</w:t>
      </w:r>
      <w:proofErr w:type="gramEnd"/>
      <w:r w:rsidRPr="00E12EF5">
        <w:rPr>
          <w:sz w:val="24"/>
          <w:szCs w:val="24"/>
        </w:rPr>
        <w:t xml:space="preserve">B) and (b)(B) may request that DEQ grant an extension allowing the source up to one additional year to comply with the standard. The request for an extension must be submitted no later than October 1, 2019. </w:t>
      </w:r>
    </w:p>
    <w:p w:rsidR="00E12EF5" w:rsidRPr="00E12EF5" w:rsidRDefault="00E12EF5" w:rsidP="00E12EF5">
      <w:pPr>
        <w:spacing w:line="360" w:lineRule="auto"/>
        <w:rPr>
          <w:sz w:val="24"/>
          <w:szCs w:val="24"/>
        </w:rPr>
      </w:pPr>
      <w:r w:rsidRPr="00E12EF5">
        <w:rPr>
          <w:sz w:val="24"/>
          <w:szCs w:val="24"/>
        </w:rPr>
        <w:t xml:space="preserve">(2) Compliance with the emissions standards in section (1) is determined using: </w:t>
      </w:r>
    </w:p>
    <w:p w:rsidR="00E12EF5" w:rsidRPr="00E12EF5" w:rsidRDefault="00E12EF5" w:rsidP="00E12EF5">
      <w:pPr>
        <w:spacing w:line="360" w:lineRule="auto"/>
        <w:rPr>
          <w:sz w:val="24"/>
          <w:szCs w:val="24"/>
        </w:rPr>
      </w:pPr>
      <w:r w:rsidRPr="00E12EF5">
        <w:rPr>
          <w:sz w:val="24"/>
          <w:szCs w:val="24"/>
        </w:rPr>
        <w:t xml:space="preserve">(a) Oregon Method 5 or DEQ Method 8, as approved by DEQ for sources with exhaust gases at or near ambient conditions; </w:t>
      </w:r>
    </w:p>
    <w:p w:rsidR="00E12EF5" w:rsidRPr="00E12EF5" w:rsidRDefault="00E12EF5" w:rsidP="00E12EF5">
      <w:pPr>
        <w:spacing w:line="360" w:lineRule="auto"/>
        <w:rPr>
          <w:sz w:val="24"/>
          <w:szCs w:val="24"/>
        </w:rPr>
      </w:pPr>
      <w:r w:rsidRPr="00E12EF5">
        <w:rPr>
          <w:sz w:val="24"/>
          <w:szCs w:val="24"/>
        </w:rPr>
        <w:t xml:space="preserve">(b) DEQ Method 7 for direct heat transfer sources;  </w:t>
      </w:r>
    </w:p>
    <w:p w:rsidR="00E12EF5" w:rsidRPr="00E12EF5" w:rsidRDefault="00E12EF5" w:rsidP="00E12EF5">
      <w:pPr>
        <w:spacing w:line="360" w:lineRule="auto"/>
        <w:rPr>
          <w:sz w:val="24"/>
          <w:szCs w:val="24"/>
        </w:rPr>
      </w:pPr>
      <w:r w:rsidRPr="00E12EF5">
        <w:rPr>
          <w:sz w:val="24"/>
          <w:szCs w:val="24"/>
        </w:rPr>
        <w:t>(c) DEQ Method 5 for indirect heat transfer combustion sources and all other non-fugitive emissions sources not listed above; or</w:t>
      </w:r>
    </w:p>
    <w:p w:rsidR="00E12EF5" w:rsidRPr="00E12EF5" w:rsidRDefault="00E12EF5" w:rsidP="00E12EF5">
      <w:pPr>
        <w:spacing w:line="360" w:lineRule="auto"/>
        <w:rPr>
          <w:sz w:val="24"/>
          <w:szCs w:val="24"/>
        </w:rPr>
      </w:pPr>
      <w:r w:rsidRPr="00E12EF5">
        <w:rPr>
          <w:sz w:val="24"/>
          <w:szCs w:val="24"/>
        </w:rPr>
        <w:t>(d) An alternative method approved by DEQ.</w:t>
      </w:r>
    </w:p>
    <w:p w:rsidR="00E12EF5" w:rsidRPr="00E12EF5" w:rsidRDefault="00E12EF5" w:rsidP="00E12EF5">
      <w:pPr>
        <w:spacing w:line="360" w:lineRule="auto"/>
        <w:rPr>
          <w:sz w:val="24"/>
          <w:szCs w:val="24"/>
        </w:rPr>
      </w:pPr>
      <w:r w:rsidRPr="00E12EF5">
        <w:rPr>
          <w:sz w:val="24"/>
          <w:szCs w:val="24"/>
        </w:rPr>
        <w:t>(</w:t>
      </w:r>
      <w:r w:rsidR="001F0F56">
        <w:rPr>
          <w:sz w:val="24"/>
          <w:szCs w:val="24"/>
        </w:rPr>
        <w:t>3</w:t>
      </w:r>
      <w:r w:rsidRPr="00E12EF5">
        <w:rPr>
          <w:sz w:val="24"/>
          <w:szCs w:val="24"/>
        </w:rPr>
        <w:t xml:space="preserve">) This rule does not apply to fuel or refuse burning equipment, or to fugitive emissions. </w:t>
      </w:r>
    </w:p>
    <w:p w:rsidR="00E12EF5" w:rsidRPr="00E12EF5" w:rsidRDefault="00E12EF5" w:rsidP="00E12EF5">
      <w:pPr>
        <w:spacing w:line="360" w:lineRule="auto"/>
        <w:rPr>
          <w:sz w:val="24"/>
          <w:szCs w:val="24"/>
        </w:rPr>
      </w:pPr>
      <w:r w:rsidRPr="00E12EF5">
        <w:rPr>
          <w:sz w:val="24"/>
          <w:szCs w:val="24"/>
        </w:rPr>
        <w:t>[</w:t>
      </w: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lastRenderedPageBreak/>
        <w:t>Stat. Auth.: ORS 468 &amp; ORS 468A</w:t>
      </w:r>
      <w:r w:rsidRPr="00E12EF5">
        <w:rPr>
          <w:sz w:val="24"/>
          <w:szCs w:val="24"/>
        </w:rPr>
        <w:br/>
        <w:t>Stats. Implemented: ORS 468.020 &amp; ORS 468A.025.</w:t>
      </w:r>
      <w:r w:rsidRPr="00E12EF5">
        <w:rPr>
          <w:sz w:val="24"/>
          <w:szCs w:val="24"/>
        </w:rPr>
        <w:br/>
        <w:t xml:space="preserve">Hist.: DEQ 37, f. 2-15-72, ef. </w:t>
      </w:r>
      <w:proofErr w:type="gramStart"/>
      <w:r w:rsidRPr="00E12EF5">
        <w:rPr>
          <w:sz w:val="24"/>
          <w:szCs w:val="24"/>
        </w:rPr>
        <w:t>3-1-72; DEQ 4-1993, f. &amp; cert. ef.</w:t>
      </w:r>
      <w:proofErr w:type="gramEnd"/>
      <w:r w:rsidRPr="00E12EF5">
        <w:rPr>
          <w:sz w:val="24"/>
          <w:szCs w:val="24"/>
        </w:rPr>
        <w:t xml:space="preserve"> </w:t>
      </w:r>
      <w:proofErr w:type="gramStart"/>
      <w:r w:rsidRPr="00E12EF5">
        <w:rPr>
          <w:sz w:val="24"/>
          <w:szCs w:val="24"/>
        </w:rPr>
        <w:t>3-10-93; DEQ 3-1996, f. &amp; cert. ef.</w:t>
      </w:r>
      <w:proofErr w:type="gramEnd"/>
      <w:r w:rsidRPr="00E12EF5">
        <w:rPr>
          <w:sz w:val="24"/>
          <w:szCs w:val="24"/>
        </w:rPr>
        <w:t xml:space="preserve"> </w:t>
      </w:r>
      <w:proofErr w:type="gramStart"/>
      <w:r w:rsidRPr="00E12EF5">
        <w:rPr>
          <w:sz w:val="24"/>
          <w:szCs w:val="24"/>
        </w:rPr>
        <w:t>1-29-96; DEQ 14-1999, f. &amp; cert. ef.</w:t>
      </w:r>
      <w:proofErr w:type="gramEnd"/>
      <w:r w:rsidRPr="00E12EF5">
        <w:rPr>
          <w:sz w:val="24"/>
          <w:szCs w:val="24"/>
        </w:rPr>
        <w:t xml:space="preserve">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sz w:val="24"/>
          <w:szCs w:val="24"/>
        </w:rPr>
        <w:t xml:space="preserve"> (1) No person may cause, suffer, allow, or permit particulate matter emission from any fuel burning equipment in excess of:</w:t>
      </w:r>
    </w:p>
    <w:p w:rsidR="00E12EF5" w:rsidRPr="00E12EF5" w:rsidRDefault="00E12EF5" w:rsidP="00E12EF5">
      <w:pPr>
        <w:spacing w:line="360" w:lineRule="auto"/>
        <w:rPr>
          <w:sz w:val="24"/>
          <w:szCs w:val="24"/>
        </w:rPr>
      </w:pPr>
      <w:r w:rsidRPr="00E12EF5">
        <w:rPr>
          <w:sz w:val="24"/>
          <w:szCs w:val="24"/>
        </w:rPr>
        <w:t>(a) For sources installed, constructed, or modified before June 1, 1970:</w:t>
      </w:r>
    </w:p>
    <w:p w:rsidR="00E12EF5" w:rsidRPr="00E12EF5" w:rsidRDefault="00E12EF5" w:rsidP="00E12EF5">
      <w:pPr>
        <w:spacing w:line="360" w:lineRule="auto"/>
        <w:rPr>
          <w:sz w:val="24"/>
          <w:szCs w:val="24"/>
        </w:rPr>
      </w:pPr>
      <w:r w:rsidRPr="00E12EF5">
        <w:rPr>
          <w:sz w:val="24"/>
          <w:szCs w:val="24"/>
        </w:rPr>
        <w:t xml:space="preserve">(A) 0.2 grains per dry standard cubic foot through December 31, 2019; </w:t>
      </w:r>
    </w:p>
    <w:p w:rsidR="00E12EF5" w:rsidRPr="00E12EF5" w:rsidRDefault="00E12EF5" w:rsidP="00E12EF5">
      <w:pPr>
        <w:spacing w:line="360" w:lineRule="auto"/>
        <w:rPr>
          <w:sz w:val="24"/>
          <w:szCs w:val="24"/>
        </w:rPr>
      </w:pPr>
      <w:r w:rsidRPr="00E12EF5">
        <w:rPr>
          <w:sz w:val="24"/>
          <w:szCs w:val="24"/>
        </w:rPr>
        <w:t>(B) Except as provided in paragraph (C), 0.15 grains per dry standard cubic foot beginning January 1, 2020</w:t>
      </w:r>
      <w:r w:rsidR="001F0F56">
        <w:rPr>
          <w:sz w:val="24"/>
          <w:szCs w:val="24"/>
        </w:rPr>
        <w:t>; or</w:t>
      </w:r>
      <w:r w:rsidRPr="00E12EF5">
        <w:rPr>
          <w:sz w:val="24"/>
          <w:szCs w:val="24"/>
        </w:rPr>
        <w:t xml:space="preserve">  </w:t>
      </w:r>
    </w:p>
    <w:p w:rsidR="00E12EF5" w:rsidRDefault="00E12EF5" w:rsidP="00E12EF5">
      <w:pPr>
        <w:spacing w:line="360" w:lineRule="auto"/>
        <w:rPr>
          <w:sz w:val="24"/>
          <w:szCs w:val="24"/>
        </w:rPr>
      </w:pPr>
      <w:r w:rsidRPr="00E12EF5">
        <w:rPr>
          <w:sz w:val="24"/>
          <w:szCs w:val="24"/>
        </w:rPr>
        <w:t>(C) For equipment or a mode of operation (e.g., backup fuel) that is used less than 876 hours per calendar year, 0.20 grains per standard cubic foot beginning January 1, 2020.</w:t>
      </w:r>
    </w:p>
    <w:p w:rsidR="001F0F56" w:rsidRPr="00E12EF5" w:rsidRDefault="001F0F56" w:rsidP="00E12EF5">
      <w:pPr>
        <w:spacing w:line="360" w:lineRule="auto"/>
        <w:rPr>
          <w:sz w:val="24"/>
          <w:szCs w:val="24"/>
        </w:rPr>
      </w:pPr>
    </w:p>
    <w:p w:rsidR="00E12EF5" w:rsidRPr="00E12EF5" w:rsidRDefault="00E12EF5" w:rsidP="00E12EF5">
      <w:pPr>
        <w:spacing w:line="360" w:lineRule="auto"/>
        <w:rPr>
          <w:sz w:val="24"/>
          <w:szCs w:val="24"/>
        </w:rPr>
      </w:pPr>
      <w:r w:rsidRPr="00E12EF5">
        <w:rPr>
          <w:sz w:val="24"/>
          <w:szCs w:val="24"/>
        </w:rPr>
        <w:t>(b) For sources installed, constructed, or modified on or after June 1, 1970:</w:t>
      </w:r>
    </w:p>
    <w:p w:rsidR="00E12EF5" w:rsidRPr="00E12EF5" w:rsidRDefault="00E12EF5" w:rsidP="00E12EF5">
      <w:pPr>
        <w:spacing w:line="360" w:lineRule="auto"/>
        <w:rPr>
          <w:sz w:val="24"/>
          <w:szCs w:val="24"/>
        </w:rPr>
      </w:pPr>
      <w:r w:rsidRPr="00E12EF5">
        <w:rPr>
          <w:sz w:val="24"/>
          <w:szCs w:val="24"/>
        </w:rPr>
        <w:t>(A) 0.1 grains per dry standard cubic foot through December 31, 2019;</w:t>
      </w:r>
    </w:p>
    <w:p w:rsidR="001F0F56" w:rsidRPr="001F0F56" w:rsidRDefault="001F0F56" w:rsidP="001F0F56">
      <w:pPr>
        <w:spacing w:line="360" w:lineRule="auto"/>
        <w:rPr>
          <w:sz w:val="24"/>
          <w:szCs w:val="24"/>
        </w:rPr>
      </w:pPr>
      <w:r>
        <w:rPr>
          <w:sz w:val="24"/>
          <w:szCs w:val="24"/>
        </w:rPr>
        <w:t>(B)</w:t>
      </w:r>
      <w:r w:rsidRPr="001F0F56">
        <w:rPr>
          <w:sz w:val="24"/>
          <w:szCs w:val="24"/>
        </w:rPr>
        <w:t xml:space="preserve"> 0.15 grains per dry standard cubic foot unless all representative compliance source test data prior to January 1, 2015 is less than or equal to 0.080 grains per dry standard cubic foot, then 0.10 grains per dry standard cubic foot beginning January 1, 2020. </w:t>
      </w:r>
    </w:p>
    <w:p w:rsidR="00E12EF5" w:rsidRPr="00E12EF5" w:rsidRDefault="00E12EF5" w:rsidP="00E12EF5">
      <w:pPr>
        <w:spacing w:line="360" w:lineRule="auto"/>
        <w:rPr>
          <w:sz w:val="24"/>
          <w:szCs w:val="24"/>
        </w:rPr>
      </w:pPr>
      <w:r w:rsidRPr="00E12EF5">
        <w:rPr>
          <w:sz w:val="24"/>
          <w:szCs w:val="24"/>
        </w:rPr>
        <w:t xml:space="preserve">(c) For sources installed, constructed or modified after </w:t>
      </w:r>
      <w:commentRangeStart w:id="1"/>
      <w:r w:rsidR="001F0F56">
        <w:rPr>
          <w:sz w:val="24"/>
          <w:szCs w:val="24"/>
        </w:rPr>
        <w:t xml:space="preserve">January </w:t>
      </w:r>
      <w:r w:rsidRPr="00E12EF5">
        <w:rPr>
          <w:sz w:val="24"/>
          <w:szCs w:val="24"/>
        </w:rPr>
        <w:t>1, 2014</w:t>
      </w:r>
      <w:commentRangeEnd w:id="1"/>
      <w:r w:rsidR="001F0F56">
        <w:rPr>
          <w:rStyle w:val="CommentReference"/>
          <w:rFonts w:eastAsiaTheme="minorHAnsi"/>
        </w:rPr>
        <w:commentReference w:id="1"/>
      </w:r>
      <w:r w:rsidRPr="00E12EF5">
        <w:rPr>
          <w:sz w:val="24"/>
          <w:szCs w:val="24"/>
        </w:rPr>
        <w:t>, 0.10 grains per dry standard cubic foot.</w:t>
      </w:r>
    </w:p>
    <w:p w:rsidR="00E12EF5" w:rsidRPr="00E12EF5" w:rsidRDefault="00E12EF5" w:rsidP="00E12EF5">
      <w:pPr>
        <w:spacing w:line="360" w:lineRule="auto"/>
        <w:rPr>
          <w:sz w:val="24"/>
          <w:szCs w:val="24"/>
        </w:rPr>
      </w:pPr>
      <w:r w:rsidRPr="00E12EF5">
        <w:rPr>
          <w:sz w:val="24"/>
          <w:szCs w:val="24"/>
        </w:rPr>
        <w:t>(d) The owner or operator of an source installed, constructed or modified before November 1, 2014 who is unable to comply with any of the compliance dates specified in paragraphs (a</w:t>
      </w:r>
      <w:proofErr w:type="gramStart"/>
      <w:r w:rsidRPr="00E12EF5">
        <w:rPr>
          <w:sz w:val="24"/>
          <w:szCs w:val="24"/>
        </w:rPr>
        <w:t>)(</w:t>
      </w:r>
      <w:proofErr w:type="gramEnd"/>
      <w:r w:rsidRPr="00E12EF5">
        <w:rPr>
          <w:sz w:val="24"/>
          <w:szCs w:val="24"/>
        </w:rPr>
        <w:t xml:space="preserve">B) and (b)(B) may request that DEQ grant an extension allowing the source up to one additional year to comply with the standard. The request for an extension must be submitted no later than October 1, 2019. </w:t>
      </w:r>
    </w:p>
    <w:p w:rsidR="00E12EF5" w:rsidRPr="00E12EF5" w:rsidRDefault="00E12EF5" w:rsidP="00E12EF5">
      <w:pPr>
        <w:spacing w:line="360" w:lineRule="auto"/>
        <w:rPr>
          <w:sz w:val="24"/>
          <w:szCs w:val="24"/>
        </w:rPr>
      </w:pPr>
      <w:r w:rsidRPr="00E12EF5">
        <w:rPr>
          <w:sz w:val="24"/>
          <w:szCs w:val="24"/>
        </w:rPr>
        <w:t>(2) Compliance with the emissions standards in section (1) is determined using Oregon Method 5, or an alternative method approved by DEQ.</w:t>
      </w:r>
    </w:p>
    <w:p w:rsidR="00E12EF5" w:rsidRPr="00E12EF5" w:rsidRDefault="00E12EF5" w:rsidP="00E12EF5">
      <w:pPr>
        <w:spacing w:line="360" w:lineRule="auto"/>
        <w:rPr>
          <w:sz w:val="24"/>
          <w:szCs w:val="24"/>
        </w:rPr>
      </w:pPr>
      <w:r w:rsidRPr="00E12EF5">
        <w:rPr>
          <w:sz w:val="24"/>
          <w:szCs w:val="24"/>
        </w:rPr>
        <w:t xml:space="preserve">(a) For external combustion devices that burn wood fuel by itself or in combination with any other fuel, the emission results are corrected to 12% CO2.  </w:t>
      </w:r>
    </w:p>
    <w:p w:rsidR="00E12EF5" w:rsidRPr="00E12EF5" w:rsidRDefault="00E12EF5" w:rsidP="00E12EF5">
      <w:pPr>
        <w:spacing w:line="360" w:lineRule="auto"/>
        <w:rPr>
          <w:sz w:val="24"/>
          <w:szCs w:val="24"/>
        </w:rPr>
      </w:pPr>
      <w:r w:rsidRPr="00E12EF5">
        <w:rPr>
          <w:sz w:val="24"/>
          <w:szCs w:val="24"/>
        </w:rPr>
        <w:t xml:space="preserve">(b) For external combustion devices that burn fuels other than wood, the emission results are corrected to 50% excess air.  </w:t>
      </w:r>
    </w:p>
    <w:p w:rsidR="00E12EF5" w:rsidRPr="00E12EF5" w:rsidDel="002C4489" w:rsidRDefault="001F0F56" w:rsidP="00E12EF5">
      <w:pPr>
        <w:spacing w:line="360" w:lineRule="auto"/>
        <w:rPr>
          <w:sz w:val="24"/>
          <w:szCs w:val="24"/>
        </w:rPr>
      </w:pPr>
      <w:r>
        <w:rPr>
          <w:sz w:val="24"/>
          <w:szCs w:val="24"/>
        </w:rPr>
        <w:t>(3</w:t>
      </w:r>
      <w:r w:rsidR="00E12EF5" w:rsidRPr="00E12EF5">
        <w:rPr>
          <w:sz w:val="24"/>
          <w:szCs w:val="24"/>
        </w:rPr>
        <w:t>) This rule does not apply to solid fuel burning devices that have been certified under OAR 340-262-0500.</w:t>
      </w:r>
      <w:r w:rsidR="00E12EF5" w:rsidRPr="00E12EF5" w:rsidDel="002C4489">
        <w:rPr>
          <w:sz w:val="24"/>
          <w:szCs w:val="24"/>
        </w:rPr>
        <w:t xml:space="preserve"> </w:t>
      </w:r>
    </w:p>
    <w:p w:rsidR="00E12EF5" w:rsidRPr="00E12EF5" w:rsidRDefault="00E12EF5" w:rsidP="00E12EF5">
      <w:pPr>
        <w:spacing w:line="360" w:lineRule="auto"/>
        <w:rPr>
          <w:sz w:val="24"/>
          <w:szCs w:val="24"/>
        </w:rPr>
      </w:pPr>
      <w:r w:rsidRPr="00E12EF5">
        <w:rPr>
          <w:b/>
          <w:bCs/>
          <w:sz w:val="24"/>
          <w:szCs w:val="24"/>
        </w:rPr>
        <w:lastRenderedPageBreak/>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 xml:space="preserve">Hist.: DEQ 16, f. 6-12-70, ef. </w:t>
      </w:r>
      <w:proofErr w:type="gramStart"/>
      <w:r w:rsidRPr="00E12EF5">
        <w:rPr>
          <w:sz w:val="24"/>
          <w:szCs w:val="24"/>
        </w:rPr>
        <w:t>7-11-70; DEQ 12-1979, f. &amp; ef.</w:t>
      </w:r>
      <w:proofErr w:type="gramEnd"/>
      <w:r w:rsidRPr="00E12EF5">
        <w:rPr>
          <w:sz w:val="24"/>
          <w:szCs w:val="24"/>
        </w:rPr>
        <w:t xml:space="preserve"> </w:t>
      </w:r>
      <w:proofErr w:type="gramStart"/>
      <w:r w:rsidRPr="00E12EF5">
        <w:rPr>
          <w:sz w:val="24"/>
          <w:szCs w:val="24"/>
        </w:rPr>
        <w:t>6-8-79; DEQ 6-1981, f. &amp; ef.</w:t>
      </w:r>
      <w:proofErr w:type="gramEnd"/>
      <w:r w:rsidRPr="00E12EF5">
        <w:rPr>
          <w:sz w:val="24"/>
          <w:szCs w:val="24"/>
        </w:rPr>
        <w:t xml:space="preserve"> </w:t>
      </w:r>
      <w:proofErr w:type="gramStart"/>
      <w:r w:rsidRPr="00E12EF5">
        <w:rPr>
          <w:sz w:val="24"/>
          <w:szCs w:val="24"/>
        </w:rPr>
        <w:t>2-17-81; DEQ 18-1982, f. &amp; ef.</w:t>
      </w:r>
      <w:proofErr w:type="gramEnd"/>
      <w:r w:rsidRPr="00E12EF5">
        <w:rPr>
          <w:sz w:val="24"/>
          <w:szCs w:val="24"/>
        </w:rPr>
        <w:t xml:space="preserve"> </w:t>
      </w:r>
      <w:proofErr w:type="gramStart"/>
      <w:r w:rsidRPr="00E12EF5">
        <w:rPr>
          <w:sz w:val="24"/>
          <w:szCs w:val="24"/>
        </w:rPr>
        <w:t>9-1-82; DEQ 4-1993, f. &amp; cert. ef.</w:t>
      </w:r>
      <w:proofErr w:type="gramEnd"/>
      <w:r w:rsidRPr="00E12EF5">
        <w:rPr>
          <w:sz w:val="24"/>
          <w:szCs w:val="24"/>
        </w:rPr>
        <w:t xml:space="preserve"> </w:t>
      </w:r>
      <w:proofErr w:type="gramStart"/>
      <w:r w:rsidRPr="00E12EF5">
        <w:rPr>
          <w:sz w:val="24"/>
          <w:szCs w:val="24"/>
        </w:rPr>
        <w:t>3-10-93; DEQ 3-1996, f. &amp; cert. ef.</w:t>
      </w:r>
      <w:proofErr w:type="gramEnd"/>
      <w:r w:rsidRPr="00E12EF5">
        <w:rPr>
          <w:sz w:val="24"/>
          <w:szCs w:val="24"/>
        </w:rPr>
        <w:t xml:space="preserve"> </w:t>
      </w:r>
      <w:proofErr w:type="gramStart"/>
      <w:r w:rsidRPr="00E12EF5">
        <w:rPr>
          <w:sz w:val="24"/>
          <w:szCs w:val="24"/>
        </w:rPr>
        <w:t>1-29-96; DEQ 14-1999, f.</w:t>
      </w:r>
      <w:proofErr w:type="gramEnd"/>
    </w:p>
    <w:sectPr w:rsidR="00E12EF5" w:rsidRPr="00E12EF5" w:rsidSect="00FA7B3E">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12-16T12:25:00Z" w:initials="j">
    <w:p w:rsidR="003F4507" w:rsidRDefault="003F4507">
      <w:pPr>
        <w:pStyle w:val="CommentText"/>
      </w:pPr>
      <w:r>
        <w:rPr>
          <w:rStyle w:val="CommentReference"/>
        </w:rPr>
        <w:annotationRef/>
      </w:r>
      <w:r>
        <w:t xml:space="preserve">These rules won’t be adopted until 10/14 so these sources won’t know this is the limit starting January 1, 2014.  </w:t>
      </w:r>
    </w:p>
  </w:comment>
  <w:comment w:id="1" w:author="jinahar" w:date="2013-12-16T12:30:00Z" w:initials="j">
    <w:p w:rsidR="001F0F56" w:rsidRDefault="001F0F56">
      <w:pPr>
        <w:pStyle w:val="CommentText"/>
      </w:pPr>
      <w:r>
        <w:rPr>
          <w:rStyle w:val="CommentReference"/>
        </w:rPr>
        <w:annotationRef/>
      </w:r>
      <w:r>
        <w:t>Same comment as above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E12EF5"/>
    <w:rsid w:val="00025D4D"/>
    <w:rsid w:val="000459F4"/>
    <w:rsid w:val="00060120"/>
    <w:rsid w:val="000B4697"/>
    <w:rsid w:val="000D5C02"/>
    <w:rsid w:val="00104AC6"/>
    <w:rsid w:val="00146C92"/>
    <w:rsid w:val="00176EEF"/>
    <w:rsid w:val="00195444"/>
    <w:rsid w:val="00197570"/>
    <w:rsid w:val="001A22A5"/>
    <w:rsid w:val="001F0F56"/>
    <w:rsid w:val="001F0FD8"/>
    <w:rsid w:val="001F4426"/>
    <w:rsid w:val="0020056E"/>
    <w:rsid w:val="002A506D"/>
    <w:rsid w:val="00312201"/>
    <w:rsid w:val="003419DD"/>
    <w:rsid w:val="00394250"/>
    <w:rsid w:val="003A1E7B"/>
    <w:rsid w:val="003A60DE"/>
    <w:rsid w:val="003B54E8"/>
    <w:rsid w:val="003D37E3"/>
    <w:rsid w:val="003F4507"/>
    <w:rsid w:val="00400586"/>
    <w:rsid w:val="00414F67"/>
    <w:rsid w:val="0043117D"/>
    <w:rsid w:val="00451F91"/>
    <w:rsid w:val="004A69AF"/>
    <w:rsid w:val="004B2364"/>
    <w:rsid w:val="004D578D"/>
    <w:rsid w:val="00526BD8"/>
    <w:rsid w:val="00583080"/>
    <w:rsid w:val="0058737B"/>
    <w:rsid w:val="005A4F7A"/>
    <w:rsid w:val="005B3E72"/>
    <w:rsid w:val="005D7215"/>
    <w:rsid w:val="006A1C1A"/>
    <w:rsid w:val="006E4A30"/>
    <w:rsid w:val="006F65EA"/>
    <w:rsid w:val="006F6D02"/>
    <w:rsid w:val="00721154"/>
    <w:rsid w:val="007260E4"/>
    <w:rsid w:val="0072678D"/>
    <w:rsid w:val="00732F05"/>
    <w:rsid w:val="00734469"/>
    <w:rsid w:val="007C644B"/>
    <w:rsid w:val="007E2042"/>
    <w:rsid w:val="00806C09"/>
    <w:rsid w:val="008114C7"/>
    <w:rsid w:val="00822FC3"/>
    <w:rsid w:val="00882A13"/>
    <w:rsid w:val="008A12AC"/>
    <w:rsid w:val="008A5039"/>
    <w:rsid w:val="008A7A14"/>
    <w:rsid w:val="00942A04"/>
    <w:rsid w:val="00982DCD"/>
    <w:rsid w:val="009B3E5A"/>
    <w:rsid w:val="009F2E6A"/>
    <w:rsid w:val="00A74511"/>
    <w:rsid w:val="00A931E0"/>
    <w:rsid w:val="00AE1F83"/>
    <w:rsid w:val="00AE630B"/>
    <w:rsid w:val="00B45EA8"/>
    <w:rsid w:val="00B517E5"/>
    <w:rsid w:val="00B80CC8"/>
    <w:rsid w:val="00BA746E"/>
    <w:rsid w:val="00BC407B"/>
    <w:rsid w:val="00C2695F"/>
    <w:rsid w:val="00CB3E5D"/>
    <w:rsid w:val="00CF18E6"/>
    <w:rsid w:val="00CF2E54"/>
    <w:rsid w:val="00D12AB3"/>
    <w:rsid w:val="00D83263"/>
    <w:rsid w:val="00D866AB"/>
    <w:rsid w:val="00DF05EA"/>
    <w:rsid w:val="00E12EF5"/>
    <w:rsid w:val="00E60434"/>
    <w:rsid w:val="00E91F6F"/>
    <w:rsid w:val="00E939D0"/>
    <w:rsid w:val="00EA1896"/>
    <w:rsid w:val="00EB4211"/>
    <w:rsid w:val="00ED5A52"/>
    <w:rsid w:val="00EE5EDD"/>
    <w:rsid w:val="00EE7544"/>
    <w:rsid w:val="00EF19FA"/>
    <w:rsid w:val="00EF4C04"/>
    <w:rsid w:val="00F032C1"/>
    <w:rsid w:val="00F21A48"/>
    <w:rsid w:val="00F24902"/>
    <w:rsid w:val="00F367C5"/>
    <w:rsid w:val="00F40738"/>
    <w:rsid w:val="00F469F5"/>
    <w:rsid w:val="00F52FEB"/>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7</cp:revision>
  <cp:lastPrinted>2013-12-16T22:28:00Z</cp:lastPrinted>
  <dcterms:created xsi:type="dcterms:W3CDTF">2013-12-13T22:58:00Z</dcterms:created>
  <dcterms:modified xsi:type="dcterms:W3CDTF">2013-12-17T17:37:00Z</dcterms:modified>
</cp:coreProperties>
</file>