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2E0" w:rsidRPr="003852E0" w:rsidRDefault="003852E0" w:rsidP="003852E0">
      <w:pPr>
        <w:spacing w:before="100" w:beforeAutospacing="1" w:after="100" w:afterAutospacing="1"/>
        <w:ind w:left="48"/>
        <w:outlineLvl w:val="0"/>
        <w:rPr>
          <w:b/>
          <w:bCs/>
          <w:kern w:val="36"/>
          <w:sz w:val="24"/>
          <w:szCs w:val="24"/>
        </w:rPr>
      </w:pPr>
      <w:r w:rsidRPr="003852E0">
        <w:rPr>
          <w:b/>
          <w:bCs/>
          <w:kern w:val="36"/>
          <w:sz w:val="24"/>
          <w:szCs w:val="24"/>
        </w:rPr>
        <w:t>§ 183.333</w:t>
      </w:r>
    </w:p>
    <w:p w:rsidR="003852E0" w:rsidRPr="003852E0" w:rsidRDefault="003852E0" w:rsidP="003852E0">
      <w:pPr>
        <w:spacing w:before="100" w:beforeAutospacing="1" w:after="100" w:afterAutospacing="1"/>
        <w:ind w:left="48"/>
        <w:outlineLvl w:val="0"/>
        <w:rPr>
          <w:b/>
          <w:bCs/>
          <w:kern w:val="36"/>
          <w:sz w:val="24"/>
          <w:szCs w:val="24"/>
        </w:rPr>
      </w:pPr>
      <w:r w:rsidRPr="003852E0">
        <w:rPr>
          <w:b/>
          <w:bCs/>
          <w:kern w:val="36"/>
          <w:sz w:val="24"/>
          <w:szCs w:val="24"/>
        </w:rPr>
        <w:t>Policy statement</w:t>
      </w:r>
    </w:p>
    <w:p w:rsidR="003852E0" w:rsidRPr="003852E0" w:rsidRDefault="003852E0" w:rsidP="003852E0">
      <w:pPr>
        <w:numPr>
          <w:ilvl w:val="0"/>
          <w:numId w:val="11"/>
        </w:numPr>
        <w:spacing w:before="100" w:beforeAutospacing="1" w:after="100" w:afterAutospacing="1"/>
        <w:ind w:left="768"/>
        <w:outlineLvl w:val="0"/>
        <w:rPr>
          <w:b/>
          <w:bCs/>
          <w:kern w:val="36"/>
          <w:sz w:val="24"/>
          <w:szCs w:val="24"/>
        </w:rPr>
      </w:pPr>
      <w:r w:rsidRPr="003852E0">
        <w:rPr>
          <w:b/>
          <w:bCs/>
          <w:kern w:val="36"/>
          <w:sz w:val="24"/>
          <w:szCs w:val="24"/>
        </w:rPr>
        <w:t>public involvement in development of policy and drafting of rules</w:t>
      </w:r>
    </w:p>
    <w:p w:rsidR="003852E0" w:rsidRPr="003852E0" w:rsidRDefault="003852E0" w:rsidP="003852E0">
      <w:pPr>
        <w:numPr>
          <w:ilvl w:val="0"/>
          <w:numId w:val="11"/>
        </w:numPr>
        <w:spacing w:before="100" w:beforeAutospacing="1" w:after="100" w:afterAutospacing="1"/>
        <w:ind w:left="768"/>
        <w:outlineLvl w:val="0"/>
        <w:rPr>
          <w:b/>
          <w:bCs/>
          <w:kern w:val="36"/>
          <w:sz w:val="24"/>
          <w:szCs w:val="24"/>
        </w:rPr>
      </w:pPr>
      <w:r w:rsidRPr="003852E0">
        <w:rPr>
          <w:b/>
          <w:bCs/>
          <w:kern w:val="36"/>
          <w:sz w:val="24"/>
          <w:szCs w:val="24"/>
        </w:rPr>
        <w:t>advisory committees</w:t>
      </w:r>
    </w:p>
    <w:p w:rsidR="003852E0" w:rsidRPr="003852E0" w:rsidRDefault="003852E0" w:rsidP="003852E0">
      <w:pPr>
        <w:spacing w:before="100" w:beforeAutospacing="1" w:after="100" w:afterAutospacing="1"/>
        <w:rPr>
          <w:sz w:val="24"/>
          <w:szCs w:val="24"/>
        </w:rPr>
      </w:pPr>
      <w:r w:rsidRPr="003852E0">
        <w:rPr>
          <w:sz w:val="24"/>
          <w:szCs w:val="24"/>
        </w:rPr>
        <w:t>(1) The Legislative Assembly finds and declares that it is the policy of this state that whenever possible the public be involved in the development of public policy by agencies and in the drafting of rules. The Legislative Assembly encourages agencies to seek public input to the maximum extent possible before giving notice of intent to adopt a rule. The agency may appoint an advisory committee that will represent the interests of persons likely to be affected by the rule, or use any other means of obtaining public views that will assist the agency in drafting the rule.</w:t>
      </w:r>
    </w:p>
    <w:p w:rsidR="003852E0" w:rsidRPr="003852E0" w:rsidRDefault="003852E0" w:rsidP="003852E0">
      <w:pPr>
        <w:spacing w:before="100" w:beforeAutospacing="1" w:after="100" w:afterAutospacing="1"/>
        <w:rPr>
          <w:sz w:val="24"/>
          <w:szCs w:val="24"/>
        </w:rPr>
      </w:pPr>
      <w:r w:rsidRPr="003852E0">
        <w:rPr>
          <w:sz w:val="24"/>
          <w:szCs w:val="24"/>
        </w:rPr>
        <w:t>(2) Any agency in its discretion may develop a list of interested parties and inform those parties of any issue that may be the subject of rulemaking and invite the parties to make comments on the issue.</w:t>
      </w:r>
    </w:p>
    <w:p w:rsidR="003852E0" w:rsidRPr="003852E0" w:rsidRDefault="003852E0" w:rsidP="003852E0">
      <w:pPr>
        <w:spacing w:before="100" w:beforeAutospacing="1" w:after="100" w:afterAutospacing="1"/>
        <w:rPr>
          <w:sz w:val="24"/>
          <w:szCs w:val="24"/>
        </w:rPr>
      </w:pPr>
      <w:r w:rsidRPr="003852E0">
        <w:rPr>
          <w:sz w:val="24"/>
          <w:szCs w:val="24"/>
        </w:rPr>
        <w:t xml:space="preserve">(3) If an agency appoints an advisory committee for consideration of a rule under subsection (1) of this section, </w:t>
      </w:r>
      <w:r w:rsidRPr="00F40754">
        <w:rPr>
          <w:sz w:val="24"/>
          <w:szCs w:val="24"/>
          <w:highlight w:val="yellow"/>
        </w:rPr>
        <w:t xml:space="preserve">the agency shall seek the </w:t>
      </w:r>
      <w:proofErr w:type="spellStart"/>
      <w:r w:rsidRPr="00F40754">
        <w:rPr>
          <w:sz w:val="24"/>
          <w:szCs w:val="24"/>
          <w:highlight w:val="yellow"/>
        </w:rPr>
        <w:t>committees</w:t>
      </w:r>
      <w:proofErr w:type="spellEnd"/>
      <w:r w:rsidRPr="00F40754">
        <w:rPr>
          <w:sz w:val="24"/>
          <w:szCs w:val="24"/>
          <w:highlight w:val="yellow"/>
        </w:rPr>
        <w:t xml:space="preserve"> recommendations on whether the rule will have a fiscal impact, what the extent of that impact will be and whether the rule will have a significant adverse impact on small businesses.</w:t>
      </w:r>
      <w:r w:rsidRPr="003852E0">
        <w:rPr>
          <w:sz w:val="24"/>
          <w:szCs w:val="24"/>
        </w:rPr>
        <w:t xml:space="preserve"> </w:t>
      </w:r>
      <w:bookmarkStart w:id="0" w:name="_GoBack"/>
      <w:r w:rsidRPr="003852E0">
        <w:rPr>
          <w:sz w:val="24"/>
          <w:szCs w:val="24"/>
        </w:rPr>
        <w:t xml:space="preserve">If the committee indicates that the rule will have a significant adverse impact on small businesses, the agency shall seek the </w:t>
      </w:r>
      <w:proofErr w:type="spellStart"/>
      <w:proofErr w:type="gramStart"/>
      <w:r w:rsidRPr="003852E0">
        <w:rPr>
          <w:sz w:val="24"/>
          <w:szCs w:val="24"/>
        </w:rPr>
        <w:t>committees</w:t>
      </w:r>
      <w:proofErr w:type="spellEnd"/>
      <w:proofErr w:type="gramEnd"/>
      <w:r w:rsidRPr="003852E0">
        <w:rPr>
          <w:sz w:val="24"/>
          <w:szCs w:val="24"/>
        </w:rPr>
        <w:t xml:space="preserve"> recommendations on compliance with ORS </w:t>
      </w:r>
      <w:hyperlink r:id="rId6" w:history="1">
        <w:r w:rsidRPr="003852E0">
          <w:rPr>
            <w:color w:val="0000FF"/>
            <w:sz w:val="24"/>
            <w:szCs w:val="24"/>
            <w:u w:val="single"/>
          </w:rPr>
          <w:t>183.540 (Reduction of economic impact on small business)</w:t>
        </w:r>
      </w:hyperlink>
      <w:r w:rsidRPr="003852E0">
        <w:rPr>
          <w:sz w:val="24"/>
          <w:szCs w:val="24"/>
        </w:rPr>
        <w:t>.</w:t>
      </w:r>
    </w:p>
    <w:bookmarkEnd w:id="0"/>
    <w:p w:rsidR="003852E0" w:rsidRPr="003852E0" w:rsidRDefault="003852E0" w:rsidP="003852E0">
      <w:pPr>
        <w:spacing w:before="100" w:beforeAutospacing="1" w:after="100" w:afterAutospacing="1"/>
        <w:rPr>
          <w:sz w:val="24"/>
          <w:szCs w:val="24"/>
        </w:rPr>
      </w:pPr>
      <w:r w:rsidRPr="003852E0">
        <w:rPr>
          <w:sz w:val="24"/>
          <w:szCs w:val="24"/>
        </w:rPr>
        <w:t xml:space="preserve">(4) An agency shall consider an advisory committees recommendations provided under subsection (3) of this section in preparing the statement of fiscal impact required by ORS </w:t>
      </w:r>
      <w:hyperlink r:id="rId7" w:history="1">
        <w:r w:rsidRPr="003852E0">
          <w:rPr>
            <w:color w:val="0000FF"/>
            <w:sz w:val="24"/>
            <w:szCs w:val="24"/>
            <w:u w:val="single"/>
          </w:rPr>
          <w:t>183.335 (Notice)</w:t>
        </w:r>
      </w:hyperlink>
      <w:r w:rsidRPr="003852E0">
        <w:rPr>
          <w:sz w:val="24"/>
          <w:szCs w:val="24"/>
        </w:rPr>
        <w:t xml:space="preserve"> (2</w:t>
      </w:r>
      <w:proofErr w:type="gramStart"/>
      <w:r w:rsidRPr="003852E0">
        <w:rPr>
          <w:sz w:val="24"/>
          <w:szCs w:val="24"/>
        </w:rPr>
        <w:t>)(</w:t>
      </w:r>
      <w:proofErr w:type="gramEnd"/>
      <w:r w:rsidRPr="003852E0">
        <w:rPr>
          <w:sz w:val="24"/>
          <w:szCs w:val="24"/>
        </w:rPr>
        <w:t>b)(E).</w:t>
      </w:r>
    </w:p>
    <w:p w:rsidR="003852E0" w:rsidRPr="003852E0" w:rsidRDefault="003852E0" w:rsidP="003852E0">
      <w:pPr>
        <w:spacing w:before="100" w:beforeAutospacing="1" w:after="100" w:afterAutospacing="1"/>
        <w:rPr>
          <w:sz w:val="24"/>
          <w:szCs w:val="24"/>
        </w:rPr>
      </w:pPr>
      <w:r w:rsidRPr="003852E0">
        <w:rPr>
          <w:sz w:val="24"/>
          <w:szCs w:val="24"/>
        </w:rPr>
        <w:t xml:space="preserve">(5) If an agency does not appoint an advisory committee for consideration of a permanent rule under subsection (1) of this section and 10 or more persons likely to be affected by the rule object to the </w:t>
      </w:r>
      <w:proofErr w:type="spellStart"/>
      <w:r w:rsidRPr="003852E0">
        <w:rPr>
          <w:sz w:val="24"/>
          <w:szCs w:val="24"/>
        </w:rPr>
        <w:t>agencys</w:t>
      </w:r>
      <w:proofErr w:type="spellEnd"/>
      <w:r w:rsidRPr="003852E0">
        <w:rPr>
          <w:sz w:val="24"/>
          <w:szCs w:val="24"/>
        </w:rPr>
        <w:t xml:space="preserve"> statement of fiscal impact as required by ORS </w:t>
      </w:r>
      <w:hyperlink r:id="rId8" w:history="1">
        <w:r w:rsidRPr="003852E0">
          <w:rPr>
            <w:color w:val="0000FF"/>
            <w:sz w:val="24"/>
            <w:szCs w:val="24"/>
            <w:u w:val="single"/>
          </w:rPr>
          <w:t>183.335 (Notice)</w:t>
        </w:r>
      </w:hyperlink>
      <w:r w:rsidRPr="003852E0">
        <w:rPr>
          <w:sz w:val="24"/>
          <w:szCs w:val="24"/>
        </w:rPr>
        <w:t xml:space="preserve"> (2)(b)(E) or an association with at least 10 members likely to be affected by the rule objects to the statement, the agency shall appoint a fiscal impact advisory committee to provide recommendations on whether the rule will have a fiscal impact and what the extent of that impact will be. An objection under this subsection must be made not later than 14 days after the notice required by ORS </w:t>
      </w:r>
      <w:hyperlink r:id="rId9" w:history="1">
        <w:r w:rsidRPr="003852E0">
          <w:rPr>
            <w:color w:val="0000FF"/>
            <w:sz w:val="24"/>
            <w:szCs w:val="24"/>
            <w:u w:val="single"/>
          </w:rPr>
          <w:t>183.335 (Notice)</w:t>
        </w:r>
      </w:hyperlink>
      <w:r w:rsidRPr="003852E0">
        <w:rPr>
          <w:sz w:val="24"/>
          <w:szCs w:val="24"/>
        </w:rPr>
        <w:t xml:space="preserve"> (1) is given. If the agency determines that the statement does not adequately reflect the rules fiscal impact, the agency shall extend the period for submission of data or views under ORS </w:t>
      </w:r>
      <w:hyperlink r:id="rId10" w:history="1">
        <w:r w:rsidRPr="003852E0">
          <w:rPr>
            <w:color w:val="0000FF"/>
            <w:sz w:val="24"/>
            <w:szCs w:val="24"/>
            <w:u w:val="single"/>
          </w:rPr>
          <w:t>183.335 (Notice)</w:t>
        </w:r>
      </w:hyperlink>
      <w:r w:rsidRPr="003852E0">
        <w:rPr>
          <w:sz w:val="24"/>
          <w:szCs w:val="24"/>
        </w:rPr>
        <w:t xml:space="preserve"> (3</w:t>
      </w:r>
      <w:proofErr w:type="gramStart"/>
      <w:r w:rsidRPr="003852E0">
        <w:rPr>
          <w:sz w:val="24"/>
          <w:szCs w:val="24"/>
        </w:rPr>
        <w:t>)(</w:t>
      </w:r>
      <w:proofErr w:type="gramEnd"/>
      <w:r w:rsidRPr="003852E0">
        <w:rPr>
          <w:sz w:val="24"/>
          <w:szCs w:val="24"/>
        </w:rPr>
        <w:t>a) by at least 20 days. The agency shall include any recommendations from the committee in the record maintained by the agency for the rule.</w:t>
      </w:r>
    </w:p>
    <w:p w:rsidR="003852E0" w:rsidRPr="003852E0" w:rsidRDefault="003852E0" w:rsidP="003852E0">
      <w:pPr>
        <w:spacing w:before="100" w:beforeAutospacing="1" w:after="100" w:afterAutospacing="1"/>
        <w:rPr>
          <w:sz w:val="24"/>
          <w:szCs w:val="24"/>
        </w:rPr>
      </w:pPr>
      <w:r w:rsidRPr="003852E0">
        <w:rPr>
          <w:sz w:val="24"/>
          <w:szCs w:val="24"/>
        </w:rPr>
        <w:t>(6) Subsection (5) of this section does not apply to any rule adopted by an agency to comply with a judgment or a settlement of a judicial proceeding. [2003 c.749 §4; 2005 c.807 §4]</w:t>
      </w:r>
    </w:p>
    <w:p w:rsidR="003852E0" w:rsidRPr="003852E0" w:rsidRDefault="003852E0" w:rsidP="003852E0">
      <w:pPr>
        <w:rPr>
          <w:b/>
          <w:bCs/>
          <w:sz w:val="24"/>
          <w:szCs w:val="24"/>
        </w:rPr>
      </w:pPr>
      <w:r w:rsidRPr="003852E0">
        <w:rPr>
          <w:b/>
          <w:bCs/>
          <w:sz w:val="24"/>
          <w:szCs w:val="24"/>
        </w:rPr>
        <w:lastRenderedPageBreak/>
        <w:t>§ 183.540</w:t>
      </w:r>
    </w:p>
    <w:p w:rsidR="003852E0" w:rsidRPr="003852E0" w:rsidRDefault="003852E0" w:rsidP="003852E0">
      <w:pPr>
        <w:rPr>
          <w:b/>
          <w:bCs/>
          <w:sz w:val="24"/>
          <w:szCs w:val="24"/>
        </w:rPr>
      </w:pPr>
      <w:r w:rsidRPr="003852E0">
        <w:rPr>
          <w:b/>
          <w:bCs/>
          <w:sz w:val="24"/>
          <w:szCs w:val="24"/>
        </w:rPr>
        <w:t>Reduction of economic impact on small business</w:t>
      </w:r>
    </w:p>
    <w:p w:rsidR="003852E0" w:rsidRPr="003852E0" w:rsidRDefault="003852E0" w:rsidP="003852E0">
      <w:pPr>
        <w:pStyle w:val="ListParagraph"/>
        <w:ind w:left="0"/>
        <w:rPr>
          <w:sz w:val="24"/>
          <w:szCs w:val="24"/>
        </w:rPr>
      </w:pPr>
      <w:r w:rsidRPr="003852E0">
        <w:rPr>
          <w:sz w:val="24"/>
          <w:szCs w:val="24"/>
        </w:rPr>
        <w:t xml:space="preserve">If the statement of cost of compliance effect on small businesses required by ORS </w:t>
      </w:r>
      <w:hyperlink r:id="rId11" w:history="1">
        <w:r w:rsidRPr="003852E0">
          <w:rPr>
            <w:rStyle w:val="Hyperlink"/>
            <w:sz w:val="24"/>
            <w:szCs w:val="24"/>
          </w:rPr>
          <w:t>183.335 (Notice)</w:t>
        </w:r>
      </w:hyperlink>
      <w:r w:rsidRPr="003852E0">
        <w:rPr>
          <w:sz w:val="24"/>
          <w:szCs w:val="24"/>
        </w:rPr>
        <w:t xml:space="preserve"> (2)(b)(E) shows that a rule has a significant adverse effect upon small business, to the extent consistent with the public health and safety purpose of the rule, the agency shall reduce the economic impact of the rule on small business by:</w:t>
      </w:r>
    </w:p>
    <w:p w:rsidR="003852E0" w:rsidRPr="003852E0" w:rsidRDefault="003852E0" w:rsidP="003852E0">
      <w:pPr>
        <w:pStyle w:val="ListParagraph"/>
        <w:numPr>
          <w:ilvl w:val="1"/>
          <w:numId w:val="10"/>
        </w:numPr>
        <w:ind w:left="720"/>
        <w:rPr>
          <w:sz w:val="24"/>
          <w:szCs w:val="24"/>
        </w:rPr>
      </w:pPr>
      <w:r w:rsidRPr="003852E0">
        <w:rPr>
          <w:sz w:val="24"/>
          <w:szCs w:val="24"/>
        </w:rPr>
        <w:t>Establishing differing compliance or reporting requirements or time tables for small business;</w:t>
      </w:r>
    </w:p>
    <w:p w:rsidR="003852E0" w:rsidRPr="003852E0" w:rsidRDefault="003852E0" w:rsidP="003852E0">
      <w:pPr>
        <w:pStyle w:val="ListParagraph"/>
        <w:numPr>
          <w:ilvl w:val="1"/>
          <w:numId w:val="10"/>
        </w:numPr>
        <w:ind w:left="720"/>
        <w:rPr>
          <w:sz w:val="24"/>
          <w:szCs w:val="24"/>
        </w:rPr>
      </w:pPr>
      <w:r w:rsidRPr="003852E0">
        <w:rPr>
          <w:sz w:val="24"/>
          <w:szCs w:val="24"/>
        </w:rPr>
        <w:t>Clarifying, consolidating or simplifying the compliance and reporting requirements under the rule for small business;</w:t>
      </w:r>
    </w:p>
    <w:p w:rsidR="003852E0" w:rsidRPr="003852E0" w:rsidRDefault="003852E0" w:rsidP="003852E0">
      <w:pPr>
        <w:pStyle w:val="ListParagraph"/>
        <w:numPr>
          <w:ilvl w:val="1"/>
          <w:numId w:val="10"/>
        </w:numPr>
        <w:ind w:left="720"/>
        <w:rPr>
          <w:sz w:val="24"/>
          <w:szCs w:val="24"/>
        </w:rPr>
      </w:pPr>
      <w:r w:rsidRPr="003852E0">
        <w:rPr>
          <w:sz w:val="24"/>
          <w:szCs w:val="24"/>
        </w:rPr>
        <w:t>Utilizing objective criteria for standards;</w:t>
      </w:r>
    </w:p>
    <w:p w:rsidR="003852E0" w:rsidRPr="003852E0" w:rsidRDefault="003852E0" w:rsidP="003852E0">
      <w:pPr>
        <w:pStyle w:val="ListParagraph"/>
        <w:numPr>
          <w:ilvl w:val="1"/>
          <w:numId w:val="10"/>
        </w:numPr>
        <w:ind w:left="720"/>
        <w:rPr>
          <w:sz w:val="24"/>
          <w:szCs w:val="24"/>
        </w:rPr>
      </w:pPr>
      <w:r w:rsidRPr="003852E0">
        <w:rPr>
          <w:sz w:val="24"/>
          <w:szCs w:val="24"/>
        </w:rPr>
        <w:t>Exempting small businesses from any or all requirements of the rule; or</w:t>
      </w:r>
    </w:p>
    <w:p w:rsidR="003852E0" w:rsidRPr="003852E0" w:rsidRDefault="003852E0" w:rsidP="003852E0">
      <w:pPr>
        <w:pStyle w:val="ListParagraph"/>
        <w:numPr>
          <w:ilvl w:val="1"/>
          <w:numId w:val="10"/>
        </w:numPr>
        <w:ind w:left="720"/>
        <w:rPr>
          <w:sz w:val="24"/>
          <w:szCs w:val="24"/>
        </w:rPr>
      </w:pPr>
      <w:r w:rsidRPr="003852E0">
        <w:rPr>
          <w:sz w:val="24"/>
          <w:szCs w:val="24"/>
        </w:rPr>
        <w:t>Otherwise establishing less intrusive or less costly alternatives applicable to small business. [1981 c.755 §4; 2003 c.749 §7; 2005 c.807 §6]</w:t>
      </w:r>
    </w:p>
    <w:p w:rsidR="008A5039" w:rsidRPr="003852E0" w:rsidRDefault="008A5039" w:rsidP="003852E0">
      <w:pPr>
        <w:rPr>
          <w:sz w:val="24"/>
          <w:szCs w:val="24"/>
        </w:rPr>
      </w:pPr>
    </w:p>
    <w:sectPr w:rsidR="008A5039" w:rsidRPr="003852E0" w:rsidSect="008A5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D64"/>
    <w:multiLevelType w:val="multilevel"/>
    <w:tmpl w:val="02BE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07E42"/>
    <w:multiLevelType w:val="hybridMultilevel"/>
    <w:tmpl w:val="1D2200AA"/>
    <w:lvl w:ilvl="0" w:tplc="0409000F">
      <w:start w:val="1"/>
      <w:numFmt w:val="decimal"/>
      <w:lvlText w:val="%1."/>
      <w:lvlJc w:val="left"/>
      <w:pPr>
        <w:ind w:left="720" w:hanging="360"/>
      </w:pPr>
    </w:lvl>
    <w:lvl w:ilvl="1" w:tplc="B194F0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3852E0"/>
    <w:rsid w:val="000459F4"/>
    <w:rsid w:val="000B4697"/>
    <w:rsid w:val="000D5C02"/>
    <w:rsid w:val="00104AC6"/>
    <w:rsid w:val="00176EEF"/>
    <w:rsid w:val="00195444"/>
    <w:rsid w:val="001A22A5"/>
    <w:rsid w:val="001F0FD8"/>
    <w:rsid w:val="001F4426"/>
    <w:rsid w:val="0020056E"/>
    <w:rsid w:val="002A506D"/>
    <w:rsid w:val="00312201"/>
    <w:rsid w:val="003419DD"/>
    <w:rsid w:val="003852E0"/>
    <w:rsid w:val="003A1E7B"/>
    <w:rsid w:val="003A60DE"/>
    <w:rsid w:val="00400586"/>
    <w:rsid w:val="00414F67"/>
    <w:rsid w:val="0043117D"/>
    <w:rsid w:val="004A69AF"/>
    <w:rsid w:val="004B2364"/>
    <w:rsid w:val="004D578D"/>
    <w:rsid w:val="00526BD8"/>
    <w:rsid w:val="00583080"/>
    <w:rsid w:val="0058737B"/>
    <w:rsid w:val="005A4F7A"/>
    <w:rsid w:val="005B3E72"/>
    <w:rsid w:val="006A1C1A"/>
    <w:rsid w:val="006E4A30"/>
    <w:rsid w:val="006F65EA"/>
    <w:rsid w:val="007260E4"/>
    <w:rsid w:val="0072678D"/>
    <w:rsid w:val="00732F05"/>
    <w:rsid w:val="00734469"/>
    <w:rsid w:val="007C644B"/>
    <w:rsid w:val="008114C7"/>
    <w:rsid w:val="00822FC3"/>
    <w:rsid w:val="00882A13"/>
    <w:rsid w:val="008A12AC"/>
    <w:rsid w:val="008A5039"/>
    <w:rsid w:val="008A7A14"/>
    <w:rsid w:val="00942A04"/>
    <w:rsid w:val="009B3E5A"/>
    <w:rsid w:val="009E1DCB"/>
    <w:rsid w:val="00A931E0"/>
    <w:rsid w:val="00AE1F83"/>
    <w:rsid w:val="00AE630B"/>
    <w:rsid w:val="00B45EA8"/>
    <w:rsid w:val="00B517E5"/>
    <w:rsid w:val="00B80CC8"/>
    <w:rsid w:val="00BA746E"/>
    <w:rsid w:val="00BC407B"/>
    <w:rsid w:val="00C2695F"/>
    <w:rsid w:val="00CB3E5D"/>
    <w:rsid w:val="00CF2E54"/>
    <w:rsid w:val="00D47BCD"/>
    <w:rsid w:val="00E60434"/>
    <w:rsid w:val="00E939D0"/>
    <w:rsid w:val="00EA1896"/>
    <w:rsid w:val="00EB4211"/>
    <w:rsid w:val="00ED5A52"/>
    <w:rsid w:val="00EE7544"/>
    <w:rsid w:val="00EF19FA"/>
    <w:rsid w:val="00EF4C04"/>
    <w:rsid w:val="00F032C1"/>
    <w:rsid w:val="00F21A48"/>
    <w:rsid w:val="00F40738"/>
    <w:rsid w:val="00F40754"/>
    <w:rsid w:val="00F469F5"/>
    <w:rsid w:val="00FA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3852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46980">
      <w:bodyDiv w:val="1"/>
      <w:marLeft w:val="0"/>
      <w:marRight w:val="0"/>
      <w:marTop w:val="0"/>
      <w:marBottom w:val="0"/>
      <w:divBdr>
        <w:top w:val="none" w:sz="0" w:space="0" w:color="auto"/>
        <w:left w:val="none" w:sz="0" w:space="0" w:color="auto"/>
        <w:bottom w:val="none" w:sz="0" w:space="0" w:color="auto"/>
        <w:right w:val="none" w:sz="0" w:space="0" w:color="auto"/>
      </w:divBdr>
      <w:divsChild>
        <w:div w:id="1978683748">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2069380802">
                  <w:marLeft w:val="0"/>
                  <w:marRight w:val="0"/>
                  <w:marTop w:val="0"/>
                  <w:marBottom w:val="0"/>
                  <w:divBdr>
                    <w:top w:val="none" w:sz="0" w:space="0" w:color="auto"/>
                    <w:left w:val="none" w:sz="0" w:space="0" w:color="auto"/>
                    <w:bottom w:val="none" w:sz="0" w:space="0" w:color="auto"/>
                    <w:right w:val="none" w:sz="0" w:space="0" w:color="auto"/>
                  </w:divBdr>
                  <w:divsChild>
                    <w:div w:id="1235318979">
                      <w:marLeft w:val="0"/>
                      <w:marRight w:val="0"/>
                      <w:marTop w:val="0"/>
                      <w:marBottom w:val="0"/>
                      <w:divBdr>
                        <w:top w:val="none" w:sz="0" w:space="0" w:color="auto"/>
                        <w:left w:val="none" w:sz="0" w:space="0" w:color="auto"/>
                        <w:bottom w:val="none" w:sz="0" w:space="0" w:color="auto"/>
                        <w:right w:val="none" w:sz="0" w:space="0" w:color="auto"/>
                      </w:divBdr>
                      <w:divsChild>
                        <w:div w:id="5947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212624">
      <w:bodyDiv w:val="1"/>
      <w:marLeft w:val="0"/>
      <w:marRight w:val="0"/>
      <w:marTop w:val="0"/>
      <w:marBottom w:val="0"/>
      <w:divBdr>
        <w:top w:val="none" w:sz="0" w:space="0" w:color="auto"/>
        <w:left w:val="none" w:sz="0" w:space="0" w:color="auto"/>
        <w:bottom w:val="none" w:sz="0" w:space="0" w:color="auto"/>
        <w:right w:val="none" w:sz="0" w:space="0" w:color="auto"/>
      </w:divBdr>
      <w:divsChild>
        <w:div w:id="1858230476">
          <w:marLeft w:val="0"/>
          <w:marRight w:val="0"/>
          <w:marTop w:val="0"/>
          <w:marBottom w:val="0"/>
          <w:divBdr>
            <w:top w:val="none" w:sz="0" w:space="0" w:color="auto"/>
            <w:left w:val="none" w:sz="0" w:space="0" w:color="auto"/>
            <w:bottom w:val="none" w:sz="0" w:space="0" w:color="auto"/>
            <w:right w:val="none" w:sz="0" w:space="0" w:color="auto"/>
          </w:divBdr>
          <w:divsChild>
            <w:div w:id="1422607624">
              <w:marLeft w:val="0"/>
              <w:marRight w:val="0"/>
              <w:marTop w:val="0"/>
              <w:marBottom w:val="0"/>
              <w:divBdr>
                <w:top w:val="none" w:sz="0" w:space="0" w:color="auto"/>
                <w:left w:val="none" w:sz="0" w:space="0" w:color="auto"/>
                <w:bottom w:val="none" w:sz="0" w:space="0" w:color="auto"/>
                <w:right w:val="none" w:sz="0" w:space="0" w:color="auto"/>
              </w:divBdr>
              <w:divsChild>
                <w:div w:id="654263243">
                  <w:marLeft w:val="0"/>
                  <w:marRight w:val="0"/>
                  <w:marTop w:val="0"/>
                  <w:marBottom w:val="0"/>
                  <w:divBdr>
                    <w:top w:val="none" w:sz="0" w:space="0" w:color="auto"/>
                    <w:left w:val="none" w:sz="0" w:space="0" w:color="auto"/>
                    <w:bottom w:val="none" w:sz="0" w:space="0" w:color="auto"/>
                    <w:right w:val="none" w:sz="0" w:space="0" w:color="auto"/>
                  </w:divBdr>
                  <w:divsChild>
                    <w:div w:id="381171940">
                      <w:marLeft w:val="0"/>
                      <w:marRight w:val="0"/>
                      <w:marTop w:val="0"/>
                      <w:marBottom w:val="0"/>
                      <w:divBdr>
                        <w:top w:val="none" w:sz="0" w:space="0" w:color="auto"/>
                        <w:left w:val="none" w:sz="0" w:space="0" w:color="auto"/>
                        <w:bottom w:val="none" w:sz="0" w:space="0" w:color="auto"/>
                        <w:right w:val="none" w:sz="0" w:space="0" w:color="auto"/>
                      </w:divBdr>
                      <w:divsChild>
                        <w:div w:id="18508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861436">
      <w:bodyDiv w:val="1"/>
      <w:marLeft w:val="0"/>
      <w:marRight w:val="0"/>
      <w:marTop w:val="0"/>
      <w:marBottom w:val="0"/>
      <w:divBdr>
        <w:top w:val="none" w:sz="0" w:space="0" w:color="auto"/>
        <w:left w:val="none" w:sz="0" w:space="0" w:color="auto"/>
        <w:bottom w:val="none" w:sz="0" w:space="0" w:color="auto"/>
        <w:right w:val="none" w:sz="0" w:space="0" w:color="auto"/>
      </w:divBdr>
      <w:divsChild>
        <w:div w:id="744693650">
          <w:marLeft w:val="0"/>
          <w:marRight w:val="0"/>
          <w:marTop w:val="0"/>
          <w:marBottom w:val="0"/>
          <w:divBdr>
            <w:top w:val="none" w:sz="0" w:space="0" w:color="auto"/>
            <w:left w:val="none" w:sz="0" w:space="0" w:color="auto"/>
            <w:bottom w:val="none" w:sz="0" w:space="0" w:color="auto"/>
            <w:right w:val="none" w:sz="0" w:space="0" w:color="auto"/>
          </w:divBdr>
          <w:divsChild>
            <w:div w:id="1749691583">
              <w:marLeft w:val="0"/>
              <w:marRight w:val="0"/>
              <w:marTop w:val="0"/>
              <w:marBottom w:val="0"/>
              <w:divBdr>
                <w:top w:val="none" w:sz="0" w:space="0" w:color="auto"/>
                <w:left w:val="none" w:sz="0" w:space="0" w:color="auto"/>
                <w:bottom w:val="none" w:sz="0" w:space="0" w:color="auto"/>
                <w:right w:val="none" w:sz="0" w:space="0" w:color="auto"/>
              </w:divBdr>
              <w:divsChild>
                <w:div w:id="1919710199">
                  <w:marLeft w:val="0"/>
                  <w:marRight w:val="0"/>
                  <w:marTop w:val="0"/>
                  <w:marBottom w:val="0"/>
                  <w:divBdr>
                    <w:top w:val="none" w:sz="0" w:space="0" w:color="auto"/>
                    <w:left w:val="none" w:sz="0" w:space="0" w:color="auto"/>
                    <w:bottom w:val="none" w:sz="0" w:space="0" w:color="auto"/>
                    <w:right w:val="none" w:sz="0" w:space="0" w:color="auto"/>
                  </w:divBdr>
                  <w:divsChild>
                    <w:div w:id="427195687">
                      <w:marLeft w:val="0"/>
                      <w:marRight w:val="0"/>
                      <w:marTop w:val="0"/>
                      <w:marBottom w:val="0"/>
                      <w:divBdr>
                        <w:top w:val="none" w:sz="0" w:space="0" w:color="auto"/>
                        <w:left w:val="none" w:sz="0" w:space="0" w:color="auto"/>
                        <w:bottom w:val="none" w:sz="0" w:space="0" w:color="auto"/>
                        <w:right w:val="none" w:sz="0" w:space="0" w:color="auto"/>
                      </w:divBdr>
                      <w:divsChild>
                        <w:div w:id="8010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997001">
      <w:bodyDiv w:val="1"/>
      <w:marLeft w:val="0"/>
      <w:marRight w:val="0"/>
      <w:marTop w:val="0"/>
      <w:marBottom w:val="0"/>
      <w:divBdr>
        <w:top w:val="none" w:sz="0" w:space="0" w:color="auto"/>
        <w:left w:val="none" w:sz="0" w:space="0" w:color="auto"/>
        <w:bottom w:val="none" w:sz="0" w:space="0" w:color="auto"/>
        <w:right w:val="none" w:sz="0" w:space="0" w:color="auto"/>
      </w:divBdr>
      <w:divsChild>
        <w:div w:id="1941060995">
          <w:marLeft w:val="0"/>
          <w:marRight w:val="0"/>
          <w:marTop w:val="0"/>
          <w:marBottom w:val="0"/>
          <w:divBdr>
            <w:top w:val="none" w:sz="0" w:space="0" w:color="auto"/>
            <w:left w:val="none" w:sz="0" w:space="0" w:color="auto"/>
            <w:bottom w:val="none" w:sz="0" w:space="0" w:color="auto"/>
            <w:right w:val="none" w:sz="0" w:space="0" w:color="auto"/>
          </w:divBdr>
          <w:divsChild>
            <w:div w:id="1431585613">
              <w:marLeft w:val="0"/>
              <w:marRight w:val="0"/>
              <w:marTop w:val="0"/>
              <w:marBottom w:val="0"/>
              <w:divBdr>
                <w:top w:val="none" w:sz="0" w:space="0" w:color="auto"/>
                <w:left w:val="none" w:sz="0" w:space="0" w:color="auto"/>
                <w:bottom w:val="none" w:sz="0" w:space="0" w:color="auto"/>
                <w:right w:val="none" w:sz="0" w:space="0" w:color="auto"/>
              </w:divBdr>
              <w:divsChild>
                <w:div w:id="130752396">
                  <w:marLeft w:val="0"/>
                  <w:marRight w:val="0"/>
                  <w:marTop w:val="0"/>
                  <w:marBottom w:val="0"/>
                  <w:divBdr>
                    <w:top w:val="none" w:sz="0" w:space="0" w:color="auto"/>
                    <w:left w:val="none" w:sz="0" w:space="0" w:color="auto"/>
                    <w:bottom w:val="none" w:sz="0" w:space="0" w:color="auto"/>
                    <w:right w:val="none" w:sz="0" w:space="0" w:color="auto"/>
                  </w:divBdr>
                  <w:divsChild>
                    <w:div w:id="88502684">
                      <w:marLeft w:val="0"/>
                      <w:marRight w:val="0"/>
                      <w:marTop w:val="0"/>
                      <w:marBottom w:val="0"/>
                      <w:divBdr>
                        <w:top w:val="none" w:sz="0" w:space="0" w:color="auto"/>
                        <w:left w:val="none" w:sz="0" w:space="0" w:color="auto"/>
                        <w:bottom w:val="none" w:sz="0" w:space="0" w:color="auto"/>
                        <w:right w:val="none" w:sz="0" w:space="0" w:color="auto"/>
                      </w:divBdr>
                      <w:divsChild>
                        <w:div w:id="9992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019710">
      <w:bodyDiv w:val="1"/>
      <w:marLeft w:val="0"/>
      <w:marRight w:val="0"/>
      <w:marTop w:val="0"/>
      <w:marBottom w:val="0"/>
      <w:divBdr>
        <w:top w:val="none" w:sz="0" w:space="0" w:color="auto"/>
        <w:left w:val="none" w:sz="0" w:space="0" w:color="auto"/>
        <w:bottom w:val="none" w:sz="0" w:space="0" w:color="auto"/>
        <w:right w:val="none" w:sz="0" w:space="0" w:color="auto"/>
      </w:divBdr>
      <w:divsChild>
        <w:div w:id="939920188">
          <w:marLeft w:val="0"/>
          <w:marRight w:val="0"/>
          <w:marTop w:val="0"/>
          <w:marBottom w:val="0"/>
          <w:divBdr>
            <w:top w:val="none" w:sz="0" w:space="0" w:color="auto"/>
            <w:left w:val="none" w:sz="0" w:space="0" w:color="auto"/>
            <w:bottom w:val="none" w:sz="0" w:space="0" w:color="auto"/>
            <w:right w:val="none" w:sz="0" w:space="0" w:color="auto"/>
          </w:divBdr>
          <w:divsChild>
            <w:div w:id="1580942953">
              <w:marLeft w:val="0"/>
              <w:marRight w:val="0"/>
              <w:marTop w:val="0"/>
              <w:marBottom w:val="0"/>
              <w:divBdr>
                <w:top w:val="none" w:sz="0" w:space="0" w:color="auto"/>
                <w:left w:val="none" w:sz="0" w:space="0" w:color="auto"/>
                <w:bottom w:val="none" w:sz="0" w:space="0" w:color="auto"/>
                <w:right w:val="none" w:sz="0" w:space="0" w:color="auto"/>
              </w:divBdr>
              <w:divsChild>
                <w:div w:id="1179662162">
                  <w:marLeft w:val="0"/>
                  <w:marRight w:val="0"/>
                  <w:marTop w:val="0"/>
                  <w:marBottom w:val="0"/>
                  <w:divBdr>
                    <w:top w:val="none" w:sz="0" w:space="0" w:color="auto"/>
                    <w:left w:val="none" w:sz="0" w:space="0" w:color="auto"/>
                    <w:bottom w:val="none" w:sz="0" w:space="0" w:color="auto"/>
                    <w:right w:val="none" w:sz="0" w:space="0" w:color="auto"/>
                  </w:divBdr>
                  <w:divsChild>
                    <w:div w:id="1288783248">
                      <w:marLeft w:val="0"/>
                      <w:marRight w:val="0"/>
                      <w:marTop w:val="0"/>
                      <w:marBottom w:val="0"/>
                      <w:divBdr>
                        <w:top w:val="none" w:sz="0" w:space="0" w:color="auto"/>
                        <w:left w:val="none" w:sz="0" w:space="0" w:color="auto"/>
                        <w:bottom w:val="none" w:sz="0" w:space="0" w:color="auto"/>
                        <w:right w:val="none" w:sz="0" w:space="0" w:color="auto"/>
                      </w:divBdr>
                      <w:divsChild>
                        <w:div w:id="5414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laws.org/ors/183.33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oregonlaws.org/ors/183.33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laws.org/ors/183.540" TargetMode="External"/><Relationship Id="rId11" Type="http://schemas.openxmlformats.org/officeDocument/2006/relationships/hyperlink" Target="http://www.oregonlaws.org/ors/183.335" TargetMode="External"/><Relationship Id="rId5" Type="http://schemas.openxmlformats.org/officeDocument/2006/relationships/webSettings" Target="webSettings.xml"/><Relationship Id="rId10" Type="http://schemas.openxmlformats.org/officeDocument/2006/relationships/hyperlink" Target="http://www.oregonlaws.org/ors/183.335" TargetMode="External"/><Relationship Id="rId4" Type="http://schemas.openxmlformats.org/officeDocument/2006/relationships/settings" Target="settings.xml"/><Relationship Id="rId9" Type="http://schemas.openxmlformats.org/officeDocument/2006/relationships/hyperlink" Target="http://www.oregonlaws.org/ors/183.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Mark</cp:lastModifiedBy>
  <cp:revision>3</cp:revision>
  <dcterms:created xsi:type="dcterms:W3CDTF">2013-10-18T00:09:00Z</dcterms:created>
  <dcterms:modified xsi:type="dcterms:W3CDTF">2013-12-18T22:01:00Z</dcterms:modified>
</cp:coreProperties>
</file>