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F3A81" w:rsidP="00B34CF8">
      <w:pPr>
        <w:spacing w:after="120"/>
        <w:ind w:left="0" w:right="18"/>
        <w:outlineLvl w:val="0"/>
        <w:rPr>
          <w:rFonts w:ascii="Times New Roman" w:eastAsia="Times New Roman" w:hAnsi="Times New Roman" w:cs="Times New Roman"/>
        </w:rPr>
      </w:pPr>
      <w:r w:rsidRPr="00EF3A8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FB4B4E" w:rsidRPr="00C74D58" w:rsidRDefault="00FB4B4E" w:rsidP="006751BA">
                  <w:pPr>
                    <w:tabs>
                      <w:tab w:val="left" w:pos="16582"/>
                    </w:tabs>
                    <w:ind w:left="0"/>
                    <w:jc w:val="center"/>
                    <w:rPr>
                      <w:rFonts w:ascii="Times New Roman" w:eastAsia="Times New Roman" w:hAnsi="Times New Roman" w:cs="Times New Roman"/>
                      <w:b/>
                      <w:color w:val="000000"/>
                    </w:rPr>
                  </w:pPr>
                </w:p>
                <w:p w:rsidR="00FB4B4E" w:rsidRPr="00C74D58" w:rsidRDefault="00FB4B4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B4B4E" w:rsidRPr="00C74D58" w:rsidRDefault="00FB4B4E" w:rsidP="006751BA">
                  <w:pPr>
                    <w:tabs>
                      <w:tab w:val="left" w:pos="908"/>
                      <w:tab w:val="left" w:pos="16582"/>
                    </w:tabs>
                    <w:ind w:left="108"/>
                    <w:jc w:val="center"/>
                    <w:rPr>
                      <w:rFonts w:ascii="Times New Roman" w:eastAsia="Times New Roman" w:hAnsi="Times New Roman" w:cs="Times New Roman"/>
                      <w:b/>
                      <w:color w:val="000000"/>
                    </w:rPr>
                  </w:pPr>
                </w:p>
                <w:p w:rsidR="00FB4B4E" w:rsidRPr="00A019B4" w:rsidRDefault="00FB4B4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FB4B4E" w:rsidRPr="00A019B4" w:rsidRDefault="00FB4B4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concentration-based (mass per unit of volume)</w:t>
            </w:r>
            <w:r w:rsidRPr="00E638D3" w:rsidDel="00BA69EF">
              <w:rPr>
                <w:rFonts w:ascii="Times New Roman" w:eastAsia="Times New Roman" w:hAnsi="Times New Roman" w:cs="Times New Roman"/>
              </w:rPr>
              <w:t xml:space="preserve"> emission limits.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modified EPA Method 9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 xml:space="preserve">minute </w:t>
            </w:r>
            <w:r w:rsidR="00C236BB">
              <w:rPr>
                <w:rFonts w:ascii="Times New Roman" w:eastAsia="Times New Roman" w:hAnsi="Times New Roman" w:cs="Times New Roman"/>
              </w:rPr>
              <w:t xml:space="preserve">block average </w:t>
            </w:r>
            <w:r w:rsidR="005B7826"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F5CD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In addition to addressing problems with the </w:t>
            </w:r>
            <w:r w:rsidR="005A08B2">
              <w:rPr>
                <w:rFonts w:ascii="Times New Roman" w:eastAsia="Times New Roman" w:hAnsi="Times New Roman" w:cs="Times New Roman"/>
              </w:rPr>
              <w:t>statewide</w:t>
            </w:r>
            <w:r>
              <w:rPr>
                <w:rFonts w:ascii="Times New Roman" w:eastAsia="Times New Roman" w:hAnsi="Times New Roman" w:cs="Times New Roman"/>
              </w:rPr>
              <w:t xml:space="preserve"> opacity standard, the proposal is intended to address similar problems with a</w:t>
            </w:r>
            <w:r w:rsidR="008C4024">
              <w:rPr>
                <w:rFonts w:ascii="Times New Roman" w:eastAsia="Times New Roman" w:hAnsi="Times New Roman" w:cs="Times New Roman"/>
              </w:rPr>
              <w:t xml:space="preserve"> local</w:t>
            </w:r>
            <w:r>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 xml:space="preserve">ractically increase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w:t>
            </w:r>
            <w:r w:rsidR="00A12508">
              <w:rPr>
                <w:rFonts w:ascii="Times New Roman" w:eastAsia="Times New Roman" w:hAnsi="Times New Roman" w:cs="Times New Roman"/>
              </w:rPr>
              <w:lastRenderedPageBreak/>
              <w:t xml:space="preserve">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optimiziation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w:t>
            </w:r>
            <w:r w:rsidR="00ED3AF5">
              <w:rPr>
                <w:rFonts w:ascii="Times New Roman" w:eastAsia="Times New Roman" w:hAnsi="Times New Roman" w:cs="Times New Roman"/>
              </w:rPr>
              <w:t xml:space="preserve">both </w:t>
            </w:r>
            <w:r w:rsidR="00427970" w:rsidRPr="00E638D3">
              <w:rPr>
                <w:rFonts w:ascii="Times New Roman" w:eastAsia="Times New Roman" w:hAnsi="Times New Roman" w:cs="Times New Roman"/>
              </w:rPr>
              <w:t>the lower opacity standard</w:t>
            </w:r>
            <w:r w:rsidR="00427970">
              <w:rPr>
                <w:rFonts w:ascii="Times New Roman" w:eastAsia="Times New Roman" w:hAnsi="Times New Roman" w:cs="Times New Roman"/>
              </w:rPr>
              <w:t xml:space="preserve"> and </w:t>
            </w:r>
            <w:r w:rsidRPr="00E638D3">
              <w:rPr>
                <w:rFonts w:ascii="Times New Roman" w:eastAsia="Times New Roman" w:hAnsi="Times New Roman" w:cs="Times New Roman"/>
              </w:rPr>
              <w:t>the lower particulate matter standard</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w:t>
            </w:r>
            <w:r w:rsidR="007F02B6">
              <w:rPr>
                <w:rFonts w:ascii="Times New Roman" w:eastAsia="Times New Roman" w:hAnsi="Times New Roman" w:cs="Times New Roman"/>
              </w:rPr>
              <w:lastRenderedPageBreak/>
              <w:t xml:space="preserve">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 xml:space="preserve">outside of the rulemaking process </w:t>
            </w:r>
            <w:r>
              <w:rPr>
                <w:rFonts w:ascii="Times New Roman" w:eastAsia="Times New Roman" w:hAnsi="Times New Roman" w:cs="Times New Roman"/>
              </w:rPr>
              <w:t xml:space="preserve">would serve as the prevention plan required by the sustainment area designation. 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lastRenderedPageBreak/>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w:t>
            </w:r>
            <w:r w:rsidR="006050BA">
              <w:rPr>
                <w:rFonts w:ascii="Times New Roman" w:eastAsia="Times New Roman" w:hAnsi="Times New Roman" w:cs="Times New Roman"/>
                <w:bCs/>
              </w:rPr>
              <w:lastRenderedPageBreak/>
              <w:t xml:space="preserve">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lastRenderedPageBreak/>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w:t>
      </w:r>
      <w:r w:rsidR="00702190" w:rsidRPr="00E638D3">
        <w:rPr>
          <w:rFonts w:ascii="Times New Roman" w:hAnsi="Times New Roman" w:cs="Times New Roman"/>
        </w:rPr>
        <w:lastRenderedPageBreak/>
        <w:t>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EF3A81"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EF3A81"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EF3A81"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EF3A81"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EF3A81"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EF3A81"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EF3A81"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EF3A81"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EF3A81"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EF3A81"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EF3A81"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w:t>
      </w:r>
      <w:r w:rsidR="000764A7">
        <w:rPr>
          <w:rFonts w:ascii="Times New Roman" w:eastAsia="Times New Roman" w:hAnsi="Times New Roman" w:cs="Times New Roman"/>
          <w:bCs/>
          <w:iCs/>
        </w:rPr>
        <w:lastRenderedPageBreak/>
        <w:t>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w:t>
      </w:r>
      <w:r>
        <w:rPr>
          <w:rFonts w:ascii="Times New Roman" w:eastAsia="Times New Roman" w:hAnsi="Times New Roman" w:cs="Times New Roman"/>
          <w:bCs/>
        </w:rPr>
        <w:lastRenderedPageBreak/>
        <w:t xml:space="preserve">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r w:rsidR="00814165" w:rsidRPr="0057735D">
        <w:rPr>
          <w:rFonts w:ascii="Times New Roman" w:eastAsia="Times New Roman" w:hAnsi="Times New Roman" w:cs="Times New Roman"/>
          <w:bCs/>
          <w:iCs/>
        </w:rPr>
        <w:lastRenderedPageBreak/>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spark carry over which would burn holes in the bags (including fiberglass bags) or potentially lead to fires or possibly explosions should unburned particulate accumulate</w:t>
      </w:r>
      <w:r w:rsidR="00510B7C">
        <w:rPr>
          <w:rFonts w:ascii="Times New Roman" w:eastAsia="Times New Roman" w:hAnsi="Times New Roman" w:cs="Times New Roman"/>
          <w:bCs/>
        </w:rPr>
        <w:t xml:space="preserve">. </w:t>
      </w:r>
      <w:r w:rsidR="009C3857" w:rsidRPr="0092287A">
        <w:rPr>
          <w:rFonts w:ascii="Times New Roman" w:eastAsia="Times New Roman" w:hAnsi="Times New Roman" w:cs="Times New Roman"/>
          <w:bCs/>
        </w:rPr>
        <w:t xml:space="preserve">Costs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7D021E" w:rsidRPr="007D021E">
        <w:rPr>
          <w:rFonts w:ascii="Times New Roman" w:eastAsia="Times New Roman" w:hAnsi="Times New Roman" w:cs="Times New Roman"/>
          <w:bCs/>
        </w:rPr>
        <w:t>optimization of the multiclone</w:t>
      </w:r>
      <w:r w:rsidR="00FB4B4E">
        <w:rPr>
          <w:rFonts w:ascii="Times New Roman" w:eastAsia="Times New Roman" w:hAnsi="Times New Roman" w:cs="Times New Roman"/>
          <w:bCs/>
        </w:rPr>
        <w:t xml:space="preserve"> by inspecting the integrity of all parts of the mult</w:t>
      </w:r>
      <w:r w:rsidR="00347771">
        <w:rPr>
          <w:rFonts w:ascii="Times New Roman" w:eastAsia="Times New Roman" w:hAnsi="Times New Roman" w:cs="Times New Roman"/>
          <w:bCs/>
        </w:rPr>
        <w:t>iclone and checking for plugged 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4B77B4">
        <w:rPr>
          <w:rFonts w:ascii="Times New Roman" w:eastAsia="Times New Roman" w:hAnsi="Times New Roman" w:cs="Times New Roman"/>
          <w:bCs/>
        </w:rPr>
        <w:t xml:space="preserve"> and may require installation of a </w:t>
      </w:r>
      <w:r w:rsidR="00D7274E" w:rsidRPr="007D021E">
        <w:rPr>
          <w:rFonts w:ascii="Times New Roman" w:eastAsia="Times New Roman" w:hAnsi="Times New Roman" w:cs="Times New Roman"/>
          <w:bCs/>
        </w:rPr>
        <w:t>gage to accurately measure the pressure drop across the collector</w:t>
      </w:r>
      <w:r w:rsidR="004B77B4">
        <w:rPr>
          <w:rFonts w:ascii="Times New Roman" w:eastAsia="Times New Roman" w:hAnsi="Times New Roman" w:cs="Times New Roman"/>
          <w:bCs/>
        </w:rPr>
        <w:t xml:space="preserve"> and </w:t>
      </w:r>
      <w:r w:rsidR="00D7274E" w:rsidRPr="007D021E">
        <w:rPr>
          <w:rFonts w:ascii="Times New Roman" w:eastAsia="Times New Roman" w:hAnsi="Times New Roman" w:cs="Times New Roman"/>
          <w:bCs/>
        </w:rPr>
        <w:t xml:space="preserve">access panels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 xml:space="preserve">fired boilers already have gages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Optimum performance of a multiclone occurs at a certain pressure drop and tha</w:t>
      </w:r>
      <w:r w:rsidR="00955D1D" w:rsidRPr="00120D78">
        <w:rPr>
          <w:rFonts w:ascii="Times New Roman" w:eastAsia="Times New Roman" w:hAnsi="Times New Roman" w:cs="Times New Roman"/>
          <w:bCs/>
        </w:rPr>
        <w:t xml:space="preserve">t pressure drop only occurs at </w:t>
      </w:r>
      <w:r w:rsidR="005A3C63">
        <w:rPr>
          <w:rFonts w:ascii="Times New Roman" w:eastAsia="Times New Roman" w:hAnsi="Times New Roman" w:cs="Times New Roman"/>
          <w:bCs/>
        </w:rPr>
        <w:t xml:space="preserve">one flow rate.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 xml:space="preserve">It is possible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approximamtely  $110,000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 xml:space="preserve">clones </w:t>
      </w:r>
      <w:r>
        <w:rPr>
          <w:rFonts w:ascii="Times New Roman" w:eastAsia="Times New Roman" w:hAnsi="Times New Roman" w:cs="Times New Roman"/>
          <w:bCs/>
        </w:rPr>
        <w:lastRenderedPageBreak/>
        <w:t>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by a registered professional engineer that specializes in boiler/multiclone optimization to evaluate existing equipment optimization options and the cost of a</w:t>
      </w:r>
      <w:r w:rsidR="007E51EC">
        <w:rPr>
          <w:rFonts w:ascii="Times New Roman" w:eastAsia="Times New Roman" w:hAnsi="Times New Roman" w:cs="Times New Roman"/>
          <w:bCs/>
        </w:rPr>
        <w:t xml:space="preserve">ddtional controls. </w:t>
      </w:r>
      <w:r w:rsidR="00E7194C">
        <w:rPr>
          <w:rFonts w:ascii="Times New Roman" w:eastAsia="Times New Roman" w:hAnsi="Times New Roman" w:cs="Times New Roman"/>
          <w:bCs/>
        </w:rPr>
        <w:t xml:space="preserve">The cost of this engineering report should be approximately $5,000.  </w:t>
      </w:r>
    </w:p>
    <w:p w:rsidR="000C367A" w:rsidRDefault="000C367A" w:rsidP="00635602">
      <w:pPr>
        <w:ind w:left="1080" w:right="18"/>
        <w:outlineLvl w:val="0"/>
        <w:rPr>
          <w:rFonts w:ascii="Times New Roman" w:eastAsia="Times New Roman" w:hAnsi="Times New Roman" w:cs="Times New Roman"/>
          <w:bCs/>
        </w:rPr>
      </w:pPr>
    </w:p>
    <w:p w:rsidR="00635602" w:rsidRDefault="007E51EC" w:rsidP="00417F1B">
      <w:pPr>
        <w:ind w:left="1080" w:right="18"/>
        <w:outlineLvl w:val="0"/>
        <w:rPr>
          <w:rFonts w:ascii="Times New Roman" w:eastAsia="Times New Roman" w:hAnsi="Times New Roman" w:cs="Times New Roman"/>
          <w:bCs/>
        </w:rPr>
      </w:pPr>
      <w:commentRangeStart w:id="2"/>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0C367A" w:rsidRPr="001A4276">
        <w:rPr>
          <w:rFonts w:ascii="Times New Roman" w:eastAsia="Times New Roman" w:hAnsi="Times New Roman" w:cs="Times New Roman"/>
          <w:bCs/>
        </w:rPr>
        <w:t xml:space="preserve">Continuous opacity monitoring systems (COMS) </w:t>
      </w:r>
      <w:r w:rsidR="009B2C09" w:rsidRPr="001A4276">
        <w:rPr>
          <w:rFonts w:ascii="Times New Roman" w:eastAsia="Times New Roman" w:hAnsi="Times New Roman" w:cs="Times New Roman"/>
          <w:bCs/>
        </w:rPr>
        <w:t xml:space="preserve">monitor opacity continuously and </w:t>
      </w:r>
      <w:r w:rsidR="000C367A" w:rsidRPr="001A4276">
        <w:rPr>
          <w:rFonts w:ascii="Times New Roman" w:eastAsia="Times New Roman" w:hAnsi="Times New Roman" w:cs="Times New Roman"/>
          <w:bCs/>
        </w:rPr>
        <w:t>ra</w:t>
      </w:r>
      <w:r w:rsidRPr="001A4276">
        <w:rPr>
          <w:rFonts w:ascii="Times New Roman" w:eastAsia="Times New Roman" w:hAnsi="Times New Roman" w:cs="Times New Roman"/>
          <w:bCs/>
        </w:rPr>
        <w:t>nge in costs from $13,000 to $30</w:t>
      </w:r>
      <w:r w:rsidR="000C367A"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0C367A"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commentRangeEnd w:id="2"/>
      <w:r w:rsidR="001A4276">
        <w:rPr>
          <w:rStyle w:val="CommentReference"/>
        </w:rPr>
        <w:commentReference w:id="2"/>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3" w:name="_GoBack"/>
      <w:bookmarkEnd w:id="3"/>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lastRenderedPageBreak/>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w:t>
            </w:r>
            <w:r w:rsidRPr="00E638D3">
              <w:rPr>
                <w:rFonts w:ascii="Times New Roman" w:eastAsia="Times New Roman" w:hAnsi="Times New Roman" w:cs="Times New Roman"/>
                <w:bCs/>
              </w:rPr>
              <w:lastRenderedPageBreak/>
              <w:t xml:space="preserve">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EF3A81"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510B7C">
        <w:rPr>
          <w:rFonts w:asciiTheme="minorHAnsi" w:hAnsiTheme="minorHAnsi" w:cstheme="minorHAnsi"/>
          <w:iCs/>
        </w:rPr>
        <w:t xml:space="preserve">. </w:t>
      </w:r>
      <w:commentRangeStart w:id="4"/>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commentRangeEnd w:id="4"/>
    <w:p w:rsidR="00A50464" w:rsidRDefault="0008683B" w:rsidP="00B34CF8">
      <w:pPr>
        <w:spacing w:after="120"/>
        <w:ind w:left="360" w:right="18"/>
        <w:outlineLvl w:val="0"/>
        <w:rPr>
          <w:rFonts w:asciiTheme="majorHAnsi" w:eastAsia="Times New Roman" w:hAnsiTheme="majorHAnsi" w:cstheme="majorHAnsi"/>
          <w:bCs/>
          <w:sz w:val="22"/>
          <w:szCs w:val="22"/>
        </w:rPr>
      </w:pPr>
      <w:r>
        <w:rPr>
          <w:rStyle w:val="CommentReference"/>
        </w:rPr>
        <w:commentReference w:id="4"/>
      </w:r>
      <w:r w:rsidR="00A50464"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00A50464"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w:t>
      </w:r>
      <w:r w:rsidR="008B2BC3">
        <w:rPr>
          <w:rFonts w:ascii="Times New Roman" w:hAnsi="Times New Roman" w:cs="Times New Roman"/>
          <w:bCs/>
        </w:rPr>
        <w:lastRenderedPageBreak/>
        <w:t xml:space="preserve">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lastRenderedPageBreak/>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4C7FD1" w:rsidP="004C7FD1">
      <w:pPr>
        <w:ind w:left="1080" w:right="18"/>
        <w:rPr>
          <w:rFonts w:ascii="Times New Roman" w:hAnsi="Times New Roman" w:cs="Times New Roman"/>
          <w:bCs/>
        </w:rPr>
      </w:pP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Pr>
          <w:rFonts w:ascii="Times New Roman" w:hAnsi="Times New Roman" w:cs="Times New Roman"/>
          <w:bCs/>
        </w:rPr>
        <w:t xml:space="preserve">the </w:t>
      </w:r>
      <w:commentRangeStart w:id="5"/>
      <w:r>
        <w:rPr>
          <w:rFonts w:ascii="Times New Roman" w:hAnsi="Times New Roman" w:cs="Times New Roman"/>
          <w:bCs/>
        </w:rPr>
        <w:t xml:space="preserve">Lakeview community </w:t>
      </w:r>
      <w:commentRangeEnd w:id="5"/>
      <w:r w:rsidR="00483CDE">
        <w:rPr>
          <w:rStyle w:val="CommentReference"/>
        </w:rPr>
        <w:commentReference w:id="5"/>
      </w:r>
      <w:r>
        <w:rPr>
          <w:rFonts w:ascii="Times New Roman" w:hAnsi="Times New Roman" w:cs="Times New Roman"/>
          <w:bCs/>
        </w:rPr>
        <w:t>supports</w:t>
      </w:r>
      <w:r w:rsidRPr="00FC4A58">
        <w:rPr>
          <w:rFonts w:ascii="Times New Roman" w:hAnsi="Times New Roman" w:cs="Times New Roman"/>
          <w:bCs/>
        </w:rPr>
        <w:t xml:space="preserve"> the designation</w:t>
      </w:r>
      <w:r>
        <w:rPr>
          <w:rFonts w:ascii="Times New Roman" w:hAnsi="Times New Roman" w:cs="Times New Roman"/>
          <w:bCs/>
        </w:rPr>
        <w:t xml:space="preserve"> and</w:t>
      </w:r>
      <w:r w:rsidRPr="00FC4A58">
        <w:rPr>
          <w:rFonts w:ascii="Times New Roman" w:hAnsi="Times New Roman" w:cs="Times New Roman"/>
          <w:bCs/>
        </w:rPr>
        <w:t xml:space="preserve"> </w:t>
      </w:r>
      <w:r w:rsidRPr="005B116B">
        <w:rPr>
          <w:rFonts w:ascii="Times New Roman" w:hAnsi="Times New Roman" w:cs="Times New Roman"/>
          <w:bCs/>
        </w:rPr>
        <w:t xml:space="preserve">construction </w:t>
      </w:r>
      <w:r w:rsidRPr="00CB1736">
        <w:rPr>
          <w:rFonts w:ascii="Times New Roman" w:hAnsi="Times New Roman" w:cs="Times New Roman"/>
          <w:bCs/>
        </w:rPr>
        <w:t>should be</w:t>
      </w:r>
      <w:r w:rsidRPr="005B116B">
        <w:rPr>
          <w:rFonts w:ascii="Times New Roman" w:hAnsi="Times New Roman" w:cs="Times New Roman"/>
          <w:bCs/>
        </w:rPr>
        <w:t xml:space="preserve"> allowed as long as air quality is protected</w:t>
      </w:r>
      <w:r w:rsidR="00483CDE">
        <w:rPr>
          <w:rFonts w:ascii="Times New Roman" w:hAnsi="Times New Roman" w:cs="Times New Roman"/>
          <w:bCs/>
        </w:rPr>
        <w:t xml:space="preserve">.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EF3A81"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lastRenderedPageBreak/>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 w:name="AdvisoryCommittee"/>
      <w:r w:rsidR="00C9239E" w:rsidRPr="006E3C74">
        <w:rPr>
          <w:rFonts w:asciiTheme="majorHAnsi" w:eastAsia="Times New Roman" w:hAnsiTheme="majorHAnsi" w:cstheme="majorHAnsi"/>
          <w:bCs/>
          <w:sz w:val="22"/>
          <w:szCs w:val="22"/>
        </w:rPr>
        <w:t>Advisory committee</w:t>
      </w:r>
      <w:bookmarkEnd w:id="6"/>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6"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 w:name="SENR"/>
      <w:r w:rsidR="008723F5" w:rsidRPr="008514A8">
        <w:rPr>
          <w:rFonts w:asciiTheme="minorHAnsi" w:eastAsia="Times New Roman" w:hAnsiTheme="minorHAnsi" w:cstheme="minorHAnsi"/>
          <w:bCs/>
        </w:rPr>
        <w:t>Senate Environment and Natural Resources</w:t>
      </w:r>
      <w:bookmarkEnd w:id="7"/>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8" w:name="HEE"/>
      <w:r w:rsidR="008723F5" w:rsidRPr="008514A8">
        <w:rPr>
          <w:rFonts w:asciiTheme="minorHAnsi" w:eastAsia="Times New Roman" w:hAnsiTheme="minorHAnsi" w:cstheme="minorHAnsi"/>
          <w:bCs/>
        </w:rPr>
        <w:t>House Energy and Environment</w:t>
      </w:r>
      <w:bookmarkEnd w:id="8"/>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9" w:name="_MON_1421138453"/>
    <w:bookmarkEnd w:id="9"/>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45pt;height:3in" o:ole="">
            <v:imagedata r:id="rId40" o:title=""/>
          </v:shape>
          <o:OLEObject Type="Embed" ProgID="Excel.Sheet.12" ShapeID="_x0000_i1025" DrawAspect="Content" ObjectID="_1449671470"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2E76F1">
      <w:footerReference w:type="default" r:id="rId42"/>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3-12-26T14:56:00Z" w:initials="j">
    <w:p w:rsidR="00FB4B4E" w:rsidRDefault="00FB4B4E">
      <w:pPr>
        <w:pStyle w:val="CommentText"/>
      </w:pPr>
      <w:r>
        <w:rPr>
          <w:rStyle w:val="CommentReference"/>
        </w:rPr>
        <w:annotationRef/>
      </w:r>
      <w:r>
        <w:t xml:space="preserve">Mark – I want to leave this in as a “option” for some sources even though we aren’t requiring it.  What do you think?  </w:t>
      </w:r>
    </w:p>
  </w:comment>
  <w:comment w:id="4" w:author="jinahar" w:date="2013-12-26T11:10:00Z" w:initials="j">
    <w:p w:rsidR="00FB4B4E" w:rsidRDefault="00FB4B4E">
      <w:pPr>
        <w:pStyle w:val="CommentText"/>
      </w:pPr>
      <w:r>
        <w:rPr>
          <w:rStyle w:val="CommentReference"/>
        </w:rPr>
        <w:annotationRef/>
      </w:r>
      <w:r>
        <w:t>MAGGIE?</w:t>
      </w:r>
    </w:p>
  </w:comment>
  <w:comment w:id="5" w:author="jinahar" w:date="2013-12-27T14:31:00Z" w:initials="j">
    <w:p w:rsidR="00483CDE" w:rsidRDefault="00483CDE">
      <w:pPr>
        <w:pStyle w:val="CommentText"/>
      </w:pPr>
      <w:r>
        <w:rPr>
          <w:rStyle w:val="CommentReference"/>
        </w:rPr>
        <w:annotationRef/>
      </w:r>
      <w:r>
        <w:t>I bet Chris Zinda doesn’t approve of this, does he? Maybe we should say local government officials?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4E" w:rsidRDefault="00FB4B4E" w:rsidP="00BD316E">
      <w:r>
        <w:separator/>
      </w:r>
    </w:p>
  </w:endnote>
  <w:endnote w:type="continuationSeparator" w:id="0">
    <w:p w:rsidR="00FB4B4E" w:rsidRDefault="00FB4B4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E" w:rsidRPr="00BD316E" w:rsidRDefault="00EF3A81"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FB4B4E"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381E7E">
      <w:rPr>
        <w:rFonts w:asciiTheme="minorHAnsi" w:hAnsiTheme="minorHAnsi" w:cstheme="minorHAnsi"/>
        <w:noProof/>
        <w:sz w:val="20"/>
        <w:szCs w:val="20"/>
      </w:rPr>
      <w:t>12/27/2013 5:44 PM</w:t>
    </w:r>
    <w:r w:rsidRPr="00BD316E">
      <w:rPr>
        <w:rFonts w:asciiTheme="minorHAnsi" w:hAnsiTheme="minorHAnsi" w:cstheme="minorHAnsi"/>
        <w:sz w:val="20"/>
        <w:szCs w:val="20"/>
      </w:rPr>
      <w:fldChar w:fldCharType="end"/>
    </w:r>
    <w:r w:rsidR="00FB4B4E">
      <w:rPr>
        <w:rFonts w:asciiTheme="minorHAnsi" w:hAnsiTheme="minorHAnsi" w:cstheme="minorHAnsi"/>
        <w:sz w:val="20"/>
        <w:szCs w:val="20"/>
      </w:rPr>
      <w:tab/>
      <w:t xml:space="preserve"> </w:t>
    </w:r>
    <w:r w:rsidR="00FB4B4E">
      <w:rPr>
        <w:rFonts w:asciiTheme="minorHAnsi" w:hAnsiTheme="minorHAnsi" w:cstheme="minorHAnsi"/>
        <w:sz w:val="20"/>
        <w:szCs w:val="20"/>
      </w:rPr>
      <w:tab/>
      <w:t>Pre-Public Notice Draft – Please Do Not Distribute</w:t>
    </w:r>
    <w:r w:rsidR="00FB4B4E" w:rsidRPr="00BD316E">
      <w:rPr>
        <w:rFonts w:asciiTheme="minorHAnsi" w:hAnsiTheme="minorHAnsi" w:cstheme="minorHAnsi"/>
        <w:sz w:val="20"/>
        <w:szCs w:val="20"/>
      </w:rPr>
      <w:ptab w:relativeTo="margin" w:alignment="right" w:leader="none"/>
    </w:r>
    <w:r w:rsidR="00FB4B4E"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FB4B4E"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381E7E">
      <w:rPr>
        <w:rFonts w:asciiTheme="minorHAnsi" w:hAnsiTheme="minorHAnsi" w:cstheme="minorHAnsi"/>
        <w:noProof/>
        <w:sz w:val="20"/>
        <w:szCs w:val="20"/>
      </w:rPr>
      <w:t>35</w:t>
    </w:r>
    <w:r w:rsidRPr="00BD316E">
      <w:rPr>
        <w:rFonts w:asciiTheme="minorHAnsi" w:hAnsiTheme="minorHAnsi" w:cstheme="minorHAnsi"/>
        <w:sz w:val="20"/>
        <w:szCs w:val="20"/>
      </w:rPr>
      <w:fldChar w:fldCharType="end"/>
    </w:r>
  </w:p>
  <w:p w:rsidR="00FB4B4E" w:rsidRDefault="00FB4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4E" w:rsidRDefault="00FB4B4E" w:rsidP="00BD316E">
      <w:r>
        <w:separator/>
      </w:r>
    </w:p>
  </w:footnote>
  <w:footnote w:type="continuationSeparator" w:id="0">
    <w:p w:rsidR="00FB4B4E" w:rsidRDefault="00FB4B4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E7E"/>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9CC"/>
    <w:rsid w:val="009D5EB5"/>
    <w:rsid w:val="009E04FF"/>
    <w:rsid w:val="009E0E6A"/>
    <w:rsid w:val="009E148C"/>
    <w:rsid w:val="009E1691"/>
    <w:rsid w:val="009E1F6C"/>
    <w:rsid w:val="009E3412"/>
    <w:rsid w:val="009E5A4F"/>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3A81"/>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comments" Target="comments.xm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21C8FDB-6859-4968-97BF-296BD1FF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15478</Words>
  <Characters>88228</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2013-12-26T19:12:00Z</cp:lastPrinted>
  <dcterms:created xsi:type="dcterms:W3CDTF">2013-12-28T01:45:00Z</dcterms:created>
  <dcterms:modified xsi:type="dcterms:W3CDTF">2013-12-28T01:45:00Z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