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FC694A" w:rsidP="00B34CF8">
      <w:pPr>
        <w:spacing w:after="120"/>
        <w:ind w:left="0" w:right="18"/>
        <w:outlineLvl w:val="0"/>
        <w:rPr>
          <w:rFonts w:ascii="Times New Roman" w:eastAsia="Times New Roman" w:hAnsi="Times New Roman" w:cs="Times New Roman"/>
        </w:rPr>
      </w:pPr>
      <w:r w:rsidRPr="00FC694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296948" w:rsidRPr="00C74D58" w:rsidRDefault="00296948" w:rsidP="006751BA">
                  <w:pPr>
                    <w:tabs>
                      <w:tab w:val="left" w:pos="16582"/>
                    </w:tabs>
                    <w:ind w:left="0"/>
                    <w:jc w:val="center"/>
                    <w:rPr>
                      <w:rFonts w:ascii="Times New Roman" w:eastAsia="Times New Roman" w:hAnsi="Times New Roman" w:cs="Times New Roman"/>
                      <w:b/>
                      <w:color w:val="000000"/>
                    </w:rPr>
                  </w:pPr>
                </w:p>
                <w:p w:rsidR="00296948" w:rsidRPr="00C74D58" w:rsidRDefault="0029694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96948" w:rsidRPr="00C74D58" w:rsidRDefault="00296948" w:rsidP="006751BA">
                  <w:pPr>
                    <w:tabs>
                      <w:tab w:val="left" w:pos="908"/>
                      <w:tab w:val="left" w:pos="16582"/>
                    </w:tabs>
                    <w:ind w:left="108"/>
                    <w:jc w:val="center"/>
                    <w:rPr>
                      <w:rFonts w:ascii="Times New Roman" w:eastAsia="Times New Roman" w:hAnsi="Times New Roman" w:cs="Times New Roman"/>
                      <w:b/>
                      <w:color w:val="000000"/>
                    </w:rPr>
                  </w:pPr>
                </w:p>
                <w:p w:rsidR="00296948" w:rsidRPr="00A019B4" w:rsidRDefault="0029694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296948" w:rsidRPr="00A019B4" w:rsidRDefault="0029694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be converted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1080" w:right="1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designated Lakeview as a nonattainment area</w:t>
      </w:r>
      <w:r w:rsidR="00C85681">
        <w:rPr>
          <w:rFonts w:ascii="Times New Roman" w:eastAsia="Times New Roman" w:hAnsi="Times New Roman" w:cs="Times New Roman"/>
        </w:rPr>
        <w:t xml:space="preserve"> because Lakeview was not exceeding the standard at the time EPA was making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B34CF8">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pPr>
        <w:spacing w:after="120"/>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lastRenderedPageBreak/>
              <w:t xml:space="preserve">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r w:rsidR="00EF76B2" w:rsidDel="00BA69EF">
              <w:rPr>
                <w:rFonts w:ascii="Times New Roman" w:eastAsia="Times New Roman" w:hAnsi="Times New Roman" w:cs="Times New Roman"/>
              </w:rPr>
              <w:t>)</w:t>
            </w:r>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w:t>
            </w:r>
            <w:r w:rsidR="00B87603">
              <w:rPr>
                <w:rFonts w:ascii="Times New Roman" w:eastAsia="Times New Roman" w:hAnsi="Times New Roman" w:cs="Times New Roman"/>
              </w:rPr>
              <w:lastRenderedPageBreak/>
              <w:t>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296948">
              <w:rPr>
                <w:rFonts w:ascii="Times New Roman" w:eastAsia="Times New Roman" w:hAnsi="Times New Roman" w:cs="Times New Roman"/>
                <w:i/>
              </w:rPr>
              <w:t xml:space="preserve">modified </w:t>
            </w:r>
            <w:r w:rsidR="005B7826" w:rsidRPr="00E638D3">
              <w:rPr>
                <w:rFonts w:ascii="Times New Roman" w:eastAsia="Times New Roman" w:hAnsi="Times New Roman" w:cs="Times New Roman"/>
              </w:rPr>
              <w:t>EPA Method 9</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w:t>
            </w:r>
            <w:r w:rsidRPr="00E638D3">
              <w:rPr>
                <w:rFonts w:ascii="Times New Roman" w:eastAsia="Times New Roman" w:hAnsi="Times New Roman" w:cs="Times New Roman"/>
              </w:rPr>
              <w:lastRenderedPageBreak/>
              <w:t xml:space="preserve">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w:t>
            </w:r>
            <w:r w:rsidR="00C736DE">
              <w:rPr>
                <w:rFonts w:ascii="Times New Roman" w:eastAsia="Times New Roman" w:hAnsi="Times New Roman" w:cs="Times New Roman"/>
              </w:rPr>
              <w:t>optimization</w:t>
            </w:r>
            <w:r w:rsidR="001943F7">
              <w:rPr>
                <w:rFonts w:ascii="Times New Roman" w:eastAsia="Times New Roman" w:hAnsi="Times New Roman" w:cs="Times New Roman"/>
              </w:rPr>
              <w:t xml:space="preserve">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lastRenderedPageBreak/>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w:t>
            </w:r>
            <w:r w:rsidRPr="00133A57">
              <w:rPr>
                <w:rFonts w:ascii="Times New Roman" w:eastAsia="Times New Roman" w:hAnsi="Times New Roman" w:cs="Times New Roman"/>
              </w:rPr>
              <w:lastRenderedPageBreak/>
              <w:t xml:space="preserve">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  DEQ believes that the proposed rules for Sustainment Areas could be </w:t>
            </w:r>
            <w:r w:rsidR="00296948" w:rsidRPr="00296948">
              <w:rPr>
                <w:rFonts w:ascii="Times New Roman" w:eastAsia="Times New Roman" w:hAnsi="Times New Roman" w:cs="Times New Roman"/>
              </w:rPr>
              <w:lastRenderedPageBreak/>
              <w:t xml:space="preserve">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lastRenderedPageBreak/>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lastRenderedPageBreak/>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FC694A"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FC694A"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FC694A"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FC694A"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FC694A"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FC694A"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FC694A"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FC694A"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FC694A"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FC694A"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 xml:space="preserve">40 CFR Part 58, Appendix D — Network Design </w:t>
            </w:r>
            <w:r w:rsidRPr="0007166A">
              <w:rPr>
                <w:rFonts w:asciiTheme="minorHAnsi" w:eastAsia="Times New Roman" w:hAnsiTheme="minorHAnsi" w:cstheme="minorHAnsi"/>
                <w:bCs/>
              </w:rPr>
              <w:lastRenderedPageBreak/>
              <w:t>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FC694A"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w:t>
              </w:r>
              <w:r w:rsidR="00C36B5C" w:rsidRPr="00CB456F">
                <w:rPr>
                  <w:rStyle w:val="Hyperlink"/>
                  <w:rFonts w:asciiTheme="minorHAnsi" w:hAnsiTheme="minorHAnsi" w:cstheme="minorHAnsi"/>
                </w:rPr>
                <w:lastRenderedPageBreak/>
                <w:t>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w:t>
      </w:r>
      <w:r w:rsidR="006D46E0" w:rsidRPr="00A028A4">
        <w:rPr>
          <w:rFonts w:ascii="Times New Roman" w:eastAsia="Times New Roman" w:hAnsi="Times New Roman" w:cs="Times New Roman"/>
          <w:bCs/>
        </w:rPr>
        <w:lastRenderedPageBreak/>
        <w:t xml:space="preserve">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lastRenderedPageBreak/>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w:t>
      </w:r>
      <w:r w:rsidR="005A3C63">
        <w:rPr>
          <w:rFonts w:ascii="Times New Roman" w:eastAsia="Times New Roman" w:hAnsi="Times New Roman" w:cs="Times New Roman"/>
          <w:bCs/>
        </w:rPr>
        <w:lastRenderedPageBreak/>
        <w:t xml:space="preserve">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2" w:name="_GoBack"/>
      <w:bookmarkEnd w:id="2"/>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w:t>
      </w:r>
      <w:r w:rsidRPr="00E638D3">
        <w:rPr>
          <w:rFonts w:ascii="Times New Roman" w:eastAsia="Times New Roman" w:hAnsi="Times New Roman" w:cs="Times New Roman"/>
          <w:bCs/>
        </w:rPr>
        <w:lastRenderedPageBreak/>
        <w:t>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FC694A"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lastRenderedPageBreak/>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lastRenderedPageBreak/>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lastRenderedPageBreak/>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566848" w:rsidRPr="00566848" w:rsidRDefault="00566848" w:rsidP="00566848">
      <w:pPr>
        <w:ind w:left="1080" w:right="18"/>
        <w:rPr>
          <w:rFonts w:ascii="Times New Roman" w:hAnsi="Times New Roman" w:cs="Times New Roman"/>
          <w:bCs/>
        </w:rPr>
      </w:pPr>
      <w:r w:rsidRPr="00566848">
        <w:rPr>
          <w:rFonts w:ascii="Times New Roman" w:hAnsi="Times New Roman" w:cs="Times New Roman"/>
          <w:bCs/>
        </w:rPr>
        <w:t>DEQ considered not designating Lakeview a sustainment area because the desire of the local community was unknown at the time. DEQ did not pursue this alternative because loca</w:t>
      </w:r>
      <w:r>
        <w:rPr>
          <w:rFonts w:ascii="Times New Roman" w:hAnsi="Times New Roman" w:cs="Times New Roman"/>
          <w:bCs/>
        </w:rPr>
        <w:t>l</w:t>
      </w:r>
      <w:r w:rsidRPr="00566848">
        <w:rPr>
          <w:rFonts w:ascii="Times New Roman" w:hAnsi="Times New Roman" w:cs="Times New Roman"/>
          <w:bCs/>
        </w:rPr>
        <w:t xml:space="preserve"> city 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w:t>
      </w:r>
      <w:r w:rsidRPr="00BD316E">
        <w:rPr>
          <w:rFonts w:ascii="Times New Roman" w:hAnsi="Times New Roman" w:cs="Times New Roman"/>
          <w:bCs/>
        </w:rPr>
        <w:lastRenderedPageBreak/>
        <w:t xml:space="preserve">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lastRenderedPageBreak/>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FC694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lastRenderedPageBreak/>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6E3C74">
        <w:rPr>
          <w:rFonts w:asciiTheme="majorHAnsi" w:eastAsia="Times New Roman" w:hAnsiTheme="majorHAnsi" w:cstheme="majorHAnsi"/>
          <w:bCs/>
          <w:sz w:val="22"/>
          <w:szCs w:val="22"/>
        </w:rPr>
        <w:t>Advisory committee</w:t>
      </w:r>
      <w:bookmarkEnd w:id="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6"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4" w:name="SENR"/>
      <w:r w:rsidR="008723F5" w:rsidRPr="008514A8">
        <w:rPr>
          <w:rFonts w:asciiTheme="minorHAnsi" w:eastAsia="Times New Roman" w:hAnsiTheme="minorHAnsi" w:cstheme="minorHAnsi"/>
          <w:bCs/>
        </w:rPr>
        <w:t>Senate Environment and Natural Resources</w:t>
      </w:r>
      <w:bookmarkEnd w:id="4"/>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 w:name="HEE"/>
      <w:r w:rsidR="008723F5" w:rsidRPr="008514A8">
        <w:rPr>
          <w:rFonts w:asciiTheme="minorHAnsi" w:eastAsia="Times New Roman" w:hAnsiTheme="minorHAnsi" w:cstheme="minorHAnsi"/>
          <w:bCs/>
        </w:rPr>
        <w:t>House Energy and Environment</w:t>
      </w:r>
      <w:bookmarkEnd w:id="5"/>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 w:name="_MON_1421138453"/>
    <w:bookmarkEnd w:id="6"/>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5pt;height:3in" o:ole="">
            <v:imagedata r:id="rId39" o:title=""/>
          </v:shape>
          <o:OLEObject Type="Embed" ProgID="Excel.Sheet.12" ShapeID="_x0000_i1025" DrawAspect="Content" ObjectID="_1450008090" r:id="rId40"/>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lastRenderedPageBreak/>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2E76F1">
      <w:footerReference w:type="default" r:id="rId4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48" w:rsidRDefault="00296948" w:rsidP="00BD316E">
      <w:r>
        <w:separator/>
      </w:r>
    </w:p>
  </w:endnote>
  <w:endnote w:type="continuationSeparator" w:id="0">
    <w:p w:rsidR="00296948" w:rsidRDefault="0029694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48" w:rsidRPr="00BD316E" w:rsidRDefault="00FC694A"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29694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D228E2">
      <w:rPr>
        <w:rFonts w:asciiTheme="minorHAnsi" w:hAnsiTheme="minorHAnsi" w:cstheme="minorHAnsi"/>
        <w:noProof/>
        <w:sz w:val="20"/>
        <w:szCs w:val="20"/>
      </w:rPr>
      <w:t>12/31/2013 3:14 PM</w:t>
    </w:r>
    <w:r w:rsidRPr="00BD316E">
      <w:rPr>
        <w:rFonts w:asciiTheme="minorHAnsi" w:hAnsiTheme="minorHAnsi" w:cstheme="minorHAnsi"/>
        <w:sz w:val="20"/>
        <w:szCs w:val="20"/>
      </w:rPr>
      <w:fldChar w:fldCharType="end"/>
    </w:r>
    <w:r w:rsidR="00296948">
      <w:rPr>
        <w:rFonts w:asciiTheme="minorHAnsi" w:hAnsiTheme="minorHAnsi" w:cstheme="minorHAnsi"/>
        <w:sz w:val="20"/>
        <w:szCs w:val="20"/>
      </w:rPr>
      <w:tab/>
      <w:t xml:space="preserve"> </w:t>
    </w:r>
    <w:r w:rsidR="00296948">
      <w:rPr>
        <w:rFonts w:asciiTheme="minorHAnsi" w:hAnsiTheme="minorHAnsi" w:cstheme="minorHAnsi"/>
        <w:sz w:val="20"/>
        <w:szCs w:val="20"/>
      </w:rPr>
      <w:tab/>
      <w:t>Pre-Public Notice Draft – Please Do Not Distribute</w:t>
    </w:r>
    <w:r w:rsidR="00296948" w:rsidRPr="00BD316E">
      <w:rPr>
        <w:rFonts w:asciiTheme="minorHAnsi" w:hAnsiTheme="minorHAnsi" w:cstheme="minorHAnsi"/>
        <w:sz w:val="20"/>
        <w:szCs w:val="20"/>
      </w:rPr>
      <w:ptab w:relativeTo="margin" w:alignment="right" w:leader="none"/>
    </w:r>
    <w:r w:rsidR="0029694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29694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E1D85">
      <w:rPr>
        <w:rFonts w:asciiTheme="minorHAnsi" w:hAnsiTheme="minorHAnsi" w:cstheme="minorHAnsi"/>
        <w:noProof/>
        <w:sz w:val="20"/>
        <w:szCs w:val="20"/>
      </w:rPr>
      <w:t>34</w:t>
    </w:r>
    <w:r w:rsidRPr="00BD316E">
      <w:rPr>
        <w:rFonts w:asciiTheme="minorHAnsi" w:hAnsiTheme="minorHAnsi" w:cstheme="minorHAnsi"/>
        <w:sz w:val="20"/>
        <w:szCs w:val="20"/>
      </w:rPr>
      <w:fldChar w:fldCharType="end"/>
    </w:r>
  </w:p>
  <w:p w:rsidR="00296948" w:rsidRDefault="00296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48" w:rsidRDefault="00296948" w:rsidP="00BD316E">
      <w:r>
        <w:separator/>
      </w:r>
    </w:p>
  </w:footnote>
  <w:footnote w:type="continuationSeparator" w:id="0">
    <w:p w:rsidR="00296948" w:rsidRDefault="00296948"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4DC7"/>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1D85"/>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28E2"/>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694A"/>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bulletin/past.html" TargetMode="External"/><Relationship Id="rId42"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leg.state.or.us/ors/468a.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leg.state.or.us/ors/183.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leg.state.or.us/ors/197.html" TargetMode="External"/><Relationship Id="rId35" Type="http://schemas.openxmlformats.org/officeDocument/2006/relationships/hyperlink" Target="http://www.oregon.gov/deq/RulesandRegulations/Pages/2013/aqperm.aspx" TargetMode="External"/><Relationship Id="rId43"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B60E8-8E6D-459D-A87B-E09F4E26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15571</Words>
  <Characters>88758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2013-12-26T19:12:00Z</cp:lastPrinted>
  <dcterms:created xsi:type="dcterms:W3CDTF">2013-12-31T23:15:00Z</dcterms:created>
  <dcterms:modified xsi:type="dcterms:W3CDTF">2013-12-31T23:15:00Z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