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C3" w:rsidRDefault="00352EC3" w:rsidP="00352EC3">
      <w:pPr>
        <w:pStyle w:val="Heading4"/>
      </w:pPr>
      <w:r>
        <w:t xml:space="preserve">State of </w:t>
      </w:r>
      <w:smartTag w:uri="urn:schemas-microsoft-com:office:smarttags" w:element="PersonName">
        <w:smartTag w:uri="urn:schemas-microsoft-com:office:smarttags" w:element="place">
          <w:r>
            <w:t>Oregon</w:t>
          </w:r>
        </w:smartTag>
      </w:smartTag>
    </w:p>
    <w:p w:rsidR="00352EC3" w:rsidRDefault="00352EC3" w:rsidP="00352EC3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352EC3" w:rsidRDefault="00164FCB" w:rsidP="00352EC3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352EC3" w:rsidRPr="008C01E3" w:rsidRDefault="00352EC3" w:rsidP="00352EC3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39253B">
        <w:rPr>
          <w:rFonts w:ascii="Times New Roman" w:hAnsi="Times New Roman"/>
        </w:rPr>
        <w:t>Sept. 27</w:t>
      </w:r>
      <w:r w:rsidR="0083387E">
        <w:rPr>
          <w:rFonts w:ascii="Times New Roman" w:hAnsi="Times New Roman"/>
        </w:rPr>
        <w:t>, 201</w:t>
      </w:r>
      <w:r w:rsidR="004E29C2">
        <w:rPr>
          <w:rFonts w:ascii="Times New Roman" w:hAnsi="Times New Roman"/>
        </w:rPr>
        <w:t>3</w:t>
      </w:r>
    </w:p>
    <w:p w:rsidR="00352EC3" w:rsidRDefault="00352EC3" w:rsidP="00352EC3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352EC3" w:rsidRDefault="00352EC3" w:rsidP="00352EC3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Environmental Quality Commission</w:t>
      </w:r>
    </w:p>
    <w:p w:rsidR="00352EC3" w:rsidRDefault="00352EC3" w:rsidP="00352EC3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352EC3" w:rsidRDefault="00352EC3" w:rsidP="00352EC3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C01E3">
        <w:rPr>
          <w:rFonts w:ascii="Times New Roman" w:hAnsi="Times New Roman"/>
        </w:rPr>
        <w:t>Dick Pedersen</w:t>
      </w:r>
      <w:r>
        <w:rPr>
          <w:rFonts w:ascii="Times New Roman" w:hAnsi="Times New Roman"/>
        </w:rPr>
        <w:t>, Director</w:t>
      </w:r>
    </w:p>
    <w:p w:rsidR="00352EC3" w:rsidRDefault="00352EC3" w:rsidP="00352EC3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460D52" w:rsidRDefault="00352EC3" w:rsidP="00352EC3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r w:rsidR="009B191C">
        <w:rPr>
          <w:rFonts w:ascii="Times New Roman" w:hAnsi="Times New Roman"/>
        </w:rPr>
        <w:t xml:space="preserve">Agenda item </w:t>
      </w:r>
      <w:r w:rsidR="0039253B">
        <w:rPr>
          <w:rFonts w:ascii="Times New Roman" w:hAnsi="Times New Roman"/>
        </w:rPr>
        <w:t>L</w:t>
      </w:r>
      <w:r w:rsidR="00C74416">
        <w:rPr>
          <w:rFonts w:ascii="Times New Roman" w:hAnsi="Times New Roman"/>
        </w:rPr>
        <w:t xml:space="preserve">, </w:t>
      </w:r>
      <w:r w:rsidR="00460D52">
        <w:rPr>
          <w:rFonts w:ascii="Times New Roman" w:hAnsi="Times New Roman"/>
        </w:rPr>
        <w:t>Informational i</w:t>
      </w:r>
      <w:r>
        <w:rPr>
          <w:rFonts w:ascii="Times New Roman" w:hAnsi="Times New Roman"/>
        </w:rPr>
        <w:t xml:space="preserve">tem: </w:t>
      </w:r>
      <w:r w:rsidR="00A85E3F">
        <w:rPr>
          <w:rFonts w:ascii="Times New Roman" w:hAnsi="Times New Roman"/>
        </w:rPr>
        <w:t>Update to</w:t>
      </w:r>
      <w:r w:rsidR="0008383C">
        <w:rPr>
          <w:rFonts w:ascii="Times New Roman" w:hAnsi="Times New Roman"/>
        </w:rPr>
        <w:t xml:space="preserve"> DEQ’s </w:t>
      </w:r>
      <w:r w:rsidR="007414F8">
        <w:rPr>
          <w:rFonts w:ascii="Times New Roman" w:hAnsi="Times New Roman"/>
        </w:rPr>
        <w:t>c</w:t>
      </w:r>
      <w:r w:rsidR="00A85E3F">
        <w:rPr>
          <w:rFonts w:ascii="Times New Roman" w:hAnsi="Times New Roman"/>
        </w:rPr>
        <w:t xml:space="preserve">ivil </w:t>
      </w:r>
      <w:r w:rsidR="007414F8">
        <w:rPr>
          <w:rFonts w:ascii="Times New Roman" w:hAnsi="Times New Roman"/>
        </w:rPr>
        <w:t>p</w:t>
      </w:r>
      <w:r w:rsidR="00A85E3F">
        <w:rPr>
          <w:rFonts w:ascii="Times New Roman" w:hAnsi="Times New Roman"/>
        </w:rPr>
        <w:t>en</w:t>
      </w:r>
      <w:r w:rsidR="0008383C">
        <w:rPr>
          <w:rFonts w:ascii="Times New Roman" w:hAnsi="Times New Roman"/>
        </w:rPr>
        <w:t xml:space="preserve">alty </w:t>
      </w:r>
      <w:r w:rsidR="007414F8">
        <w:rPr>
          <w:rFonts w:ascii="Times New Roman" w:hAnsi="Times New Roman"/>
        </w:rPr>
        <w:t>r</w:t>
      </w:r>
      <w:r w:rsidR="0008383C">
        <w:rPr>
          <w:rFonts w:ascii="Times New Roman" w:hAnsi="Times New Roman"/>
        </w:rPr>
        <w:t>ules</w:t>
      </w:r>
      <w:r w:rsidR="008C01E3">
        <w:rPr>
          <w:rFonts w:ascii="Times New Roman" w:hAnsi="Times New Roman"/>
        </w:rPr>
        <w:t>,</w:t>
      </w:r>
      <w:r w:rsidR="001608E0">
        <w:rPr>
          <w:rFonts w:ascii="Times New Roman" w:hAnsi="Times New Roman"/>
        </w:rPr>
        <w:t xml:space="preserve"> </w:t>
      </w:r>
      <w:r w:rsidR="008C01E3">
        <w:rPr>
          <w:rFonts w:ascii="Times New Roman" w:hAnsi="Times New Roman"/>
        </w:rPr>
        <w:t>OAR Chapter 34</w:t>
      </w:r>
      <w:r w:rsidR="00460D52">
        <w:rPr>
          <w:rFonts w:ascii="Times New Roman" w:hAnsi="Times New Roman"/>
        </w:rPr>
        <w:t>0, Division</w:t>
      </w:r>
      <w:r w:rsidR="00021755">
        <w:rPr>
          <w:rFonts w:ascii="Times New Roman" w:hAnsi="Times New Roman"/>
        </w:rPr>
        <w:t>s 11 and</w:t>
      </w:r>
      <w:r w:rsidR="00460D52">
        <w:rPr>
          <w:rFonts w:ascii="Times New Roman" w:hAnsi="Times New Roman"/>
        </w:rPr>
        <w:t xml:space="preserve"> </w:t>
      </w:r>
      <w:r w:rsidR="00A85E3F">
        <w:rPr>
          <w:rFonts w:ascii="Times New Roman" w:hAnsi="Times New Roman"/>
        </w:rPr>
        <w:t>12</w:t>
      </w:r>
    </w:p>
    <w:p w:rsidR="00352EC3" w:rsidRDefault="00460D52" w:rsidP="00352EC3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85E3F">
        <w:rPr>
          <w:rFonts w:ascii="Times New Roman" w:hAnsi="Times New Roman"/>
        </w:rPr>
        <w:t xml:space="preserve">Oct. </w:t>
      </w:r>
      <w:r w:rsidR="00EB7447">
        <w:rPr>
          <w:rFonts w:ascii="Times New Roman" w:hAnsi="Times New Roman"/>
        </w:rPr>
        <w:t>16-17</w:t>
      </w:r>
      <w:r w:rsidR="0083387E">
        <w:rPr>
          <w:rFonts w:ascii="Times New Roman" w:hAnsi="Times New Roman"/>
        </w:rPr>
        <w:t>, 201</w:t>
      </w:r>
      <w:r w:rsidR="00A85E3F">
        <w:rPr>
          <w:rFonts w:ascii="Times New Roman" w:hAnsi="Times New Roman"/>
        </w:rPr>
        <w:t>3</w:t>
      </w:r>
      <w:r>
        <w:rPr>
          <w:rFonts w:ascii="Times New Roman" w:hAnsi="Times New Roman"/>
        </w:rPr>
        <w:t>, EQC meeting</w:t>
      </w:r>
    </w:p>
    <w:p w:rsidR="00352EC3" w:rsidRDefault="00352EC3" w:rsidP="00352EC3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368"/>
        <w:gridCol w:w="7740"/>
      </w:tblGrid>
      <w:tr w:rsidR="00352EC3" w:rsidRPr="00FF491B" w:rsidTr="002D3D45">
        <w:tc>
          <w:tcPr>
            <w:tcW w:w="1368" w:type="dxa"/>
          </w:tcPr>
          <w:p w:rsidR="00352EC3" w:rsidRPr="00FF491B" w:rsidRDefault="00C24C2B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</w:t>
            </w:r>
            <w:r w:rsidR="00352EC3" w:rsidRPr="00FF491B">
              <w:rPr>
                <w:rFonts w:ascii="Times New Roman" w:hAnsi="Times New Roman"/>
                <w:b/>
                <w:spacing w:val="-3"/>
                <w:sz w:val="22"/>
              </w:rPr>
              <w:t>tem</w:t>
            </w:r>
          </w:p>
        </w:tc>
        <w:tc>
          <w:tcPr>
            <w:tcW w:w="7740" w:type="dxa"/>
          </w:tcPr>
          <w:p w:rsidR="00352EC3" w:rsidRPr="00FF491B" w:rsidRDefault="004D0DD9" w:rsidP="00FF491B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This </w:t>
            </w:r>
            <w:r w:rsidR="005C47E1">
              <w:rPr>
                <w:rFonts w:ascii="Times New Roman" w:hAnsi="Times New Roman"/>
                <w:spacing w:val="-3"/>
              </w:rPr>
              <w:t>item</w:t>
            </w:r>
            <w:r w:rsidR="001608E0">
              <w:rPr>
                <w:rFonts w:ascii="Times New Roman" w:hAnsi="Times New Roman"/>
                <w:spacing w:val="-3"/>
              </w:rPr>
              <w:t xml:space="preserve"> </w:t>
            </w:r>
            <w:r w:rsidR="00460243">
              <w:rPr>
                <w:rFonts w:ascii="Times New Roman" w:hAnsi="Times New Roman"/>
                <w:spacing w:val="-3"/>
              </w:rPr>
              <w:t>will</w:t>
            </w:r>
            <w:r w:rsidR="000033AA">
              <w:rPr>
                <w:rFonts w:ascii="Times New Roman" w:hAnsi="Times New Roman"/>
                <w:spacing w:val="-3"/>
              </w:rPr>
              <w:t xml:space="preserve"> provide </w:t>
            </w:r>
            <w:r w:rsidR="00EF72AF">
              <w:rPr>
                <w:rFonts w:ascii="Times New Roman" w:hAnsi="Times New Roman"/>
                <w:spacing w:val="-3"/>
              </w:rPr>
              <w:t xml:space="preserve">the </w:t>
            </w:r>
            <w:r w:rsidR="001608E0">
              <w:rPr>
                <w:rFonts w:ascii="Times New Roman" w:hAnsi="Times New Roman"/>
                <w:spacing w:val="-3"/>
              </w:rPr>
              <w:t>c</w:t>
            </w:r>
            <w:r w:rsidR="00EF72AF">
              <w:rPr>
                <w:rFonts w:ascii="Times New Roman" w:hAnsi="Times New Roman"/>
                <w:spacing w:val="-3"/>
              </w:rPr>
              <w:t xml:space="preserve">ommission </w:t>
            </w:r>
            <w:r w:rsidR="000033AA">
              <w:rPr>
                <w:rFonts w:ascii="Times New Roman" w:hAnsi="Times New Roman"/>
                <w:spacing w:val="-3"/>
              </w:rPr>
              <w:t xml:space="preserve">with background on DEQ’s enforcement process and </w:t>
            </w:r>
            <w:r w:rsidR="00D6436D">
              <w:rPr>
                <w:rFonts w:ascii="Times New Roman" w:hAnsi="Times New Roman"/>
                <w:spacing w:val="-3"/>
              </w:rPr>
              <w:t>rules</w:t>
            </w:r>
            <w:r w:rsidR="000033AA">
              <w:rPr>
                <w:rFonts w:ascii="Times New Roman" w:hAnsi="Times New Roman"/>
                <w:spacing w:val="-3"/>
              </w:rPr>
              <w:t>.</w:t>
            </w:r>
            <w:r w:rsidR="006A4B46">
              <w:rPr>
                <w:rFonts w:ascii="Times New Roman" w:hAnsi="Times New Roman"/>
                <w:spacing w:val="-3"/>
              </w:rPr>
              <w:t xml:space="preserve"> </w:t>
            </w:r>
            <w:r w:rsidR="000033AA">
              <w:rPr>
                <w:rFonts w:ascii="Times New Roman" w:hAnsi="Times New Roman"/>
                <w:spacing w:val="-3"/>
              </w:rPr>
              <w:t xml:space="preserve">Secondly, the item will provide the </w:t>
            </w:r>
            <w:r w:rsidR="001608E0">
              <w:rPr>
                <w:rFonts w:ascii="Times New Roman" w:hAnsi="Times New Roman"/>
                <w:spacing w:val="-3"/>
              </w:rPr>
              <w:t>c</w:t>
            </w:r>
            <w:r w:rsidR="000033AA">
              <w:rPr>
                <w:rFonts w:ascii="Times New Roman" w:hAnsi="Times New Roman"/>
                <w:spacing w:val="-3"/>
              </w:rPr>
              <w:t>ommission with the background and an update on proposed changes to those rules</w:t>
            </w:r>
            <w:r w:rsidR="00B43971">
              <w:rPr>
                <w:rFonts w:ascii="Times New Roman" w:hAnsi="Times New Roman"/>
                <w:spacing w:val="-3"/>
              </w:rPr>
              <w:t>,</w:t>
            </w:r>
            <w:r w:rsidR="000033AA">
              <w:rPr>
                <w:rFonts w:ascii="Times New Roman" w:hAnsi="Times New Roman"/>
                <w:spacing w:val="-3"/>
              </w:rPr>
              <w:t xml:space="preserve"> which</w:t>
            </w:r>
            <w:r w:rsidR="008233C1">
              <w:rPr>
                <w:rFonts w:ascii="Times New Roman" w:hAnsi="Times New Roman"/>
                <w:spacing w:val="-3"/>
              </w:rPr>
              <w:t xml:space="preserve"> DEQ will present for c</w:t>
            </w:r>
            <w:r w:rsidR="000033AA">
              <w:rPr>
                <w:rFonts w:ascii="Times New Roman" w:hAnsi="Times New Roman"/>
                <w:spacing w:val="-3"/>
              </w:rPr>
              <w:t xml:space="preserve">ommission </w:t>
            </w:r>
            <w:r w:rsidR="008233C1">
              <w:rPr>
                <w:rFonts w:ascii="Times New Roman" w:hAnsi="Times New Roman"/>
                <w:spacing w:val="-3"/>
              </w:rPr>
              <w:t>action</w:t>
            </w:r>
            <w:r w:rsidR="000033AA">
              <w:rPr>
                <w:rFonts w:ascii="Times New Roman" w:hAnsi="Times New Roman"/>
                <w:spacing w:val="-3"/>
              </w:rPr>
              <w:t xml:space="preserve"> at its December 2012 meeting. </w:t>
            </w:r>
          </w:p>
          <w:p w:rsidR="00352EC3" w:rsidRPr="00FF491B" w:rsidRDefault="00352EC3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352EC3" w:rsidRPr="00FF491B" w:rsidTr="002D3D45">
        <w:tc>
          <w:tcPr>
            <w:tcW w:w="1368" w:type="dxa"/>
          </w:tcPr>
          <w:p w:rsidR="00352EC3" w:rsidRPr="00FF491B" w:rsidRDefault="00352EC3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FF491B">
              <w:rPr>
                <w:rFonts w:ascii="Times New Roman" w:hAnsi="Times New Roman"/>
                <w:b/>
                <w:spacing w:val="-3"/>
                <w:sz w:val="22"/>
              </w:rPr>
              <w:t>Background</w:t>
            </w:r>
            <w:r w:rsidR="00FC5EB0">
              <w:rPr>
                <w:rFonts w:ascii="Times New Roman" w:hAnsi="Times New Roman"/>
                <w:b/>
                <w:spacing w:val="-3"/>
                <w:sz w:val="22"/>
              </w:rPr>
              <w:t xml:space="preserve"> and other information</w:t>
            </w:r>
            <w:r w:rsidRPr="00FF491B">
              <w:rPr>
                <w:rFonts w:ascii="Times New Roman" w:hAnsi="Times New Roman"/>
                <w:b/>
                <w:spacing w:val="-3"/>
                <w:sz w:val="22"/>
              </w:rPr>
              <w:t xml:space="preserve"> </w:t>
            </w:r>
          </w:p>
          <w:p w:rsidR="00352EC3" w:rsidRPr="00FF491B" w:rsidRDefault="00352EC3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740" w:type="dxa"/>
          </w:tcPr>
          <w:p w:rsidR="00773ABB" w:rsidRDefault="00D2795A" w:rsidP="004D0D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DEQ </w:t>
            </w:r>
            <w:r w:rsidR="0039253B">
              <w:rPr>
                <w:rFonts w:ascii="Times New Roman" w:hAnsi="Times New Roman"/>
                <w:color w:val="000000"/>
                <w:szCs w:val="24"/>
              </w:rPr>
              <w:t>may assess</w:t>
            </w:r>
            <w:r w:rsidR="00615C7C">
              <w:rPr>
                <w:rFonts w:ascii="Times New Roman" w:hAnsi="Times New Roman"/>
                <w:color w:val="000000"/>
                <w:szCs w:val="24"/>
              </w:rPr>
              <w:t xml:space="preserve"> monetary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penalti</w:t>
            </w:r>
            <w:r w:rsidR="001608E0">
              <w:rPr>
                <w:rFonts w:ascii="Times New Roman" w:hAnsi="Times New Roman"/>
                <w:color w:val="000000"/>
                <w:szCs w:val="24"/>
              </w:rPr>
              <w:t>es and issue</w:t>
            </w:r>
            <w:r w:rsidR="00615C7C">
              <w:rPr>
                <w:rFonts w:ascii="Times New Roman" w:hAnsi="Times New Roman"/>
                <w:color w:val="000000"/>
                <w:szCs w:val="24"/>
              </w:rPr>
              <w:t>s</w:t>
            </w:r>
            <w:r w:rsidR="001608E0">
              <w:rPr>
                <w:rFonts w:ascii="Times New Roman" w:hAnsi="Times New Roman"/>
                <w:color w:val="000000"/>
                <w:szCs w:val="24"/>
              </w:rPr>
              <w:t xml:space="preserve"> compliance orders</w:t>
            </w:r>
            <w:r w:rsidR="00D6436D">
              <w:rPr>
                <w:rFonts w:ascii="Times New Roman" w:hAnsi="Times New Roman"/>
                <w:color w:val="000000"/>
                <w:szCs w:val="24"/>
              </w:rPr>
              <w:t xml:space="preserve"> when regulated parties violate permit conditions or otherwise cause environmental harm</w:t>
            </w:r>
            <w:r w:rsidR="001608E0">
              <w:rPr>
                <w:rFonts w:ascii="Times New Roman" w:hAnsi="Times New Roman"/>
                <w:color w:val="000000"/>
                <w:szCs w:val="24"/>
              </w:rPr>
              <w:t>. T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hese </w:t>
            </w:r>
            <w:r w:rsidR="003561FF">
              <w:rPr>
                <w:rFonts w:ascii="Times New Roman" w:hAnsi="Times New Roman"/>
                <w:color w:val="000000"/>
                <w:szCs w:val="24"/>
              </w:rPr>
              <w:t>actions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must be </w:t>
            </w:r>
            <w:r w:rsidR="00615C7C">
              <w:rPr>
                <w:rFonts w:ascii="Times New Roman" w:hAnsi="Times New Roman"/>
                <w:color w:val="000000"/>
                <w:szCs w:val="24"/>
              </w:rPr>
              <w:t xml:space="preserve">done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according to administrative procedures statutes, the Attorney General Model Rules, supplemental procedural rules in DEQ’s Division 11 and rules that set out DEQ’s penalty-calculation process </w:t>
            </w:r>
            <w:r w:rsidR="006F5AF2">
              <w:rPr>
                <w:rFonts w:ascii="Times New Roman" w:hAnsi="Times New Roman"/>
                <w:color w:val="000000"/>
                <w:szCs w:val="24"/>
              </w:rPr>
              <w:t>in DEQ’s Division 12.</w:t>
            </w:r>
            <w:r w:rsidR="006A4B46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EF72AF">
              <w:rPr>
                <w:rFonts w:ascii="Times New Roman" w:hAnsi="Times New Roman"/>
                <w:color w:val="000000"/>
                <w:szCs w:val="24"/>
              </w:rPr>
              <w:t>DEQ is currently engaged in a rulemaking to amend both Divisions 11 and 12.</w:t>
            </w:r>
          </w:p>
          <w:p w:rsidR="00773ABB" w:rsidRDefault="00773ABB" w:rsidP="004D0D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  <w:p w:rsidR="00E64235" w:rsidRDefault="00773ABB" w:rsidP="00773ABB">
            <w:pPr>
              <w:pStyle w:val="Text"/>
              <w:tabs>
                <w:tab w:val="left" w:pos="7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CC9">
              <w:rPr>
                <w:rFonts w:ascii="Times New Roman" w:eastAsia="Times New Roman" w:hAnsi="Times New Roman"/>
                <w:sz w:val="24"/>
                <w:szCs w:val="24"/>
              </w:rPr>
              <w:t>Division 11 includes rules that supplement the Oregon Attorney General Model Rule</w:t>
            </w:r>
            <w:r w:rsidR="00FC5EB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567CC9">
              <w:rPr>
                <w:rFonts w:ascii="Times New Roman" w:eastAsia="Times New Roman" w:hAnsi="Times New Roman"/>
                <w:sz w:val="24"/>
                <w:szCs w:val="24"/>
              </w:rPr>
              <w:t xml:space="preserve"> for administrative procedures. Division 11 applies to any person involved in a contested case proceeding in front of the </w:t>
            </w:r>
            <w:r w:rsidR="001608E0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567CC9">
              <w:rPr>
                <w:rFonts w:ascii="Times New Roman" w:eastAsia="Times New Roman" w:hAnsi="Times New Roman"/>
                <w:sz w:val="24"/>
                <w:szCs w:val="24"/>
              </w:rPr>
              <w:t>ommission. The rules</w:t>
            </w:r>
            <w:r w:rsidR="00FC5E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67CC9">
              <w:rPr>
                <w:rFonts w:ascii="Times New Roman" w:eastAsia="Times New Roman" w:hAnsi="Times New Roman"/>
                <w:sz w:val="24"/>
                <w:szCs w:val="24"/>
              </w:rPr>
              <w:t>outline the c</w:t>
            </w:r>
            <w:r w:rsidR="009E145B">
              <w:rPr>
                <w:rFonts w:ascii="Times New Roman" w:eastAsia="Times New Roman" w:hAnsi="Times New Roman"/>
                <w:sz w:val="24"/>
                <w:szCs w:val="24"/>
              </w:rPr>
              <w:t>ontested case hearings process. The rules also include</w:t>
            </w:r>
            <w:r w:rsidR="00FE2013">
              <w:rPr>
                <w:rFonts w:ascii="Times New Roman" w:eastAsia="Times New Roman" w:hAnsi="Times New Roman"/>
                <w:sz w:val="24"/>
                <w:szCs w:val="24"/>
              </w:rPr>
              <w:t xml:space="preserve"> procedures for rulemaking and public records requests</w:t>
            </w:r>
            <w:r w:rsidRPr="00567CC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502BC" w:rsidRDefault="001502BC" w:rsidP="00773ABB">
            <w:pPr>
              <w:pStyle w:val="Text"/>
              <w:tabs>
                <w:tab w:val="left" w:pos="7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502BC" w:rsidRDefault="001502BC" w:rsidP="00773ABB">
            <w:pPr>
              <w:pStyle w:val="Text"/>
              <w:tabs>
                <w:tab w:val="left" w:pos="7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2B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Proposed changes to </w:t>
            </w:r>
            <w:r w:rsidR="009E145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Division 11</w:t>
            </w:r>
            <w:r w:rsidRPr="001502B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reflect changes to align with </w:t>
            </w:r>
            <w:r w:rsidRPr="001502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current </w:t>
            </w:r>
            <w:r w:rsidRPr="001502BC">
              <w:rPr>
                <w:rFonts w:ascii="Times New Roman" w:hAnsi="Times New Roman"/>
                <w:sz w:val="24"/>
                <w:szCs w:val="24"/>
              </w:rPr>
              <w:t>Oregon Attorney General Model Rules, and the Water Quality Policy Option Package 120</w:t>
            </w:r>
            <w:r w:rsidR="00027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02BC">
              <w:rPr>
                <w:rFonts w:ascii="Times New Roman" w:hAnsi="Times New Roman"/>
                <w:sz w:val="24"/>
                <w:szCs w:val="24"/>
              </w:rPr>
              <w:t xml:space="preserve">approved by the 2013 </w:t>
            </w:r>
            <w:r w:rsidR="007414F8">
              <w:rPr>
                <w:rFonts w:ascii="Times New Roman" w:hAnsi="Times New Roman"/>
                <w:sz w:val="24"/>
                <w:szCs w:val="24"/>
              </w:rPr>
              <w:t xml:space="preserve">Oregon </w:t>
            </w:r>
            <w:r w:rsidRPr="001502BC">
              <w:rPr>
                <w:rFonts w:ascii="Times New Roman" w:hAnsi="Times New Roman"/>
                <w:sz w:val="24"/>
                <w:szCs w:val="24"/>
              </w:rPr>
              <w:t>Legislature</w:t>
            </w:r>
            <w:r w:rsidR="00027DBA">
              <w:rPr>
                <w:rFonts w:ascii="Times New Roman" w:hAnsi="Times New Roman"/>
                <w:sz w:val="24"/>
                <w:szCs w:val="24"/>
              </w:rPr>
              <w:t>, that would establish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base fee of $7.50 for records request for </w:t>
            </w:r>
            <w:r w:rsidR="00027DBA">
              <w:rPr>
                <w:rFonts w:ascii="Times New Roman" w:hAnsi="Times New Roman"/>
                <w:sz w:val="24"/>
                <w:szCs w:val="24"/>
              </w:rPr>
              <w:t xml:space="preserve">DEQ’s </w:t>
            </w:r>
            <w:r>
              <w:rPr>
                <w:rFonts w:ascii="Times New Roman" w:hAnsi="Times New Roman"/>
                <w:sz w:val="24"/>
                <w:szCs w:val="24"/>
              </w:rPr>
              <w:t>onsite</w:t>
            </w:r>
            <w:r w:rsidR="00027DBA">
              <w:rPr>
                <w:rFonts w:ascii="Times New Roman" w:hAnsi="Times New Roman"/>
                <w:sz w:val="24"/>
                <w:szCs w:val="24"/>
              </w:rPr>
              <w:t xml:space="preserve"> program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60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B5F">
              <w:rPr>
                <w:rFonts w:ascii="Times New Roman" w:hAnsi="Times New Roman"/>
                <w:sz w:val="24"/>
                <w:szCs w:val="24"/>
              </w:rPr>
              <w:t>T</w:t>
            </w:r>
            <w:r w:rsidR="006F5AF2">
              <w:rPr>
                <w:rFonts w:ascii="Times New Roman" w:hAnsi="Times New Roman"/>
                <w:sz w:val="24"/>
                <w:szCs w:val="24"/>
              </w:rPr>
              <w:t>here are also housekeeping changes.</w:t>
            </w:r>
          </w:p>
          <w:p w:rsidR="00E64235" w:rsidRDefault="00E64235" w:rsidP="00773ABB">
            <w:pPr>
              <w:pStyle w:val="Text"/>
              <w:tabs>
                <w:tab w:val="left" w:pos="7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43D4" w:rsidRDefault="00773ABB">
            <w:pPr>
              <w:pStyle w:val="Text"/>
              <w:tabs>
                <w:tab w:val="left" w:pos="720"/>
              </w:tabs>
              <w:rPr>
                <w:rFonts w:ascii="Times New Roman" w:hAnsi="Times New Roman"/>
                <w:szCs w:val="24"/>
              </w:rPr>
            </w:pPr>
            <w:r w:rsidRPr="00567CC9">
              <w:rPr>
                <w:rFonts w:ascii="Times New Roman" w:eastAsia="Times New Roman" w:hAnsi="Times New Roman"/>
                <w:sz w:val="24"/>
                <w:szCs w:val="24"/>
              </w:rPr>
              <w:t xml:space="preserve">Division 12 outlines the </w:t>
            </w:r>
            <w:r w:rsidR="006F5AF2">
              <w:rPr>
                <w:rFonts w:ascii="Times New Roman" w:eastAsia="Times New Roman" w:hAnsi="Times New Roman"/>
                <w:sz w:val="24"/>
                <w:szCs w:val="24"/>
              </w:rPr>
              <w:t>types of informal and formal enforcement actions that DEQ may take and sets out how penalties must be calculated</w:t>
            </w:r>
            <w:r w:rsidR="004D0DD9" w:rsidRPr="007F7011">
              <w:rPr>
                <w:rFonts w:ascii="Times New Roman" w:hAnsi="Times New Roman"/>
                <w:color w:val="000000"/>
                <w:sz w:val="24"/>
                <w:szCs w:val="24"/>
              </w:rPr>
              <w:t>, based on a number of considerations</w:t>
            </w:r>
            <w:r w:rsidR="006F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 tailor the size of the penalty to the seriousness of the violation and surrounding circumstances</w:t>
            </w:r>
            <w:r w:rsidR="001608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F95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proposed </w:t>
            </w:r>
            <w:r w:rsidR="00777950" w:rsidRPr="00777950">
              <w:rPr>
                <w:rFonts w:ascii="Times New Roman" w:hAnsi="Times New Roman"/>
                <w:sz w:val="24"/>
                <w:szCs w:val="24"/>
              </w:rPr>
              <w:t xml:space="preserve">Division 12 amendments would implement </w:t>
            </w:r>
            <w:r w:rsidR="00460243">
              <w:rPr>
                <w:rFonts w:ascii="Times New Roman" w:hAnsi="Times New Roman"/>
                <w:sz w:val="24"/>
                <w:szCs w:val="24"/>
              </w:rPr>
              <w:t xml:space="preserve">Senate Bill 105A, </w:t>
            </w:r>
            <w:r w:rsidR="007414F8">
              <w:rPr>
                <w:rFonts w:ascii="Times New Roman" w:hAnsi="Times New Roman"/>
                <w:sz w:val="24"/>
                <w:szCs w:val="24"/>
              </w:rPr>
              <w:t>approved</w:t>
            </w:r>
            <w:r w:rsidR="00460243">
              <w:rPr>
                <w:rFonts w:ascii="Times New Roman" w:hAnsi="Times New Roman"/>
                <w:sz w:val="24"/>
                <w:szCs w:val="24"/>
              </w:rPr>
              <w:t xml:space="preserve"> by the</w:t>
            </w:r>
            <w:r w:rsidR="00460243" w:rsidRPr="00777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950" w:rsidRPr="00777950">
              <w:rPr>
                <w:rFonts w:ascii="Times New Roman" w:hAnsi="Times New Roman"/>
                <w:sz w:val="24"/>
                <w:szCs w:val="24"/>
              </w:rPr>
              <w:t xml:space="preserve">2009 Oregon </w:t>
            </w:r>
            <w:r w:rsidR="007414F8">
              <w:rPr>
                <w:rFonts w:ascii="Times New Roman" w:hAnsi="Times New Roman"/>
                <w:sz w:val="24"/>
                <w:szCs w:val="24"/>
              </w:rPr>
              <w:t>Legislature,</w:t>
            </w:r>
            <w:r w:rsidR="007414F8" w:rsidRPr="00777950">
              <w:rPr>
                <w:rFonts w:ascii="Times New Roman" w:hAnsi="Times New Roman"/>
                <w:sz w:val="24"/>
                <w:szCs w:val="24"/>
              </w:rPr>
              <w:t xml:space="preserve"> which</w:t>
            </w:r>
            <w:r w:rsidR="00777950" w:rsidRPr="00777950">
              <w:rPr>
                <w:rFonts w:ascii="Times New Roman" w:hAnsi="Times New Roman"/>
                <w:sz w:val="24"/>
                <w:szCs w:val="24"/>
              </w:rPr>
              <w:t xml:space="preserve"> increased DEQ’s civil penalty statutory maximums</w:t>
            </w:r>
            <w:r w:rsidR="008E1009">
              <w:rPr>
                <w:rFonts w:ascii="Times New Roman" w:hAnsi="Times New Roman"/>
                <w:sz w:val="24"/>
                <w:szCs w:val="24"/>
              </w:rPr>
              <w:t>.</w:t>
            </w:r>
            <w:r w:rsidR="00160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009">
              <w:rPr>
                <w:rFonts w:ascii="Times New Roman" w:hAnsi="Times New Roman"/>
                <w:sz w:val="24"/>
                <w:szCs w:val="24"/>
              </w:rPr>
              <w:t xml:space="preserve">Most of the penalty maximums were </w:t>
            </w:r>
            <w:r w:rsidR="00777950" w:rsidRPr="00777950">
              <w:rPr>
                <w:rFonts w:ascii="Times New Roman" w:hAnsi="Times New Roman"/>
                <w:sz w:val="24"/>
                <w:szCs w:val="24"/>
              </w:rPr>
              <w:t xml:space="preserve">last updated in 1973. Other proposed changes include aligning violation classification and magnitudes </w:t>
            </w:r>
            <w:r w:rsidR="00777950" w:rsidRPr="007779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with DEQ program priorities, providing greater mitigating credit for correcting violations and housekeeping </w:t>
            </w:r>
            <w:r w:rsidR="00F368B0">
              <w:rPr>
                <w:rFonts w:ascii="Times New Roman" w:hAnsi="Times New Roman"/>
                <w:sz w:val="24"/>
                <w:szCs w:val="24"/>
              </w:rPr>
              <w:t>changes.</w:t>
            </w:r>
          </w:p>
        </w:tc>
      </w:tr>
      <w:tr w:rsidR="00455493" w:rsidRPr="00FF491B" w:rsidTr="002D3D45">
        <w:tc>
          <w:tcPr>
            <w:tcW w:w="1368" w:type="dxa"/>
          </w:tcPr>
          <w:p w:rsidR="00455493" w:rsidRDefault="00455493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740" w:type="dxa"/>
          </w:tcPr>
          <w:p w:rsidR="00020C00" w:rsidRDefault="00020C00" w:rsidP="00020C00">
            <w:pPr>
              <w:rPr>
                <w:rFonts w:ascii="Times New Roman" w:hAnsi="Times New Roman"/>
              </w:rPr>
            </w:pPr>
          </w:p>
        </w:tc>
      </w:tr>
      <w:tr w:rsidR="00455493" w:rsidRPr="00FF491B" w:rsidTr="002D3D45">
        <w:tc>
          <w:tcPr>
            <w:tcW w:w="1368" w:type="dxa"/>
          </w:tcPr>
          <w:p w:rsidR="00455493" w:rsidRDefault="002D3D45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Stakeholder</w:t>
            </w:r>
          </w:p>
          <w:p w:rsidR="002D3D45" w:rsidRDefault="002D3D45" w:rsidP="009A1F7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involv</w:t>
            </w:r>
            <w:r w:rsidR="009A1F72">
              <w:rPr>
                <w:rFonts w:ascii="Times New Roman" w:hAnsi="Times New Roman"/>
                <w:b/>
                <w:spacing w:val="-3"/>
                <w:sz w:val="22"/>
              </w:rPr>
              <w:t>em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ent</w:t>
            </w:r>
          </w:p>
        </w:tc>
        <w:tc>
          <w:tcPr>
            <w:tcW w:w="7740" w:type="dxa"/>
          </w:tcPr>
          <w:p w:rsidR="005F46A4" w:rsidRPr="005F46A4" w:rsidRDefault="005F46A4" w:rsidP="003561FF">
            <w:pPr>
              <w:ind w:right="18"/>
              <w:outlineLvl w:val="0"/>
              <w:rPr>
                <w:rFonts w:ascii="Times New Roman" w:hAnsi="Times New Roman"/>
              </w:rPr>
            </w:pPr>
            <w:r w:rsidRPr="005F46A4">
              <w:rPr>
                <w:rFonts w:ascii="Times New Roman" w:hAnsi="Times New Roman"/>
                <w:color w:val="000000"/>
              </w:rPr>
              <w:t xml:space="preserve">DEQ convened </w:t>
            </w:r>
            <w:r w:rsidR="00631F08">
              <w:rPr>
                <w:rFonts w:ascii="Times New Roman" w:hAnsi="Times New Roman"/>
                <w:color w:val="000000"/>
              </w:rPr>
              <w:t>two advisory committees for the Division 12 rulemaking.</w:t>
            </w:r>
            <w:r w:rsidR="006A4B46">
              <w:rPr>
                <w:rFonts w:ascii="Times New Roman" w:hAnsi="Times New Roman"/>
                <w:color w:val="000000"/>
              </w:rPr>
              <w:t xml:space="preserve"> </w:t>
            </w:r>
            <w:r w:rsidR="00631F08">
              <w:rPr>
                <w:rFonts w:ascii="Times New Roman" w:hAnsi="Times New Roman"/>
                <w:color w:val="000000"/>
              </w:rPr>
              <w:t>One advisory co</w:t>
            </w:r>
            <w:r w:rsidR="008E1009">
              <w:rPr>
                <w:rFonts w:ascii="Times New Roman" w:hAnsi="Times New Roman"/>
                <w:color w:val="000000"/>
              </w:rPr>
              <w:t xml:space="preserve">mmittee focused on modifying </w:t>
            </w:r>
            <w:r w:rsidR="00631F08">
              <w:rPr>
                <w:rFonts w:ascii="Times New Roman" w:hAnsi="Times New Roman"/>
                <w:color w:val="000000"/>
              </w:rPr>
              <w:t>penalties for spills of</w:t>
            </w:r>
            <w:r w:rsidR="001608E0">
              <w:rPr>
                <w:rFonts w:ascii="Times New Roman" w:hAnsi="Times New Roman"/>
                <w:color w:val="000000"/>
              </w:rPr>
              <w:t xml:space="preserve"> oil and hazardous materials. </w:t>
            </w:r>
            <w:r w:rsidR="003561FF">
              <w:rPr>
                <w:rFonts w:ascii="Times New Roman" w:hAnsi="Times New Roman"/>
                <w:color w:val="000000"/>
              </w:rPr>
              <w:t>The other advisory committee focused on all of th</w:t>
            </w:r>
            <w:r w:rsidR="00A84B5F">
              <w:rPr>
                <w:rFonts w:ascii="Times New Roman" w:hAnsi="Times New Roman"/>
                <w:color w:val="000000"/>
              </w:rPr>
              <w:t>e other changes in Division 12.</w:t>
            </w:r>
            <w:r w:rsidR="003561FF">
              <w:rPr>
                <w:rFonts w:ascii="Times New Roman" w:hAnsi="Times New Roman"/>
                <w:color w:val="000000"/>
              </w:rPr>
              <w:t xml:space="preserve"> Each committee met twice with additional opportunities to review </w:t>
            </w:r>
            <w:r w:rsidR="008E1009">
              <w:rPr>
                <w:rFonts w:ascii="Times New Roman" w:hAnsi="Times New Roman"/>
                <w:color w:val="000000"/>
              </w:rPr>
              <w:t xml:space="preserve">proposals and </w:t>
            </w:r>
            <w:r w:rsidR="003561FF">
              <w:rPr>
                <w:rFonts w:ascii="Times New Roman" w:hAnsi="Times New Roman"/>
                <w:color w:val="000000"/>
              </w:rPr>
              <w:t>drafts</w:t>
            </w:r>
            <w:r w:rsidRPr="005F46A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3561FF">
              <w:rPr>
                <w:rFonts w:ascii="Times New Roman" w:hAnsi="Times New Roman"/>
                <w:color w:val="000000" w:themeColor="text1"/>
              </w:rPr>
              <w:t>Both</w:t>
            </w:r>
            <w:r w:rsidR="003561FF" w:rsidRPr="005F46A4">
              <w:rPr>
                <w:rFonts w:ascii="Times New Roman" w:hAnsi="Times New Roman"/>
              </w:rPr>
              <w:t xml:space="preserve"> </w:t>
            </w:r>
            <w:r w:rsidRPr="005F46A4">
              <w:rPr>
                <w:rFonts w:ascii="Times New Roman" w:hAnsi="Times New Roman"/>
              </w:rPr>
              <w:t>committee</w:t>
            </w:r>
            <w:r w:rsidR="00A84B5F">
              <w:rPr>
                <w:rFonts w:ascii="Times New Roman" w:hAnsi="Times New Roman"/>
              </w:rPr>
              <w:t>s</w:t>
            </w:r>
            <w:r w:rsidRPr="005F46A4">
              <w:rPr>
                <w:rFonts w:ascii="Times New Roman" w:hAnsi="Times New Roman"/>
              </w:rPr>
              <w:t xml:space="preserve"> recognized the overall need to increase penalties and generally</w:t>
            </w:r>
            <w:r w:rsidR="00D86AE7">
              <w:rPr>
                <w:rFonts w:ascii="Times New Roman" w:hAnsi="Times New Roman"/>
              </w:rPr>
              <w:t xml:space="preserve"> </w:t>
            </w:r>
            <w:r w:rsidRPr="005F46A4">
              <w:rPr>
                <w:rFonts w:ascii="Times New Roman" w:hAnsi="Times New Roman"/>
              </w:rPr>
              <w:t>expressed approval of DEQ’s proposal</w:t>
            </w:r>
            <w:r w:rsidR="003561FF">
              <w:rPr>
                <w:rFonts w:ascii="Times New Roman" w:hAnsi="Times New Roman"/>
              </w:rPr>
              <w:t xml:space="preserve">s. </w:t>
            </w:r>
            <w:r w:rsidR="000033AA">
              <w:rPr>
                <w:rFonts w:ascii="Times New Roman" w:hAnsi="Times New Roman"/>
              </w:rPr>
              <w:t>M</w:t>
            </w:r>
            <w:r w:rsidR="00A84B5F">
              <w:rPr>
                <w:rFonts w:ascii="Times New Roman" w:hAnsi="Times New Roman"/>
              </w:rPr>
              <w:t>any of the committee</w:t>
            </w:r>
            <w:r w:rsidR="009A1F72">
              <w:rPr>
                <w:rFonts w:ascii="Times New Roman" w:hAnsi="Times New Roman"/>
              </w:rPr>
              <w:t xml:space="preserve"> recommendations </w:t>
            </w:r>
            <w:r w:rsidR="00460243">
              <w:rPr>
                <w:rFonts w:ascii="Times New Roman" w:hAnsi="Times New Roman"/>
              </w:rPr>
              <w:t xml:space="preserve">will be </w:t>
            </w:r>
            <w:r w:rsidR="000033AA">
              <w:rPr>
                <w:rFonts w:ascii="Times New Roman" w:hAnsi="Times New Roman"/>
              </w:rPr>
              <w:t xml:space="preserve">included </w:t>
            </w:r>
            <w:r w:rsidR="009A1F72">
              <w:rPr>
                <w:rFonts w:ascii="Times New Roman" w:hAnsi="Times New Roman"/>
              </w:rPr>
              <w:t>in the final proposed rule package.</w:t>
            </w:r>
          </w:p>
          <w:p w:rsidR="002D3D45" w:rsidRPr="00460D52" w:rsidRDefault="002D3D45" w:rsidP="007F5C0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352EC3" w:rsidRPr="00FF491B" w:rsidTr="002D3D45">
        <w:tc>
          <w:tcPr>
            <w:tcW w:w="1368" w:type="dxa"/>
          </w:tcPr>
          <w:p w:rsidR="002D3D45" w:rsidRDefault="002D3D45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Next s</w:t>
            </w:r>
            <w:r w:rsidRPr="00FF491B">
              <w:rPr>
                <w:rFonts w:ascii="Times New Roman" w:hAnsi="Times New Roman"/>
                <w:b/>
                <w:spacing w:val="-3"/>
                <w:sz w:val="22"/>
              </w:rPr>
              <w:t>teps</w:t>
            </w:r>
          </w:p>
          <w:p w:rsidR="002D3D45" w:rsidRDefault="002D3D45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52EC3" w:rsidRPr="00FF491B" w:rsidRDefault="00352EC3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740" w:type="dxa"/>
          </w:tcPr>
          <w:p w:rsidR="00020C00" w:rsidRDefault="005B624C" w:rsidP="008415E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public comment period </w:t>
            </w:r>
            <w:r w:rsidR="003C26EF">
              <w:rPr>
                <w:rFonts w:ascii="Times New Roman" w:hAnsi="Times New Roman"/>
                <w:szCs w:val="24"/>
              </w:rPr>
              <w:t>closed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3C26EF">
              <w:rPr>
                <w:rFonts w:ascii="Times New Roman" w:hAnsi="Times New Roman"/>
                <w:szCs w:val="24"/>
              </w:rPr>
              <w:t>Sept</w:t>
            </w:r>
            <w:r w:rsidR="008415E2">
              <w:rPr>
                <w:rFonts w:ascii="Times New Roman" w:hAnsi="Times New Roman"/>
                <w:szCs w:val="24"/>
              </w:rPr>
              <w:t>.</w:t>
            </w:r>
            <w:r w:rsidR="003C26EF">
              <w:rPr>
                <w:rFonts w:ascii="Times New Roman" w:hAnsi="Times New Roman"/>
                <w:szCs w:val="24"/>
              </w:rPr>
              <w:t xml:space="preserve"> 20</w:t>
            </w:r>
            <w:r>
              <w:rPr>
                <w:rFonts w:ascii="Times New Roman" w:hAnsi="Times New Roman"/>
                <w:szCs w:val="24"/>
              </w:rPr>
              <w:t>, 201</w:t>
            </w:r>
            <w:r w:rsidR="003C26EF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="003F6895" w:rsidRPr="00460D52">
              <w:rPr>
                <w:rFonts w:ascii="Times New Roman" w:hAnsi="Times New Roman"/>
                <w:szCs w:val="24"/>
              </w:rPr>
              <w:t xml:space="preserve">DEQ </w:t>
            </w:r>
            <w:r w:rsidR="003C26EF">
              <w:rPr>
                <w:rFonts w:ascii="Times New Roman" w:hAnsi="Times New Roman"/>
                <w:szCs w:val="24"/>
              </w:rPr>
              <w:t>is evaluating</w:t>
            </w:r>
            <w:r w:rsidR="003F6895" w:rsidRPr="00460D52">
              <w:rPr>
                <w:rFonts w:ascii="Times New Roman" w:hAnsi="Times New Roman"/>
                <w:szCs w:val="24"/>
              </w:rPr>
              <w:t xml:space="preserve"> the comments </w:t>
            </w:r>
            <w:r w:rsidR="007F5C0E">
              <w:rPr>
                <w:rFonts w:ascii="Times New Roman" w:hAnsi="Times New Roman"/>
                <w:szCs w:val="24"/>
              </w:rPr>
              <w:t>receive</w:t>
            </w:r>
            <w:r>
              <w:rPr>
                <w:rFonts w:ascii="Times New Roman" w:hAnsi="Times New Roman"/>
                <w:szCs w:val="24"/>
              </w:rPr>
              <w:t>d</w:t>
            </w:r>
            <w:r w:rsidR="007F5C0E">
              <w:rPr>
                <w:rFonts w:ascii="Times New Roman" w:hAnsi="Times New Roman"/>
                <w:szCs w:val="24"/>
              </w:rPr>
              <w:t xml:space="preserve"> </w:t>
            </w:r>
            <w:r w:rsidR="00816617" w:rsidRPr="00460D52">
              <w:rPr>
                <w:rFonts w:ascii="Times New Roman" w:hAnsi="Times New Roman"/>
                <w:szCs w:val="24"/>
              </w:rPr>
              <w:t xml:space="preserve">and </w:t>
            </w:r>
            <w:r w:rsidR="007F5C0E">
              <w:rPr>
                <w:rFonts w:ascii="Times New Roman" w:hAnsi="Times New Roman"/>
                <w:szCs w:val="24"/>
              </w:rPr>
              <w:t>d</w:t>
            </w:r>
            <w:r w:rsidR="003C26EF">
              <w:rPr>
                <w:rFonts w:ascii="Times New Roman" w:hAnsi="Times New Roman"/>
                <w:szCs w:val="24"/>
              </w:rPr>
              <w:t>eveloping</w:t>
            </w:r>
            <w:r w:rsidR="007F5C0E">
              <w:rPr>
                <w:rFonts w:ascii="Times New Roman" w:hAnsi="Times New Roman"/>
                <w:szCs w:val="24"/>
              </w:rPr>
              <w:t xml:space="preserve"> responses</w:t>
            </w:r>
            <w:r w:rsidR="003F6895" w:rsidRPr="00460D52">
              <w:rPr>
                <w:rFonts w:ascii="Times New Roman" w:hAnsi="Times New Roman"/>
                <w:szCs w:val="24"/>
              </w:rPr>
              <w:t>.</w:t>
            </w:r>
            <w:r w:rsidR="00460D52">
              <w:rPr>
                <w:rFonts w:ascii="Times New Roman" w:hAnsi="Times New Roman"/>
                <w:szCs w:val="24"/>
              </w:rPr>
              <w:t xml:space="preserve"> </w:t>
            </w:r>
            <w:r w:rsidR="003F6895" w:rsidRPr="00460D52">
              <w:rPr>
                <w:rFonts w:ascii="Times New Roman" w:hAnsi="Times New Roman"/>
                <w:szCs w:val="24"/>
              </w:rPr>
              <w:t xml:space="preserve">DEQ </w:t>
            </w:r>
            <w:r w:rsidR="00455493">
              <w:rPr>
                <w:rFonts w:ascii="Times New Roman" w:hAnsi="Times New Roman"/>
                <w:szCs w:val="24"/>
              </w:rPr>
              <w:t>plans</w:t>
            </w:r>
            <w:r w:rsidR="00455493" w:rsidRPr="00460D52">
              <w:rPr>
                <w:rFonts w:ascii="Times New Roman" w:hAnsi="Times New Roman"/>
                <w:szCs w:val="24"/>
              </w:rPr>
              <w:t xml:space="preserve"> </w:t>
            </w:r>
            <w:r w:rsidR="003F6895" w:rsidRPr="00460D52">
              <w:rPr>
                <w:rFonts w:ascii="Times New Roman" w:hAnsi="Times New Roman"/>
                <w:szCs w:val="24"/>
              </w:rPr>
              <w:t xml:space="preserve">to present the proposed rule for </w:t>
            </w:r>
            <w:r w:rsidR="00455493">
              <w:rPr>
                <w:rFonts w:ascii="Times New Roman" w:hAnsi="Times New Roman"/>
                <w:szCs w:val="24"/>
              </w:rPr>
              <w:t>commission action</w:t>
            </w:r>
            <w:r w:rsidR="00455493" w:rsidRPr="00460D52">
              <w:rPr>
                <w:rFonts w:ascii="Times New Roman" w:hAnsi="Times New Roman"/>
                <w:szCs w:val="24"/>
              </w:rPr>
              <w:t xml:space="preserve"> </w:t>
            </w:r>
            <w:r w:rsidR="003F6895" w:rsidRPr="00460D52">
              <w:rPr>
                <w:rFonts w:ascii="Times New Roman" w:hAnsi="Times New Roman"/>
                <w:szCs w:val="24"/>
              </w:rPr>
              <w:t>at the</w:t>
            </w:r>
            <w:r w:rsidR="007F5C0E">
              <w:rPr>
                <w:rFonts w:ascii="Times New Roman" w:hAnsi="Times New Roman"/>
                <w:szCs w:val="24"/>
              </w:rPr>
              <w:t xml:space="preserve"> </w:t>
            </w:r>
            <w:r w:rsidR="003C26EF">
              <w:rPr>
                <w:rFonts w:ascii="Times New Roman" w:hAnsi="Times New Roman"/>
                <w:szCs w:val="24"/>
              </w:rPr>
              <w:t>December 2013</w:t>
            </w:r>
            <w:r w:rsidR="003F6895" w:rsidRPr="00460D52">
              <w:rPr>
                <w:rFonts w:ascii="Times New Roman" w:hAnsi="Times New Roman"/>
                <w:szCs w:val="24"/>
              </w:rPr>
              <w:t xml:space="preserve"> EQC meeting</w:t>
            </w:r>
            <w:r w:rsidR="00460D52" w:rsidRPr="00460D5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52EC3" w:rsidRPr="00FF491B" w:rsidTr="002D3D45">
        <w:tc>
          <w:tcPr>
            <w:tcW w:w="1368" w:type="dxa"/>
          </w:tcPr>
          <w:p w:rsidR="00380EC6" w:rsidRPr="00FF491B" w:rsidRDefault="00380EC6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740" w:type="dxa"/>
          </w:tcPr>
          <w:p w:rsidR="00087452" w:rsidRPr="00460D52" w:rsidRDefault="00087452" w:rsidP="00F06785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352EC3" w:rsidRPr="00FF491B" w:rsidTr="002D3D45">
        <w:tc>
          <w:tcPr>
            <w:tcW w:w="1368" w:type="dxa"/>
          </w:tcPr>
          <w:p w:rsidR="00352EC3" w:rsidRPr="00FF491B" w:rsidRDefault="00C24C2B" w:rsidP="0044024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 xml:space="preserve">Available </w:t>
            </w:r>
            <w:r w:rsidR="00440244">
              <w:rPr>
                <w:rFonts w:ascii="Times New Roman" w:hAnsi="Times New Roman"/>
                <w:b/>
                <w:spacing w:val="-3"/>
                <w:sz w:val="22"/>
              </w:rPr>
              <w:t>online</w:t>
            </w:r>
          </w:p>
        </w:tc>
        <w:tc>
          <w:tcPr>
            <w:tcW w:w="7740" w:type="dxa"/>
          </w:tcPr>
          <w:p w:rsidR="000312B2" w:rsidRPr="00460D52" w:rsidRDefault="00460D52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460D52">
              <w:rPr>
                <w:rFonts w:ascii="Times New Roman" w:hAnsi="Times New Roman"/>
                <w:szCs w:val="24"/>
              </w:rPr>
              <w:t>1</w:t>
            </w:r>
            <w:r w:rsidR="00B17869">
              <w:rPr>
                <w:rFonts w:ascii="Times New Roman" w:hAnsi="Times New Roman"/>
                <w:szCs w:val="24"/>
              </w:rPr>
              <w:t>.</w:t>
            </w:r>
            <w:r w:rsidR="006A4B46">
              <w:rPr>
                <w:rFonts w:ascii="Times New Roman" w:hAnsi="Times New Roman"/>
                <w:szCs w:val="24"/>
              </w:rPr>
              <w:t xml:space="preserve"> </w:t>
            </w:r>
            <w:hyperlink r:id="rId7" w:history="1">
              <w:r w:rsidR="00374FFB">
                <w:rPr>
                  <w:rStyle w:val="Hyperlink"/>
                  <w:rFonts w:ascii="Times New Roman" w:hAnsi="Times New Roman"/>
                  <w:szCs w:val="24"/>
                </w:rPr>
                <w:t>Public notice documents via website</w:t>
              </w:r>
            </w:hyperlink>
          </w:p>
          <w:p w:rsidR="000312B2" w:rsidRDefault="00874DF2" w:rsidP="00FF49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 w:rsidR="006A4B46">
              <w:rPr>
                <w:rFonts w:ascii="Times New Roman" w:hAnsi="Times New Roman"/>
                <w:szCs w:val="24"/>
              </w:rPr>
              <w:t xml:space="preserve"> </w:t>
            </w:r>
            <w:hyperlink r:id="rId8" w:history="1">
              <w:r w:rsidR="00B5769E" w:rsidRPr="009031BC">
                <w:rPr>
                  <w:rStyle w:val="Hyperlink"/>
                  <w:rFonts w:ascii="Times New Roman" w:hAnsi="Times New Roman"/>
                  <w:szCs w:val="24"/>
                </w:rPr>
                <w:t>Senate Bill 105A</w:t>
              </w:r>
            </w:hyperlink>
          </w:p>
          <w:p w:rsidR="00352EC3" w:rsidRDefault="000312B2" w:rsidP="00551F60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B5769E">
              <w:rPr>
                <w:rFonts w:ascii="Times New Roman" w:hAnsi="Times New Roman"/>
                <w:szCs w:val="24"/>
              </w:rPr>
              <w:t>.</w:t>
            </w:r>
            <w:r w:rsidR="006A4B46">
              <w:rPr>
                <w:rFonts w:ascii="Times New Roman" w:hAnsi="Times New Roman"/>
                <w:szCs w:val="24"/>
              </w:rPr>
              <w:t xml:space="preserve"> </w:t>
            </w:r>
            <w:hyperlink r:id="rId9" w:history="1">
              <w:r w:rsidR="00B5769E" w:rsidRPr="00B5769E">
                <w:rPr>
                  <w:rStyle w:val="Hyperlink"/>
                  <w:rFonts w:ascii="Times New Roman" w:hAnsi="Times New Roman"/>
                  <w:szCs w:val="24"/>
                </w:rPr>
                <w:t>Water Quality Option Package #120</w:t>
              </w:r>
            </w:hyperlink>
          </w:p>
          <w:p w:rsidR="00551F60" w:rsidRPr="00460D52" w:rsidRDefault="00551F60" w:rsidP="00551F60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</w:tbl>
    <w:p w:rsidR="00EB7447" w:rsidRDefault="00C24C2B" w:rsidP="00C24C2B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52EC3" w:rsidRDefault="00EB7447" w:rsidP="00C24C2B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52EC3">
        <w:rPr>
          <w:rFonts w:ascii="Times New Roman" w:hAnsi="Times New Roman"/>
        </w:rPr>
        <w:t>Approved:</w:t>
      </w:r>
    </w:p>
    <w:p w:rsidR="00AB7AD2" w:rsidRDefault="00C74416" w:rsidP="00460D52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74416" w:rsidRDefault="00DE6001" w:rsidP="00460D52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Division:</w:t>
      </w:r>
      <w:r w:rsidR="00C74416">
        <w:rPr>
          <w:rFonts w:ascii="Times New Roman" w:hAnsi="Times New Roman"/>
        </w:rPr>
        <w:t xml:space="preserve"> ____________________________</w:t>
      </w:r>
    </w:p>
    <w:p w:rsidR="00C74416" w:rsidRDefault="00C74416" w:rsidP="00460D52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</w:p>
    <w:p w:rsidR="00352EC3" w:rsidRDefault="00460D52" w:rsidP="00460D52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</w:t>
      </w:r>
      <w:r w:rsidR="00C74416">
        <w:rPr>
          <w:rFonts w:ascii="Times New Roman" w:hAnsi="Times New Roman"/>
        </w:rPr>
        <w:t xml:space="preserve">y: </w:t>
      </w:r>
      <w:r w:rsidR="007F7011">
        <w:rPr>
          <w:rFonts w:ascii="Times New Roman" w:hAnsi="Times New Roman"/>
        </w:rPr>
        <w:t>Jenny Root</w:t>
      </w:r>
    </w:p>
    <w:p w:rsidR="00B95EAD" w:rsidRDefault="00352EC3" w:rsidP="00AB7AD2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B95EAD" w:rsidSect="00B46212">
      <w:head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D4" w:rsidRDefault="003A43D4">
      <w:r>
        <w:separator/>
      </w:r>
    </w:p>
  </w:endnote>
  <w:endnote w:type="continuationSeparator" w:id="0">
    <w:p w:rsidR="003A43D4" w:rsidRDefault="003A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D4" w:rsidRDefault="003A43D4">
      <w:r>
        <w:separator/>
      </w:r>
    </w:p>
  </w:footnote>
  <w:footnote w:type="continuationSeparator" w:id="0">
    <w:p w:rsidR="003A43D4" w:rsidRDefault="003A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3D4" w:rsidRPr="003A14D5" w:rsidRDefault="003A43D4" w:rsidP="003A14D5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 w:rsidRPr="005319AB">
      <w:rPr>
        <w:rFonts w:ascii="Arial" w:hAnsi="Arial" w:cs="Arial"/>
        <w:sz w:val="20"/>
      </w:rPr>
      <w:t xml:space="preserve">Informational item: </w:t>
    </w:r>
    <w:r w:rsidRPr="003A14D5">
      <w:rPr>
        <w:rFonts w:ascii="Arial" w:hAnsi="Arial" w:cs="Arial"/>
        <w:sz w:val="20"/>
      </w:rPr>
      <w:t xml:space="preserve">Update to DEQ’s </w:t>
    </w:r>
    <w:r>
      <w:rPr>
        <w:rFonts w:ascii="Arial" w:hAnsi="Arial" w:cs="Arial"/>
        <w:sz w:val="20"/>
      </w:rPr>
      <w:t>c</w:t>
    </w:r>
    <w:r w:rsidRPr="003A14D5">
      <w:rPr>
        <w:rFonts w:ascii="Arial" w:hAnsi="Arial" w:cs="Arial"/>
        <w:sz w:val="20"/>
      </w:rPr>
      <w:t xml:space="preserve">ivil </w:t>
    </w:r>
    <w:r>
      <w:rPr>
        <w:rFonts w:ascii="Arial" w:hAnsi="Arial" w:cs="Arial"/>
        <w:sz w:val="20"/>
      </w:rPr>
      <w:t>p</w:t>
    </w:r>
    <w:r w:rsidRPr="003A14D5">
      <w:rPr>
        <w:rFonts w:ascii="Arial" w:hAnsi="Arial" w:cs="Arial"/>
        <w:sz w:val="20"/>
      </w:rPr>
      <w:t xml:space="preserve">enalty </w:t>
    </w:r>
    <w:r>
      <w:rPr>
        <w:rFonts w:ascii="Arial" w:hAnsi="Arial" w:cs="Arial"/>
        <w:sz w:val="20"/>
      </w:rPr>
      <w:t>r</w:t>
    </w:r>
    <w:r w:rsidRPr="003A14D5">
      <w:rPr>
        <w:rFonts w:ascii="Arial" w:hAnsi="Arial" w:cs="Arial"/>
        <w:sz w:val="20"/>
      </w:rPr>
      <w:t>ules</w:t>
    </w:r>
  </w:p>
  <w:p w:rsidR="003A43D4" w:rsidRPr="003A14D5" w:rsidRDefault="003A43D4" w:rsidP="003A14D5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Oct. 16-17</w:t>
    </w:r>
    <w:r w:rsidRPr="003A14D5">
      <w:rPr>
        <w:rFonts w:ascii="Arial" w:hAnsi="Arial" w:cs="Arial"/>
        <w:sz w:val="20"/>
      </w:rPr>
      <w:t>, 2013, EQC meeting</w:t>
    </w:r>
  </w:p>
  <w:p w:rsidR="003A43D4" w:rsidRDefault="003A43D4" w:rsidP="003A14D5">
    <w:pPr>
      <w:pStyle w:val="Header"/>
      <w:rPr>
        <w:rFonts w:ascii="Arial" w:hAnsi="Arial" w:cs="Arial"/>
        <w:sz w:val="20"/>
      </w:rPr>
    </w:pPr>
    <w:r w:rsidRPr="003A14D5">
      <w:rPr>
        <w:rFonts w:ascii="Arial" w:hAnsi="Arial" w:cs="Arial"/>
        <w:sz w:val="20"/>
      </w:rPr>
      <w:t xml:space="preserve">Page </w:t>
    </w:r>
    <w:r w:rsidR="00164FCB" w:rsidRPr="003A14D5">
      <w:rPr>
        <w:rFonts w:ascii="Arial" w:hAnsi="Arial" w:cs="Arial"/>
        <w:sz w:val="20"/>
      </w:rPr>
      <w:fldChar w:fldCharType="begin"/>
    </w:r>
    <w:r w:rsidRPr="003A14D5">
      <w:rPr>
        <w:rFonts w:ascii="Arial" w:hAnsi="Arial" w:cs="Arial"/>
        <w:sz w:val="20"/>
      </w:rPr>
      <w:instrText xml:space="preserve"> PAGE   \* MERGEFORMAT </w:instrText>
    </w:r>
    <w:r w:rsidR="00164FCB" w:rsidRPr="003A14D5">
      <w:rPr>
        <w:rFonts w:ascii="Arial" w:hAnsi="Arial" w:cs="Arial"/>
        <w:sz w:val="20"/>
      </w:rPr>
      <w:fldChar w:fldCharType="separate"/>
    </w:r>
    <w:r w:rsidR="00BD6BE6">
      <w:rPr>
        <w:rFonts w:ascii="Arial" w:hAnsi="Arial" w:cs="Arial"/>
        <w:noProof/>
        <w:sz w:val="20"/>
      </w:rPr>
      <w:t>2</w:t>
    </w:r>
    <w:r w:rsidR="00164FCB" w:rsidRPr="003A14D5">
      <w:rPr>
        <w:rFonts w:ascii="Arial" w:hAnsi="Arial" w:cs="Arial"/>
        <w:sz w:val="20"/>
      </w:rPr>
      <w:fldChar w:fldCharType="end"/>
    </w:r>
    <w:r w:rsidRPr="003A14D5">
      <w:rPr>
        <w:rFonts w:ascii="Arial" w:hAnsi="Arial" w:cs="Arial"/>
        <w:sz w:val="20"/>
      </w:rPr>
      <w:t xml:space="preserve"> of 2</w:t>
    </w:r>
  </w:p>
  <w:p w:rsidR="003A43D4" w:rsidRPr="003A14D5" w:rsidRDefault="003A43D4" w:rsidP="003A14D5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7A17"/>
    <w:multiLevelType w:val="hybridMultilevel"/>
    <w:tmpl w:val="31B6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225644A"/>
    <w:multiLevelType w:val="hybridMultilevel"/>
    <w:tmpl w:val="BE405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7C17"/>
    <w:multiLevelType w:val="hybridMultilevel"/>
    <w:tmpl w:val="0E60D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425BF"/>
    <w:multiLevelType w:val="hybridMultilevel"/>
    <w:tmpl w:val="B9C652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84E75"/>
    <w:multiLevelType w:val="hybridMultilevel"/>
    <w:tmpl w:val="663CA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8A7478"/>
    <w:multiLevelType w:val="hybridMultilevel"/>
    <w:tmpl w:val="C84C81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69C"/>
    <w:rsid w:val="000033AA"/>
    <w:rsid w:val="0000466A"/>
    <w:rsid w:val="00020C00"/>
    <w:rsid w:val="00021755"/>
    <w:rsid w:val="00027DBA"/>
    <w:rsid w:val="000312B2"/>
    <w:rsid w:val="00041E10"/>
    <w:rsid w:val="0004409F"/>
    <w:rsid w:val="00055DA3"/>
    <w:rsid w:val="00070EEF"/>
    <w:rsid w:val="00074582"/>
    <w:rsid w:val="0008383C"/>
    <w:rsid w:val="00084C5A"/>
    <w:rsid w:val="00087452"/>
    <w:rsid w:val="00097F33"/>
    <w:rsid w:val="000C7162"/>
    <w:rsid w:val="000D1A1F"/>
    <w:rsid w:val="000E32B7"/>
    <w:rsid w:val="000E6024"/>
    <w:rsid w:val="00133BB1"/>
    <w:rsid w:val="00133DC0"/>
    <w:rsid w:val="00140C7F"/>
    <w:rsid w:val="0014311C"/>
    <w:rsid w:val="001502BC"/>
    <w:rsid w:val="001608E0"/>
    <w:rsid w:val="00164FCB"/>
    <w:rsid w:val="001A4ECB"/>
    <w:rsid w:val="001A665F"/>
    <w:rsid w:val="001D1F28"/>
    <w:rsid w:val="001D4ABA"/>
    <w:rsid w:val="00214D8F"/>
    <w:rsid w:val="00267A51"/>
    <w:rsid w:val="00285E82"/>
    <w:rsid w:val="002A0574"/>
    <w:rsid w:val="002A0955"/>
    <w:rsid w:val="002D3D45"/>
    <w:rsid w:val="002F2921"/>
    <w:rsid w:val="00310D4D"/>
    <w:rsid w:val="003221A4"/>
    <w:rsid w:val="003426BB"/>
    <w:rsid w:val="003526B7"/>
    <w:rsid w:val="00352EC3"/>
    <w:rsid w:val="003561FF"/>
    <w:rsid w:val="003679C5"/>
    <w:rsid w:val="00374FFB"/>
    <w:rsid w:val="00380EC6"/>
    <w:rsid w:val="00383153"/>
    <w:rsid w:val="0039253B"/>
    <w:rsid w:val="003A14D5"/>
    <w:rsid w:val="003A43D4"/>
    <w:rsid w:val="003C0220"/>
    <w:rsid w:val="003C26EF"/>
    <w:rsid w:val="003C4BD0"/>
    <w:rsid w:val="003F6895"/>
    <w:rsid w:val="003F7ABD"/>
    <w:rsid w:val="00440244"/>
    <w:rsid w:val="00442A8E"/>
    <w:rsid w:val="00445D7F"/>
    <w:rsid w:val="00455493"/>
    <w:rsid w:val="00460243"/>
    <w:rsid w:val="00460605"/>
    <w:rsid w:val="00460D52"/>
    <w:rsid w:val="00460D5A"/>
    <w:rsid w:val="00481325"/>
    <w:rsid w:val="004D0DD9"/>
    <w:rsid w:val="004E29C2"/>
    <w:rsid w:val="005028ED"/>
    <w:rsid w:val="00503A53"/>
    <w:rsid w:val="00523314"/>
    <w:rsid w:val="0053111B"/>
    <w:rsid w:val="005319AB"/>
    <w:rsid w:val="005408F0"/>
    <w:rsid w:val="00551F60"/>
    <w:rsid w:val="00553B7B"/>
    <w:rsid w:val="00567CC9"/>
    <w:rsid w:val="00570B43"/>
    <w:rsid w:val="00595728"/>
    <w:rsid w:val="005A6682"/>
    <w:rsid w:val="005B469C"/>
    <w:rsid w:val="005B5967"/>
    <w:rsid w:val="005B624C"/>
    <w:rsid w:val="005C47E1"/>
    <w:rsid w:val="005D2B46"/>
    <w:rsid w:val="005F46A4"/>
    <w:rsid w:val="00615C7C"/>
    <w:rsid w:val="00631F08"/>
    <w:rsid w:val="00656044"/>
    <w:rsid w:val="006630E0"/>
    <w:rsid w:val="006A4B46"/>
    <w:rsid w:val="006C357C"/>
    <w:rsid w:val="006E54A5"/>
    <w:rsid w:val="006F5AF2"/>
    <w:rsid w:val="006F6E76"/>
    <w:rsid w:val="007065D4"/>
    <w:rsid w:val="00706F19"/>
    <w:rsid w:val="007414F8"/>
    <w:rsid w:val="0074162B"/>
    <w:rsid w:val="00752FFB"/>
    <w:rsid w:val="007720E5"/>
    <w:rsid w:val="00773ABB"/>
    <w:rsid w:val="00777950"/>
    <w:rsid w:val="00782F36"/>
    <w:rsid w:val="0078668B"/>
    <w:rsid w:val="007B0AFE"/>
    <w:rsid w:val="007D20BF"/>
    <w:rsid w:val="007E2591"/>
    <w:rsid w:val="007F5C0E"/>
    <w:rsid w:val="007F6414"/>
    <w:rsid w:val="007F7011"/>
    <w:rsid w:val="00816617"/>
    <w:rsid w:val="008233C1"/>
    <w:rsid w:val="0083387E"/>
    <w:rsid w:val="008415E2"/>
    <w:rsid w:val="0084573B"/>
    <w:rsid w:val="00874DF2"/>
    <w:rsid w:val="008753C5"/>
    <w:rsid w:val="008758CB"/>
    <w:rsid w:val="0088731A"/>
    <w:rsid w:val="008B28DA"/>
    <w:rsid w:val="008B7593"/>
    <w:rsid w:val="008C01E3"/>
    <w:rsid w:val="008E1009"/>
    <w:rsid w:val="008E7CBE"/>
    <w:rsid w:val="008F4756"/>
    <w:rsid w:val="009031BC"/>
    <w:rsid w:val="00923D2C"/>
    <w:rsid w:val="0093709D"/>
    <w:rsid w:val="00961E8B"/>
    <w:rsid w:val="009A1F72"/>
    <w:rsid w:val="009B0FBE"/>
    <w:rsid w:val="009B191C"/>
    <w:rsid w:val="009E145B"/>
    <w:rsid w:val="009E4E03"/>
    <w:rsid w:val="009E5EC8"/>
    <w:rsid w:val="00A529FA"/>
    <w:rsid w:val="00A5721B"/>
    <w:rsid w:val="00A57CEC"/>
    <w:rsid w:val="00A7426D"/>
    <w:rsid w:val="00A84B5F"/>
    <w:rsid w:val="00A85E3F"/>
    <w:rsid w:val="00A9607E"/>
    <w:rsid w:val="00AB2088"/>
    <w:rsid w:val="00AB30C7"/>
    <w:rsid w:val="00AB7AD2"/>
    <w:rsid w:val="00B0751E"/>
    <w:rsid w:val="00B15BBA"/>
    <w:rsid w:val="00B17869"/>
    <w:rsid w:val="00B25FB6"/>
    <w:rsid w:val="00B43971"/>
    <w:rsid w:val="00B46212"/>
    <w:rsid w:val="00B5769E"/>
    <w:rsid w:val="00B7741E"/>
    <w:rsid w:val="00B93F16"/>
    <w:rsid w:val="00B959F9"/>
    <w:rsid w:val="00B95EAD"/>
    <w:rsid w:val="00BA51D9"/>
    <w:rsid w:val="00BB027C"/>
    <w:rsid w:val="00BD6BE6"/>
    <w:rsid w:val="00C024C1"/>
    <w:rsid w:val="00C24C2B"/>
    <w:rsid w:val="00C309AE"/>
    <w:rsid w:val="00C46CF1"/>
    <w:rsid w:val="00C74416"/>
    <w:rsid w:val="00CD2B5D"/>
    <w:rsid w:val="00D2795A"/>
    <w:rsid w:val="00D36DE4"/>
    <w:rsid w:val="00D415F2"/>
    <w:rsid w:val="00D60C9B"/>
    <w:rsid w:val="00D63F70"/>
    <w:rsid w:val="00D6436D"/>
    <w:rsid w:val="00D70543"/>
    <w:rsid w:val="00D823F6"/>
    <w:rsid w:val="00D849B9"/>
    <w:rsid w:val="00D86AE7"/>
    <w:rsid w:val="00DA1183"/>
    <w:rsid w:val="00DB1DDA"/>
    <w:rsid w:val="00DB2305"/>
    <w:rsid w:val="00DD3943"/>
    <w:rsid w:val="00DE6001"/>
    <w:rsid w:val="00DE68B4"/>
    <w:rsid w:val="00E02B0F"/>
    <w:rsid w:val="00E608DD"/>
    <w:rsid w:val="00E64235"/>
    <w:rsid w:val="00E83F5D"/>
    <w:rsid w:val="00EB3762"/>
    <w:rsid w:val="00EB7447"/>
    <w:rsid w:val="00ED0C09"/>
    <w:rsid w:val="00EF72AF"/>
    <w:rsid w:val="00F06785"/>
    <w:rsid w:val="00F17A2F"/>
    <w:rsid w:val="00F36565"/>
    <w:rsid w:val="00F368B0"/>
    <w:rsid w:val="00F442A4"/>
    <w:rsid w:val="00F82519"/>
    <w:rsid w:val="00F842EA"/>
    <w:rsid w:val="00F84B04"/>
    <w:rsid w:val="00F85625"/>
    <w:rsid w:val="00F95D92"/>
    <w:rsid w:val="00FC431A"/>
    <w:rsid w:val="00FC5EB0"/>
    <w:rsid w:val="00FE2013"/>
    <w:rsid w:val="00FE65BF"/>
    <w:rsid w:val="00FF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customStyle="1" w:styleId="Text">
    <w:name w:val="Text"/>
    <w:basedOn w:val="PlainText"/>
    <w:rsid w:val="00041E10"/>
    <w:rPr>
      <w:rFonts w:ascii="Times" w:eastAsia="Times" w:hAnsi="Times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1E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E10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E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0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5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57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574"/>
    <w:rPr>
      <w:b/>
      <w:bCs/>
    </w:rPr>
  </w:style>
  <w:style w:type="paragraph" w:styleId="Revision">
    <w:name w:val="Revision"/>
    <w:hidden/>
    <w:uiPriority w:val="99"/>
    <w:semiHidden/>
    <w:rsid w:val="002A0574"/>
    <w:rPr>
      <w:rFonts w:ascii="CG Times" w:hAnsi="CG 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1F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.state.or.us/09reg/measpdf/sb0100.dir/sb0105.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Documents/Div12.NOTIC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eq.state.or.us/msd/budget/1315GBB/GBB2013-1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Larry\Rule%20stuff\EQCStaffReportInfoIte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EQCStaffReportInfoItem</Template>
  <TotalTime>1</TotalTime>
  <Pages>2</Pages>
  <Words>510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Department of Environmental Quality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creator>lmcalli</dc:creator>
  <cp:lastModifiedBy>jinahar</cp:lastModifiedBy>
  <cp:revision>2</cp:revision>
  <cp:lastPrinted>2013-09-10T18:41:00Z</cp:lastPrinted>
  <dcterms:created xsi:type="dcterms:W3CDTF">2014-04-08T16:51:00Z</dcterms:created>
  <dcterms:modified xsi:type="dcterms:W3CDTF">2014-04-08T16:51:00Z</dcterms:modified>
</cp:coreProperties>
</file>