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88"/>
        <w:gridCol w:w="3690"/>
        <w:gridCol w:w="4698"/>
      </w:tblGrid>
      <w:tr w:rsidR="009139B9" w:rsidTr="00485E4D">
        <w:tc>
          <w:tcPr>
            <w:tcW w:w="1188" w:type="dxa"/>
          </w:tcPr>
          <w:p w:rsidR="009139B9" w:rsidRDefault="009139B9">
            <w:r>
              <w:t xml:space="preserve">Division </w:t>
            </w:r>
          </w:p>
        </w:tc>
        <w:tc>
          <w:tcPr>
            <w:tcW w:w="3690" w:type="dxa"/>
          </w:tcPr>
          <w:p w:rsidR="009139B9" w:rsidRPr="005340F7" w:rsidRDefault="00485E4D">
            <w:r w:rsidRPr="005340F7">
              <w:t>Rule Title</w:t>
            </w:r>
          </w:p>
        </w:tc>
        <w:tc>
          <w:tcPr>
            <w:tcW w:w="4698" w:type="dxa"/>
          </w:tcPr>
          <w:p w:rsidR="009139B9" w:rsidRDefault="009C3DFD">
            <w:r>
              <w:t xml:space="preserve">Rule </w:t>
            </w:r>
            <w:r w:rsidR="009139B9" w:rsidRPr="009139B9">
              <w:t>Language</w:t>
            </w:r>
          </w:p>
        </w:tc>
      </w:tr>
      <w:tr w:rsidR="009139B9" w:rsidTr="00485E4D">
        <w:tc>
          <w:tcPr>
            <w:tcW w:w="1188" w:type="dxa"/>
          </w:tcPr>
          <w:p w:rsidR="009139B9" w:rsidRDefault="009139B9">
            <w:r>
              <w:t xml:space="preserve">206 </w:t>
            </w:r>
          </w:p>
        </w:tc>
        <w:tc>
          <w:tcPr>
            <w:tcW w:w="3690" w:type="dxa"/>
          </w:tcPr>
          <w:p w:rsidR="009139B9" w:rsidRPr="005340F7" w:rsidRDefault="009139B9">
            <w:r w:rsidRPr="005340F7">
              <w:t>Air Pollution Emergencies</w:t>
            </w:r>
          </w:p>
        </w:tc>
        <w:tc>
          <w:tcPr>
            <w:tcW w:w="4698" w:type="dxa"/>
          </w:tcPr>
          <w:p w:rsidR="009139B9" w:rsidRDefault="009139B9">
            <w:r w:rsidRPr="009139B9">
              <w:t>All other rules in this division are equally applicable to all areas of the state.</w:t>
            </w:r>
          </w:p>
        </w:tc>
      </w:tr>
      <w:tr w:rsidR="009139B9" w:rsidTr="00485E4D">
        <w:tc>
          <w:tcPr>
            <w:tcW w:w="1188" w:type="dxa"/>
          </w:tcPr>
          <w:p w:rsidR="009139B9" w:rsidRDefault="009139B9">
            <w:r>
              <w:t>208</w:t>
            </w:r>
          </w:p>
        </w:tc>
        <w:tc>
          <w:tcPr>
            <w:tcW w:w="3690" w:type="dxa"/>
          </w:tcPr>
          <w:p w:rsidR="009139B9" w:rsidRPr="005340F7" w:rsidRDefault="009139B9">
            <w:r w:rsidRPr="005340F7">
              <w:t>Visible Emissions and Nuisance Requirements</w:t>
            </w:r>
          </w:p>
        </w:tc>
        <w:tc>
          <w:tcPr>
            <w:tcW w:w="4698" w:type="dxa"/>
          </w:tcPr>
          <w:p w:rsidR="009139B9" w:rsidRPr="009139B9" w:rsidRDefault="009139B9">
            <w:pPr>
              <w:rPr>
                <w:i/>
              </w:rPr>
            </w:pPr>
            <w:r w:rsidRPr="009139B9">
              <w:rPr>
                <w:i/>
              </w:rPr>
              <w:t xml:space="preserve">We are taking out the language that says 208-0100 – 0110 apply to all areas of the state.  Same with fugitives 208-0200 </w:t>
            </w:r>
            <w:r w:rsidR="00485E4D">
              <w:rPr>
                <w:i/>
              </w:rPr>
              <w:t>–</w:t>
            </w:r>
            <w:r w:rsidRPr="009139B9">
              <w:rPr>
                <w:i/>
              </w:rPr>
              <w:t xml:space="preserve"> 0210</w:t>
            </w:r>
            <w:r w:rsidR="00485E4D">
              <w:rPr>
                <w:i/>
              </w:rPr>
              <w:t>.  Paul – if we take that language out, is it implied that the division applies all over the state?  It says “for sources”</w:t>
            </w:r>
          </w:p>
        </w:tc>
      </w:tr>
      <w:tr w:rsidR="009139B9" w:rsidTr="00485E4D">
        <w:tc>
          <w:tcPr>
            <w:tcW w:w="1188" w:type="dxa"/>
          </w:tcPr>
          <w:p w:rsidR="009139B9" w:rsidRDefault="009139B9">
            <w:r>
              <w:t>210</w:t>
            </w:r>
          </w:p>
        </w:tc>
        <w:tc>
          <w:tcPr>
            <w:tcW w:w="3690" w:type="dxa"/>
          </w:tcPr>
          <w:p w:rsidR="009139B9" w:rsidRPr="005340F7" w:rsidRDefault="009139B9">
            <w:r w:rsidRPr="005340F7">
              <w:rPr>
                <w:bCs/>
              </w:rPr>
              <w:t>STATIONARY SOURCE NOTIFICATION REQUIREMENTS</w:t>
            </w:r>
          </w:p>
        </w:tc>
        <w:tc>
          <w:tcPr>
            <w:tcW w:w="4698" w:type="dxa"/>
          </w:tcPr>
          <w:p w:rsidR="009139B9" w:rsidRPr="009139B9" w:rsidRDefault="009139B9" w:rsidP="009139B9">
            <w:pPr>
              <w:rPr>
                <w:i/>
              </w:rPr>
            </w:pPr>
            <w:r w:rsidRPr="009139B9">
              <w:rPr>
                <w:i/>
              </w:rPr>
              <w:t xml:space="preserve">We are taking out the </w:t>
            </w:r>
            <w:r w:rsidR="00485E4D">
              <w:rPr>
                <w:i/>
              </w:rPr>
              <w:t>language th</w:t>
            </w:r>
            <w:r w:rsidRPr="009139B9">
              <w:rPr>
                <w:i/>
              </w:rPr>
              <w:t>e that says this division apply to all areas of the state and replacing it with:</w:t>
            </w:r>
          </w:p>
          <w:p w:rsidR="009139B9" w:rsidRDefault="009139B9" w:rsidP="009139B9">
            <w:r w:rsidRPr="009139B9">
              <w:t>This division applies to air contaminant sources, stationary sources, and modifications of existing portable sources that are required to have permits under OAR 340 division 216.</w:t>
            </w:r>
          </w:p>
        </w:tc>
      </w:tr>
      <w:tr w:rsidR="009139B9" w:rsidTr="00485E4D">
        <w:tc>
          <w:tcPr>
            <w:tcW w:w="1188" w:type="dxa"/>
          </w:tcPr>
          <w:p w:rsidR="009139B9" w:rsidRDefault="009139B9">
            <w:r>
              <w:t>212</w:t>
            </w:r>
          </w:p>
        </w:tc>
        <w:tc>
          <w:tcPr>
            <w:tcW w:w="3690" w:type="dxa"/>
          </w:tcPr>
          <w:p w:rsidR="009139B9" w:rsidRPr="001F1FE4" w:rsidRDefault="009139B9" w:rsidP="009139B9">
            <w:pPr>
              <w:rPr>
                <w:bCs/>
              </w:rPr>
            </w:pPr>
            <w:r w:rsidRPr="001F1FE4">
              <w:rPr>
                <w:bCs/>
              </w:rPr>
              <w:t>STATIONARY SOURCE TESTING AND MONITORING</w:t>
            </w:r>
          </w:p>
          <w:p w:rsidR="009139B9" w:rsidRPr="001F1FE4" w:rsidRDefault="009139B9"/>
        </w:tc>
        <w:tc>
          <w:tcPr>
            <w:tcW w:w="4698" w:type="dxa"/>
          </w:tcPr>
          <w:p w:rsidR="009139B9" w:rsidRDefault="009139B9">
            <w:pPr>
              <w:rPr>
                <w:bCs/>
              </w:rPr>
            </w:pPr>
            <w:proofErr w:type="gramStart"/>
            <w:r w:rsidRPr="009139B9">
              <w:rPr>
                <w:bCs/>
              </w:rPr>
              <w:t>OAR 340-212-0110 through 340-212-0150 apply</w:t>
            </w:r>
            <w:proofErr w:type="gramEnd"/>
            <w:r w:rsidRPr="009139B9">
              <w:rPr>
                <w:bCs/>
              </w:rPr>
              <w:t xml:space="preserve"> to all stationary sources in the state.</w:t>
            </w:r>
          </w:p>
          <w:p w:rsidR="001218EC" w:rsidRDefault="001218EC">
            <w:pPr>
              <w:rPr>
                <w:bCs/>
              </w:rPr>
            </w:pPr>
          </w:p>
          <w:p w:rsidR="001218EC" w:rsidRDefault="001218EC">
            <w:r w:rsidRPr="001218EC">
              <w:t>(1) The purpose of OAR 340-212-0200 through 340-212-0280 is to require, as part of the issuance of a permit under Title V of the FCAA, improved or new monitoring at those emissions units where monitoring requirements do not exist or are inadequate to meet the requirements of OAR 340-212-0200 through 340-212-0280. Except for backup utility units that are exempt under subsection (2)(b), the requirements of OAR 340-212-0200 through 340-212-0280 apply to a regulated pollutant-specific emissions unit at a major source that is required to obtain an Oregon Title V Operating Permit if the unit meets all of the following criteria:</w:t>
            </w:r>
          </w:p>
        </w:tc>
      </w:tr>
      <w:tr w:rsidR="009139B9" w:rsidTr="00485E4D">
        <w:tc>
          <w:tcPr>
            <w:tcW w:w="1188" w:type="dxa"/>
          </w:tcPr>
          <w:p w:rsidR="009139B9" w:rsidRDefault="00356BFF" w:rsidP="00356BFF">
            <w:pPr>
              <w:tabs>
                <w:tab w:val="left" w:pos="866"/>
              </w:tabs>
            </w:pPr>
            <w:r>
              <w:t>214</w:t>
            </w:r>
          </w:p>
        </w:tc>
        <w:tc>
          <w:tcPr>
            <w:tcW w:w="3690" w:type="dxa"/>
          </w:tcPr>
          <w:p w:rsidR="00356BFF" w:rsidRPr="001F1FE4" w:rsidRDefault="00356BFF" w:rsidP="00356BFF">
            <w:r w:rsidRPr="001F1FE4">
              <w:rPr>
                <w:bCs/>
              </w:rPr>
              <w:t>STATIONARY SOURCE REPORTING REQUIREMENTS</w:t>
            </w:r>
          </w:p>
          <w:p w:rsidR="009139B9" w:rsidRPr="001F1FE4" w:rsidRDefault="009139B9"/>
        </w:tc>
        <w:tc>
          <w:tcPr>
            <w:tcW w:w="4698" w:type="dxa"/>
          </w:tcPr>
          <w:p w:rsidR="009139B9" w:rsidRDefault="00356BFF">
            <w:pPr>
              <w:rPr>
                <w:bCs/>
              </w:rPr>
            </w:pPr>
            <w:proofErr w:type="gramStart"/>
            <w:r w:rsidRPr="00356BFF">
              <w:rPr>
                <w:bCs/>
              </w:rPr>
              <w:t>OAR 340-214-0100 through 340-214-0130 apply</w:t>
            </w:r>
            <w:proofErr w:type="gramEnd"/>
            <w:r w:rsidRPr="00356BFF">
              <w:rPr>
                <w:bCs/>
              </w:rPr>
              <w:t xml:space="preserve"> to all stationary sources in the state.</w:t>
            </w:r>
          </w:p>
          <w:p w:rsidR="00066D52" w:rsidRDefault="00066D52">
            <w:pPr>
              <w:rPr>
                <w:bCs/>
              </w:rPr>
            </w:pPr>
          </w:p>
          <w:p w:rsidR="00066D52" w:rsidRDefault="00066D52">
            <w:pPr>
              <w:rPr>
                <w:bCs/>
              </w:rPr>
            </w:pPr>
            <w:r w:rsidRPr="00066D52">
              <w:rPr>
                <w:bCs/>
              </w:rPr>
              <w:t>(2) This rule applies to sources of VOC and NOx in ozone nonattainment areas that have a PSEL equal to or greater than 25 tons per year for either regulated pollutant, or whose actual emissions are equal to or greater than 25 tons per year for either regulated pollutant.</w:t>
            </w:r>
            <w:r>
              <w:rPr>
                <w:bCs/>
              </w:rPr>
              <w:t xml:space="preserve"> [0200-0220]</w:t>
            </w:r>
          </w:p>
          <w:p w:rsidR="00066D52" w:rsidRDefault="00066D52">
            <w:pPr>
              <w:rPr>
                <w:bCs/>
              </w:rPr>
            </w:pPr>
          </w:p>
          <w:p w:rsidR="00066D52" w:rsidRPr="00066D52" w:rsidRDefault="00066D52" w:rsidP="00066D52">
            <w:pPr>
              <w:rPr>
                <w:bCs/>
              </w:rPr>
            </w:pPr>
            <w:r w:rsidRPr="00066D52">
              <w:rPr>
                <w:b/>
                <w:bCs/>
              </w:rPr>
              <w:t>340-214-0300</w:t>
            </w:r>
          </w:p>
          <w:p w:rsidR="00066D52" w:rsidRPr="00066D52" w:rsidRDefault="00066D52" w:rsidP="00066D52">
            <w:pPr>
              <w:rPr>
                <w:bCs/>
              </w:rPr>
            </w:pPr>
            <w:r w:rsidRPr="00066D52">
              <w:rPr>
                <w:b/>
                <w:bCs/>
              </w:rPr>
              <w:t>Purpose and Applicability</w:t>
            </w:r>
          </w:p>
          <w:p w:rsidR="00066D52" w:rsidRPr="00066D52" w:rsidRDefault="00066D52" w:rsidP="00066D52">
            <w:pPr>
              <w:rPr>
                <w:bCs/>
              </w:rPr>
            </w:pPr>
            <w:r w:rsidRPr="00066D52">
              <w:rPr>
                <w:bCs/>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devices or operating equipment, process upset, startup, shutdown, or scheduled maintenance.</w:t>
            </w:r>
          </w:p>
        </w:tc>
      </w:tr>
      <w:tr w:rsidR="00356BFF" w:rsidTr="00485E4D">
        <w:tc>
          <w:tcPr>
            <w:tcW w:w="1188" w:type="dxa"/>
          </w:tcPr>
          <w:p w:rsidR="00356BFF" w:rsidRDefault="001B2982">
            <w:r>
              <w:t>220</w:t>
            </w:r>
          </w:p>
        </w:tc>
        <w:tc>
          <w:tcPr>
            <w:tcW w:w="3690" w:type="dxa"/>
          </w:tcPr>
          <w:p w:rsidR="00356BFF" w:rsidRPr="001F1FE4" w:rsidRDefault="001B2982">
            <w:bookmarkStart w:id="0" w:name="_GoBack"/>
            <w:bookmarkEnd w:id="0"/>
            <w:r w:rsidRPr="001F1FE4">
              <w:rPr>
                <w:bCs/>
              </w:rPr>
              <w:t>OREGON TITLE V OPERATING PERMIT FEES</w:t>
            </w:r>
          </w:p>
        </w:tc>
        <w:tc>
          <w:tcPr>
            <w:tcW w:w="4698" w:type="dxa"/>
          </w:tcPr>
          <w:p w:rsidR="00356BFF" w:rsidRPr="00066D52" w:rsidRDefault="00066D52" w:rsidP="00066D52">
            <w:pPr>
              <w:rPr>
                <w:bCs/>
              </w:rPr>
            </w:pPr>
            <w:r w:rsidRPr="00066D52">
              <w:rPr>
                <w:bCs/>
              </w:rPr>
              <w:t xml:space="preserve">(2) This division applies to Oregon Title V Operating Permit program sources as defined in OAR 340-200-0020. </w:t>
            </w:r>
          </w:p>
        </w:tc>
      </w:tr>
      <w:tr w:rsidR="00356BFF" w:rsidTr="00485E4D">
        <w:tc>
          <w:tcPr>
            <w:tcW w:w="1188" w:type="dxa"/>
          </w:tcPr>
          <w:p w:rsidR="00356BFF" w:rsidRDefault="001B2982">
            <w:r>
              <w:lastRenderedPageBreak/>
              <w:t>222</w:t>
            </w:r>
          </w:p>
        </w:tc>
        <w:tc>
          <w:tcPr>
            <w:tcW w:w="3690" w:type="dxa"/>
          </w:tcPr>
          <w:p w:rsidR="00356BFF" w:rsidRPr="001F1FE4" w:rsidRDefault="001B2982">
            <w:pPr>
              <w:rPr>
                <w:bCs/>
              </w:rPr>
            </w:pPr>
            <w:r w:rsidRPr="001F1FE4">
              <w:rPr>
                <w:bCs/>
              </w:rPr>
              <w:t>STATIONARY SOURCE PLANT SITE EMISSION LIMITS</w:t>
            </w:r>
          </w:p>
        </w:tc>
        <w:tc>
          <w:tcPr>
            <w:tcW w:w="4698" w:type="dxa"/>
          </w:tcPr>
          <w:p w:rsidR="00356BFF" w:rsidRDefault="001B2982">
            <w:r w:rsidRPr="001B2982">
              <w:t>(1) Plant Site Emission Limits (PSELs) will be included in all Air Contaminant Discharge Permits (ACDP) and Oregon Title V Operating Permits, except as provided in section (3), as a means of managing airshed capacity by regulating increases and decreases in air emissions.</w:t>
            </w:r>
          </w:p>
        </w:tc>
      </w:tr>
      <w:tr w:rsidR="00356BFF" w:rsidTr="00485E4D">
        <w:tc>
          <w:tcPr>
            <w:tcW w:w="1188" w:type="dxa"/>
          </w:tcPr>
          <w:p w:rsidR="00356BFF" w:rsidRDefault="001B2982">
            <w:r>
              <w:t>225</w:t>
            </w:r>
          </w:p>
        </w:tc>
        <w:tc>
          <w:tcPr>
            <w:tcW w:w="3690" w:type="dxa"/>
          </w:tcPr>
          <w:p w:rsidR="00356BFF" w:rsidRPr="001F1FE4" w:rsidRDefault="001B2982">
            <w:pPr>
              <w:rPr>
                <w:bCs/>
              </w:rPr>
            </w:pPr>
            <w:r w:rsidRPr="001F1FE4">
              <w:rPr>
                <w:bCs/>
              </w:rPr>
              <w:t>AIR QUALITY ANALYSIS REQUIREMENTS</w:t>
            </w:r>
          </w:p>
        </w:tc>
        <w:tc>
          <w:tcPr>
            <w:tcW w:w="4698" w:type="dxa"/>
          </w:tcPr>
          <w:p w:rsidR="00356BFF" w:rsidRDefault="005A27A4">
            <w:r w:rsidRPr="005A27A4">
              <w:t>This division contains the definitions and requirements for air quality analysis. This division does not apply unless a rule in another division refers to this division or a rule in this division.</w:t>
            </w:r>
          </w:p>
        </w:tc>
      </w:tr>
      <w:tr w:rsidR="00356BFF" w:rsidTr="00485E4D">
        <w:tc>
          <w:tcPr>
            <w:tcW w:w="1188" w:type="dxa"/>
          </w:tcPr>
          <w:p w:rsidR="00356BFF" w:rsidRDefault="001B2982">
            <w:r>
              <w:t>226</w:t>
            </w:r>
          </w:p>
        </w:tc>
        <w:tc>
          <w:tcPr>
            <w:tcW w:w="3690" w:type="dxa"/>
          </w:tcPr>
          <w:p w:rsidR="00356BFF" w:rsidRPr="001F1FE4" w:rsidRDefault="001B2982">
            <w:r w:rsidRPr="001F1FE4">
              <w:rPr>
                <w:bCs/>
              </w:rPr>
              <w:t>GENERAL EMISSION STANDARDS</w:t>
            </w:r>
          </w:p>
        </w:tc>
        <w:tc>
          <w:tcPr>
            <w:tcW w:w="4698" w:type="dxa"/>
          </w:tcPr>
          <w:p w:rsidR="00356BFF" w:rsidRDefault="001B2982">
            <w:r>
              <w:t>H&amp;B – none</w:t>
            </w:r>
          </w:p>
          <w:p w:rsidR="001B2982" w:rsidRDefault="00CB654A">
            <w:pPr>
              <w:rPr>
                <w:bCs/>
              </w:rPr>
            </w:pPr>
            <w:r>
              <w:t xml:space="preserve">Grain loading - </w:t>
            </w:r>
            <w:r w:rsidRPr="00CB654A">
              <w:rPr>
                <w:bCs/>
              </w:rPr>
              <w:t>OAR 340-226-0200 through 340-226-0210 apply in all areas of the state.</w:t>
            </w:r>
          </w:p>
          <w:p w:rsidR="00CB654A" w:rsidRDefault="00CB654A">
            <w:r>
              <w:rPr>
                <w:bCs/>
              </w:rPr>
              <w:t>Process weight - none</w:t>
            </w:r>
          </w:p>
        </w:tc>
      </w:tr>
      <w:tr w:rsidR="00356BFF" w:rsidTr="00485E4D">
        <w:tc>
          <w:tcPr>
            <w:tcW w:w="1188" w:type="dxa"/>
          </w:tcPr>
          <w:p w:rsidR="00356BFF" w:rsidRDefault="0012159F" w:rsidP="0012159F">
            <w:pPr>
              <w:tabs>
                <w:tab w:val="left" w:pos="751"/>
              </w:tabs>
            </w:pPr>
            <w:r>
              <w:t>228</w:t>
            </w:r>
          </w:p>
        </w:tc>
        <w:tc>
          <w:tcPr>
            <w:tcW w:w="3690" w:type="dxa"/>
          </w:tcPr>
          <w:p w:rsidR="00356BFF" w:rsidRPr="001F1FE4" w:rsidRDefault="0012159F">
            <w:r w:rsidRPr="001F1FE4">
              <w:rPr>
                <w:bCs/>
              </w:rPr>
              <w:t>REQUIREMENTS FOR FUEL BURNING EQUIPMENT AND FUEL SULFUR CONTENT</w:t>
            </w:r>
          </w:p>
        </w:tc>
        <w:tc>
          <w:tcPr>
            <w:tcW w:w="4698" w:type="dxa"/>
          </w:tcPr>
          <w:p w:rsidR="00356BFF" w:rsidRPr="0012159F" w:rsidRDefault="0012159F">
            <w:pPr>
              <w:rPr>
                <w:bCs/>
              </w:rPr>
            </w:pPr>
            <w:r w:rsidRPr="0012159F">
              <w:rPr>
                <w:bCs/>
              </w:rPr>
              <w:t>This division applies in all areas of the state.</w:t>
            </w:r>
          </w:p>
        </w:tc>
      </w:tr>
      <w:tr w:rsidR="00356BFF" w:rsidTr="00485E4D">
        <w:tc>
          <w:tcPr>
            <w:tcW w:w="1188" w:type="dxa"/>
          </w:tcPr>
          <w:p w:rsidR="00356BFF" w:rsidRDefault="0012159F">
            <w:r>
              <w:t>230</w:t>
            </w:r>
          </w:p>
        </w:tc>
        <w:tc>
          <w:tcPr>
            <w:tcW w:w="3690" w:type="dxa"/>
          </w:tcPr>
          <w:p w:rsidR="005A27A4" w:rsidRPr="001F1FE4" w:rsidRDefault="005A27A4" w:rsidP="005A27A4">
            <w:r w:rsidRPr="001F1FE4">
              <w:rPr>
                <w:bCs/>
              </w:rPr>
              <w:t>INCINERATOR REGULATIONS</w:t>
            </w:r>
          </w:p>
          <w:p w:rsidR="00356BFF" w:rsidRPr="001F1FE4" w:rsidRDefault="00356BFF"/>
        </w:tc>
        <w:tc>
          <w:tcPr>
            <w:tcW w:w="4698" w:type="dxa"/>
          </w:tcPr>
          <w:p w:rsidR="005A27A4" w:rsidRPr="005A27A4" w:rsidRDefault="005A27A4" w:rsidP="005A27A4">
            <w:pPr>
              <w:rPr>
                <w:bCs/>
              </w:rPr>
            </w:pPr>
            <w:r w:rsidRPr="005A27A4">
              <w:rPr>
                <w:bCs/>
              </w:rPr>
              <w:t xml:space="preserve">340-230-0010 </w:t>
            </w:r>
          </w:p>
          <w:p w:rsidR="005A27A4" w:rsidRPr="005A27A4" w:rsidRDefault="005A27A4" w:rsidP="005A27A4">
            <w:pPr>
              <w:rPr>
                <w:bCs/>
              </w:rPr>
            </w:pPr>
            <w:r w:rsidRPr="005A27A4">
              <w:rPr>
                <w:bCs/>
              </w:rPr>
              <w:t>Purpose</w:t>
            </w:r>
          </w:p>
          <w:p w:rsidR="00356BFF" w:rsidRPr="005A27A4" w:rsidRDefault="005A27A4">
            <w:pPr>
              <w:rPr>
                <w:bCs/>
              </w:rPr>
            </w:pPr>
            <w:r w:rsidRPr="005A27A4">
              <w:rPr>
                <w:bCs/>
              </w:rPr>
              <w:t xml:space="preserve">The purpose of this division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 </w:t>
            </w:r>
          </w:p>
        </w:tc>
      </w:tr>
      <w:tr w:rsidR="00356BFF" w:rsidTr="00485E4D">
        <w:tc>
          <w:tcPr>
            <w:tcW w:w="1188" w:type="dxa"/>
          </w:tcPr>
          <w:p w:rsidR="00356BFF" w:rsidRDefault="0012159F" w:rsidP="0012159F">
            <w:pPr>
              <w:jc w:val="both"/>
            </w:pPr>
            <w:r>
              <w:t>234</w:t>
            </w:r>
          </w:p>
        </w:tc>
        <w:tc>
          <w:tcPr>
            <w:tcW w:w="3690" w:type="dxa"/>
          </w:tcPr>
          <w:p w:rsidR="00356BFF" w:rsidRPr="001F1FE4" w:rsidRDefault="0012159F">
            <w:r w:rsidRPr="001F1FE4">
              <w:rPr>
                <w:bCs/>
              </w:rPr>
              <w:t>EMISSION STANDARDS FOR WOOD PRODUCTS</w:t>
            </w:r>
            <w:r w:rsidRPr="001F1FE4">
              <w:rPr>
                <w:bCs/>
              </w:rPr>
              <w:br/>
              <w:t>INDUSTRIES</w:t>
            </w:r>
          </w:p>
        </w:tc>
        <w:tc>
          <w:tcPr>
            <w:tcW w:w="4698" w:type="dxa"/>
          </w:tcPr>
          <w:p w:rsidR="0012159F" w:rsidRPr="0012159F" w:rsidRDefault="0012159F" w:rsidP="0012159F">
            <w:r w:rsidRPr="0012159F">
              <w:t xml:space="preserve">(2) Applicability. </w:t>
            </w:r>
            <w:proofErr w:type="gramStart"/>
            <w:r w:rsidRPr="0012159F">
              <w:t>OAR 340-234-0200 through 340-234-0270 apply</w:t>
            </w:r>
            <w:proofErr w:type="gramEnd"/>
            <w:r w:rsidRPr="0012159F">
              <w:t xml:space="preserve"> to existing and new kraft pulp mills.</w:t>
            </w:r>
          </w:p>
          <w:p w:rsidR="0012159F" w:rsidRDefault="0012159F" w:rsidP="0012159F"/>
          <w:p w:rsidR="00356BFF" w:rsidRDefault="0012159F">
            <w:r w:rsidRPr="0012159F">
              <w:t>(1) OAR 340-234-0500 through 340-234-0530 establish minimum performance and emission standards for veneer, plywood, particleboard, and hardboard manufacturing operations.</w:t>
            </w:r>
          </w:p>
        </w:tc>
      </w:tr>
      <w:tr w:rsidR="00913733" w:rsidTr="00485E4D">
        <w:tc>
          <w:tcPr>
            <w:tcW w:w="1188" w:type="dxa"/>
          </w:tcPr>
          <w:p w:rsidR="00913733" w:rsidRDefault="00913733" w:rsidP="0012159F">
            <w:pPr>
              <w:jc w:val="both"/>
            </w:pPr>
            <w:r>
              <w:t>236</w:t>
            </w:r>
          </w:p>
        </w:tc>
        <w:tc>
          <w:tcPr>
            <w:tcW w:w="3690" w:type="dxa"/>
          </w:tcPr>
          <w:p w:rsidR="00913733" w:rsidRPr="001F1FE4" w:rsidRDefault="00913733" w:rsidP="00913733">
            <w:pPr>
              <w:rPr>
                <w:bCs/>
              </w:rPr>
            </w:pPr>
            <w:r w:rsidRPr="001F1FE4">
              <w:rPr>
                <w:bCs/>
              </w:rPr>
              <w:t>EMISSION STANDARDS FOR SPECIFIC INDUSTRIES</w:t>
            </w:r>
          </w:p>
          <w:p w:rsidR="00913733" w:rsidRPr="001F1FE4" w:rsidRDefault="00913733"/>
        </w:tc>
        <w:tc>
          <w:tcPr>
            <w:tcW w:w="4698" w:type="dxa"/>
          </w:tcPr>
          <w:p w:rsidR="008559C5" w:rsidRDefault="008559C5" w:rsidP="008559C5">
            <w:r>
              <w:t>Reduction of animal matter – none</w:t>
            </w:r>
          </w:p>
          <w:p w:rsidR="008559C5" w:rsidRDefault="008559C5" w:rsidP="008559C5"/>
          <w:p w:rsidR="008559C5" w:rsidRDefault="008559C5" w:rsidP="008559C5">
            <w:r w:rsidRPr="008559C5">
              <w:t>OAR 340-236-0400 through 340-236-0440 apply to hot mix asphalt plants.</w:t>
            </w:r>
          </w:p>
          <w:p w:rsidR="008559C5" w:rsidRDefault="008559C5" w:rsidP="008559C5"/>
          <w:p w:rsidR="00913733" w:rsidRDefault="008559C5">
            <w:r w:rsidRPr="008559C5">
              <w:t>(1) Applicability. This rule applies to small and large municipal solid waste landfills in the following categories:</w:t>
            </w:r>
          </w:p>
        </w:tc>
      </w:tr>
      <w:tr w:rsidR="00913733" w:rsidTr="00485E4D">
        <w:tc>
          <w:tcPr>
            <w:tcW w:w="1188" w:type="dxa"/>
          </w:tcPr>
          <w:p w:rsidR="00913733" w:rsidRDefault="00BF146B" w:rsidP="00465CA3">
            <w:pPr>
              <w:tabs>
                <w:tab w:val="left" w:pos="965"/>
              </w:tabs>
              <w:jc w:val="both"/>
            </w:pPr>
            <w:r>
              <w:t>250</w:t>
            </w:r>
          </w:p>
        </w:tc>
        <w:tc>
          <w:tcPr>
            <w:tcW w:w="3690" w:type="dxa"/>
          </w:tcPr>
          <w:p w:rsidR="00913733" w:rsidRPr="001F1FE4" w:rsidRDefault="00BF146B">
            <w:r w:rsidRPr="001F1FE4">
              <w:rPr>
                <w:bCs/>
              </w:rPr>
              <w:t>GENERAL CONFORMITY</w:t>
            </w:r>
          </w:p>
        </w:tc>
        <w:tc>
          <w:tcPr>
            <w:tcW w:w="4698" w:type="dxa"/>
          </w:tcPr>
          <w:p w:rsidR="00BF146B" w:rsidRPr="00BF146B" w:rsidRDefault="00BF146B" w:rsidP="00BF146B">
            <w:r w:rsidRPr="00BF146B">
              <w:rPr>
                <w:b/>
                <w:bCs/>
              </w:rPr>
              <w:t xml:space="preserve">340-250-0020 </w:t>
            </w:r>
          </w:p>
          <w:p w:rsidR="00BF146B" w:rsidRPr="00BF146B" w:rsidRDefault="00BF146B" w:rsidP="00BF146B">
            <w:r w:rsidRPr="00BF146B">
              <w:rPr>
                <w:b/>
                <w:bCs/>
              </w:rPr>
              <w:t>Applicability</w:t>
            </w:r>
          </w:p>
          <w:p w:rsidR="00913733" w:rsidRDefault="00BF146B">
            <w:r w:rsidRPr="00BF146B">
              <w:t xml:space="preserve">(1) Conformity determinations for federal actions in a nonattainment area or maintenance area related to transportation plans, programs, and projects developed, funded, or approved under title 23 U.S.C. or the Federal Transit Laws (49 U.S.C. Chapter </w:t>
            </w:r>
            <w:proofErr w:type="gramStart"/>
            <w:r w:rsidRPr="00BF146B">
              <w:t>53 )</w:t>
            </w:r>
            <w:proofErr w:type="gramEnd"/>
            <w:r w:rsidRPr="00BF146B">
              <w:t xml:space="preserve"> must meet the procedures and criteria for transportation conformity as set forth in OAR 340 division 252, in lieu of the procedures set forth in this division.</w:t>
            </w:r>
          </w:p>
        </w:tc>
      </w:tr>
      <w:tr w:rsidR="00BF146B" w:rsidTr="00485E4D">
        <w:tc>
          <w:tcPr>
            <w:tcW w:w="1188" w:type="dxa"/>
          </w:tcPr>
          <w:p w:rsidR="00BF146B" w:rsidRDefault="00BF146B" w:rsidP="00191EF0">
            <w:pPr>
              <w:tabs>
                <w:tab w:val="left" w:pos="965"/>
              </w:tabs>
              <w:jc w:val="both"/>
            </w:pPr>
            <w:r>
              <w:t>260</w:t>
            </w:r>
          </w:p>
        </w:tc>
        <w:tc>
          <w:tcPr>
            <w:tcW w:w="3690" w:type="dxa"/>
          </w:tcPr>
          <w:p w:rsidR="00BF146B" w:rsidRPr="001F1FE4" w:rsidRDefault="00AD0500">
            <w:r w:rsidRPr="001F1FE4">
              <w:rPr>
                <w:bCs/>
              </w:rPr>
              <w:t>REFRIGERANT RECYCLING AND OZONE DEPLETING SUBSTANCE REQUIREMENTS</w:t>
            </w:r>
          </w:p>
        </w:tc>
        <w:tc>
          <w:tcPr>
            <w:tcW w:w="4698" w:type="dxa"/>
          </w:tcPr>
          <w:p w:rsidR="00AD0500" w:rsidRPr="00AD0500" w:rsidRDefault="00AD0500" w:rsidP="00AD0500">
            <w:r w:rsidRPr="00AD0500">
              <w:rPr>
                <w:b/>
                <w:bCs/>
              </w:rPr>
              <w:t xml:space="preserve">340-260-0010 </w:t>
            </w:r>
          </w:p>
          <w:p w:rsidR="00AD0500" w:rsidRPr="00AD0500" w:rsidRDefault="00AD0500" w:rsidP="00AD0500">
            <w:r w:rsidRPr="00AD0500">
              <w:rPr>
                <w:b/>
                <w:bCs/>
              </w:rPr>
              <w:t>Purpose and Applicability</w:t>
            </w:r>
          </w:p>
          <w:p w:rsidR="00BF146B" w:rsidRDefault="00AD0500" w:rsidP="00AD0500">
            <w:r w:rsidRPr="00AD0500">
              <w:t xml:space="preserve">The purpose of OAR 340-260-0010 through 340-260-0030 is to reduce the use of stratospheric ozone depleting chemicals, to recycle those chemicals already in use, and to encourage the use of less dangerous chemicals. The Environmental Quality Commission having determined that equipment for the recovery and recycling of chlorofluorocarbons from automobile air conditioners is affordable and </w:t>
            </w:r>
            <w:proofErr w:type="gramStart"/>
            <w:r w:rsidRPr="00AD0500">
              <w:t>available,</w:t>
            </w:r>
            <w:proofErr w:type="gramEnd"/>
            <w:r w:rsidRPr="00AD0500">
              <w:t xml:space="preserve"> intends that 340-260-0010 through 340-260-0030 apply to persons handling automobile air conditioners</w:t>
            </w:r>
            <w:r>
              <w:t>.</w:t>
            </w:r>
          </w:p>
          <w:p w:rsidR="00AD0500" w:rsidRDefault="00AD0500" w:rsidP="00AD0500"/>
          <w:p w:rsidR="00AD0500" w:rsidRPr="00AD0500" w:rsidRDefault="00AD0500" w:rsidP="00AD0500">
            <w:r w:rsidRPr="00AD0500">
              <w:rPr>
                <w:b/>
                <w:bCs/>
              </w:rPr>
              <w:t xml:space="preserve">340-260-0040 </w:t>
            </w:r>
          </w:p>
          <w:p w:rsidR="00AD0500" w:rsidRPr="00AD0500" w:rsidRDefault="00AD0500" w:rsidP="00AD0500">
            <w:r w:rsidRPr="00AD0500">
              <w:rPr>
                <w:b/>
                <w:bCs/>
              </w:rPr>
              <w:t>Federal Regulations Adopted by Reference</w:t>
            </w:r>
          </w:p>
          <w:p w:rsidR="00AD0500" w:rsidRDefault="00AD0500" w:rsidP="00497C35">
            <w:r w:rsidRPr="00AD0500">
              <w:t xml:space="preserve">(1) Except as provided in Section (2) of this rule, </w:t>
            </w:r>
            <w:r w:rsidRPr="00AD0500">
              <w:rPr>
                <w:b/>
                <w:bCs/>
              </w:rPr>
              <w:t>40 CFR Part 82 (July 1, 1994)</w:t>
            </w:r>
            <w:r w:rsidRPr="00AD0500">
              <w:t xml:space="preserve"> is by this reference adopted and incorporated herein for major sources only, for purposes of implementing a stratospheric ozone protection </w:t>
            </w:r>
            <w:r w:rsidRPr="00497C35">
              <w:t>program</w:t>
            </w:r>
            <w:r w:rsidR="00497C35" w:rsidRPr="00497C35">
              <w:t xml:space="preserve"> </w:t>
            </w:r>
            <w:r w:rsidRPr="00497C35">
              <w:t>that</w:t>
            </w:r>
            <w:r w:rsidRPr="00AD0500">
              <w:t xml:space="preserve"> meets the requirements of title VI of the Clean Air Act. </w:t>
            </w:r>
          </w:p>
        </w:tc>
      </w:tr>
      <w:tr w:rsidR="00AD0500" w:rsidTr="00485E4D">
        <w:tc>
          <w:tcPr>
            <w:tcW w:w="1188" w:type="dxa"/>
          </w:tcPr>
          <w:p w:rsidR="00AD0500" w:rsidRDefault="00AD0500" w:rsidP="00191EF0">
            <w:pPr>
              <w:jc w:val="both"/>
            </w:pPr>
            <w:r>
              <w:t>264</w:t>
            </w:r>
          </w:p>
        </w:tc>
        <w:tc>
          <w:tcPr>
            <w:tcW w:w="3690" w:type="dxa"/>
          </w:tcPr>
          <w:p w:rsidR="00AD0500" w:rsidRPr="001F1FE4" w:rsidRDefault="00AD0500" w:rsidP="00191EF0">
            <w:r w:rsidRPr="001F1FE4">
              <w:rPr>
                <w:bCs/>
              </w:rPr>
              <w:t>RULES FOR OPEN BURNING</w:t>
            </w:r>
          </w:p>
          <w:p w:rsidR="00AD0500" w:rsidRPr="001F1FE4" w:rsidRDefault="00AD0500" w:rsidP="00191EF0"/>
        </w:tc>
        <w:tc>
          <w:tcPr>
            <w:tcW w:w="4698" w:type="dxa"/>
          </w:tcPr>
          <w:p w:rsidR="00AD0500" w:rsidRPr="00AD0500" w:rsidRDefault="00AD0500" w:rsidP="00191EF0">
            <w:pPr>
              <w:rPr>
                <w:b/>
                <w:bCs/>
              </w:rPr>
            </w:pPr>
            <w:r w:rsidRPr="00AD0500">
              <w:rPr>
                <w:b/>
                <w:bCs/>
              </w:rPr>
              <w:t xml:space="preserve">340-264-0010 </w:t>
            </w:r>
          </w:p>
          <w:p w:rsidR="00AD0500" w:rsidRPr="00AD0500" w:rsidRDefault="00AD0500" w:rsidP="00191EF0">
            <w:r w:rsidRPr="00AD0500">
              <w:rPr>
                <w:b/>
                <w:bCs/>
              </w:rPr>
              <w:t>How to Use These Open Burning Rules</w:t>
            </w:r>
          </w:p>
          <w:p w:rsidR="00AD0500" w:rsidRDefault="00AD0500" w:rsidP="00191EF0">
            <w:r w:rsidRPr="00AD0500">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w:t>
            </w:r>
          </w:p>
        </w:tc>
      </w:tr>
      <w:tr w:rsidR="00AD0500" w:rsidTr="00485E4D">
        <w:tc>
          <w:tcPr>
            <w:tcW w:w="1188" w:type="dxa"/>
          </w:tcPr>
          <w:p w:rsidR="00AD0500" w:rsidRDefault="001F1FE4" w:rsidP="0012159F">
            <w:pPr>
              <w:jc w:val="both"/>
            </w:pPr>
            <w:r>
              <w:t>268</w:t>
            </w:r>
          </w:p>
        </w:tc>
        <w:tc>
          <w:tcPr>
            <w:tcW w:w="3690" w:type="dxa"/>
          </w:tcPr>
          <w:p w:rsidR="00AD0500" w:rsidRPr="001F1FE4" w:rsidRDefault="001F1FE4">
            <w:r w:rsidRPr="001F1FE4">
              <w:rPr>
                <w:bCs/>
              </w:rPr>
              <w:t>EMISSION REDUCTION CREDITS</w:t>
            </w:r>
          </w:p>
        </w:tc>
        <w:tc>
          <w:tcPr>
            <w:tcW w:w="4698" w:type="dxa"/>
          </w:tcPr>
          <w:p w:rsidR="00AD0500" w:rsidRPr="001F1FE4" w:rsidRDefault="001F1FE4">
            <w:pPr>
              <w:rPr>
                <w:bCs/>
              </w:rPr>
            </w:pPr>
            <w:r w:rsidRPr="001F1FE4">
              <w:rPr>
                <w:bCs/>
              </w:rPr>
              <w:t xml:space="preserve">This division applies to any person who wishes to create or bank an emission reduction credit in the state. </w:t>
            </w:r>
          </w:p>
        </w:tc>
      </w:tr>
    </w:tbl>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9139B9"/>
    <w:rsid w:val="000459F4"/>
    <w:rsid w:val="00060120"/>
    <w:rsid w:val="00066D52"/>
    <w:rsid w:val="00067040"/>
    <w:rsid w:val="000B4697"/>
    <w:rsid w:val="000D5C02"/>
    <w:rsid w:val="00104AC6"/>
    <w:rsid w:val="0012159F"/>
    <w:rsid w:val="001218EC"/>
    <w:rsid w:val="00146C92"/>
    <w:rsid w:val="00147547"/>
    <w:rsid w:val="001559E2"/>
    <w:rsid w:val="00176EEF"/>
    <w:rsid w:val="001838BD"/>
    <w:rsid w:val="00195444"/>
    <w:rsid w:val="00195FC2"/>
    <w:rsid w:val="00197570"/>
    <w:rsid w:val="001A22A5"/>
    <w:rsid w:val="001B2982"/>
    <w:rsid w:val="001B4C01"/>
    <w:rsid w:val="001C5A74"/>
    <w:rsid w:val="001D19AE"/>
    <w:rsid w:val="001F0FD8"/>
    <w:rsid w:val="001F1FE4"/>
    <w:rsid w:val="001F4426"/>
    <w:rsid w:val="0020056E"/>
    <w:rsid w:val="002616A5"/>
    <w:rsid w:val="002A506D"/>
    <w:rsid w:val="00312201"/>
    <w:rsid w:val="003419DD"/>
    <w:rsid w:val="00356BFF"/>
    <w:rsid w:val="00394250"/>
    <w:rsid w:val="0039781C"/>
    <w:rsid w:val="003A1E7B"/>
    <w:rsid w:val="003A2167"/>
    <w:rsid w:val="003A60DE"/>
    <w:rsid w:val="003B54E8"/>
    <w:rsid w:val="003C2C6E"/>
    <w:rsid w:val="003D37E3"/>
    <w:rsid w:val="00400586"/>
    <w:rsid w:val="00414F67"/>
    <w:rsid w:val="0043117D"/>
    <w:rsid w:val="00432365"/>
    <w:rsid w:val="00451F91"/>
    <w:rsid w:val="00465CA3"/>
    <w:rsid w:val="00485E4D"/>
    <w:rsid w:val="00497C35"/>
    <w:rsid w:val="004A69AF"/>
    <w:rsid w:val="004B2364"/>
    <w:rsid w:val="004C0F0A"/>
    <w:rsid w:val="004D578D"/>
    <w:rsid w:val="004F506B"/>
    <w:rsid w:val="005015D1"/>
    <w:rsid w:val="00515305"/>
    <w:rsid w:val="00516616"/>
    <w:rsid w:val="00526BD8"/>
    <w:rsid w:val="005340F7"/>
    <w:rsid w:val="00583080"/>
    <w:rsid w:val="0058737B"/>
    <w:rsid w:val="005A27A4"/>
    <w:rsid w:val="005A4F7A"/>
    <w:rsid w:val="005B3E72"/>
    <w:rsid w:val="005D7215"/>
    <w:rsid w:val="005F2679"/>
    <w:rsid w:val="00621182"/>
    <w:rsid w:val="0066636C"/>
    <w:rsid w:val="00691FFD"/>
    <w:rsid w:val="006A1C1A"/>
    <w:rsid w:val="006A72B3"/>
    <w:rsid w:val="006E23E4"/>
    <w:rsid w:val="006E4A30"/>
    <w:rsid w:val="006E775F"/>
    <w:rsid w:val="006F65EA"/>
    <w:rsid w:val="006F6D02"/>
    <w:rsid w:val="007260E4"/>
    <w:rsid w:val="0072678D"/>
    <w:rsid w:val="00732F05"/>
    <w:rsid w:val="00734469"/>
    <w:rsid w:val="00796081"/>
    <w:rsid w:val="007B704E"/>
    <w:rsid w:val="007C644B"/>
    <w:rsid w:val="007E2042"/>
    <w:rsid w:val="008114C7"/>
    <w:rsid w:val="00822FC3"/>
    <w:rsid w:val="00844B9F"/>
    <w:rsid w:val="008559C5"/>
    <w:rsid w:val="00882A13"/>
    <w:rsid w:val="008A12AC"/>
    <w:rsid w:val="008A5039"/>
    <w:rsid w:val="008A7A14"/>
    <w:rsid w:val="00913733"/>
    <w:rsid w:val="009139B9"/>
    <w:rsid w:val="00942A04"/>
    <w:rsid w:val="00946703"/>
    <w:rsid w:val="009B3E5A"/>
    <w:rsid w:val="009C3DFD"/>
    <w:rsid w:val="009F2E6A"/>
    <w:rsid w:val="009F5924"/>
    <w:rsid w:val="00A74511"/>
    <w:rsid w:val="00A931E0"/>
    <w:rsid w:val="00AD0500"/>
    <w:rsid w:val="00AD2D39"/>
    <w:rsid w:val="00AE1F83"/>
    <w:rsid w:val="00AE630B"/>
    <w:rsid w:val="00B03D23"/>
    <w:rsid w:val="00B45EA8"/>
    <w:rsid w:val="00B517E5"/>
    <w:rsid w:val="00B80CC8"/>
    <w:rsid w:val="00BA746E"/>
    <w:rsid w:val="00BC407B"/>
    <w:rsid w:val="00BE33CA"/>
    <w:rsid w:val="00BF146B"/>
    <w:rsid w:val="00C2695F"/>
    <w:rsid w:val="00C47403"/>
    <w:rsid w:val="00C75249"/>
    <w:rsid w:val="00CB3E5D"/>
    <w:rsid w:val="00CB5269"/>
    <w:rsid w:val="00CB654A"/>
    <w:rsid w:val="00CF18E6"/>
    <w:rsid w:val="00CF2E54"/>
    <w:rsid w:val="00D127AE"/>
    <w:rsid w:val="00D677B1"/>
    <w:rsid w:val="00D83263"/>
    <w:rsid w:val="00D866AB"/>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67C5"/>
    <w:rsid w:val="00F40738"/>
    <w:rsid w:val="00F469F5"/>
    <w:rsid w:val="00FA69E6"/>
    <w:rsid w:val="00FC1EB7"/>
    <w:rsid w:val="00FC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913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64528">
      <w:bodyDiv w:val="1"/>
      <w:marLeft w:val="0"/>
      <w:marRight w:val="0"/>
      <w:marTop w:val="0"/>
      <w:marBottom w:val="0"/>
      <w:divBdr>
        <w:top w:val="none" w:sz="0" w:space="0" w:color="auto"/>
        <w:left w:val="none" w:sz="0" w:space="0" w:color="auto"/>
        <w:bottom w:val="none" w:sz="0" w:space="0" w:color="auto"/>
        <w:right w:val="none" w:sz="0" w:space="0" w:color="auto"/>
      </w:divBdr>
      <w:divsChild>
        <w:div w:id="1049837780">
          <w:marLeft w:val="0"/>
          <w:marRight w:val="0"/>
          <w:marTop w:val="0"/>
          <w:marBottom w:val="0"/>
          <w:divBdr>
            <w:top w:val="none" w:sz="0" w:space="0" w:color="auto"/>
            <w:left w:val="none" w:sz="0" w:space="0" w:color="auto"/>
            <w:bottom w:val="none" w:sz="0" w:space="0" w:color="auto"/>
            <w:right w:val="none" w:sz="0" w:space="0" w:color="auto"/>
          </w:divBdr>
          <w:divsChild>
            <w:div w:id="1748961229">
              <w:marLeft w:val="0"/>
              <w:marRight w:val="0"/>
              <w:marTop w:val="0"/>
              <w:marBottom w:val="0"/>
              <w:divBdr>
                <w:top w:val="none" w:sz="0" w:space="0" w:color="auto"/>
                <w:left w:val="none" w:sz="0" w:space="0" w:color="auto"/>
                <w:bottom w:val="none" w:sz="0" w:space="0" w:color="auto"/>
                <w:right w:val="none" w:sz="0" w:space="0" w:color="auto"/>
              </w:divBdr>
              <w:divsChild>
                <w:div w:id="1805929457">
                  <w:marLeft w:val="0"/>
                  <w:marRight w:val="0"/>
                  <w:marTop w:val="0"/>
                  <w:marBottom w:val="0"/>
                  <w:divBdr>
                    <w:top w:val="none" w:sz="0" w:space="0" w:color="auto"/>
                    <w:left w:val="none" w:sz="0" w:space="0" w:color="auto"/>
                    <w:bottom w:val="none" w:sz="0" w:space="0" w:color="auto"/>
                    <w:right w:val="none" w:sz="0" w:space="0" w:color="auto"/>
                  </w:divBdr>
                  <w:divsChild>
                    <w:div w:id="2089574253">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Child>
    </w:div>
    <w:div w:id="792213530">
      <w:bodyDiv w:val="1"/>
      <w:marLeft w:val="0"/>
      <w:marRight w:val="0"/>
      <w:marTop w:val="0"/>
      <w:marBottom w:val="0"/>
      <w:divBdr>
        <w:top w:val="none" w:sz="0" w:space="0" w:color="auto"/>
        <w:left w:val="none" w:sz="0" w:space="0" w:color="auto"/>
        <w:bottom w:val="none" w:sz="0" w:space="0" w:color="auto"/>
        <w:right w:val="none" w:sz="0" w:space="0" w:color="auto"/>
      </w:divBdr>
      <w:divsChild>
        <w:div w:id="1261337490">
          <w:marLeft w:val="0"/>
          <w:marRight w:val="0"/>
          <w:marTop w:val="0"/>
          <w:marBottom w:val="0"/>
          <w:divBdr>
            <w:top w:val="none" w:sz="0" w:space="0" w:color="auto"/>
            <w:left w:val="none" w:sz="0" w:space="0" w:color="auto"/>
            <w:bottom w:val="none" w:sz="0" w:space="0" w:color="auto"/>
            <w:right w:val="none" w:sz="0" w:space="0" w:color="auto"/>
          </w:divBdr>
          <w:divsChild>
            <w:div w:id="1544443088">
              <w:marLeft w:val="0"/>
              <w:marRight w:val="0"/>
              <w:marTop w:val="0"/>
              <w:marBottom w:val="0"/>
              <w:divBdr>
                <w:top w:val="none" w:sz="0" w:space="0" w:color="auto"/>
                <w:left w:val="none" w:sz="0" w:space="0" w:color="auto"/>
                <w:bottom w:val="none" w:sz="0" w:space="0" w:color="auto"/>
                <w:right w:val="none" w:sz="0" w:space="0" w:color="auto"/>
              </w:divBdr>
              <w:divsChild>
                <w:div w:id="17080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8845">
      <w:bodyDiv w:val="1"/>
      <w:marLeft w:val="0"/>
      <w:marRight w:val="0"/>
      <w:marTop w:val="0"/>
      <w:marBottom w:val="0"/>
      <w:divBdr>
        <w:top w:val="none" w:sz="0" w:space="0" w:color="auto"/>
        <w:left w:val="none" w:sz="0" w:space="0" w:color="auto"/>
        <w:bottom w:val="none" w:sz="0" w:space="0" w:color="auto"/>
        <w:right w:val="none" w:sz="0" w:space="0" w:color="auto"/>
      </w:divBdr>
      <w:divsChild>
        <w:div w:id="508184375">
          <w:marLeft w:val="0"/>
          <w:marRight w:val="0"/>
          <w:marTop w:val="0"/>
          <w:marBottom w:val="0"/>
          <w:divBdr>
            <w:top w:val="none" w:sz="0" w:space="0" w:color="auto"/>
            <w:left w:val="none" w:sz="0" w:space="0" w:color="auto"/>
            <w:bottom w:val="none" w:sz="0" w:space="0" w:color="auto"/>
            <w:right w:val="none" w:sz="0" w:space="0" w:color="auto"/>
          </w:divBdr>
          <w:divsChild>
            <w:div w:id="1700204776">
              <w:marLeft w:val="0"/>
              <w:marRight w:val="0"/>
              <w:marTop w:val="0"/>
              <w:marBottom w:val="0"/>
              <w:divBdr>
                <w:top w:val="none" w:sz="0" w:space="0" w:color="auto"/>
                <w:left w:val="none" w:sz="0" w:space="0" w:color="auto"/>
                <w:bottom w:val="none" w:sz="0" w:space="0" w:color="auto"/>
                <w:right w:val="none" w:sz="0" w:space="0" w:color="auto"/>
              </w:divBdr>
              <w:divsChild>
                <w:div w:id="12956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7615">
      <w:bodyDiv w:val="1"/>
      <w:marLeft w:val="0"/>
      <w:marRight w:val="0"/>
      <w:marTop w:val="0"/>
      <w:marBottom w:val="0"/>
      <w:divBdr>
        <w:top w:val="none" w:sz="0" w:space="0" w:color="auto"/>
        <w:left w:val="none" w:sz="0" w:space="0" w:color="auto"/>
        <w:bottom w:val="none" w:sz="0" w:space="0" w:color="auto"/>
        <w:right w:val="none" w:sz="0" w:space="0" w:color="auto"/>
      </w:divBdr>
      <w:divsChild>
        <w:div w:id="250436396">
          <w:marLeft w:val="0"/>
          <w:marRight w:val="0"/>
          <w:marTop w:val="0"/>
          <w:marBottom w:val="0"/>
          <w:divBdr>
            <w:top w:val="none" w:sz="0" w:space="0" w:color="auto"/>
            <w:left w:val="none" w:sz="0" w:space="0" w:color="auto"/>
            <w:bottom w:val="none" w:sz="0" w:space="0" w:color="auto"/>
            <w:right w:val="none" w:sz="0" w:space="0" w:color="auto"/>
          </w:divBdr>
          <w:divsChild>
            <w:div w:id="882861474">
              <w:marLeft w:val="0"/>
              <w:marRight w:val="0"/>
              <w:marTop w:val="0"/>
              <w:marBottom w:val="0"/>
              <w:divBdr>
                <w:top w:val="none" w:sz="0" w:space="0" w:color="auto"/>
                <w:left w:val="none" w:sz="0" w:space="0" w:color="auto"/>
                <w:bottom w:val="none" w:sz="0" w:space="0" w:color="auto"/>
                <w:right w:val="none" w:sz="0" w:space="0" w:color="auto"/>
              </w:divBdr>
              <w:divsChild>
                <w:div w:id="6211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4829">
      <w:bodyDiv w:val="1"/>
      <w:marLeft w:val="0"/>
      <w:marRight w:val="0"/>
      <w:marTop w:val="0"/>
      <w:marBottom w:val="0"/>
      <w:divBdr>
        <w:top w:val="none" w:sz="0" w:space="0" w:color="auto"/>
        <w:left w:val="none" w:sz="0" w:space="0" w:color="auto"/>
        <w:bottom w:val="none" w:sz="0" w:space="0" w:color="auto"/>
        <w:right w:val="none" w:sz="0" w:space="0" w:color="auto"/>
      </w:divBdr>
      <w:divsChild>
        <w:div w:id="174154414">
          <w:marLeft w:val="0"/>
          <w:marRight w:val="0"/>
          <w:marTop w:val="0"/>
          <w:marBottom w:val="0"/>
          <w:divBdr>
            <w:top w:val="none" w:sz="0" w:space="0" w:color="auto"/>
            <w:left w:val="none" w:sz="0" w:space="0" w:color="auto"/>
            <w:bottom w:val="none" w:sz="0" w:space="0" w:color="auto"/>
            <w:right w:val="none" w:sz="0" w:space="0" w:color="auto"/>
          </w:divBdr>
          <w:divsChild>
            <w:div w:id="215630756">
              <w:marLeft w:val="0"/>
              <w:marRight w:val="0"/>
              <w:marTop w:val="0"/>
              <w:marBottom w:val="0"/>
              <w:divBdr>
                <w:top w:val="none" w:sz="0" w:space="0" w:color="auto"/>
                <w:left w:val="none" w:sz="0" w:space="0" w:color="auto"/>
                <w:bottom w:val="none" w:sz="0" w:space="0" w:color="auto"/>
                <w:right w:val="none" w:sz="0" w:space="0" w:color="auto"/>
              </w:divBdr>
              <w:divsChild>
                <w:div w:id="16190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1401">
      <w:bodyDiv w:val="1"/>
      <w:marLeft w:val="0"/>
      <w:marRight w:val="0"/>
      <w:marTop w:val="0"/>
      <w:marBottom w:val="0"/>
      <w:divBdr>
        <w:top w:val="none" w:sz="0" w:space="0" w:color="auto"/>
        <w:left w:val="none" w:sz="0" w:space="0" w:color="auto"/>
        <w:bottom w:val="none" w:sz="0" w:space="0" w:color="auto"/>
        <w:right w:val="none" w:sz="0" w:space="0" w:color="auto"/>
      </w:divBdr>
      <w:divsChild>
        <w:div w:id="1237975206">
          <w:marLeft w:val="0"/>
          <w:marRight w:val="0"/>
          <w:marTop w:val="0"/>
          <w:marBottom w:val="0"/>
          <w:divBdr>
            <w:top w:val="none" w:sz="0" w:space="0" w:color="auto"/>
            <w:left w:val="none" w:sz="0" w:space="0" w:color="auto"/>
            <w:bottom w:val="none" w:sz="0" w:space="0" w:color="auto"/>
            <w:right w:val="none" w:sz="0" w:space="0" w:color="auto"/>
          </w:divBdr>
          <w:divsChild>
            <w:div w:id="1742560421">
              <w:marLeft w:val="0"/>
              <w:marRight w:val="0"/>
              <w:marTop w:val="0"/>
              <w:marBottom w:val="0"/>
              <w:divBdr>
                <w:top w:val="none" w:sz="0" w:space="0" w:color="auto"/>
                <w:left w:val="none" w:sz="0" w:space="0" w:color="auto"/>
                <w:bottom w:val="none" w:sz="0" w:space="0" w:color="auto"/>
                <w:right w:val="none" w:sz="0" w:space="0" w:color="auto"/>
              </w:divBdr>
              <w:divsChild>
                <w:div w:id="623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Mark</cp:lastModifiedBy>
  <cp:revision>12</cp:revision>
  <dcterms:created xsi:type="dcterms:W3CDTF">2014-04-23T22:06:00Z</dcterms:created>
  <dcterms:modified xsi:type="dcterms:W3CDTF">2014-04-24T15:44:00Z</dcterms:modified>
</cp:coreProperties>
</file>