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93" w:rsidRDefault="00E27293"/>
    <w:tbl>
      <w:tblPr>
        <w:tblStyle w:val="TableGrid"/>
        <w:tblW w:w="0" w:type="auto"/>
        <w:tblLook w:val="04A0" w:firstRow="1" w:lastRow="0" w:firstColumn="1" w:lastColumn="0" w:noHBand="0" w:noVBand="1"/>
      </w:tblPr>
      <w:tblGrid>
        <w:gridCol w:w="4146"/>
        <w:gridCol w:w="4146"/>
        <w:gridCol w:w="4146"/>
        <w:gridCol w:w="2160"/>
      </w:tblGrid>
      <w:tr w:rsidR="0004316D" w:rsidTr="00F73F63">
        <w:trPr>
          <w:trHeight w:val="341"/>
          <w:tblHeader/>
        </w:trPr>
        <w:tc>
          <w:tcPr>
            <w:tcW w:w="14598" w:type="dxa"/>
            <w:gridSpan w:val="4"/>
          </w:tcPr>
          <w:p w:rsidR="00BF1B93" w:rsidRDefault="0004316D" w:rsidP="0004316D">
            <w:pPr>
              <w:jc w:val="center"/>
              <w:rPr>
                <w:rFonts w:ascii="Times New Roman" w:eastAsia="Calibri" w:hAnsi="Times New Roman" w:cs="Times New Roman"/>
                <w:b/>
                <w:bCs/>
                <w:sz w:val="24"/>
                <w:szCs w:val="24"/>
              </w:rPr>
            </w:pPr>
            <w:r w:rsidRPr="0004316D">
              <w:rPr>
                <w:rFonts w:ascii="Times New Roman" w:eastAsia="Calibri" w:hAnsi="Times New Roman" w:cs="Times New Roman"/>
                <w:b/>
                <w:bCs/>
                <w:sz w:val="24"/>
                <w:szCs w:val="24"/>
              </w:rPr>
              <w:t>340-208-0110</w:t>
            </w:r>
            <w:r>
              <w:rPr>
                <w:rFonts w:ascii="Times New Roman" w:eastAsia="Calibri" w:hAnsi="Times New Roman" w:cs="Times New Roman"/>
                <w:b/>
                <w:bCs/>
                <w:sz w:val="24"/>
                <w:szCs w:val="24"/>
              </w:rPr>
              <w:t xml:space="preserve"> </w:t>
            </w:r>
          </w:p>
          <w:p w:rsidR="0004316D" w:rsidRPr="0004316D" w:rsidRDefault="0004316D" w:rsidP="0004316D">
            <w:pPr>
              <w:jc w:val="center"/>
              <w:rPr>
                <w:rFonts w:ascii="Times New Roman" w:eastAsia="Calibri" w:hAnsi="Times New Roman" w:cs="Times New Roman"/>
                <w:sz w:val="24"/>
                <w:szCs w:val="24"/>
              </w:rPr>
            </w:pPr>
            <w:r w:rsidRPr="0004316D">
              <w:rPr>
                <w:rFonts w:ascii="Times New Roman" w:eastAsia="Calibri" w:hAnsi="Times New Roman" w:cs="Times New Roman"/>
                <w:b/>
                <w:bCs/>
                <w:sz w:val="24"/>
                <w:szCs w:val="24"/>
              </w:rPr>
              <w:t>Visible Air Contaminant Limitations</w:t>
            </w:r>
          </w:p>
        </w:tc>
      </w:tr>
      <w:tr w:rsidR="00F73F63" w:rsidRPr="006D57E4" w:rsidTr="001A46DB">
        <w:trPr>
          <w:tblHeader/>
        </w:trPr>
        <w:tc>
          <w:tcPr>
            <w:tcW w:w="4146" w:type="dxa"/>
          </w:tcPr>
          <w:p w:rsidR="00F73F63" w:rsidRPr="006D57E4" w:rsidRDefault="00F73F63"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Source</w:t>
            </w:r>
          </w:p>
        </w:tc>
        <w:tc>
          <w:tcPr>
            <w:tcW w:w="4146" w:type="dxa"/>
          </w:tcPr>
          <w:p w:rsidR="00F73F63" w:rsidRPr="006D57E4" w:rsidRDefault="00F73F63"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Location</w:t>
            </w:r>
          </w:p>
        </w:tc>
        <w:tc>
          <w:tcPr>
            <w:tcW w:w="4146" w:type="dxa"/>
          </w:tcPr>
          <w:p w:rsidR="00F73F63" w:rsidRPr="006D57E4" w:rsidRDefault="00F73F63"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Limit</w:t>
            </w:r>
          </w:p>
        </w:tc>
        <w:tc>
          <w:tcPr>
            <w:tcW w:w="2160" w:type="dxa"/>
          </w:tcPr>
          <w:p w:rsidR="00F73F63" w:rsidRPr="006D57E4" w:rsidRDefault="00F73F63"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When</w:t>
            </w:r>
          </w:p>
        </w:tc>
      </w:tr>
      <w:tr w:rsidR="006D57E4" w:rsidTr="001A46DB">
        <w:trPr>
          <w:trHeight w:val="457"/>
        </w:trPr>
        <w:tc>
          <w:tcPr>
            <w:tcW w:w="4146" w:type="dxa"/>
            <w:vMerge w:val="restart"/>
          </w:tcPr>
          <w:p w:rsidR="006D57E4" w:rsidRPr="00A05F35" w:rsidRDefault="0004316D" w:rsidP="00A05F35">
            <w:pPr>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6D57E4" w:rsidRPr="00A05F35">
              <w:rPr>
                <w:rFonts w:ascii="Times New Roman" w:eastAsia="Calibri" w:hAnsi="Times New Roman" w:cs="Times New Roman"/>
                <w:bCs/>
                <w:sz w:val="24"/>
                <w:szCs w:val="24"/>
              </w:rPr>
              <w:t>3) For sources, other than wood-fired boilers, that existed prior to June 1, 1970 and have not been modified since May 31, 1970:</w:t>
            </w:r>
          </w:p>
          <w:p w:rsidR="006D57E4" w:rsidRPr="006D57E4" w:rsidRDefault="006D57E4" w:rsidP="00A05F35">
            <w:pPr>
              <w:rPr>
                <w:rFonts w:ascii="Times New Roman" w:eastAsia="Calibri" w:hAnsi="Times New Roman" w:cs="Times New Roman"/>
                <w:bCs/>
                <w:sz w:val="24"/>
                <w:szCs w:val="24"/>
              </w:rPr>
            </w:pPr>
          </w:p>
        </w:tc>
        <w:tc>
          <w:tcPr>
            <w:tcW w:w="4146" w:type="dxa"/>
            <w:vMerge w:val="restart"/>
          </w:tcPr>
          <w:p w:rsidR="006D57E4" w:rsidRPr="00A05F35" w:rsidRDefault="006D57E4"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(a) If located outside a special control area, visible emissions must not equal or exceed:</w:t>
            </w:r>
          </w:p>
          <w:p w:rsidR="006D57E4" w:rsidRDefault="006D57E4" w:rsidP="006D57E4"/>
        </w:tc>
        <w:tc>
          <w:tcPr>
            <w:tcW w:w="4146" w:type="dxa"/>
          </w:tcPr>
          <w:p w:rsidR="006D57E4" w:rsidRPr="00A05F35" w:rsidRDefault="006D57E4" w:rsidP="006D57E4">
            <w:pPr>
              <w:rPr>
                <w:rFonts w:ascii="Times New Roman" w:eastAsia="Calibri" w:hAnsi="Times New Roman" w:cs="Times New Roman"/>
                <w:bCs/>
                <w:sz w:val="24"/>
                <w:szCs w:val="24"/>
              </w:rPr>
            </w:pPr>
            <w:r>
              <w:rPr>
                <w:rFonts w:ascii="Times New Roman" w:eastAsia="Calibri" w:hAnsi="Times New Roman" w:cs="Times New Roman"/>
                <w:bCs/>
                <w:sz w:val="24"/>
                <w:szCs w:val="24"/>
              </w:rPr>
              <w:t>(A) 40 percent opacity</w:t>
            </w:r>
          </w:p>
          <w:p w:rsidR="006D57E4" w:rsidRPr="006D57E4" w:rsidRDefault="006D57E4">
            <w:pPr>
              <w:rPr>
                <w:rFonts w:ascii="Times New Roman" w:eastAsia="Calibri" w:hAnsi="Times New Roman" w:cs="Times New Roman"/>
                <w:bCs/>
                <w:sz w:val="24"/>
                <w:szCs w:val="24"/>
              </w:rPr>
            </w:pPr>
          </w:p>
        </w:tc>
        <w:tc>
          <w:tcPr>
            <w:tcW w:w="2160" w:type="dxa"/>
          </w:tcPr>
          <w:p w:rsidR="006D57E4" w:rsidRPr="00A05F35" w:rsidRDefault="001A46DB" w:rsidP="006D57E4">
            <w:pPr>
              <w:rPr>
                <w:rFonts w:ascii="Times New Roman" w:eastAsia="Calibri" w:hAnsi="Times New Roman" w:cs="Times New Roman"/>
                <w:bCs/>
                <w:sz w:val="24"/>
                <w:szCs w:val="24"/>
              </w:rPr>
            </w:pPr>
            <w:r>
              <w:rPr>
                <w:rFonts w:ascii="Times New Roman" w:eastAsia="Calibri" w:hAnsi="Times New Roman" w:cs="Times New Roman"/>
                <w:bCs/>
                <w:sz w:val="24"/>
                <w:szCs w:val="24"/>
              </w:rPr>
              <w:t>through Dec.</w:t>
            </w:r>
            <w:r w:rsidR="006D57E4">
              <w:rPr>
                <w:rFonts w:ascii="Times New Roman" w:eastAsia="Calibri" w:hAnsi="Times New Roman" w:cs="Times New Roman"/>
                <w:bCs/>
                <w:sz w:val="24"/>
                <w:szCs w:val="24"/>
              </w:rPr>
              <w:t xml:space="preserve"> 31, 2019</w:t>
            </w:r>
          </w:p>
        </w:tc>
      </w:tr>
      <w:tr w:rsidR="006D57E4" w:rsidTr="001A46DB">
        <w:trPr>
          <w:trHeight w:val="457"/>
        </w:trPr>
        <w:tc>
          <w:tcPr>
            <w:tcW w:w="4146" w:type="dxa"/>
            <w:vMerge/>
          </w:tcPr>
          <w:p w:rsidR="006D57E4" w:rsidRPr="00A05F35" w:rsidRDefault="006D57E4" w:rsidP="00A05F35">
            <w:pPr>
              <w:rPr>
                <w:rFonts w:ascii="Times New Roman" w:eastAsia="Calibri" w:hAnsi="Times New Roman" w:cs="Times New Roman"/>
                <w:bCs/>
                <w:sz w:val="24"/>
                <w:szCs w:val="24"/>
              </w:rPr>
            </w:pPr>
          </w:p>
        </w:tc>
        <w:tc>
          <w:tcPr>
            <w:tcW w:w="4146" w:type="dxa"/>
            <w:vMerge/>
          </w:tcPr>
          <w:p w:rsidR="006D57E4" w:rsidRPr="00A05F35" w:rsidRDefault="006D57E4" w:rsidP="006D57E4">
            <w:pPr>
              <w:rPr>
                <w:rFonts w:ascii="Times New Roman" w:eastAsia="Calibri" w:hAnsi="Times New Roman" w:cs="Times New Roman"/>
                <w:bCs/>
                <w:sz w:val="24"/>
                <w:szCs w:val="24"/>
              </w:rPr>
            </w:pPr>
          </w:p>
        </w:tc>
        <w:tc>
          <w:tcPr>
            <w:tcW w:w="4146" w:type="dxa"/>
          </w:tcPr>
          <w:p w:rsidR="006D57E4" w:rsidRPr="00A05F35" w:rsidRDefault="006D57E4"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 xml:space="preserve">(B) 20 percent opacity </w:t>
            </w:r>
          </w:p>
        </w:tc>
        <w:tc>
          <w:tcPr>
            <w:tcW w:w="2160" w:type="dxa"/>
          </w:tcPr>
          <w:p w:rsidR="006D57E4" w:rsidRPr="00A05F35" w:rsidRDefault="001A46DB" w:rsidP="006D57E4">
            <w:pPr>
              <w:rPr>
                <w:rFonts w:ascii="Times New Roman" w:eastAsia="Calibri" w:hAnsi="Times New Roman" w:cs="Times New Roman"/>
                <w:bCs/>
                <w:sz w:val="24"/>
                <w:szCs w:val="24"/>
              </w:rPr>
            </w:pPr>
            <w:r>
              <w:rPr>
                <w:rFonts w:ascii="Times New Roman" w:eastAsia="Calibri" w:hAnsi="Times New Roman" w:cs="Times New Roman"/>
                <w:bCs/>
                <w:sz w:val="24"/>
                <w:szCs w:val="24"/>
              </w:rPr>
              <w:t>on and after Jan.</w:t>
            </w:r>
            <w:r w:rsidR="006D57E4" w:rsidRPr="00A05F35">
              <w:rPr>
                <w:rFonts w:ascii="Times New Roman" w:eastAsia="Calibri" w:hAnsi="Times New Roman" w:cs="Times New Roman"/>
                <w:bCs/>
                <w:sz w:val="24"/>
                <w:szCs w:val="24"/>
              </w:rPr>
              <w:t xml:space="preserve"> 1, 2020</w:t>
            </w:r>
          </w:p>
        </w:tc>
      </w:tr>
      <w:tr w:rsidR="006D57E4" w:rsidTr="001A46DB">
        <w:tc>
          <w:tcPr>
            <w:tcW w:w="4146" w:type="dxa"/>
            <w:vMerge/>
          </w:tcPr>
          <w:p w:rsidR="006D57E4" w:rsidRPr="00A05F35" w:rsidRDefault="006D57E4" w:rsidP="00A05F35">
            <w:pPr>
              <w:rPr>
                <w:rFonts w:ascii="Times New Roman" w:eastAsia="Calibri" w:hAnsi="Times New Roman" w:cs="Times New Roman"/>
                <w:bCs/>
                <w:sz w:val="24"/>
                <w:szCs w:val="24"/>
              </w:rPr>
            </w:pPr>
          </w:p>
        </w:tc>
        <w:tc>
          <w:tcPr>
            <w:tcW w:w="4146" w:type="dxa"/>
          </w:tcPr>
          <w:p w:rsidR="006D57E4" w:rsidRPr="00A05F35" w:rsidRDefault="006D57E4"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 xml:space="preserve">(b) If located inside a special control area, visible emissions must not equal or exceed </w:t>
            </w:r>
          </w:p>
        </w:tc>
        <w:tc>
          <w:tcPr>
            <w:tcW w:w="4146" w:type="dxa"/>
          </w:tcPr>
          <w:p w:rsidR="006D57E4" w:rsidRDefault="006D57E4">
            <w:r>
              <w:rPr>
                <w:rFonts w:ascii="Times New Roman" w:eastAsia="Calibri" w:hAnsi="Times New Roman" w:cs="Times New Roman"/>
                <w:bCs/>
                <w:sz w:val="24"/>
                <w:szCs w:val="24"/>
              </w:rPr>
              <w:t>20 percent opacity</w:t>
            </w:r>
          </w:p>
        </w:tc>
        <w:tc>
          <w:tcPr>
            <w:tcW w:w="2160" w:type="dxa"/>
          </w:tcPr>
          <w:p w:rsidR="006D57E4" w:rsidRPr="00A05F35" w:rsidRDefault="006D57E4">
            <w:pPr>
              <w:rPr>
                <w:rFonts w:ascii="Times New Roman" w:eastAsia="Calibri" w:hAnsi="Times New Roman" w:cs="Times New Roman"/>
                <w:bCs/>
                <w:sz w:val="24"/>
                <w:szCs w:val="24"/>
              </w:rPr>
            </w:pPr>
          </w:p>
        </w:tc>
      </w:tr>
      <w:tr w:rsidR="006D57E4" w:rsidTr="001A46DB">
        <w:tc>
          <w:tcPr>
            <w:tcW w:w="4146" w:type="dxa"/>
          </w:tcPr>
          <w:p w:rsidR="006D57E4" w:rsidRPr="00A05F35" w:rsidRDefault="006D57E4"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(4) For sources, other than wood-fired boilers, installed, constructed, or modified on or after June 1, 1970, visible emissions must not exceed</w:t>
            </w:r>
          </w:p>
        </w:tc>
        <w:tc>
          <w:tcPr>
            <w:tcW w:w="4146" w:type="dxa"/>
          </w:tcPr>
          <w:p w:rsidR="006D57E4" w:rsidRDefault="006D57E4"/>
        </w:tc>
        <w:tc>
          <w:tcPr>
            <w:tcW w:w="4146" w:type="dxa"/>
          </w:tcPr>
          <w:p w:rsidR="006D57E4" w:rsidRDefault="006D57E4">
            <w:r>
              <w:rPr>
                <w:rFonts w:ascii="Times New Roman" w:eastAsia="Calibri" w:hAnsi="Times New Roman" w:cs="Times New Roman"/>
                <w:bCs/>
                <w:sz w:val="24"/>
                <w:szCs w:val="24"/>
              </w:rPr>
              <w:t>20 percent opacity</w:t>
            </w:r>
          </w:p>
        </w:tc>
        <w:tc>
          <w:tcPr>
            <w:tcW w:w="2160" w:type="dxa"/>
          </w:tcPr>
          <w:p w:rsidR="006D57E4" w:rsidRPr="00A05F35" w:rsidRDefault="006D57E4">
            <w:pPr>
              <w:rPr>
                <w:rFonts w:ascii="Times New Roman" w:eastAsia="Calibri" w:hAnsi="Times New Roman" w:cs="Times New Roman"/>
                <w:bCs/>
                <w:sz w:val="24"/>
                <w:szCs w:val="24"/>
              </w:rPr>
            </w:pPr>
          </w:p>
        </w:tc>
      </w:tr>
      <w:tr w:rsidR="00492680" w:rsidTr="001A46DB">
        <w:tc>
          <w:tcPr>
            <w:tcW w:w="4146" w:type="dxa"/>
            <w:vMerge w:val="restart"/>
          </w:tcPr>
          <w:p w:rsidR="00492680" w:rsidRPr="00A05F35" w:rsidRDefault="00492680" w:rsidP="00A05F35">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(5) For wood-fired boilers that existed prior to June 1, 1970 and have not been modified since May 31, 1970, visible emissions must not equal or exceed:</w:t>
            </w:r>
          </w:p>
          <w:p w:rsidR="00492680" w:rsidRPr="00A05F35" w:rsidRDefault="00492680">
            <w:pPr>
              <w:rPr>
                <w:rFonts w:ascii="Times New Roman" w:eastAsia="Calibri" w:hAnsi="Times New Roman" w:cs="Times New Roman"/>
                <w:bCs/>
                <w:sz w:val="24"/>
                <w:szCs w:val="24"/>
              </w:rPr>
            </w:pPr>
          </w:p>
        </w:tc>
        <w:tc>
          <w:tcPr>
            <w:tcW w:w="4146" w:type="dxa"/>
          </w:tcPr>
          <w:p w:rsidR="00492680" w:rsidRDefault="00492680" w:rsidP="006D57E4"/>
        </w:tc>
        <w:tc>
          <w:tcPr>
            <w:tcW w:w="4146" w:type="dxa"/>
          </w:tcPr>
          <w:p w:rsidR="00492680" w:rsidRPr="006D57E4" w:rsidRDefault="00492680">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(a) 40 percent opacity with the exception that visible emissions may equal or exceed 40 percent opacity for up to 12 minutes in an hour, but may not equal or exceed 55 percent opacity during that 12 minute period, as the average of two six minute Method 9 observation periods.</w:t>
            </w:r>
          </w:p>
        </w:tc>
        <w:tc>
          <w:tcPr>
            <w:tcW w:w="2160" w:type="dxa"/>
          </w:tcPr>
          <w:p w:rsidR="00492680" w:rsidRDefault="001A46DB">
            <w:r>
              <w:rPr>
                <w:rFonts w:ascii="Times New Roman" w:eastAsia="Calibri" w:hAnsi="Times New Roman" w:cs="Times New Roman"/>
                <w:bCs/>
                <w:sz w:val="24"/>
                <w:szCs w:val="24"/>
              </w:rPr>
              <w:t xml:space="preserve">through Dec. </w:t>
            </w:r>
            <w:r w:rsidR="00492680" w:rsidRPr="00A05F35">
              <w:rPr>
                <w:rFonts w:ascii="Times New Roman" w:eastAsia="Calibri" w:hAnsi="Times New Roman" w:cs="Times New Roman"/>
                <w:bCs/>
                <w:sz w:val="24"/>
                <w:szCs w:val="24"/>
              </w:rPr>
              <w:t>31, 2019</w:t>
            </w:r>
          </w:p>
        </w:tc>
      </w:tr>
      <w:tr w:rsidR="00492680" w:rsidTr="001A46DB">
        <w:tc>
          <w:tcPr>
            <w:tcW w:w="4146" w:type="dxa"/>
            <w:vMerge/>
          </w:tcPr>
          <w:p w:rsidR="00492680" w:rsidRPr="00A05F35" w:rsidRDefault="00492680" w:rsidP="00A05F35">
            <w:pPr>
              <w:rPr>
                <w:rFonts w:ascii="Times New Roman" w:eastAsia="Calibri" w:hAnsi="Times New Roman" w:cs="Times New Roman"/>
                <w:bCs/>
                <w:sz w:val="24"/>
                <w:szCs w:val="24"/>
              </w:rPr>
            </w:pPr>
          </w:p>
        </w:tc>
        <w:tc>
          <w:tcPr>
            <w:tcW w:w="4146" w:type="dxa"/>
          </w:tcPr>
          <w:p w:rsidR="00492680" w:rsidRPr="00A05F35" w:rsidRDefault="00492680" w:rsidP="006D57E4">
            <w:pPr>
              <w:rPr>
                <w:rFonts w:ascii="Times New Roman" w:eastAsia="Calibri" w:hAnsi="Times New Roman" w:cs="Times New Roman"/>
                <w:bCs/>
                <w:sz w:val="24"/>
                <w:szCs w:val="24"/>
              </w:rPr>
            </w:pPr>
          </w:p>
        </w:tc>
        <w:tc>
          <w:tcPr>
            <w:tcW w:w="4146" w:type="dxa"/>
          </w:tcPr>
          <w:p w:rsidR="00492680" w:rsidRPr="00A05F35" w:rsidRDefault="00492680" w:rsidP="0066218C">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(b) 20 percent opacity</w:t>
            </w:r>
            <w:r>
              <w:rPr>
                <w:rFonts w:ascii="Times New Roman" w:eastAsia="Calibri" w:hAnsi="Times New Roman" w:cs="Times New Roman"/>
                <w:bCs/>
                <w:sz w:val="24"/>
                <w:szCs w:val="24"/>
              </w:rPr>
              <w:t xml:space="preserve"> </w:t>
            </w:r>
            <w:r w:rsidRPr="00A05F35">
              <w:rPr>
                <w:rFonts w:ascii="Times New Roman" w:eastAsia="Calibri" w:hAnsi="Times New Roman" w:cs="Times New Roman"/>
                <w:bCs/>
                <w:sz w:val="24"/>
                <w:szCs w:val="24"/>
              </w:rPr>
              <w:t>with one or more of the following exceptions:</w:t>
            </w:r>
          </w:p>
          <w:p w:rsidR="00492680" w:rsidRPr="00A05F35" w:rsidRDefault="00492680" w:rsidP="0066218C">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(A) Visible emissions may equal or exceed 20 percent opacity for up to 12 minutes in an hour, but may not equal or exceed 40 percent opacity during that 12 minute period, as the average of two six minute Method 9 observation periods.</w:t>
            </w:r>
          </w:p>
          <w:p w:rsidR="00492680" w:rsidRPr="00A05F35" w:rsidRDefault="00492680" w:rsidP="0066218C">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 xml:space="preserve">(B) Visible emissions may equal or exceed 20 percent opacity but may not equal or exceed 40 percent opacity, as the average of all six minute Method 9 </w:t>
            </w:r>
            <w:r w:rsidRPr="00A05F35">
              <w:rPr>
                <w:rFonts w:ascii="Times New Roman" w:eastAsia="Calibri" w:hAnsi="Times New Roman" w:cs="Times New Roman"/>
                <w:bCs/>
                <w:sz w:val="24"/>
                <w:szCs w:val="24"/>
              </w:rPr>
              <w:lastRenderedPageBreak/>
              <w:t>observation periods during grate cleaning operations provided the grate cleaning is performed in accordance with a grate cleaning plan approved by DEQ; and</w:t>
            </w:r>
          </w:p>
          <w:p w:rsidR="00492680" w:rsidRPr="00A05F35" w:rsidRDefault="00492680" w:rsidP="00492680">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(C) DEQ may approve, at the owner’s or operator’s request, a boiler specific limit greater than 20 percent opacity, but not to equal or exceed 40 percent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six minute Method 9 observations conducted during the compliance source test. The limit will include a higher limit for one six minute period during any hour based on the maximum six minute average measured during the compliance source test. If an alternative limit is established in accordance with this paragraph, the exception provided in paragraph (A) does not apply.</w:t>
            </w:r>
          </w:p>
        </w:tc>
        <w:tc>
          <w:tcPr>
            <w:tcW w:w="2160" w:type="dxa"/>
          </w:tcPr>
          <w:p w:rsidR="00492680" w:rsidRDefault="001A46DB">
            <w:r>
              <w:rPr>
                <w:rFonts w:ascii="Times New Roman" w:eastAsia="Calibri" w:hAnsi="Times New Roman" w:cs="Times New Roman"/>
                <w:bCs/>
                <w:sz w:val="24"/>
                <w:szCs w:val="24"/>
              </w:rPr>
              <w:lastRenderedPageBreak/>
              <w:t xml:space="preserve">on or after Jan. </w:t>
            </w:r>
            <w:r w:rsidR="00492680" w:rsidRPr="00A05F35">
              <w:rPr>
                <w:rFonts w:ascii="Times New Roman" w:eastAsia="Calibri" w:hAnsi="Times New Roman" w:cs="Times New Roman"/>
                <w:bCs/>
                <w:sz w:val="24"/>
                <w:szCs w:val="24"/>
              </w:rPr>
              <w:t>1, 2020</w:t>
            </w:r>
          </w:p>
        </w:tc>
      </w:tr>
      <w:tr w:rsidR="006D57E4" w:rsidTr="001A46DB">
        <w:tc>
          <w:tcPr>
            <w:tcW w:w="4146" w:type="dxa"/>
          </w:tcPr>
          <w:p w:rsidR="006D57E4" w:rsidRPr="00A05F35" w:rsidRDefault="006D57E4" w:rsidP="00A05F35">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lastRenderedPageBreak/>
              <w:t xml:space="preserve">(6) For wood-fired boilers installed, constructed, or modified after June 1, 1970 but before [INSERT SOS FILING DATE OF RULES], visible emissions must not equal or exceed </w:t>
            </w:r>
          </w:p>
          <w:p w:rsidR="006D57E4" w:rsidRDefault="006D57E4"/>
        </w:tc>
        <w:tc>
          <w:tcPr>
            <w:tcW w:w="4146" w:type="dxa"/>
          </w:tcPr>
          <w:p w:rsidR="006D57E4" w:rsidRDefault="006D57E4"/>
        </w:tc>
        <w:tc>
          <w:tcPr>
            <w:tcW w:w="4146" w:type="dxa"/>
          </w:tcPr>
          <w:p w:rsidR="006D57E4" w:rsidRDefault="00492680">
            <w:r w:rsidRPr="00A05F35">
              <w:rPr>
                <w:rFonts w:ascii="Times New Roman" w:eastAsia="Calibri" w:hAnsi="Times New Roman" w:cs="Times New Roman"/>
                <w:bCs/>
                <w:sz w:val="24"/>
                <w:szCs w:val="24"/>
              </w:rPr>
              <w:t xml:space="preserve">20 percent opacity with the exception that visible emissions may equal or exceed 20 percent opacity for up to 12 minutes in an hour, but may not equal or exceed 40 percent opacity during that 12 </w:t>
            </w:r>
            <w:r w:rsidRPr="00A05F35">
              <w:rPr>
                <w:rFonts w:ascii="Times New Roman" w:eastAsia="Calibri" w:hAnsi="Times New Roman" w:cs="Times New Roman"/>
                <w:bCs/>
                <w:sz w:val="24"/>
                <w:szCs w:val="24"/>
              </w:rPr>
              <w:lastRenderedPageBreak/>
              <w:t>minute period, as the average of two six minu</w:t>
            </w:r>
            <w:r>
              <w:rPr>
                <w:rFonts w:ascii="Times New Roman" w:eastAsia="Calibri" w:hAnsi="Times New Roman" w:cs="Times New Roman"/>
                <w:bCs/>
                <w:sz w:val="24"/>
                <w:szCs w:val="24"/>
              </w:rPr>
              <w:t>te Method 9 observation periods</w:t>
            </w:r>
          </w:p>
        </w:tc>
        <w:tc>
          <w:tcPr>
            <w:tcW w:w="2160" w:type="dxa"/>
          </w:tcPr>
          <w:p w:rsidR="006D57E4" w:rsidRDefault="006D57E4"/>
        </w:tc>
      </w:tr>
      <w:tr w:rsidR="006D57E4" w:rsidTr="001A46DB">
        <w:tc>
          <w:tcPr>
            <w:tcW w:w="4146" w:type="dxa"/>
          </w:tcPr>
          <w:p w:rsidR="006D57E4" w:rsidRPr="00492680" w:rsidRDefault="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lastRenderedPageBreak/>
              <w:t>(7) For all wood-fired boilers installed, constructed, or modified after [INSERT SOS FILING DATE OF RULES], emissions must not equal or exceed</w:t>
            </w:r>
          </w:p>
        </w:tc>
        <w:tc>
          <w:tcPr>
            <w:tcW w:w="4146" w:type="dxa"/>
          </w:tcPr>
          <w:p w:rsidR="006D57E4" w:rsidRDefault="006D57E4"/>
        </w:tc>
        <w:tc>
          <w:tcPr>
            <w:tcW w:w="4146" w:type="dxa"/>
          </w:tcPr>
          <w:p w:rsidR="006D57E4" w:rsidRDefault="00492680">
            <w:r w:rsidRPr="00A05F35">
              <w:rPr>
                <w:rFonts w:ascii="Times New Roman" w:eastAsia="Calibri" w:hAnsi="Times New Roman" w:cs="Times New Roman"/>
                <w:bCs/>
                <w:sz w:val="24"/>
                <w:szCs w:val="24"/>
              </w:rPr>
              <w:t>20 percent opacity</w:t>
            </w:r>
          </w:p>
        </w:tc>
        <w:tc>
          <w:tcPr>
            <w:tcW w:w="2160" w:type="dxa"/>
          </w:tcPr>
          <w:p w:rsidR="006D57E4" w:rsidRDefault="006D57E4"/>
        </w:tc>
      </w:tr>
    </w:tbl>
    <w:p w:rsidR="00B05D9F" w:rsidRDefault="00B05D9F"/>
    <w:tbl>
      <w:tblPr>
        <w:tblStyle w:val="TableGrid"/>
        <w:tblW w:w="0" w:type="auto"/>
        <w:tblLook w:val="04A0" w:firstRow="1" w:lastRow="0" w:firstColumn="1" w:lastColumn="0" w:noHBand="0" w:noVBand="1"/>
      </w:tblPr>
      <w:tblGrid>
        <w:gridCol w:w="14616"/>
      </w:tblGrid>
      <w:tr w:rsidR="00160C06" w:rsidRPr="00160C06" w:rsidTr="00160C06">
        <w:trPr>
          <w:tblHeader/>
        </w:trPr>
        <w:tc>
          <w:tcPr>
            <w:tcW w:w="14616" w:type="dxa"/>
          </w:tcPr>
          <w:p w:rsidR="00160C06" w:rsidRPr="00160C06" w:rsidRDefault="00160C06" w:rsidP="00160C06">
            <w:pPr>
              <w:jc w:val="center"/>
              <w:rPr>
                <w:rFonts w:ascii="Times New Roman" w:hAnsi="Times New Roman" w:cs="Times New Roman"/>
                <w:b/>
                <w:sz w:val="24"/>
                <w:szCs w:val="24"/>
              </w:rPr>
            </w:pPr>
            <w:r w:rsidRPr="00160C06">
              <w:rPr>
                <w:rFonts w:ascii="Times New Roman" w:hAnsi="Times New Roman" w:cs="Times New Roman"/>
                <w:b/>
                <w:bCs/>
                <w:sz w:val="24"/>
                <w:szCs w:val="24"/>
              </w:rPr>
              <w:t>340-208-0210</w:t>
            </w:r>
            <w:r w:rsidRPr="00160C06">
              <w:rPr>
                <w:rFonts w:ascii="Times New Roman" w:hAnsi="Times New Roman" w:cs="Times New Roman"/>
                <w:b/>
                <w:sz w:val="24"/>
                <w:szCs w:val="24"/>
              </w:rPr>
              <w:t xml:space="preserve">  </w:t>
            </w:r>
            <w:r w:rsidRPr="00160C06">
              <w:rPr>
                <w:rFonts w:ascii="Times New Roman" w:hAnsi="Times New Roman" w:cs="Times New Roman"/>
                <w:b/>
                <w:bCs/>
                <w:sz w:val="24"/>
                <w:szCs w:val="24"/>
              </w:rPr>
              <w:t>Requirements for Fugitive Emissions</w:t>
            </w:r>
          </w:p>
        </w:tc>
      </w:tr>
      <w:tr w:rsidR="00160C06" w:rsidTr="005321F3">
        <w:tc>
          <w:tcPr>
            <w:tcW w:w="14616" w:type="dxa"/>
          </w:tcPr>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 xml:space="preserve"> (1)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(b) Application of water or other suitable chemicals on unpaved roads, materials stockpiles, and other surfaces which can create airborne dusts;</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(c) Full or partial enclosure of materials stockpiles in cases where application of water or other suitable chemicals are not sufficient to prevent particulate matter from becoming airborne;</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(d) Installation and use of hoods, fans, and fabric filters to enclose and vent the handling of dusty materials;</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(e) Adequate containment during sandblasting or other similar operations;</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(f) Covering, at all times when in motion, open bodied trucks transporting materials likely to become airborne;</w:t>
            </w:r>
          </w:p>
          <w:p w:rsidR="00160C06" w:rsidRDefault="00160C06">
            <w:r w:rsidRPr="00160C06">
              <w:rPr>
                <w:rFonts w:ascii="Times New Roman" w:hAnsi="Times New Roman" w:cs="Times New Roman"/>
                <w:sz w:val="24"/>
                <w:szCs w:val="24"/>
              </w:rPr>
              <w:t>(g) The prompt removal from paved streets of earth or other material that does or may become airborne.</w:t>
            </w:r>
          </w:p>
        </w:tc>
      </w:tr>
      <w:tr w:rsidR="00160C06" w:rsidTr="00D11F10">
        <w:tc>
          <w:tcPr>
            <w:tcW w:w="14616" w:type="dxa"/>
          </w:tcPr>
          <w:p w:rsidR="00160C06" w:rsidRPr="00160C06" w:rsidRDefault="00160C06" w:rsidP="00160C06">
            <w:pPr>
              <w:rPr>
                <w:rFonts w:ascii="Times New Roman" w:hAnsi="Times New Roman" w:cs="Times New Roman"/>
                <w:sz w:val="24"/>
                <w:szCs w:val="24"/>
              </w:rPr>
            </w:pPr>
            <w:r w:rsidRPr="00160C06">
              <w:rPr>
                <w:rFonts w:ascii="Times New Roman" w:hAnsi="Times New Roman" w:cs="Times New Roman"/>
                <w:sz w:val="24"/>
                <w:szCs w:val="24"/>
              </w:rPr>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160C06" w:rsidRPr="00160C06" w:rsidRDefault="00160C06" w:rsidP="00160C06">
            <w:pPr>
              <w:rPr>
                <w:rFonts w:ascii="Times New Roman" w:hAnsi="Times New Roman" w:cs="Times New Roman"/>
                <w:b/>
                <w:i/>
                <w:color w:val="C00000"/>
                <w:sz w:val="28"/>
                <w:szCs w:val="28"/>
              </w:rPr>
            </w:pPr>
            <w:r w:rsidRPr="00160C06">
              <w:rPr>
                <w:rFonts w:ascii="Times New Roman" w:hAnsi="Times New Roman" w:cs="Times New Roman"/>
                <w:b/>
                <w:i/>
                <w:color w:val="C00000"/>
                <w:sz w:val="28"/>
                <w:szCs w:val="28"/>
              </w:rPr>
              <w:t xml:space="preserve">(a) For purposes of this section, fugitive emissions are visible emissions that leave the property of a source for more than 18 seconds in a six minute period. The minimum observation time must be at least six minutes unless otherwise specified in a permit. </w:t>
            </w:r>
          </w:p>
          <w:p w:rsidR="00160C06" w:rsidRDefault="00160C06">
            <w:r w:rsidRPr="00160C06">
              <w:rPr>
                <w:rFonts w:ascii="Times New Roman" w:hAnsi="Times New Roman" w:cs="Times New Roman"/>
                <w:b/>
                <w:i/>
                <w:color w:val="C00000"/>
                <w:sz w:val="28"/>
                <w:szCs w:val="28"/>
              </w:rPr>
              <w:t>(b) Fugitive emissions are determined by EPA Method 22 at the downwind property boundary.</w:t>
            </w:r>
          </w:p>
        </w:tc>
      </w:tr>
      <w:tr w:rsidR="00160C06" w:rsidTr="00D36B10">
        <w:tc>
          <w:tcPr>
            <w:tcW w:w="14616" w:type="dxa"/>
          </w:tcPr>
          <w:p w:rsidR="00160C06" w:rsidRDefault="00160C06">
            <w:r w:rsidRPr="00160C06">
              <w:rPr>
                <w:rFonts w:ascii="Times New Roman" w:hAnsi="Times New Roman" w:cs="Times New Roman"/>
                <w:sz w:val="24"/>
                <w:szCs w:val="24"/>
              </w:rPr>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tc>
      </w:tr>
    </w:tbl>
    <w:p w:rsidR="0004316D" w:rsidRDefault="0004316D"/>
    <w:tbl>
      <w:tblPr>
        <w:tblStyle w:val="TableGrid"/>
        <w:tblW w:w="0" w:type="auto"/>
        <w:tblLook w:val="04A0" w:firstRow="1" w:lastRow="0" w:firstColumn="1" w:lastColumn="0" w:noHBand="0" w:noVBand="1"/>
      </w:tblPr>
      <w:tblGrid>
        <w:gridCol w:w="4176"/>
        <w:gridCol w:w="4176"/>
        <w:gridCol w:w="4176"/>
        <w:gridCol w:w="2070"/>
      </w:tblGrid>
      <w:tr w:rsidR="00160C06" w:rsidTr="00BC6A39">
        <w:trPr>
          <w:trHeight w:val="341"/>
          <w:tblHeader/>
        </w:trPr>
        <w:tc>
          <w:tcPr>
            <w:tcW w:w="14598" w:type="dxa"/>
            <w:gridSpan w:val="4"/>
          </w:tcPr>
          <w:p w:rsidR="00E27293" w:rsidRDefault="001A46DB" w:rsidP="00E27293">
            <w:pPr>
              <w:jc w:val="center"/>
              <w:rPr>
                <w:rFonts w:ascii="Times New Roman" w:eastAsia="Calibri" w:hAnsi="Times New Roman" w:cs="Times New Roman"/>
                <w:b/>
                <w:bCs/>
                <w:sz w:val="24"/>
                <w:szCs w:val="24"/>
              </w:rPr>
            </w:pPr>
            <w:r>
              <w:lastRenderedPageBreak/>
              <w:br w:type="page"/>
            </w:r>
            <w:r w:rsidR="00160C06" w:rsidRPr="00160C06">
              <w:rPr>
                <w:rFonts w:ascii="Times New Roman" w:eastAsia="Calibri" w:hAnsi="Times New Roman" w:cs="Times New Roman"/>
                <w:b/>
                <w:bCs/>
                <w:sz w:val="24"/>
                <w:szCs w:val="24"/>
              </w:rPr>
              <w:t>340-226-0210</w:t>
            </w:r>
          </w:p>
          <w:p w:rsidR="00160C06" w:rsidRPr="00160C06" w:rsidRDefault="00160C06" w:rsidP="00E27293">
            <w:pPr>
              <w:jc w:val="center"/>
              <w:rPr>
                <w:rFonts w:ascii="Times New Roman" w:eastAsia="Calibri" w:hAnsi="Times New Roman" w:cs="Times New Roman"/>
                <w:b/>
                <w:bCs/>
                <w:sz w:val="24"/>
                <w:szCs w:val="24"/>
              </w:rPr>
            </w:pPr>
            <w:r w:rsidRPr="00160C06">
              <w:rPr>
                <w:rFonts w:ascii="Times New Roman" w:eastAsia="Calibri" w:hAnsi="Times New Roman" w:cs="Times New Roman"/>
                <w:b/>
                <w:bCs/>
                <w:sz w:val="24"/>
                <w:szCs w:val="24"/>
              </w:rPr>
              <w:t>Particulate Emission Limitations for Sources Other Than Fuel Burning, Refuse Burning Equipment and Fugitive Emissions</w:t>
            </w:r>
          </w:p>
        </w:tc>
      </w:tr>
      <w:tr w:rsidR="00F57B6D" w:rsidRPr="006D57E4" w:rsidTr="001A46DB">
        <w:trPr>
          <w:tblHeader/>
        </w:trPr>
        <w:tc>
          <w:tcPr>
            <w:tcW w:w="4176" w:type="dxa"/>
          </w:tcPr>
          <w:p w:rsidR="00F57B6D" w:rsidRPr="006D57E4" w:rsidRDefault="00F57B6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Source</w:t>
            </w:r>
          </w:p>
        </w:tc>
        <w:tc>
          <w:tcPr>
            <w:tcW w:w="4176" w:type="dxa"/>
          </w:tcPr>
          <w:p w:rsidR="00F57B6D" w:rsidRPr="006D57E4" w:rsidRDefault="00F57B6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CONDITION</w:t>
            </w:r>
          </w:p>
        </w:tc>
        <w:tc>
          <w:tcPr>
            <w:tcW w:w="4176" w:type="dxa"/>
          </w:tcPr>
          <w:p w:rsidR="00F57B6D" w:rsidRPr="006D57E4" w:rsidRDefault="00F57B6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Limit</w:t>
            </w:r>
          </w:p>
        </w:tc>
        <w:tc>
          <w:tcPr>
            <w:tcW w:w="2070" w:type="dxa"/>
          </w:tcPr>
          <w:p w:rsidR="00F57B6D" w:rsidRPr="006D57E4" w:rsidRDefault="00F57B6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When</w:t>
            </w:r>
          </w:p>
        </w:tc>
      </w:tr>
      <w:tr w:rsidR="004C7BC0" w:rsidTr="001A46DB">
        <w:tc>
          <w:tcPr>
            <w:tcW w:w="4176" w:type="dxa"/>
            <w:vMerge w:val="restart"/>
          </w:tcPr>
          <w:p w:rsidR="004C7BC0" w:rsidRPr="00160C06" w:rsidRDefault="004C7BC0" w:rsidP="00160C06">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r w:rsidR="007C4056">
              <w:rPr>
                <w:rFonts w:ascii="Times New Roman" w:eastAsia="Calibri" w:hAnsi="Times New Roman" w:cs="Times New Roman"/>
                <w:sz w:val="24"/>
                <w:szCs w:val="24"/>
              </w:rPr>
              <w:t>(2)</w:t>
            </w:r>
            <w:r w:rsidRPr="00160C06">
              <w:rPr>
                <w:rFonts w:ascii="Times New Roman" w:eastAsia="Calibri" w:hAnsi="Times New Roman" w:cs="Times New Roman"/>
                <w:sz w:val="24"/>
                <w:szCs w:val="24"/>
              </w:rPr>
              <w:t>(a) For sources installed, constructed, or modified before June 1, 1970:</w:t>
            </w:r>
          </w:p>
          <w:p w:rsidR="004C7BC0" w:rsidRPr="00160C06" w:rsidRDefault="004C7BC0" w:rsidP="00160C06">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p>
          <w:p w:rsidR="004C7BC0" w:rsidRPr="00492680" w:rsidRDefault="004C7BC0" w:rsidP="004C7BC0">
            <w:pPr>
              <w:rPr>
                <w:rFonts w:ascii="Times New Roman" w:eastAsia="Calibri" w:hAnsi="Times New Roman" w:cs="Times New Roman"/>
                <w:bCs/>
                <w:sz w:val="24"/>
                <w:szCs w:val="24"/>
              </w:rPr>
            </w:pPr>
          </w:p>
        </w:tc>
        <w:tc>
          <w:tcPr>
            <w:tcW w:w="4176" w:type="dxa"/>
          </w:tcPr>
          <w:p w:rsidR="004C7BC0" w:rsidRDefault="004C7BC0" w:rsidP="0066218C">
            <w:r w:rsidRPr="00160C06">
              <w:rPr>
                <w:rFonts w:ascii="Times New Roman" w:eastAsia="Calibri" w:hAnsi="Times New Roman" w:cs="Times New Roman"/>
                <w:sz w:val="24"/>
                <w:szCs w:val="24"/>
              </w:rPr>
              <w:t>(A) If  representative compliance source test data prior to [INSERT SOS FILING DATE OF RULES] is less than or equal to 0.080 grains per dry standard cubic foot, then the limit is</w:t>
            </w:r>
          </w:p>
        </w:tc>
        <w:tc>
          <w:tcPr>
            <w:tcW w:w="4176" w:type="dxa"/>
          </w:tcPr>
          <w:p w:rsidR="004C7BC0" w:rsidRPr="00160C06" w:rsidRDefault="004C7BC0"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0.10 grains per dry standard cubic foot; </w:t>
            </w:r>
          </w:p>
          <w:p w:rsidR="004C7BC0" w:rsidRDefault="004C7BC0" w:rsidP="0066218C"/>
        </w:tc>
        <w:tc>
          <w:tcPr>
            <w:tcW w:w="2070" w:type="dxa"/>
          </w:tcPr>
          <w:p w:rsidR="004C7BC0" w:rsidRDefault="004C7BC0" w:rsidP="0066218C"/>
        </w:tc>
      </w:tr>
      <w:tr w:rsidR="004C7BC0" w:rsidTr="001A46DB">
        <w:trPr>
          <w:trHeight w:val="755"/>
        </w:trPr>
        <w:tc>
          <w:tcPr>
            <w:tcW w:w="4176" w:type="dxa"/>
            <w:vMerge/>
          </w:tcPr>
          <w:p w:rsidR="004C7BC0" w:rsidRPr="00160C06" w:rsidRDefault="004C7BC0" w:rsidP="00160C06">
            <w:pPr>
              <w:rPr>
                <w:rFonts w:ascii="Times New Roman" w:eastAsia="Calibri" w:hAnsi="Times New Roman" w:cs="Times New Roman"/>
                <w:sz w:val="24"/>
                <w:szCs w:val="24"/>
              </w:rPr>
            </w:pPr>
          </w:p>
        </w:tc>
        <w:tc>
          <w:tcPr>
            <w:tcW w:w="4176" w:type="dxa"/>
            <w:vMerge w:val="restart"/>
          </w:tcPr>
          <w:p w:rsidR="004C7BC0" w:rsidRPr="007C4056" w:rsidRDefault="004C7BC0" w:rsidP="0066218C">
            <w:pPr>
              <w:rPr>
                <w:rFonts w:ascii="Times New Roman" w:eastAsia="Calibri" w:hAnsi="Times New Roman" w:cs="Times New Roman"/>
                <w:sz w:val="24"/>
                <w:szCs w:val="24"/>
              </w:rPr>
            </w:pPr>
            <w:r w:rsidRPr="00160C06">
              <w:rPr>
                <w:rFonts w:ascii="Times New Roman" w:eastAsia="Calibri" w:hAnsi="Times New Roman" w:cs="Times New Roman"/>
                <w:sz w:val="24"/>
                <w:szCs w:val="24"/>
              </w:rPr>
              <w:t>(B) If representative compliance source test data prior to [INSERT SOS FILING DATE OF RULES] is greater than 0.080 grains per dry standard cubic foot, then the limit is:</w:t>
            </w:r>
          </w:p>
        </w:tc>
        <w:tc>
          <w:tcPr>
            <w:tcW w:w="4176" w:type="dxa"/>
          </w:tcPr>
          <w:p w:rsidR="004C7BC0" w:rsidRPr="00160C06" w:rsidRDefault="004C7BC0"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r w:rsidRPr="00160C06">
              <w:rPr>
                <w:rFonts w:ascii="Times New Roman" w:eastAsia="Calibri" w:hAnsi="Times New Roman" w:cs="Times New Roman"/>
                <w:sz w:val="24"/>
                <w:szCs w:val="24"/>
              </w:rPr>
              <w:t>(</w:t>
            </w:r>
            <w:proofErr w:type="spellStart"/>
            <w:r w:rsidRPr="00160C06">
              <w:rPr>
                <w:rFonts w:ascii="Times New Roman" w:eastAsia="Calibri" w:hAnsi="Times New Roman" w:cs="Times New Roman"/>
                <w:sz w:val="24"/>
                <w:szCs w:val="24"/>
              </w:rPr>
              <w:t>i</w:t>
            </w:r>
            <w:proofErr w:type="spellEnd"/>
            <w:r w:rsidRPr="00160C06">
              <w:rPr>
                <w:rFonts w:ascii="Times New Roman" w:eastAsia="Calibri" w:hAnsi="Times New Roman" w:cs="Times New Roman"/>
                <w:sz w:val="24"/>
                <w:szCs w:val="24"/>
              </w:rPr>
              <w:t>) 0.2 grains per dry standard cubic foot and</w:t>
            </w:r>
          </w:p>
        </w:tc>
        <w:tc>
          <w:tcPr>
            <w:tcW w:w="2070" w:type="dxa"/>
          </w:tcPr>
          <w:p w:rsidR="004C7BC0" w:rsidRDefault="004C7BC0" w:rsidP="004C7BC0">
            <w:r w:rsidRPr="00160C06">
              <w:rPr>
                <w:rFonts w:ascii="Times New Roman" w:eastAsia="Calibri" w:hAnsi="Times New Roman" w:cs="Times New Roman"/>
                <w:sz w:val="24"/>
                <w:szCs w:val="24"/>
              </w:rPr>
              <w:t>prior to Dec. 31, 2019</w:t>
            </w:r>
          </w:p>
        </w:tc>
      </w:tr>
      <w:tr w:rsidR="004C7BC0" w:rsidTr="001A46DB">
        <w:trPr>
          <w:trHeight w:val="692"/>
        </w:trPr>
        <w:tc>
          <w:tcPr>
            <w:tcW w:w="4176" w:type="dxa"/>
            <w:vMerge/>
          </w:tcPr>
          <w:p w:rsidR="004C7BC0" w:rsidRPr="00160C06" w:rsidRDefault="004C7BC0" w:rsidP="00160C06">
            <w:pPr>
              <w:rPr>
                <w:rFonts w:ascii="Times New Roman" w:eastAsia="Calibri" w:hAnsi="Times New Roman" w:cs="Times New Roman"/>
                <w:sz w:val="24"/>
                <w:szCs w:val="24"/>
              </w:rPr>
            </w:pPr>
          </w:p>
        </w:tc>
        <w:tc>
          <w:tcPr>
            <w:tcW w:w="4176" w:type="dxa"/>
            <w:vMerge/>
          </w:tcPr>
          <w:p w:rsidR="004C7BC0" w:rsidRDefault="004C7BC0" w:rsidP="0066218C"/>
        </w:tc>
        <w:tc>
          <w:tcPr>
            <w:tcW w:w="4176" w:type="dxa"/>
          </w:tcPr>
          <w:p w:rsidR="004C7BC0" w:rsidRPr="00160C06" w:rsidRDefault="004C7BC0"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(ii) 0.15 grains per dry standard cubic foot </w:t>
            </w:r>
          </w:p>
        </w:tc>
        <w:tc>
          <w:tcPr>
            <w:tcW w:w="2070" w:type="dxa"/>
          </w:tcPr>
          <w:p w:rsidR="004C7BC0" w:rsidRDefault="004C7BC0" w:rsidP="004C7BC0">
            <w:r w:rsidRPr="00160C06">
              <w:rPr>
                <w:rFonts w:ascii="Times New Roman" w:eastAsia="Calibri" w:hAnsi="Times New Roman" w:cs="Times New Roman"/>
                <w:sz w:val="24"/>
                <w:szCs w:val="24"/>
              </w:rPr>
              <w:t xml:space="preserve">on or after Jan. 1, 2020 </w:t>
            </w:r>
          </w:p>
        </w:tc>
      </w:tr>
      <w:tr w:rsidR="004C7BC0" w:rsidTr="001A46DB">
        <w:tc>
          <w:tcPr>
            <w:tcW w:w="4176" w:type="dxa"/>
            <w:vMerge/>
          </w:tcPr>
          <w:p w:rsidR="004C7BC0" w:rsidRPr="00492680" w:rsidRDefault="004C7BC0" w:rsidP="0066218C">
            <w:pPr>
              <w:rPr>
                <w:rFonts w:ascii="Times New Roman" w:eastAsia="Calibri" w:hAnsi="Times New Roman" w:cs="Times New Roman"/>
                <w:bCs/>
                <w:sz w:val="24"/>
                <w:szCs w:val="24"/>
              </w:rPr>
            </w:pPr>
          </w:p>
        </w:tc>
        <w:tc>
          <w:tcPr>
            <w:tcW w:w="4176" w:type="dxa"/>
          </w:tcPr>
          <w:p w:rsidR="004C7BC0" w:rsidRDefault="004C7BC0" w:rsidP="0066218C">
            <w:r w:rsidRPr="00160C06">
              <w:rPr>
                <w:rFonts w:ascii="Times New Roman" w:eastAsia="Calibri" w:hAnsi="Times New Roman" w:cs="Times New Roman"/>
                <w:sz w:val="24"/>
                <w:szCs w:val="24"/>
              </w:rPr>
              <w:t>(C) For equipment or a mode of operation that is used less than 876 hours per calendar year, the limit is</w:t>
            </w:r>
            <w:r w:rsidR="00E60CDF">
              <w:rPr>
                <w:rFonts w:ascii="Times New Roman" w:eastAsia="Calibri" w:hAnsi="Times New Roman" w:cs="Times New Roman"/>
                <w:sz w:val="24"/>
                <w:szCs w:val="24"/>
              </w:rPr>
              <w:t>:</w:t>
            </w:r>
          </w:p>
        </w:tc>
        <w:tc>
          <w:tcPr>
            <w:tcW w:w="4176" w:type="dxa"/>
          </w:tcPr>
          <w:p w:rsidR="004C7BC0" w:rsidRDefault="004C7BC0" w:rsidP="004C7BC0">
            <w:r w:rsidRPr="00160C06">
              <w:rPr>
                <w:rFonts w:ascii="Times New Roman" w:eastAsia="Calibri" w:hAnsi="Times New Roman" w:cs="Times New Roman"/>
                <w:sz w:val="24"/>
                <w:szCs w:val="24"/>
              </w:rPr>
              <w:t xml:space="preserve">0.20 grains per standard cubic foot </w:t>
            </w:r>
          </w:p>
        </w:tc>
        <w:tc>
          <w:tcPr>
            <w:tcW w:w="2070" w:type="dxa"/>
          </w:tcPr>
          <w:p w:rsidR="004C7BC0" w:rsidRDefault="004C7BC0" w:rsidP="004C7BC0">
            <w:r w:rsidRPr="00160C06">
              <w:rPr>
                <w:rFonts w:ascii="Times New Roman" w:eastAsia="Calibri" w:hAnsi="Times New Roman" w:cs="Times New Roman"/>
                <w:sz w:val="24"/>
                <w:szCs w:val="24"/>
              </w:rPr>
              <w:t>on or after Jan. 1, 2020</w:t>
            </w:r>
          </w:p>
        </w:tc>
      </w:tr>
      <w:tr w:rsidR="007C4056" w:rsidTr="001A46DB">
        <w:tc>
          <w:tcPr>
            <w:tcW w:w="4176" w:type="dxa"/>
            <w:vMerge w:val="restart"/>
          </w:tcPr>
          <w:p w:rsidR="007C4056" w:rsidRPr="00160C06" w:rsidRDefault="007C4056"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(b) For sources installed, constructed, or modified on or after June 1, 1970 but prior to [INSERT SOS FILING DATE OF RULES]:</w:t>
            </w:r>
          </w:p>
          <w:p w:rsidR="007C4056" w:rsidRPr="004C7BC0" w:rsidRDefault="007C4056" w:rsidP="0066218C">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p>
        </w:tc>
        <w:tc>
          <w:tcPr>
            <w:tcW w:w="4176" w:type="dxa"/>
          </w:tcPr>
          <w:p w:rsidR="007C4056" w:rsidRPr="007C405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(A) If representative compliance source test data prior to [INSERT SOS FILING DATE OF RULES] is less than or equal to 0.080 grains per dry standar</w:t>
            </w:r>
            <w:r w:rsidR="00E60CDF">
              <w:rPr>
                <w:rFonts w:ascii="Times New Roman" w:eastAsia="Calibri" w:hAnsi="Times New Roman" w:cs="Times New Roman"/>
                <w:sz w:val="24"/>
                <w:szCs w:val="24"/>
              </w:rPr>
              <w:t>d cubic foot, then the limit is:</w:t>
            </w:r>
            <w:bookmarkStart w:id="0" w:name="_GoBack"/>
            <w:bookmarkEnd w:id="0"/>
          </w:p>
        </w:tc>
        <w:tc>
          <w:tcPr>
            <w:tcW w:w="4176" w:type="dxa"/>
          </w:tcPr>
          <w:p w:rsidR="007C4056" w:rsidRDefault="007C4056" w:rsidP="0066218C">
            <w:r w:rsidRPr="00160C06">
              <w:rPr>
                <w:rFonts w:ascii="Times New Roman" w:eastAsia="Calibri" w:hAnsi="Times New Roman" w:cs="Times New Roman"/>
                <w:sz w:val="24"/>
                <w:szCs w:val="24"/>
              </w:rPr>
              <w:t>0.10 gra</w:t>
            </w:r>
            <w:r>
              <w:rPr>
                <w:rFonts w:ascii="Times New Roman" w:eastAsia="Calibri" w:hAnsi="Times New Roman" w:cs="Times New Roman"/>
                <w:sz w:val="24"/>
                <w:szCs w:val="24"/>
              </w:rPr>
              <w:t>ins per dry standard cubic foot</w:t>
            </w:r>
          </w:p>
        </w:tc>
        <w:tc>
          <w:tcPr>
            <w:tcW w:w="2070" w:type="dxa"/>
          </w:tcPr>
          <w:p w:rsidR="007C4056" w:rsidRDefault="007C4056" w:rsidP="0066218C"/>
        </w:tc>
      </w:tr>
      <w:tr w:rsidR="007C4056" w:rsidTr="001A46DB">
        <w:trPr>
          <w:trHeight w:val="576"/>
        </w:trPr>
        <w:tc>
          <w:tcPr>
            <w:tcW w:w="4176" w:type="dxa"/>
            <w:vMerge/>
          </w:tcPr>
          <w:p w:rsidR="007C4056" w:rsidRPr="00160C06" w:rsidRDefault="007C4056" w:rsidP="004C7BC0">
            <w:pPr>
              <w:rPr>
                <w:rFonts w:ascii="Times New Roman" w:eastAsia="Calibri" w:hAnsi="Times New Roman" w:cs="Times New Roman"/>
                <w:sz w:val="24"/>
                <w:szCs w:val="24"/>
              </w:rPr>
            </w:pPr>
          </w:p>
        </w:tc>
        <w:tc>
          <w:tcPr>
            <w:tcW w:w="4176" w:type="dxa"/>
            <w:vMerge w:val="restart"/>
          </w:tcPr>
          <w:p w:rsidR="007C4056" w:rsidRPr="00160C0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(B) If representative compliance source test data prior to [INSERT DATE OF EQC ADOPTION OF RULES] is greater than 0.080 grains per dry standard cubic foot, then the limit is:</w:t>
            </w:r>
          </w:p>
        </w:tc>
        <w:tc>
          <w:tcPr>
            <w:tcW w:w="4176" w:type="dxa"/>
          </w:tcPr>
          <w:p w:rsidR="007C4056" w:rsidRPr="00160C0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w:t>
            </w:r>
            <w:proofErr w:type="spellStart"/>
            <w:r w:rsidRPr="00160C06">
              <w:rPr>
                <w:rFonts w:ascii="Times New Roman" w:eastAsia="Calibri" w:hAnsi="Times New Roman" w:cs="Times New Roman"/>
                <w:sz w:val="24"/>
                <w:szCs w:val="24"/>
              </w:rPr>
              <w:t>i</w:t>
            </w:r>
            <w:proofErr w:type="spellEnd"/>
            <w:r w:rsidRPr="00160C06">
              <w:rPr>
                <w:rFonts w:ascii="Times New Roman" w:eastAsia="Calibri" w:hAnsi="Times New Roman" w:cs="Times New Roman"/>
                <w:sz w:val="24"/>
                <w:szCs w:val="24"/>
              </w:rPr>
              <w:t xml:space="preserve">) 0.1 grains per dry standard cubic foot </w:t>
            </w:r>
          </w:p>
          <w:p w:rsidR="007C4056" w:rsidRDefault="007C4056" w:rsidP="007C4056"/>
        </w:tc>
        <w:tc>
          <w:tcPr>
            <w:tcW w:w="2070" w:type="dxa"/>
          </w:tcPr>
          <w:p w:rsidR="007C4056" w:rsidRDefault="00274994" w:rsidP="0066218C">
            <w:r>
              <w:rPr>
                <w:rFonts w:ascii="Times New Roman" w:eastAsia="Calibri" w:hAnsi="Times New Roman" w:cs="Times New Roman"/>
                <w:sz w:val="24"/>
                <w:szCs w:val="24"/>
              </w:rPr>
              <w:t>prior to  Dec. 31, 2019</w:t>
            </w:r>
          </w:p>
        </w:tc>
      </w:tr>
      <w:tr w:rsidR="007C4056" w:rsidTr="001A46DB">
        <w:trPr>
          <w:trHeight w:val="576"/>
        </w:trPr>
        <w:tc>
          <w:tcPr>
            <w:tcW w:w="4176" w:type="dxa"/>
            <w:vMerge/>
          </w:tcPr>
          <w:p w:rsidR="007C4056" w:rsidRPr="00160C06" w:rsidRDefault="007C4056" w:rsidP="004C7BC0">
            <w:pPr>
              <w:rPr>
                <w:rFonts w:ascii="Times New Roman" w:eastAsia="Calibri" w:hAnsi="Times New Roman" w:cs="Times New Roman"/>
                <w:sz w:val="24"/>
                <w:szCs w:val="24"/>
              </w:rPr>
            </w:pPr>
          </w:p>
        </w:tc>
        <w:tc>
          <w:tcPr>
            <w:tcW w:w="4176" w:type="dxa"/>
            <w:vMerge/>
          </w:tcPr>
          <w:p w:rsidR="007C4056" w:rsidRPr="00160C06" w:rsidRDefault="007C4056" w:rsidP="007C4056">
            <w:pPr>
              <w:rPr>
                <w:rFonts w:ascii="Times New Roman" w:eastAsia="Calibri" w:hAnsi="Times New Roman" w:cs="Times New Roman"/>
                <w:sz w:val="24"/>
                <w:szCs w:val="24"/>
              </w:rPr>
            </w:pPr>
          </w:p>
        </w:tc>
        <w:tc>
          <w:tcPr>
            <w:tcW w:w="4176" w:type="dxa"/>
          </w:tcPr>
          <w:p w:rsidR="007C4056" w:rsidRPr="00160C06" w:rsidRDefault="007C4056" w:rsidP="00274994">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(ii) 0.14 grains per dry standard cubic foot </w:t>
            </w:r>
          </w:p>
        </w:tc>
        <w:tc>
          <w:tcPr>
            <w:tcW w:w="2070" w:type="dxa"/>
          </w:tcPr>
          <w:p w:rsidR="007C4056" w:rsidRDefault="00274994" w:rsidP="0066218C">
            <w:r>
              <w:rPr>
                <w:rFonts w:ascii="Times New Roman" w:eastAsia="Calibri" w:hAnsi="Times New Roman" w:cs="Times New Roman"/>
                <w:sz w:val="24"/>
                <w:szCs w:val="24"/>
              </w:rPr>
              <w:t>on or after Jan. 1, 2020</w:t>
            </w:r>
          </w:p>
        </w:tc>
      </w:tr>
      <w:tr w:rsidR="00160C06" w:rsidTr="001A46DB">
        <w:tc>
          <w:tcPr>
            <w:tcW w:w="4176" w:type="dxa"/>
          </w:tcPr>
          <w:p w:rsidR="007C4056" w:rsidRPr="00160C0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(c) For sources installed, constructed or modified after [INSERT SOS FILING DATE OF RULES], the limit is </w:t>
            </w:r>
          </w:p>
          <w:p w:rsidR="00160C06" w:rsidRPr="00492680" w:rsidRDefault="00160C06" w:rsidP="007C4056">
            <w:pPr>
              <w:rPr>
                <w:rFonts w:ascii="Times New Roman" w:eastAsia="Calibri" w:hAnsi="Times New Roman" w:cs="Times New Roman"/>
                <w:bCs/>
                <w:sz w:val="24"/>
                <w:szCs w:val="24"/>
              </w:rPr>
            </w:pPr>
          </w:p>
        </w:tc>
        <w:tc>
          <w:tcPr>
            <w:tcW w:w="4176" w:type="dxa"/>
          </w:tcPr>
          <w:p w:rsidR="00160C06" w:rsidRDefault="00160C06" w:rsidP="0066218C"/>
        </w:tc>
        <w:tc>
          <w:tcPr>
            <w:tcW w:w="4176" w:type="dxa"/>
          </w:tcPr>
          <w:p w:rsidR="00160C06" w:rsidRDefault="008B7DB7" w:rsidP="0066218C">
            <w:r w:rsidRPr="00160C06">
              <w:rPr>
                <w:rFonts w:ascii="Times New Roman" w:eastAsia="Calibri" w:hAnsi="Times New Roman" w:cs="Times New Roman"/>
                <w:sz w:val="24"/>
                <w:szCs w:val="24"/>
              </w:rPr>
              <w:t>0.10 grains per dry standard cubic foot.</w:t>
            </w:r>
          </w:p>
        </w:tc>
        <w:tc>
          <w:tcPr>
            <w:tcW w:w="2070" w:type="dxa"/>
          </w:tcPr>
          <w:p w:rsidR="00160C06" w:rsidRDefault="00160C06" w:rsidP="0066218C"/>
        </w:tc>
      </w:tr>
      <w:tr w:rsidR="008B7DB7" w:rsidTr="00A05700">
        <w:tc>
          <w:tcPr>
            <w:tcW w:w="14598" w:type="dxa"/>
            <w:gridSpan w:val="4"/>
          </w:tcPr>
          <w:p w:rsidR="008B7DB7" w:rsidRDefault="008B7DB7" w:rsidP="0066218C">
            <w:r w:rsidRPr="00160C06">
              <w:rPr>
                <w:rFonts w:ascii="Times New Roman" w:eastAsia="Calibri" w:hAnsi="Times New Roman" w:cs="Times New Roman"/>
                <w:sz w:val="24"/>
                <w:szCs w:val="24"/>
              </w:rPr>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 1, 2019.</w:t>
            </w:r>
          </w:p>
        </w:tc>
      </w:tr>
    </w:tbl>
    <w:p w:rsidR="00160C06" w:rsidRDefault="00160C06"/>
    <w:p w:rsidR="008B7DB7" w:rsidRDefault="008B7DB7"/>
    <w:p w:rsidR="008B7DB7" w:rsidRDefault="008B7DB7"/>
    <w:tbl>
      <w:tblPr>
        <w:tblStyle w:val="TableGrid"/>
        <w:tblW w:w="0" w:type="auto"/>
        <w:tblLook w:val="04A0" w:firstRow="1" w:lastRow="0" w:firstColumn="1" w:lastColumn="0" w:noHBand="0" w:noVBand="1"/>
      </w:tblPr>
      <w:tblGrid>
        <w:gridCol w:w="4158"/>
        <w:gridCol w:w="4230"/>
        <w:gridCol w:w="4140"/>
        <w:gridCol w:w="2070"/>
      </w:tblGrid>
      <w:tr w:rsidR="008B7DB7" w:rsidTr="00BC6A39">
        <w:trPr>
          <w:trHeight w:val="341"/>
          <w:tblHeader/>
        </w:trPr>
        <w:tc>
          <w:tcPr>
            <w:tcW w:w="14598" w:type="dxa"/>
            <w:gridSpan w:val="4"/>
          </w:tcPr>
          <w:p w:rsidR="00861F45" w:rsidRPr="008B7DB7" w:rsidRDefault="00861F45" w:rsidP="00861F45">
            <w:pPr>
              <w:jc w:val="center"/>
              <w:rPr>
                <w:rFonts w:ascii="Times New Roman" w:eastAsia="Calibri" w:hAnsi="Times New Roman" w:cs="Times New Roman"/>
                <w:b/>
                <w:bCs/>
                <w:sz w:val="24"/>
                <w:szCs w:val="24"/>
              </w:rPr>
            </w:pPr>
            <w:r w:rsidRPr="008B7DB7">
              <w:rPr>
                <w:rFonts w:ascii="Times New Roman" w:eastAsia="Calibri" w:hAnsi="Times New Roman" w:cs="Times New Roman"/>
                <w:b/>
                <w:bCs/>
                <w:sz w:val="24"/>
                <w:szCs w:val="24"/>
              </w:rPr>
              <w:t>340-228-0210</w:t>
            </w:r>
          </w:p>
          <w:p w:rsidR="008B7DB7" w:rsidRPr="00160C06" w:rsidRDefault="00861F45" w:rsidP="00861F45">
            <w:pPr>
              <w:jc w:val="center"/>
              <w:rPr>
                <w:rFonts w:ascii="Times New Roman" w:eastAsia="Calibri" w:hAnsi="Times New Roman" w:cs="Times New Roman"/>
                <w:b/>
                <w:bCs/>
                <w:sz w:val="24"/>
                <w:szCs w:val="24"/>
              </w:rPr>
            </w:pPr>
            <w:r w:rsidRPr="008B7DB7">
              <w:rPr>
                <w:rFonts w:ascii="Times New Roman" w:eastAsia="Calibri" w:hAnsi="Times New Roman" w:cs="Times New Roman"/>
                <w:b/>
                <w:bCs/>
                <w:sz w:val="24"/>
                <w:szCs w:val="24"/>
              </w:rPr>
              <w:t>Grain Loading Standards</w:t>
            </w:r>
          </w:p>
        </w:tc>
      </w:tr>
      <w:tr w:rsidR="001D523D" w:rsidRPr="006D57E4" w:rsidTr="001A46DB">
        <w:trPr>
          <w:tblHeader/>
        </w:trPr>
        <w:tc>
          <w:tcPr>
            <w:tcW w:w="4158" w:type="dxa"/>
          </w:tcPr>
          <w:p w:rsidR="001D523D" w:rsidRPr="006D57E4" w:rsidRDefault="001D523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Source</w:t>
            </w:r>
          </w:p>
        </w:tc>
        <w:tc>
          <w:tcPr>
            <w:tcW w:w="4230" w:type="dxa"/>
          </w:tcPr>
          <w:p w:rsidR="001D523D" w:rsidRPr="006D57E4" w:rsidRDefault="001D523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CONDITION</w:t>
            </w:r>
          </w:p>
        </w:tc>
        <w:tc>
          <w:tcPr>
            <w:tcW w:w="4140" w:type="dxa"/>
          </w:tcPr>
          <w:p w:rsidR="001D523D" w:rsidRPr="006D57E4" w:rsidRDefault="001D523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Limit</w:t>
            </w:r>
          </w:p>
        </w:tc>
        <w:tc>
          <w:tcPr>
            <w:tcW w:w="2070" w:type="dxa"/>
          </w:tcPr>
          <w:p w:rsidR="001D523D" w:rsidRPr="006D57E4" w:rsidRDefault="001D523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When</w:t>
            </w:r>
          </w:p>
        </w:tc>
      </w:tr>
      <w:tr w:rsidR="00861F45" w:rsidTr="00692835">
        <w:tc>
          <w:tcPr>
            <w:tcW w:w="14598" w:type="dxa"/>
            <w:gridSpan w:val="4"/>
          </w:tcPr>
          <w:p w:rsidR="00861F45" w:rsidRPr="00861F45" w:rsidRDefault="00861F45"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(1) This rule applies to fuel burning equipment, except solid fuel burning devices that have been certified under OAR 340-262-0500. </w:t>
            </w:r>
          </w:p>
        </w:tc>
      </w:tr>
      <w:tr w:rsidR="001D523D" w:rsidTr="001A46DB">
        <w:trPr>
          <w:trHeight w:val="1656"/>
        </w:trPr>
        <w:tc>
          <w:tcPr>
            <w:tcW w:w="4158" w:type="dxa"/>
            <w:vMerge w:val="restart"/>
          </w:tcPr>
          <w:p w:rsidR="001D523D" w:rsidRPr="008B7DB7" w:rsidRDefault="001D523D" w:rsidP="00861F45">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8B7DB7">
              <w:rPr>
                <w:rFonts w:ascii="Times New Roman" w:eastAsia="Calibri" w:hAnsi="Times New Roman" w:cs="Times New Roman"/>
                <w:sz w:val="24"/>
                <w:szCs w:val="24"/>
              </w:rPr>
              <w:t>(a) For sources installed, constructed, or modified before June 1, 1970:</w:t>
            </w:r>
          </w:p>
          <w:p w:rsidR="001D523D" w:rsidRPr="00492680" w:rsidRDefault="001D523D" w:rsidP="00861F45">
            <w:pPr>
              <w:rPr>
                <w:rFonts w:ascii="Times New Roman" w:eastAsia="Calibri" w:hAnsi="Times New Roman" w:cs="Times New Roman"/>
                <w:bCs/>
                <w:sz w:val="24"/>
                <w:szCs w:val="24"/>
              </w:rPr>
            </w:pPr>
          </w:p>
        </w:tc>
        <w:tc>
          <w:tcPr>
            <w:tcW w:w="4230" w:type="dxa"/>
          </w:tcPr>
          <w:p w:rsidR="001D523D" w:rsidRDefault="001D523D" w:rsidP="00861F45">
            <w:r w:rsidRPr="008B7DB7">
              <w:rPr>
                <w:rFonts w:ascii="Times New Roman" w:eastAsia="Calibri" w:hAnsi="Times New Roman" w:cs="Times New Roman"/>
                <w:sz w:val="24"/>
                <w:szCs w:val="24"/>
              </w:rPr>
              <w:t>(A) unless representative compliance source test data collected prior to [INSERT SOS FILING DATE OF RULES] demonstrates emissions greater than 0.080 grains per dry standard cubic foot;</w:t>
            </w:r>
          </w:p>
        </w:tc>
        <w:tc>
          <w:tcPr>
            <w:tcW w:w="4140" w:type="dxa"/>
          </w:tcPr>
          <w:p w:rsidR="001D523D" w:rsidRDefault="001D523D" w:rsidP="0066218C">
            <w:r w:rsidRPr="008B7DB7">
              <w:rPr>
                <w:rFonts w:ascii="Times New Roman" w:eastAsia="Calibri" w:hAnsi="Times New Roman" w:cs="Times New Roman"/>
                <w:sz w:val="24"/>
                <w:szCs w:val="24"/>
              </w:rPr>
              <w:t>0.10 grains per dry standard cubic foot</w:t>
            </w:r>
          </w:p>
        </w:tc>
        <w:tc>
          <w:tcPr>
            <w:tcW w:w="2070" w:type="dxa"/>
          </w:tcPr>
          <w:p w:rsidR="001D523D" w:rsidRDefault="001D523D" w:rsidP="0066218C"/>
        </w:tc>
      </w:tr>
      <w:tr w:rsidR="00861F45" w:rsidTr="001A46DB">
        <w:trPr>
          <w:trHeight w:val="689"/>
        </w:trPr>
        <w:tc>
          <w:tcPr>
            <w:tcW w:w="4158" w:type="dxa"/>
            <w:vMerge/>
          </w:tcPr>
          <w:p w:rsidR="00861F45" w:rsidRPr="00160C06" w:rsidRDefault="00861F45" w:rsidP="0066218C">
            <w:pPr>
              <w:rPr>
                <w:rFonts w:ascii="Times New Roman" w:eastAsia="Calibri" w:hAnsi="Times New Roman" w:cs="Times New Roman"/>
                <w:sz w:val="24"/>
                <w:szCs w:val="24"/>
              </w:rPr>
            </w:pPr>
          </w:p>
        </w:tc>
        <w:tc>
          <w:tcPr>
            <w:tcW w:w="4230" w:type="dxa"/>
            <w:vMerge w:val="restart"/>
          </w:tcPr>
          <w:p w:rsidR="00861F45" w:rsidRPr="00861F45" w:rsidRDefault="00861F45" w:rsidP="00861F45">
            <w:pPr>
              <w:rPr>
                <w:rFonts w:ascii="Times New Roman" w:eastAsia="Calibri" w:hAnsi="Times New Roman" w:cs="Times New Roman"/>
                <w:sz w:val="24"/>
                <w:szCs w:val="24"/>
              </w:rPr>
            </w:pPr>
            <w:r>
              <w:rPr>
                <w:rFonts w:ascii="Times New Roman" w:eastAsia="Calibri" w:hAnsi="Times New Roman" w:cs="Times New Roman"/>
                <w:sz w:val="24"/>
                <w:szCs w:val="24"/>
              </w:rPr>
              <w:t>(</w:t>
            </w:r>
            <w:r w:rsidRPr="008B7DB7">
              <w:rPr>
                <w:rFonts w:ascii="Times New Roman" w:eastAsia="Calibri" w:hAnsi="Times New Roman" w:cs="Times New Roman"/>
                <w:sz w:val="24"/>
                <w:szCs w:val="24"/>
              </w:rPr>
              <w:t>B) If representative compliance source test data collected prior to [INSERT DATE OF EQC ADOPTION OF RULES] demonstrates emissions greater than 0.080 grains pe</w:t>
            </w:r>
            <w:r>
              <w:rPr>
                <w:rFonts w:ascii="Times New Roman" w:eastAsia="Calibri" w:hAnsi="Times New Roman" w:cs="Times New Roman"/>
                <w:sz w:val="24"/>
                <w:szCs w:val="24"/>
              </w:rPr>
              <w:t>r dry standard cubic foot</w:t>
            </w:r>
          </w:p>
        </w:tc>
        <w:tc>
          <w:tcPr>
            <w:tcW w:w="4140" w:type="dxa"/>
          </w:tcPr>
          <w:p w:rsidR="00861F45" w:rsidRPr="00160C06"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w:t>
            </w:r>
            <w:proofErr w:type="spellStart"/>
            <w:r w:rsidRPr="008B7DB7">
              <w:rPr>
                <w:rFonts w:ascii="Times New Roman" w:eastAsia="Calibri" w:hAnsi="Times New Roman" w:cs="Times New Roman"/>
                <w:sz w:val="24"/>
                <w:szCs w:val="24"/>
              </w:rPr>
              <w:t>i</w:t>
            </w:r>
            <w:proofErr w:type="spellEnd"/>
            <w:r w:rsidRPr="008B7DB7">
              <w:rPr>
                <w:rFonts w:ascii="Times New Roman" w:eastAsia="Calibri" w:hAnsi="Times New Roman" w:cs="Times New Roman"/>
                <w:sz w:val="24"/>
                <w:szCs w:val="24"/>
              </w:rPr>
              <w:t>) 0.2 grains per dry standard cubic foot; and</w:t>
            </w:r>
          </w:p>
        </w:tc>
        <w:tc>
          <w:tcPr>
            <w:tcW w:w="2070" w:type="dxa"/>
          </w:tcPr>
          <w:p w:rsidR="00861F45" w:rsidRDefault="00861F45" w:rsidP="0066218C">
            <w:r w:rsidRPr="008B7DB7">
              <w:rPr>
                <w:rFonts w:ascii="Times New Roman" w:eastAsia="Calibri" w:hAnsi="Times New Roman" w:cs="Times New Roman"/>
                <w:sz w:val="24"/>
                <w:szCs w:val="24"/>
              </w:rPr>
              <w:t>until Dec. 31, 2019</w:t>
            </w:r>
          </w:p>
        </w:tc>
      </w:tr>
      <w:tr w:rsidR="00861F45" w:rsidTr="001A46DB">
        <w:trPr>
          <w:trHeight w:val="688"/>
        </w:trPr>
        <w:tc>
          <w:tcPr>
            <w:tcW w:w="4158" w:type="dxa"/>
            <w:vMerge/>
          </w:tcPr>
          <w:p w:rsidR="00861F45" w:rsidRPr="00160C06" w:rsidRDefault="00861F45" w:rsidP="0066218C">
            <w:pPr>
              <w:rPr>
                <w:rFonts w:ascii="Times New Roman" w:eastAsia="Calibri" w:hAnsi="Times New Roman" w:cs="Times New Roman"/>
                <w:sz w:val="24"/>
                <w:szCs w:val="24"/>
              </w:rPr>
            </w:pPr>
          </w:p>
        </w:tc>
        <w:tc>
          <w:tcPr>
            <w:tcW w:w="4230" w:type="dxa"/>
            <w:vMerge/>
          </w:tcPr>
          <w:p w:rsidR="00861F45" w:rsidRDefault="00861F45" w:rsidP="00861F45">
            <w:pPr>
              <w:rPr>
                <w:rFonts w:ascii="Times New Roman" w:eastAsia="Calibri" w:hAnsi="Times New Roman" w:cs="Times New Roman"/>
                <w:sz w:val="24"/>
                <w:szCs w:val="24"/>
              </w:rPr>
            </w:pPr>
          </w:p>
        </w:tc>
        <w:tc>
          <w:tcPr>
            <w:tcW w:w="4140" w:type="dxa"/>
          </w:tcPr>
          <w:p w:rsidR="00861F45" w:rsidRPr="008B7DB7"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(ii) 0.15 grains per dry standard cubic foot</w:t>
            </w:r>
          </w:p>
        </w:tc>
        <w:tc>
          <w:tcPr>
            <w:tcW w:w="2070" w:type="dxa"/>
          </w:tcPr>
          <w:p w:rsidR="00861F45" w:rsidRDefault="00861F45" w:rsidP="0066218C">
            <w:r w:rsidRPr="008B7DB7">
              <w:rPr>
                <w:rFonts w:ascii="Times New Roman" w:eastAsia="Calibri" w:hAnsi="Times New Roman" w:cs="Times New Roman"/>
                <w:sz w:val="24"/>
                <w:szCs w:val="24"/>
              </w:rPr>
              <w:t>on and after Jan. 1, 2020</w:t>
            </w:r>
          </w:p>
        </w:tc>
      </w:tr>
      <w:tr w:rsidR="00861F45" w:rsidTr="001A46DB">
        <w:tc>
          <w:tcPr>
            <w:tcW w:w="4158" w:type="dxa"/>
            <w:vMerge/>
          </w:tcPr>
          <w:p w:rsidR="00861F45" w:rsidRPr="00492680" w:rsidRDefault="00861F45" w:rsidP="0066218C">
            <w:pPr>
              <w:rPr>
                <w:rFonts w:ascii="Times New Roman" w:eastAsia="Calibri" w:hAnsi="Times New Roman" w:cs="Times New Roman"/>
                <w:bCs/>
                <w:sz w:val="24"/>
                <w:szCs w:val="24"/>
              </w:rPr>
            </w:pPr>
          </w:p>
        </w:tc>
        <w:tc>
          <w:tcPr>
            <w:tcW w:w="4230" w:type="dxa"/>
          </w:tcPr>
          <w:p w:rsidR="00861F45" w:rsidRPr="00861F45" w:rsidRDefault="00861F45" w:rsidP="0031205C">
            <w:pPr>
              <w:rPr>
                <w:rFonts w:ascii="Times New Roman" w:eastAsia="Calibri" w:hAnsi="Times New Roman" w:cs="Times New Roman"/>
                <w:sz w:val="24"/>
                <w:szCs w:val="24"/>
              </w:rPr>
            </w:pPr>
            <w:r w:rsidRPr="008B7DB7">
              <w:rPr>
                <w:rFonts w:ascii="Times New Roman" w:eastAsia="Calibri" w:hAnsi="Times New Roman" w:cs="Times New Roman"/>
                <w:sz w:val="24"/>
                <w:szCs w:val="24"/>
              </w:rPr>
              <w:t>(C) For equipment or a mode of operation (e.g., backup fuel) that is used less t</w:t>
            </w:r>
            <w:r w:rsidR="0031205C">
              <w:rPr>
                <w:rFonts w:ascii="Times New Roman" w:eastAsia="Calibri" w:hAnsi="Times New Roman" w:cs="Times New Roman"/>
                <w:sz w:val="24"/>
                <w:szCs w:val="24"/>
              </w:rPr>
              <w:t>han 876 hours per calendar year</w:t>
            </w:r>
          </w:p>
        </w:tc>
        <w:tc>
          <w:tcPr>
            <w:tcW w:w="4140" w:type="dxa"/>
          </w:tcPr>
          <w:p w:rsidR="00861F45" w:rsidRDefault="0031205C" w:rsidP="0031205C">
            <w:r w:rsidRPr="008B7DB7">
              <w:rPr>
                <w:rFonts w:ascii="Times New Roman" w:eastAsia="Calibri" w:hAnsi="Times New Roman" w:cs="Times New Roman"/>
                <w:sz w:val="24"/>
                <w:szCs w:val="24"/>
              </w:rPr>
              <w:t xml:space="preserve">0.20 grains per standard cubic foot </w:t>
            </w:r>
          </w:p>
        </w:tc>
        <w:tc>
          <w:tcPr>
            <w:tcW w:w="2070" w:type="dxa"/>
          </w:tcPr>
          <w:p w:rsidR="00861F45" w:rsidRDefault="0031205C" w:rsidP="0066218C">
            <w:r w:rsidRPr="008B7DB7">
              <w:rPr>
                <w:rFonts w:ascii="Times New Roman" w:eastAsia="Calibri" w:hAnsi="Times New Roman" w:cs="Times New Roman"/>
                <w:sz w:val="24"/>
                <w:szCs w:val="24"/>
              </w:rPr>
              <w:t>on and after Jan. 1, 2020</w:t>
            </w:r>
          </w:p>
        </w:tc>
      </w:tr>
      <w:tr w:rsidR="008B7DB7" w:rsidTr="001A46DB">
        <w:tc>
          <w:tcPr>
            <w:tcW w:w="4158" w:type="dxa"/>
            <w:vMerge w:val="restart"/>
          </w:tcPr>
          <w:p w:rsidR="008B7DB7" w:rsidRPr="008B7DB7" w:rsidRDefault="00861F45" w:rsidP="008B7DB7">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 </w:t>
            </w:r>
            <w:r w:rsidR="008B7DB7" w:rsidRPr="008B7DB7">
              <w:rPr>
                <w:rFonts w:ascii="Times New Roman" w:eastAsia="Calibri" w:hAnsi="Times New Roman" w:cs="Times New Roman"/>
                <w:sz w:val="24"/>
                <w:szCs w:val="24"/>
              </w:rPr>
              <w:t>(b) For sources installed, constructed, or modified on or after June 1, 1970 but prior to [INSERT SOS FILING DATE OF RULES]:</w:t>
            </w:r>
          </w:p>
          <w:p w:rsidR="00861F45" w:rsidRPr="004C7BC0"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 </w:t>
            </w:r>
          </w:p>
          <w:p w:rsidR="008B7DB7" w:rsidRPr="004C7BC0" w:rsidRDefault="008B7DB7" w:rsidP="0066218C">
            <w:pPr>
              <w:rPr>
                <w:rFonts w:ascii="Times New Roman" w:eastAsia="Calibri" w:hAnsi="Times New Roman" w:cs="Times New Roman"/>
                <w:sz w:val="24"/>
                <w:szCs w:val="24"/>
              </w:rPr>
            </w:pPr>
          </w:p>
        </w:tc>
        <w:tc>
          <w:tcPr>
            <w:tcW w:w="4230" w:type="dxa"/>
          </w:tcPr>
          <w:p w:rsidR="008B7DB7" w:rsidRPr="007C4056" w:rsidRDefault="00861F45" w:rsidP="00A8648D">
            <w:pPr>
              <w:rPr>
                <w:rFonts w:ascii="Times New Roman" w:eastAsia="Calibri" w:hAnsi="Times New Roman" w:cs="Times New Roman"/>
                <w:sz w:val="24"/>
                <w:szCs w:val="24"/>
              </w:rPr>
            </w:pPr>
            <w:r w:rsidRPr="008B7DB7">
              <w:rPr>
                <w:rFonts w:ascii="Times New Roman" w:eastAsia="Calibri" w:hAnsi="Times New Roman" w:cs="Times New Roman"/>
                <w:sz w:val="24"/>
                <w:szCs w:val="24"/>
              </w:rPr>
              <w:t>(A) unless representative compliance source test data prior to [INSERT SOS FILING DATE OF RULES] demonstrates emissions greater than 0.080 grains per dry standard cubic foot; or</w:t>
            </w:r>
          </w:p>
        </w:tc>
        <w:tc>
          <w:tcPr>
            <w:tcW w:w="4140" w:type="dxa"/>
          </w:tcPr>
          <w:p w:rsidR="008B7DB7" w:rsidRDefault="00A8648D" w:rsidP="0066218C">
            <w:r w:rsidRPr="008B7DB7">
              <w:rPr>
                <w:rFonts w:ascii="Times New Roman" w:eastAsia="Calibri" w:hAnsi="Times New Roman" w:cs="Times New Roman"/>
                <w:sz w:val="24"/>
                <w:szCs w:val="24"/>
              </w:rPr>
              <w:t>0.10 grains per dry standard cubic foot</w:t>
            </w:r>
          </w:p>
        </w:tc>
        <w:tc>
          <w:tcPr>
            <w:tcW w:w="2070" w:type="dxa"/>
          </w:tcPr>
          <w:p w:rsidR="008B7DB7" w:rsidRDefault="008B7DB7" w:rsidP="0066218C"/>
        </w:tc>
      </w:tr>
      <w:tr w:rsidR="008B7DB7" w:rsidTr="001A46DB">
        <w:trPr>
          <w:trHeight w:val="576"/>
        </w:trPr>
        <w:tc>
          <w:tcPr>
            <w:tcW w:w="4158" w:type="dxa"/>
            <w:vMerge/>
          </w:tcPr>
          <w:p w:rsidR="008B7DB7" w:rsidRPr="00160C06" w:rsidRDefault="008B7DB7" w:rsidP="0066218C">
            <w:pPr>
              <w:rPr>
                <w:rFonts w:ascii="Times New Roman" w:eastAsia="Calibri" w:hAnsi="Times New Roman" w:cs="Times New Roman"/>
                <w:sz w:val="24"/>
                <w:szCs w:val="24"/>
              </w:rPr>
            </w:pPr>
          </w:p>
        </w:tc>
        <w:tc>
          <w:tcPr>
            <w:tcW w:w="4230" w:type="dxa"/>
            <w:vMerge w:val="restart"/>
          </w:tcPr>
          <w:p w:rsidR="008B7DB7" w:rsidRPr="00160C06" w:rsidRDefault="00A8648D"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(B) If representative compliance source test data collected prior to [INSERT DATE OF EQC ADOPTION OF RULES] demonstrates emissions greater than 0.080 grains per dry standard cubic foot, then:</w:t>
            </w:r>
          </w:p>
        </w:tc>
        <w:tc>
          <w:tcPr>
            <w:tcW w:w="4140" w:type="dxa"/>
          </w:tcPr>
          <w:p w:rsidR="008B7DB7" w:rsidRPr="00A8648D" w:rsidRDefault="00A8648D" w:rsidP="00A8648D">
            <w:pPr>
              <w:rPr>
                <w:rFonts w:ascii="Times New Roman" w:eastAsia="Calibri" w:hAnsi="Times New Roman" w:cs="Times New Roman"/>
                <w:sz w:val="24"/>
                <w:szCs w:val="24"/>
              </w:rPr>
            </w:pPr>
            <w:r w:rsidRPr="008B7DB7">
              <w:rPr>
                <w:rFonts w:ascii="Times New Roman" w:eastAsia="Calibri" w:hAnsi="Times New Roman" w:cs="Times New Roman"/>
                <w:sz w:val="24"/>
                <w:szCs w:val="24"/>
              </w:rPr>
              <w:t>(</w:t>
            </w:r>
            <w:proofErr w:type="spellStart"/>
            <w:r w:rsidRPr="008B7DB7">
              <w:rPr>
                <w:rFonts w:ascii="Times New Roman" w:eastAsia="Calibri" w:hAnsi="Times New Roman" w:cs="Times New Roman"/>
                <w:sz w:val="24"/>
                <w:szCs w:val="24"/>
              </w:rPr>
              <w:t>i</w:t>
            </w:r>
            <w:proofErr w:type="spellEnd"/>
            <w:r w:rsidRPr="008B7DB7">
              <w:rPr>
                <w:rFonts w:ascii="Times New Roman" w:eastAsia="Calibri" w:hAnsi="Times New Roman" w:cs="Times New Roman"/>
                <w:sz w:val="24"/>
                <w:szCs w:val="24"/>
              </w:rPr>
              <w:t>) 0.1 grains per dry standard cubic foot; and</w:t>
            </w:r>
          </w:p>
        </w:tc>
        <w:tc>
          <w:tcPr>
            <w:tcW w:w="2070" w:type="dxa"/>
          </w:tcPr>
          <w:p w:rsidR="008B7DB7" w:rsidRDefault="00A8648D" w:rsidP="0066218C">
            <w:r w:rsidRPr="008B7DB7">
              <w:rPr>
                <w:rFonts w:ascii="Times New Roman" w:eastAsia="Calibri" w:hAnsi="Times New Roman" w:cs="Times New Roman"/>
                <w:sz w:val="24"/>
                <w:szCs w:val="24"/>
              </w:rPr>
              <w:t>until Dec. 31, 2019</w:t>
            </w:r>
          </w:p>
        </w:tc>
      </w:tr>
      <w:tr w:rsidR="008B7DB7" w:rsidTr="001A46DB">
        <w:trPr>
          <w:trHeight w:val="576"/>
        </w:trPr>
        <w:tc>
          <w:tcPr>
            <w:tcW w:w="4158" w:type="dxa"/>
            <w:vMerge/>
          </w:tcPr>
          <w:p w:rsidR="008B7DB7" w:rsidRPr="00160C06" w:rsidRDefault="008B7DB7" w:rsidP="0066218C">
            <w:pPr>
              <w:rPr>
                <w:rFonts w:ascii="Times New Roman" w:eastAsia="Calibri" w:hAnsi="Times New Roman" w:cs="Times New Roman"/>
                <w:sz w:val="24"/>
                <w:szCs w:val="24"/>
              </w:rPr>
            </w:pPr>
          </w:p>
        </w:tc>
        <w:tc>
          <w:tcPr>
            <w:tcW w:w="4230" w:type="dxa"/>
            <w:vMerge/>
          </w:tcPr>
          <w:p w:rsidR="008B7DB7" w:rsidRPr="00160C06" w:rsidRDefault="008B7DB7" w:rsidP="0066218C">
            <w:pPr>
              <w:rPr>
                <w:rFonts w:ascii="Times New Roman" w:eastAsia="Calibri" w:hAnsi="Times New Roman" w:cs="Times New Roman"/>
                <w:sz w:val="24"/>
                <w:szCs w:val="24"/>
              </w:rPr>
            </w:pPr>
          </w:p>
        </w:tc>
        <w:tc>
          <w:tcPr>
            <w:tcW w:w="4140" w:type="dxa"/>
          </w:tcPr>
          <w:p w:rsidR="008B7DB7" w:rsidRPr="00160C06" w:rsidRDefault="00A8648D" w:rsidP="00A8648D">
            <w:pPr>
              <w:rPr>
                <w:rFonts w:ascii="Times New Roman" w:eastAsia="Calibri" w:hAnsi="Times New Roman" w:cs="Times New Roman"/>
                <w:sz w:val="24"/>
                <w:szCs w:val="24"/>
              </w:rPr>
            </w:pPr>
            <w:r w:rsidRPr="008B7DB7">
              <w:rPr>
                <w:rFonts w:ascii="Times New Roman" w:eastAsia="Calibri" w:hAnsi="Times New Roman" w:cs="Times New Roman"/>
                <w:sz w:val="24"/>
                <w:szCs w:val="24"/>
              </w:rPr>
              <w:t>(ii) 0.14 grains per dry standard cubic foot</w:t>
            </w:r>
          </w:p>
        </w:tc>
        <w:tc>
          <w:tcPr>
            <w:tcW w:w="2070" w:type="dxa"/>
          </w:tcPr>
          <w:p w:rsidR="008B7DB7" w:rsidRDefault="00A8648D" w:rsidP="0066218C">
            <w:r w:rsidRPr="008B7DB7">
              <w:rPr>
                <w:rFonts w:ascii="Times New Roman" w:eastAsia="Calibri" w:hAnsi="Times New Roman" w:cs="Times New Roman"/>
                <w:sz w:val="24"/>
                <w:szCs w:val="24"/>
              </w:rPr>
              <w:t>on and after Jan. 1, 2020</w:t>
            </w:r>
          </w:p>
        </w:tc>
      </w:tr>
      <w:tr w:rsidR="00792E86" w:rsidTr="001A46DB">
        <w:tc>
          <w:tcPr>
            <w:tcW w:w="4158" w:type="dxa"/>
          </w:tcPr>
          <w:p w:rsidR="00792E86" w:rsidRPr="008B7DB7" w:rsidRDefault="00792E86" w:rsidP="00792E86">
            <w:pPr>
              <w:rPr>
                <w:rFonts w:ascii="Times New Roman" w:eastAsia="Calibri" w:hAnsi="Times New Roman" w:cs="Times New Roman"/>
                <w:sz w:val="24"/>
                <w:szCs w:val="24"/>
              </w:rPr>
            </w:pPr>
            <w:r w:rsidRPr="008B7DB7">
              <w:rPr>
                <w:rFonts w:ascii="Times New Roman" w:eastAsia="Calibri" w:hAnsi="Times New Roman" w:cs="Times New Roman"/>
                <w:sz w:val="24"/>
                <w:szCs w:val="24"/>
              </w:rPr>
              <w:t>(c) For sources installed, constructed or modified after [IN</w:t>
            </w:r>
            <w:r>
              <w:rPr>
                <w:rFonts w:ascii="Times New Roman" w:eastAsia="Calibri" w:hAnsi="Times New Roman" w:cs="Times New Roman"/>
                <w:sz w:val="24"/>
                <w:szCs w:val="24"/>
              </w:rPr>
              <w:t>SERT SOS FILING DATE OF RULES]</w:t>
            </w:r>
          </w:p>
        </w:tc>
        <w:tc>
          <w:tcPr>
            <w:tcW w:w="4230" w:type="dxa"/>
          </w:tcPr>
          <w:p w:rsidR="00792E86" w:rsidRDefault="00792E86" w:rsidP="0066218C"/>
        </w:tc>
        <w:tc>
          <w:tcPr>
            <w:tcW w:w="4140" w:type="dxa"/>
          </w:tcPr>
          <w:p w:rsidR="00792E86" w:rsidRDefault="00792E86" w:rsidP="00792E86">
            <w:r w:rsidRPr="008B7DB7">
              <w:rPr>
                <w:rFonts w:ascii="Times New Roman" w:eastAsia="Calibri" w:hAnsi="Times New Roman" w:cs="Times New Roman"/>
                <w:sz w:val="24"/>
                <w:szCs w:val="24"/>
              </w:rPr>
              <w:t>0.10 grains per dry standard cubic foot</w:t>
            </w:r>
          </w:p>
        </w:tc>
        <w:tc>
          <w:tcPr>
            <w:tcW w:w="2070" w:type="dxa"/>
          </w:tcPr>
          <w:p w:rsidR="00792E86" w:rsidRDefault="00792E86" w:rsidP="0066218C"/>
        </w:tc>
      </w:tr>
      <w:tr w:rsidR="001F1645" w:rsidTr="0054052D">
        <w:tc>
          <w:tcPr>
            <w:tcW w:w="14598" w:type="dxa"/>
            <w:gridSpan w:val="4"/>
          </w:tcPr>
          <w:p w:rsidR="001F1645" w:rsidRPr="008B7DB7" w:rsidRDefault="001F1645"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lastRenderedPageBreak/>
              <w:t xml:space="preserve"> </w:t>
            </w:r>
            <w:r w:rsidRPr="008B7DB7">
              <w:rPr>
                <w:rFonts w:ascii="Times New Roman" w:eastAsia="Calibri" w:hAnsi="Times New Roman" w:cs="Times New Roman"/>
                <w:sz w:val="24"/>
                <w:szCs w:val="24"/>
              </w:rPr>
              <w:t>(d)(A) The owner or operator of a source installed, constructed or modified before June 1, 1970 who is unable to comply with the standard in paragraph (a</w:t>
            </w:r>
            <w:proofErr w:type="gramStart"/>
            <w:r w:rsidRPr="008B7DB7">
              <w:rPr>
                <w:rFonts w:ascii="Times New Roman" w:eastAsia="Calibri" w:hAnsi="Times New Roman" w:cs="Times New Roman"/>
                <w:sz w:val="24"/>
                <w:szCs w:val="24"/>
              </w:rPr>
              <w:t>)(</w:t>
            </w:r>
            <w:proofErr w:type="gramEnd"/>
            <w:r w:rsidRPr="008B7DB7">
              <w:rPr>
                <w:rFonts w:ascii="Times New Roman" w:eastAsia="Calibri" w:hAnsi="Times New Roman" w:cs="Times New Roman"/>
                <w:sz w:val="24"/>
                <w:szCs w:val="24"/>
              </w:rPr>
              <w:t>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paragraph (a)(B)(ii) after either:</w:t>
            </w:r>
          </w:p>
          <w:p w:rsidR="001F1645" w:rsidRPr="008B7DB7" w:rsidRDefault="001F1645"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w:t>
            </w:r>
            <w:proofErr w:type="spellStart"/>
            <w:r w:rsidRPr="008B7DB7">
              <w:rPr>
                <w:rFonts w:ascii="Times New Roman" w:eastAsia="Calibri" w:hAnsi="Times New Roman" w:cs="Times New Roman"/>
                <w:sz w:val="24"/>
                <w:szCs w:val="24"/>
              </w:rPr>
              <w:t>i</w:t>
            </w:r>
            <w:proofErr w:type="spellEnd"/>
            <w:r w:rsidRPr="008B7DB7">
              <w:rPr>
                <w:rFonts w:ascii="Times New Roman" w:eastAsia="Calibri" w:hAnsi="Times New Roman" w:cs="Times New Roman"/>
                <w:sz w:val="24"/>
                <w:szCs w:val="24"/>
              </w:rPr>
              <w:t xml:space="preserve">) Maintenance and upgrades to an existing multiclone system; or </w:t>
            </w:r>
          </w:p>
          <w:p w:rsidR="001F1645" w:rsidRPr="008B7DB7" w:rsidRDefault="001F1645"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(ii) Conducting a boiler tune-up if the boiler does not have a control system.</w:t>
            </w:r>
          </w:p>
          <w:p w:rsidR="001F1645" w:rsidRDefault="001F1645" w:rsidP="0066218C">
            <w:r w:rsidRPr="008B7DB7">
              <w:rPr>
                <w:rFonts w:ascii="Times New Roman" w:eastAsia="Calibri" w:hAnsi="Times New Roman" w:cs="Times New Roman"/>
                <w:sz w:val="24"/>
                <w:szCs w:val="24"/>
              </w:rPr>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tc>
      </w:tr>
      <w:tr w:rsidR="001F1645" w:rsidTr="00881F23">
        <w:tc>
          <w:tcPr>
            <w:tcW w:w="14598" w:type="dxa"/>
            <w:gridSpan w:val="4"/>
          </w:tcPr>
          <w:p w:rsidR="001F1645" w:rsidRDefault="001F1645" w:rsidP="0066218C">
            <w:r w:rsidRPr="008B7DB7">
              <w:rPr>
                <w:rFonts w:ascii="Times New Roman" w:eastAsia="Calibri" w:hAnsi="Times New Roman" w:cs="Times New Roman"/>
                <w:sz w:val="24"/>
                <w:szCs w:val="24"/>
              </w:rPr>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 1, 2019.</w:t>
            </w:r>
          </w:p>
        </w:tc>
      </w:tr>
      <w:tr w:rsidR="008B7DB7" w:rsidTr="0066218C">
        <w:tc>
          <w:tcPr>
            <w:tcW w:w="14598" w:type="dxa"/>
            <w:gridSpan w:val="4"/>
          </w:tcPr>
          <w:p w:rsidR="00861F45" w:rsidRPr="008B7DB7"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(3) Compliance with the emissions standards in section (2) is determined using Oregon Method 5, or an alternative method approved by DEQ.</w:t>
            </w:r>
          </w:p>
          <w:p w:rsidR="00861F45" w:rsidRPr="008B7DB7"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(a) For indirect heat transfer fuel burning equipment that burn wood fuel by itself or in combination with any other fuel, the emission results are corrected to 12% CO2. </w:t>
            </w:r>
          </w:p>
          <w:p w:rsidR="00861F45" w:rsidRPr="008B7DB7"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(b) For indirect heat transfer fuel burning equipment that burn fuels other than wood, the emission results are corrected to 50% excess air. </w:t>
            </w:r>
          </w:p>
          <w:p w:rsidR="008B7DB7" w:rsidRDefault="00861F45" w:rsidP="00861F45">
            <w:r w:rsidRPr="008B7DB7">
              <w:rPr>
                <w:rFonts w:ascii="Times New Roman" w:eastAsia="Calibri" w:hAnsi="Times New Roman" w:cs="Times New Roman"/>
                <w:sz w:val="24"/>
                <w:szCs w:val="24"/>
              </w:rPr>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tc>
      </w:tr>
    </w:tbl>
    <w:p w:rsidR="008B7DB7" w:rsidRDefault="008B7DB7"/>
    <w:p w:rsidR="008B7DB7" w:rsidRDefault="008B7DB7"/>
    <w:p w:rsidR="008B7DB7" w:rsidRDefault="008B7DB7"/>
    <w:p w:rsidR="008B7DB7" w:rsidRDefault="008B7DB7"/>
    <w:p w:rsidR="008B7DB7" w:rsidRDefault="008B7DB7"/>
    <w:sectPr w:rsidR="008B7DB7" w:rsidSect="006D57E4">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93" w:rsidRDefault="00E27293" w:rsidP="00E27293">
      <w:pPr>
        <w:spacing w:after="0" w:line="240" w:lineRule="auto"/>
      </w:pPr>
      <w:r>
        <w:separator/>
      </w:r>
    </w:p>
  </w:endnote>
  <w:endnote w:type="continuationSeparator" w:id="0">
    <w:p w:rsidR="00E27293" w:rsidRDefault="00E27293" w:rsidP="00E2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93" w:rsidRDefault="00E272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5/21/2014 12:14 PM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60CDF" w:rsidRPr="00E60CD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27293" w:rsidRDefault="00E27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93" w:rsidRDefault="00E27293" w:rsidP="00E27293">
      <w:pPr>
        <w:spacing w:after="0" w:line="240" w:lineRule="auto"/>
      </w:pPr>
      <w:r>
        <w:separator/>
      </w:r>
    </w:p>
  </w:footnote>
  <w:footnote w:type="continuationSeparator" w:id="0">
    <w:p w:rsidR="00E27293" w:rsidRDefault="00E27293" w:rsidP="00E27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5"/>
    <w:rsid w:val="0004316D"/>
    <w:rsid w:val="00160C06"/>
    <w:rsid w:val="001A46DB"/>
    <w:rsid w:val="001D523D"/>
    <w:rsid w:val="001F1645"/>
    <w:rsid w:val="00274994"/>
    <w:rsid w:val="0031205C"/>
    <w:rsid w:val="003817B8"/>
    <w:rsid w:val="00492680"/>
    <w:rsid w:val="004C7BC0"/>
    <w:rsid w:val="0061109C"/>
    <w:rsid w:val="006D57E4"/>
    <w:rsid w:val="00792E86"/>
    <w:rsid w:val="007C4056"/>
    <w:rsid w:val="00861F45"/>
    <w:rsid w:val="008B7DB7"/>
    <w:rsid w:val="009819B4"/>
    <w:rsid w:val="00A05F35"/>
    <w:rsid w:val="00A8648D"/>
    <w:rsid w:val="00B05D9F"/>
    <w:rsid w:val="00BC6A39"/>
    <w:rsid w:val="00BF1B93"/>
    <w:rsid w:val="00E27293"/>
    <w:rsid w:val="00E60CDF"/>
    <w:rsid w:val="00F57B6D"/>
    <w:rsid w:val="00F7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7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93"/>
    <w:rPr>
      <w:rFonts w:ascii="Tahoma" w:hAnsi="Tahoma" w:cs="Tahoma"/>
      <w:sz w:val="16"/>
      <w:szCs w:val="16"/>
    </w:rPr>
  </w:style>
  <w:style w:type="paragraph" w:styleId="Header">
    <w:name w:val="header"/>
    <w:basedOn w:val="Normal"/>
    <w:link w:val="HeaderChar"/>
    <w:uiPriority w:val="99"/>
    <w:unhideWhenUsed/>
    <w:rsid w:val="00E27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93"/>
  </w:style>
  <w:style w:type="paragraph" w:styleId="Footer">
    <w:name w:val="footer"/>
    <w:basedOn w:val="Normal"/>
    <w:link w:val="FooterChar"/>
    <w:uiPriority w:val="99"/>
    <w:unhideWhenUsed/>
    <w:rsid w:val="00E27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7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93"/>
    <w:rPr>
      <w:rFonts w:ascii="Tahoma" w:hAnsi="Tahoma" w:cs="Tahoma"/>
      <w:sz w:val="16"/>
      <w:szCs w:val="16"/>
    </w:rPr>
  </w:style>
  <w:style w:type="paragraph" w:styleId="Header">
    <w:name w:val="header"/>
    <w:basedOn w:val="Normal"/>
    <w:link w:val="HeaderChar"/>
    <w:uiPriority w:val="99"/>
    <w:unhideWhenUsed/>
    <w:rsid w:val="00E27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93"/>
  </w:style>
  <w:style w:type="paragraph" w:styleId="Footer">
    <w:name w:val="footer"/>
    <w:basedOn w:val="Normal"/>
    <w:link w:val="FooterChar"/>
    <w:uiPriority w:val="99"/>
    <w:unhideWhenUsed/>
    <w:rsid w:val="00E27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17</cp:revision>
  <dcterms:created xsi:type="dcterms:W3CDTF">2014-05-21T17:05:00Z</dcterms:created>
  <dcterms:modified xsi:type="dcterms:W3CDTF">2014-05-21T21:32:00Z</dcterms:modified>
</cp:coreProperties>
</file>