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81285E" w:rsidRPr="0081285E" w:rsidTr="00E37935">
        <w:trPr>
          <w:trHeight w:val="810"/>
        </w:trPr>
        <w:tc>
          <w:tcPr>
            <w:tcW w:w="1356" w:type="dxa"/>
            <w:vMerge w:val="restart"/>
          </w:tcPr>
          <w:p w:rsidR="0081285E" w:rsidRPr="0081285E" w:rsidRDefault="0081285E" w:rsidP="0081285E">
            <w:pPr>
              <w:rPr>
                <w:rFonts w:cstheme="minorHAnsi"/>
                <w:b/>
                <w:sz w:val="28"/>
                <w:szCs w:val="28"/>
              </w:rPr>
            </w:pPr>
            <w:r w:rsidRPr="0081285E">
              <w:rPr>
                <w:rFonts w:cstheme="minorHAnsi"/>
                <w:b/>
                <w:noProof/>
                <w:sz w:val="28"/>
                <w:szCs w:val="28"/>
              </w:rPr>
              <w:drawing>
                <wp:inline distT="0" distB="0" distL="0" distR="0">
                  <wp:extent cx="696987" cy="1585708"/>
                  <wp:effectExtent l="19050" t="0" r="7863" b="0"/>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81285E" w:rsidRPr="0081285E" w:rsidRDefault="0081285E" w:rsidP="0081285E">
            <w:pPr>
              <w:rPr>
                <w:rFonts w:cstheme="minorHAnsi"/>
                <w:b/>
                <w:sz w:val="28"/>
                <w:szCs w:val="28"/>
              </w:rPr>
            </w:pPr>
          </w:p>
          <w:p w:rsidR="0081285E" w:rsidRPr="0081285E" w:rsidRDefault="00A92F1D" w:rsidP="0081285E">
            <w:pPr>
              <w:rPr>
                <w:rFonts w:cstheme="minorHAnsi"/>
                <w:b/>
                <w:sz w:val="28"/>
                <w:szCs w:val="28"/>
              </w:rPr>
            </w:pPr>
            <w:r>
              <w:rPr>
                <w:rFonts w:cstheme="minorHAnsi"/>
                <w:b/>
                <w:sz w:val="28"/>
                <w:szCs w:val="28"/>
              </w:rPr>
              <w:t>Lakeview</w:t>
            </w:r>
            <w:r w:rsidRPr="001041C3">
              <w:rPr>
                <w:rFonts w:cstheme="minorHAnsi"/>
                <w:b/>
                <w:sz w:val="28"/>
                <w:szCs w:val="28"/>
              </w:rPr>
              <w:t xml:space="preserve"> </w:t>
            </w:r>
            <w:r>
              <w:rPr>
                <w:rFonts w:cstheme="minorHAnsi"/>
                <w:b/>
                <w:sz w:val="28"/>
                <w:szCs w:val="28"/>
              </w:rPr>
              <w:t xml:space="preserve">Sustainment Area </w:t>
            </w:r>
          </w:p>
        </w:tc>
      </w:tr>
      <w:tr w:rsidR="0081285E" w:rsidRPr="0081285E" w:rsidTr="00E37935">
        <w:trPr>
          <w:trHeight w:val="116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sz w:val="28"/>
                <w:szCs w:val="28"/>
              </w:rPr>
            </w:pPr>
            <w:r w:rsidRPr="0081285E">
              <w:rPr>
                <w:rFonts w:cstheme="minorHAnsi"/>
                <w:sz w:val="28"/>
                <w:szCs w:val="28"/>
              </w:rPr>
              <w:t>Oregon Department of Environmental Quality</w:t>
            </w:r>
          </w:p>
          <w:p w:rsidR="0081285E" w:rsidRPr="0081285E" w:rsidRDefault="0081285E" w:rsidP="0081285E">
            <w:pPr>
              <w:rPr>
                <w:rFonts w:cstheme="minorHAnsi"/>
                <w:sz w:val="28"/>
                <w:szCs w:val="28"/>
              </w:rPr>
            </w:pPr>
            <w:r>
              <w:rPr>
                <w:rFonts w:cstheme="minorHAnsi"/>
                <w:sz w:val="28"/>
                <w:szCs w:val="28"/>
              </w:rPr>
              <w:t>811 SW 6</w:t>
            </w:r>
            <w:r w:rsidRPr="0081285E">
              <w:rPr>
                <w:rFonts w:cstheme="minorHAnsi"/>
                <w:sz w:val="28"/>
                <w:szCs w:val="28"/>
                <w:vertAlign w:val="superscript"/>
              </w:rPr>
              <w:t>th</w:t>
            </w:r>
            <w:r>
              <w:rPr>
                <w:rFonts w:cstheme="minorHAnsi"/>
                <w:sz w:val="28"/>
                <w:szCs w:val="28"/>
              </w:rPr>
              <w:t xml:space="preserve"> Avenue</w:t>
            </w:r>
          </w:p>
          <w:p w:rsidR="0081285E" w:rsidRPr="0081285E" w:rsidRDefault="0081285E" w:rsidP="0081285E">
            <w:pPr>
              <w:rPr>
                <w:rFonts w:cstheme="minorHAnsi"/>
                <w:sz w:val="28"/>
                <w:szCs w:val="28"/>
              </w:rPr>
            </w:pPr>
            <w:r w:rsidRPr="0081285E">
              <w:rPr>
                <w:rFonts w:cstheme="minorHAnsi"/>
                <w:sz w:val="28"/>
                <w:szCs w:val="28"/>
              </w:rPr>
              <w:t>Portland OR 97204</w:t>
            </w:r>
          </w:p>
        </w:tc>
      </w:tr>
      <w:tr w:rsidR="0081285E" w:rsidRPr="0081285E" w:rsidTr="00E37935">
        <w:trPr>
          <w:trHeight w:val="45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b/>
                <w:sz w:val="28"/>
                <w:szCs w:val="28"/>
              </w:rPr>
            </w:pPr>
            <w:r w:rsidRPr="0081285E">
              <w:rPr>
                <w:rFonts w:cstheme="minorHAnsi"/>
                <w:sz w:val="28"/>
                <w:szCs w:val="28"/>
              </w:rPr>
              <w:t xml:space="preserve">Contact: </w:t>
            </w:r>
            <w:r>
              <w:rPr>
                <w:rFonts w:cstheme="minorHAnsi"/>
                <w:sz w:val="28"/>
                <w:szCs w:val="28"/>
              </w:rPr>
              <w:t>Jill Inahara</w:t>
            </w:r>
          </w:p>
        </w:tc>
      </w:tr>
      <w:tr w:rsidR="0081285E" w:rsidRPr="0081285E" w:rsidTr="00E37935">
        <w:trPr>
          <w:gridAfter w:val="1"/>
          <w:wAfter w:w="8220" w:type="dxa"/>
          <w:trHeight w:val="322"/>
        </w:trPr>
        <w:tc>
          <w:tcPr>
            <w:tcW w:w="1356" w:type="dxa"/>
            <w:vMerge/>
          </w:tcPr>
          <w:p w:rsidR="0081285E" w:rsidRPr="0081285E" w:rsidRDefault="0081285E" w:rsidP="0081285E">
            <w:pPr>
              <w:rPr>
                <w:rFonts w:cstheme="minorHAnsi"/>
                <w:b/>
                <w:sz w:val="28"/>
                <w:szCs w:val="28"/>
              </w:rPr>
            </w:pPr>
          </w:p>
        </w:tc>
      </w:tr>
    </w:tbl>
    <w:p w:rsidR="003C3757" w:rsidRPr="003C3757" w:rsidRDefault="003C3757" w:rsidP="00D759AE">
      <w:pPr>
        <w:rPr>
          <w:rFonts w:cstheme="minorHAnsi"/>
          <w:sz w:val="28"/>
          <w:szCs w:val="28"/>
        </w:rPr>
      </w:pPr>
    </w:p>
    <w:p w:rsidR="00EA1BE6" w:rsidRPr="00125A45" w:rsidRDefault="0099155F" w:rsidP="0081285E">
      <w:pPr>
        <w:pStyle w:val="Heading1"/>
        <w:keepLines w:val="0"/>
        <w:tabs>
          <w:tab w:val="left" w:pos="-1440"/>
          <w:tab w:val="left" w:pos="-720"/>
        </w:tabs>
        <w:suppressAutoHyphens/>
        <w:spacing w:before="0"/>
        <w:contextualSpacing/>
        <w:rPr>
          <w:rFonts w:ascii="Arial" w:eastAsia="Times New Roman" w:hAnsi="Arial" w:cs="Arial"/>
          <w:bCs w:val="0"/>
          <w:spacing w:val="-3"/>
        </w:rPr>
      </w:pPr>
      <w:bookmarkStart w:id="0" w:name="_GoBack"/>
      <w:bookmarkStart w:id="1" w:name="_Toc330476360"/>
      <w:bookmarkStart w:id="2" w:name="_Toc339538107"/>
      <w:bookmarkStart w:id="3" w:name="_Toc369548779"/>
      <w:r w:rsidRPr="00125A45">
        <w:rPr>
          <w:rFonts w:ascii="Arial" w:eastAsia="Times New Roman" w:hAnsi="Arial" w:cs="Arial"/>
          <w:bCs w:val="0"/>
          <w:spacing w:val="-3"/>
        </w:rPr>
        <w:t>Introduction</w:t>
      </w:r>
    </w:p>
    <w:bookmarkEnd w:id="0"/>
    <w:p w:rsidR="005B4A3D" w:rsidRPr="0081285E" w:rsidRDefault="00EA1BE6" w:rsidP="00EE5A02">
      <w:pPr>
        <w:pStyle w:val="NoSpacing"/>
        <w:rPr>
          <w:rFonts w:ascii="Times New Roman" w:hAnsi="Times New Roman"/>
          <w:sz w:val="22"/>
          <w:szCs w:val="22"/>
        </w:rPr>
      </w:pPr>
      <w:r w:rsidRPr="0081285E">
        <w:rPr>
          <w:rFonts w:ascii="Times New Roman" w:hAnsi="Times New Roman"/>
          <w:sz w:val="22"/>
          <w:szCs w:val="22"/>
        </w:rPr>
        <w:t>DEQ proposes that EQC designate the Lakeview area as a sustainment</w:t>
      </w:r>
      <w:r w:rsidR="00C77594" w:rsidRPr="0081285E">
        <w:rPr>
          <w:rFonts w:ascii="Times New Roman" w:hAnsi="Times New Roman"/>
          <w:sz w:val="22"/>
          <w:szCs w:val="22"/>
        </w:rPr>
        <w:t xml:space="preserve"> area under OAR 340-204-0300</w:t>
      </w:r>
      <w:r w:rsidRPr="0081285E">
        <w:rPr>
          <w:rFonts w:ascii="Times New Roman" w:hAnsi="Times New Roman"/>
          <w:sz w:val="22"/>
          <w:szCs w:val="22"/>
        </w:rPr>
        <w:t xml:space="preserve"> of the rules proposed for adoption in this package.</w:t>
      </w:r>
    </w:p>
    <w:p w:rsidR="005B4A3D" w:rsidRPr="0081285E" w:rsidRDefault="005B4A3D" w:rsidP="00EE5A02">
      <w:pPr>
        <w:pStyle w:val="NoSpacing"/>
        <w:rPr>
          <w:rFonts w:ascii="Times New Roman" w:hAnsi="Times New Roman"/>
          <w:sz w:val="22"/>
          <w:szCs w:val="22"/>
        </w:rPr>
      </w:pPr>
    </w:p>
    <w:p w:rsidR="00EA1BE6" w:rsidRPr="0081285E" w:rsidRDefault="00C77594" w:rsidP="00EE5A02">
      <w:pPr>
        <w:pStyle w:val="NoSpacing"/>
        <w:rPr>
          <w:rFonts w:ascii="Times New Roman" w:hAnsi="Times New Roman"/>
          <w:sz w:val="22"/>
          <w:szCs w:val="22"/>
        </w:rPr>
      </w:pPr>
      <w:r w:rsidRPr="0081285E">
        <w:rPr>
          <w:rFonts w:ascii="Times New Roman" w:hAnsi="Times New Roman"/>
          <w:sz w:val="22"/>
          <w:szCs w:val="22"/>
        </w:rPr>
        <w:t>A proposal to designate a sustainment area must include the following elements:</w:t>
      </w:r>
    </w:p>
    <w:p w:rsidR="00C77594" w:rsidRPr="0081285E" w:rsidRDefault="00C77594" w:rsidP="00EE5A02">
      <w:pPr>
        <w:pStyle w:val="NoSpacing"/>
        <w:rPr>
          <w:rFonts w:ascii="Times New Roman" w:hAnsi="Times New Roman"/>
          <w:sz w:val="22"/>
          <w:szCs w:val="22"/>
        </w:rPr>
      </w:pP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(a) Monitoring data showing that an area is exceeding or has the potential to exceed an ambient air quality standard;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(b) A description of the affected area based on the monitoring data;</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(c) A discussion and identification of the priority sources contributing to the exceedance or potential exceedance of the ambient air quality standard; and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(d) A discussion of the reasons for the proposed designation. </w:t>
      </w:r>
    </w:p>
    <w:p w:rsidR="00EA1BE6" w:rsidRPr="0081285E" w:rsidRDefault="00EA1BE6" w:rsidP="00EE5A02">
      <w:pPr>
        <w:pStyle w:val="NoSpacing"/>
        <w:rPr>
          <w:rFonts w:ascii="Times New Roman" w:hAnsi="Times New Roman"/>
          <w:sz w:val="22"/>
          <w:szCs w:val="22"/>
        </w:rPr>
      </w:pPr>
    </w:p>
    <w:p w:rsidR="005B4A3D" w:rsidRPr="0081285E" w:rsidRDefault="005B4A3D" w:rsidP="00EE5A02">
      <w:pPr>
        <w:pStyle w:val="NoSpacing"/>
        <w:rPr>
          <w:rFonts w:ascii="Times New Roman" w:hAnsi="Times New Roman"/>
          <w:sz w:val="22"/>
          <w:szCs w:val="22"/>
        </w:rPr>
      </w:pPr>
      <w:r w:rsidRPr="0081285E">
        <w:rPr>
          <w:rFonts w:ascii="Times New Roman" w:hAnsi="Times New Roman"/>
          <w:sz w:val="22"/>
          <w:szCs w:val="22"/>
        </w:rPr>
        <w:t>These elements are discussed and identified below</w:t>
      </w:r>
      <w:r w:rsidR="00125A45">
        <w:rPr>
          <w:rFonts w:ascii="Times New Roman" w:hAnsi="Times New Roman"/>
          <w:sz w:val="22"/>
          <w:szCs w:val="22"/>
        </w:rPr>
        <w:t>:</w:t>
      </w:r>
    </w:p>
    <w:p w:rsidR="00E5520F" w:rsidRPr="0081285E" w:rsidRDefault="00E5520F" w:rsidP="00E5520F">
      <w:pPr>
        <w:pStyle w:val="Heading2"/>
        <w:rPr>
          <w:rFonts w:ascii="Arial" w:hAnsi="Arial" w:cs="Arial"/>
          <w:sz w:val="24"/>
          <w:szCs w:val="24"/>
        </w:rPr>
      </w:pPr>
      <w:r w:rsidRPr="0081285E">
        <w:rPr>
          <w:rFonts w:ascii="Arial" w:hAnsi="Arial" w:cs="Arial"/>
          <w:sz w:val="24"/>
          <w:szCs w:val="24"/>
        </w:rPr>
        <w:t>What is a sustainment area?</w:t>
      </w:r>
    </w:p>
    <w:p w:rsidR="00157B7E" w:rsidRPr="0081285E" w:rsidRDefault="00F42DEB" w:rsidP="00E5520F">
      <w:pPr>
        <w:pStyle w:val="NoSpacing"/>
        <w:rPr>
          <w:rFonts w:ascii="Times New Roman" w:hAnsi="Times New Roman"/>
          <w:sz w:val="22"/>
          <w:szCs w:val="22"/>
        </w:rPr>
      </w:pPr>
      <w:r w:rsidRPr="0081285E">
        <w:rPr>
          <w:rFonts w:ascii="Times New Roman" w:hAnsi="Times New Roman"/>
          <w:sz w:val="22"/>
          <w:szCs w:val="22"/>
        </w:rPr>
        <w:t>Sustainment areas</w:t>
      </w:r>
      <w:r w:rsidR="00621BF8" w:rsidRPr="0081285E">
        <w:rPr>
          <w:rFonts w:ascii="Times New Roman" w:hAnsi="Times New Roman"/>
          <w:sz w:val="22"/>
          <w:szCs w:val="22"/>
        </w:rPr>
        <w:t xml:space="preserve"> </w:t>
      </w:r>
      <w:r w:rsidR="00FE35AB" w:rsidRPr="0081285E">
        <w:rPr>
          <w:rFonts w:ascii="Times New Roman" w:hAnsi="Times New Roman"/>
          <w:sz w:val="22"/>
          <w:szCs w:val="22"/>
        </w:rPr>
        <w:t>are proposed as</w:t>
      </w:r>
      <w:r w:rsidRPr="0081285E">
        <w:rPr>
          <w:rFonts w:ascii="Times New Roman" w:hAnsi="Times New Roman"/>
          <w:sz w:val="22"/>
          <w:szCs w:val="22"/>
        </w:rPr>
        <w:t xml:space="preserve"> areas that have ambient monitoring data indicating that </w:t>
      </w:r>
      <w:r w:rsidR="00FE35AB" w:rsidRPr="0081285E">
        <w:rPr>
          <w:rFonts w:ascii="Times New Roman" w:hAnsi="Times New Roman"/>
          <w:sz w:val="22"/>
          <w:szCs w:val="22"/>
        </w:rPr>
        <w:t>the</w:t>
      </w:r>
      <w:r w:rsidRPr="0081285E">
        <w:rPr>
          <w:rFonts w:ascii="Times New Roman" w:hAnsi="Times New Roman"/>
          <w:sz w:val="22"/>
          <w:szCs w:val="22"/>
        </w:rPr>
        <w:t xml:space="preserve"> area is not meeting the </w:t>
      </w:r>
      <w:r w:rsidR="00157B7E" w:rsidRPr="0081285E">
        <w:rPr>
          <w:rFonts w:ascii="Times New Roman" w:hAnsi="Times New Roman"/>
          <w:sz w:val="22"/>
          <w:szCs w:val="22"/>
        </w:rPr>
        <w:t>ambient air quality standards</w:t>
      </w:r>
      <w:r w:rsidRPr="0081285E">
        <w:rPr>
          <w:rFonts w:ascii="Times New Roman" w:hAnsi="Times New Roman"/>
          <w:sz w:val="22"/>
          <w:szCs w:val="22"/>
        </w:rPr>
        <w:t xml:space="preserve"> or is very close to not meeting the AAQS, but the area has not been formally designated as a nonattainment area by EPA.</w:t>
      </w:r>
      <w:r w:rsidR="00F3624F" w:rsidRPr="0081285E">
        <w:rPr>
          <w:rFonts w:ascii="Times New Roman" w:hAnsi="Times New Roman"/>
          <w:sz w:val="22"/>
          <w:szCs w:val="22"/>
        </w:rPr>
        <w:t xml:space="preserve"> </w:t>
      </w:r>
      <w:r w:rsidR="00032E12" w:rsidRPr="0081285E">
        <w:rPr>
          <w:rFonts w:ascii="Times New Roman" w:hAnsi="Times New Roman"/>
          <w:sz w:val="22"/>
          <w:szCs w:val="22"/>
        </w:rPr>
        <w:t>DEQ is proposing the creation of the sustainment area designation to help prevent such an area from becoming formally designated as a nonattainment area.</w:t>
      </w:r>
      <w:r w:rsidR="00621BF8" w:rsidRPr="0081285E">
        <w:rPr>
          <w:rFonts w:ascii="Times New Roman" w:hAnsi="Times New Roman"/>
          <w:sz w:val="22"/>
          <w:szCs w:val="22"/>
        </w:rPr>
        <w:t xml:space="preserve"> It should be noted that a sustainment area designation does not supersede or replace the </w:t>
      </w:r>
      <w:r w:rsidR="006C4575" w:rsidRPr="0081285E">
        <w:rPr>
          <w:rFonts w:ascii="Times New Roman" w:hAnsi="Times New Roman"/>
          <w:sz w:val="22"/>
          <w:szCs w:val="22"/>
        </w:rPr>
        <w:t>federal area designation; rather, a sustainment area designation is overlaid on the federal area designation to provide permitting flexibility for intermediate sized industrial sources.</w:t>
      </w:r>
    </w:p>
    <w:p w:rsidR="00157B7E" w:rsidRPr="0081285E" w:rsidRDefault="00157B7E" w:rsidP="00E5520F">
      <w:pPr>
        <w:pStyle w:val="NoSpacing"/>
        <w:rPr>
          <w:rFonts w:ascii="Times New Roman" w:hAnsi="Times New Roman"/>
          <w:sz w:val="22"/>
          <w:szCs w:val="22"/>
        </w:rPr>
      </w:pPr>
    </w:p>
    <w:p w:rsidR="002E5165"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The areas where a sustainment area concept is most useful are areas where the primary air quality problem is due to </w:t>
      </w:r>
      <w:r w:rsidR="00157B7E" w:rsidRPr="0081285E">
        <w:rPr>
          <w:rFonts w:ascii="Times New Roman" w:hAnsi="Times New Roman"/>
          <w:sz w:val="22"/>
          <w:szCs w:val="22"/>
        </w:rPr>
        <w:t xml:space="preserve">emission </w:t>
      </w:r>
      <w:r w:rsidRPr="0081285E">
        <w:rPr>
          <w:rFonts w:ascii="Times New Roman" w:hAnsi="Times New Roman"/>
          <w:sz w:val="22"/>
          <w:szCs w:val="22"/>
        </w:rPr>
        <w:t>sources other than industry</w:t>
      </w:r>
      <w:r w:rsidR="00EA1BE6" w:rsidRPr="0081285E">
        <w:rPr>
          <w:rFonts w:ascii="Times New Roman" w:hAnsi="Times New Roman"/>
          <w:sz w:val="22"/>
          <w:szCs w:val="22"/>
        </w:rPr>
        <w:t>, such as woodstoves</w:t>
      </w:r>
      <w:r w:rsidRPr="0081285E">
        <w:rPr>
          <w:rFonts w:ascii="Times New Roman" w:hAnsi="Times New Roman"/>
          <w:sz w:val="22"/>
          <w:szCs w:val="22"/>
        </w:rPr>
        <w:t xml:space="preserve">. EPA and DEQ rules currently focus on industrial source restrictions </w:t>
      </w:r>
      <w:r w:rsidR="00F42DEB" w:rsidRPr="0081285E">
        <w:rPr>
          <w:rFonts w:ascii="Times New Roman" w:hAnsi="Times New Roman"/>
          <w:sz w:val="22"/>
          <w:szCs w:val="22"/>
        </w:rPr>
        <w:t>to get an area back into attainment</w:t>
      </w:r>
      <w:r w:rsidR="002E5165" w:rsidRPr="0081285E">
        <w:rPr>
          <w:rFonts w:ascii="Times New Roman" w:hAnsi="Times New Roman"/>
          <w:sz w:val="22"/>
          <w:szCs w:val="22"/>
        </w:rPr>
        <w:t>,</w:t>
      </w:r>
      <w:r w:rsidR="003C3757" w:rsidRPr="0081285E">
        <w:rPr>
          <w:rFonts w:ascii="Times New Roman" w:hAnsi="Times New Roman"/>
          <w:sz w:val="22"/>
          <w:szCs w:val="22"/>
        </w:rPr>
        <w:t xml:space="preserve"> </w:t>
      </w:r>
      <w:r w:rsidR="00157B7E" w:rsidRPr="0081285E">
        <w:rPr>
          <w:rFonts w:ascii="Times New Roman" w:hAnsi="Times New Roman"/>
          <w:sz w:val="22"/>
          <w:szCs w:val="22"/>
        </w:rPr>
        <w:t>which may not</w:t>
      </w:r>
      <w:r w:rsidRPr="0081285E">
        <w:rPr>
          <w:rFonts w:ascii="Times New Roman" w:hAnsi="Times New Roman"/>
          <w:sz w:val="22"/>
          <w:szCs w:val="22"/>
        </w:rPr>
        <w:t xml:space="preserve"> </w:t>
      </w:r>
      <w:r w:rsidR="00157B7E" w:rsidRPr="0081285E">
        <w:rPr>
          <w:rFonts w:ascii="Times New Roman" w:hAnsi="Times New Roman"/>
          <w:sz w:val="22"/>
          <w:szCs w:val="22"/>
        </w:rPr>
        <w:t>address</w:t>
      </w:r>
      <w:r w:rsidR="00E253AE" w:rsidRPr="0081285E">
        <w:rPr>
          <w:rFonts w:ascii="Times New Roman" w:hAnsi="Times New Roman"/>
          <w:sz w:val="22"/>
          <w:szCs w:val="22"/>
        </w:rPr>
        <w:t xml:space="preserve"> </w:t>
      </w:r>
      <w:r w:rsidRPr="0081285E">
        <w:rPr>
          <w:rFonts w:ascii="Times New Roman" w:hAnsi="Times New Roman"/>
          <w:sz w:val="22"/>
          <w:szCs w:val="22"/>
        </w:rPr>
        <w:t xml:space="preserve">the </w:t>
      </w:r>
      <w:r w:rsidR="003C3757" w:rsidRPr="0081285E">
        <w:rPr>
          <w:rFonts w:ascii="Times New Roman" w:hAnsi="Times New Roman"/>
          <w:sz w:val="22"/>
          <w:szCs w:val="22"/>
        </w:rPr>
        <w:t xml:space="preserve">cause </w:t>
      </w:r>
      <w:r w:rsidRPr="0081285E">
        <w:rPr>
          <w:rFonts w:ascii="Times New Roman" w:hAnsi="Times New Roman"/>
          <w:sz w:val="22"/>
          <w:szCs w:val="22"/>
        </w:rPr>
        <w:t xml:space="preserve">of the problem. </w:t>
      </w:r>
      <w:r w:rsidR="008343FF" w:rsidRPr="0081285E">
        <w:rPr>
          <w:rFonts w:ascii="Times New Roman" w:hAnsi="Times New Roman"/>
          <w:sz w:val="22"/>
          <w:szCs w:val="22"/>
        </w:rPr>
        <w:t xml:space="preserve">DEQ wants to focus on the </w:t>
      </w:r>
      <w:r w:rsidR="00F42DEB" w:rsidRPr="0081285E">
        <w:rPr>
          <w:rFonts w:ascii="Times New Roman" w:hAnsi="Times New Roman"/>
          <w:sz w:val="22"/>
          <w:szCs w:val="22"/>
        </w:rPr>
        <w:t>cause of the</w:t>
      </w:r>
      <w:r w:rsidR="003C3757" w:rsidRPr="0081285E">
        <w:rPr>
          <w:rFonts w:ascii="Times New Roman" w:hAnsi="Times New Roman"/>
          <w:sz w:val="22"/>
          <w:szCs w:val="22"/>
        </w:rPr>
        <w:t xml:space="preserve"> </w:t>
      </w:r>
      <w:r w:rsidR="00157B7E" w:rsidRPr="0081285E">
        <w:rPr>
          <w:rFonts w:ascii="Times New Roman" w:hAnsi="Times New Roman"/>
          <w:sz w:val="22"/>
          <w:szCs w:val="22"/>
        </w:rPr>
        <w:t xml:space="preserve">air quality </w:t>
      </w:r>
      <w:r w:rsidR="008343FF" w:rsidRPr="0081285E">
        <w:rPr>
          <w:rFonts w:ascii="Times New Roman" w:hAnsi="Times New Roman"/>
          <w:sz w:val="22"/>
          <w:szCs w:val="22"/>
        </w:rPr>
        <w:t xml:space="preserve">problem rather than </w:t>
      </w:r>
      <w:r w:rsidR="00157B7E" w:rsidRPr="0081285E">
        <w:rPr>
          <w:rFonts w:ascii="Times New Roman" w:hAnsi="Times New Roman"/>
          <w:sz w:val="22"/>
          <w:szCs w:val="22"/>
        </w:rPr>
        <w:t xml:space="preserve">impose </w:t>
      </w:r>
      <w:r w:rsidR="008343FF" w:rsidRPr="0081285E">
        <w:rPr>
          <w:rFonts w:ascii="Times New Roman" w:hAnsi="Times New Roman"/>
          <w:sz w:val="22"/>
          <w:szCs w:val="22"/>
        </w:rPr>
        <w:t>unnecessary restrictions on industry</w:t>
      </w:r>
      <w:r w:rsidR="00157B7E" w:rsidRPr="0081285E">
        <w:rPr>
          <w:rFonts w:ascii="Times New Roman" w:hAnsi="Times New Roman"/>
          <w:sz w:val="22"/>
          <w:szCs w:val="22"/>
        </w:rPr>
        <w:t xml:space="preserve"> if industry is not causing</w:t>
      </w:r>
      <w:r w:rsidR="002E5165" w:rsidRPr="0081285E">
        <w:rPr>
          <w:rFonts w:ascii="Times New Roman" w:hAnsi="Times New Roman"/>
          <w:sz w:val="22"/>
          <w:szCs w:val="22"/>
        </w:rPr>
        <w:t xml:space="preserve"> or contributing significantly to</w:t>
      </w:r>
      <w:r w:rsidR="00157B7E" w:rsidRPr="0081285E">
        <w:rPr>
          <w:rFonts w:ascii="Times New Roman" w:hAnsi="Times New Roman"/>
          <w:sz w:val="22"/>
          <w:szCs w:val="22"/>
        </w:rPr>
        <w:t xml:space="preserve"> the problem</w:t>
      </w:r>
      <w:r w:rsidR="008343FF" w:rsidRPr="0081285E">
        <w:rPr>
          <w:rFonts w:ascii="Times New Roman" w:hAnsi="Times New Roman"/>
          <w:sz w:val="22"/>
          <w:szCs w:val="22"/>
        </w:rPr>
        <w:t>.</w:t>
      </w:r>
    </w:p>
    <w:p w:rsidR="002E5165" w:rsidRPr="0081285E" w:rsidRDefault="002E5165" w:rsidP="00E5520F">
      <w:pPr>
        <w:pStyle w:val="NoSpacing"/>
        <w:rPr>
          <w:rFonts w:ascii="Times New Roman" w:hAnsi="Times New Roman"/>
          <w:sz w:val="22"/>
          <w:szCs w:val="22"/>
        </w:rPr>
      </w:pPr>
    </w:p>
    <w:p w:rsidR="00E5520F"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Often there is a lag time between when </w:t>
      </w:r>
      <w:r w:rsidR="00E253AE" w:rsidRPr="0081285E">
        <w:rPr>
          <w:rFonts w:ascii="Times New Roman" w:hAnsi="Times New Roman"/>
          <w:sz w:val="22"/>
          <w:szCs w:val="22"/>
        </w:rPr>
        <w:t>DEQ’s monitoring data indicates an area is</w:t>
      </w:r>
      <w:r w:rsidRPr="0081285E">
        <w:rPr>
          <w:rFonts w:ascii="Times New Roman" w:hAnsi="Times New Roman"/>
          <w:sz w:val="22"/>
          <w:szCs w:val="22"/>
        </w:rPr>
        <w:t xml:space="preserve"> violating the </w:t>
      </w:r>
      <w:r w:rsidR="002E5165" w:rsidRPr="0081285E">
        <w:rPr>
          <w:rFonts w:ascii="Times New Roman" w:hAnsi="Times New Roman"/>
          <w:sz w:val="22"/>
          <w:szCs w:val="22"/>
        </w:rPr>
        <w:t xml:space="preserve">AAQS </w:t>
      </w:r>
      <w:r w:rsidR="00326C59" w:rsidRPr="0081285E">
        <w:rPr>
          <w:rFonts w:ascii="Times New Roman" w:hAnsi="Times New Roman"/>
          <w:sz w:val="22"/>
          <w:szCs w:val="22"/>
        </w:rPr>
        <w:t xml:space="preserve">to when </w:t>
      </w:r>
      <w:r w:rsidR="00E253AE" w:rsidRPr="0081285E">
        <w:rPr>
          <w:rFonts w:ascii="Times New Roman" w:hAnsi="Times New Roman"/>
          <w:sz w:val="22"/>
          <w:szCs w:val="22"/>
        </w:rPr>
        <w:t>EPA</w:t>
      </w:r>
      <w:r w:rsidR="00326C59" w:rsidRPr="0081285E">
        <w:rPr>
          <w:rFonts w:ascii="Times New Roman" w:hAnsi="Times New Roman"/>
          <w:sz w:val="22"/>
          <w:szCs w:val="22"/>
        </w:rPr>
        <w:t xml:space="preserve"> formally designate</w:t>
      </w:r>
      <w:r w:rsidR="002E5165" w:rsidRPr="0081285E">
        <w:rPr>
          <w:rFonts w:ascii="Times New Roman" w:hAnsi="Times New Roman"/>
          <w:sz w:val="22"/>
          <w:szCs w:val="22"/>
        </w:rPr>
        <w:t>s</w:t>
      </w:r>
      <w:r w:rsidR="00E253AE" w:rsidRPr="0081285E">
        <w:rPr>
          <w:rFonts w:ascii="Times New Roman" w:hAnsi="Times New Roman"/>
          <w:sz w:val="22"/>
          <w:szCs w:val="22"/>
        </w:rPr>
        <w:t xml:space="preserve"> that area as</w:t>
      </w:r>
      <w:r w:rsidR="00326C59" w:rsidRPr="0081285E">
        <w:rPr>
          <w:rFonts w:ascii="Times New Roman" w:hAnsi="Times New Roman"/>
          <w:sz w:val="22"/>
          <w:szCs w:val="22"/>
        </w:rPr>
        <w:t xml:space="preserve"> nonattainment</w:t>
      </w:r>
      <w:r w:rsidR="002E1AD8" w:rsidRPr="0081285E">
        <w:rPr>
          <w:rFonts w:ascii="Times New Roman" w:hAnsi="Times New Roman"/>
          <w:sz w:val="22"/>
          <w:szCs w:val="22"/>
        </w:rPr>
        <w:t>.</w:t>
      </w:r>
      <w:r w:rsidR="002E5165" w:rsidRPr="0081285E">
        <w:rPr>
          <w:rFonts w:ascii="Times New Roman" w:hAnsi="Times New Roman"/>
          <w:sz w:val="22"/>
          <w:szCs w:val="22"/>
        </w:rPr>
        <w:t xml:space="preserve"> During these lag times</w:t>
      </w:r>
      <w:r w:rsidR="00EE46B6" w:rsidRPr="0081285E">
        <w:rPr>
          <w:rFonts w:ascii="Times New Roman" w:hAnsi="Times New Roman"/>
          <w:sz w:val="22"/>
          <w:szCs w:val="22"/>
        </w:rPr>
        <w:t>,</w:t>
      </w:r>
      <w:r w:rsidR="002E5165" w:rsidRPr="0081285E">
        <w:rPr>
          <w:rFonts w:ascii="Times New Roman" w:hAnsi="Times New Roman"/>
          <w:sz w:val="22"/>
          <w:szCs w:val="22"/>
        </w:rPr>
        <w:t xml:space="preserve"> industrial development in the area is largely impossible because new or expanding industrial sources cannot meet the rules for the </w:t>
      </w:r>
      <w:r w:rsidR="00EE46B6" w:rsidRPr="0081285E">
        <w:rPr>
          <w:rFonts w:ascii="Times New Roman" w:hAnsi="Times New Roman"/>
          <w:sz w:val="22"/>
          <w:szCs w:val="22"/>
        </w:rPr>
        <w:t xml:space="preserve">attainment area, </w:t>
      </w:r>
      <w:r w:rsidR="002E5165" w:rsidRPr="0081285E">
        <w:rPr>
          <w:rFonts w:ascii="Times New Roman" w:hAnsi="Times New Roman"/>
          <w:sz w:val="22"/>
          <w:szCs w:val="22"/>
        </w:rPr>
        <w:t xml:space="preserve">the </w:t>
      </w:r>
      <w:r w:rsidR="003B5810" w:rsidRPr="0081285E">
        <w:rPr>
          <w:rFonts w:ascii="Times New Roman" w:hAnsi="Times New Roman"/>
          <w:sz w:val="22"/>
          <w:szCs w:val="22"/>
        </w:rPr>
        <w:t>current</w:t>
      </w:r>
      <w:r w:rsidR="008D4491" w:rsidRPr="0081285E">
        <w:rPr>
          <w:rFonts w:ascii="Times New Roman" w:hAnsi="Times New Roman"/>
          <w:sz w:val="22"/>
          <w:szCs w:val="22"/>
        </w:rPr>
        <w:t xml:space="preserve"> </w:t>
      </w:r>
      <w:r w:rsidR="00EE46B6" w:rsidRPr="0081285E">
        <w:rPr>
          <w:rFonts w:ascii="Times New Roman" w:hAnsi="Times New Roman"/>
          <w:sz w:val="22"/>
          <w:szCs w:val="22"/>
        </w:rPr>
        <w:t xml:space="preserve">area </w:t>
      </w:r>
      <w:r w:rsidR="002E5165" w:rsidRPr="0081285E">
        <w:rPr>
          <w:rFonts w:ascii="Times New Roman" w:hAnsi="Times New Roman"/>
          <w:sz w:val="22"/>
          <w:szCs w:val="22"/>
        </w:rPr>
        <w:t>designat</w:t>
      </w:r>
      <w:r w:rsidR="00EE46B6" w:rsidRPr="0081285E">
        <w:rPr>
          <w:rFonts w:ascii="Times New Roman" w:hAnsi="Times New Roman"/>
          <w:sz w:val="22"/>
          <w:szCs w:val="22"/>
        </w:rPr>
        <w:t>ion</w:t>
      </w:r>
      <w:r w:rsidR="002E5165" w:rsidRPr="0081285E">
        <w:rPr>
          <w:rFonts w:ascii="Times New Roman" w:hAnsi="Times New Roman"/>
          <w:sz w:val="22"/>
          <w:szCs w:val="22"/>
        </w:rPr>
        <w:t>.</w:t>
      </w:r>
      <w:r w:rsidR="008D4491" w:rsidRPr="0081285E">
        <w:rPr>
          <w:rFonts w:ascii="Times New Roman" w:hAnsi="Times New Roman"/>
          <w:sz w:val="22"/>
          <w:szCs w:val="22"/>
        </w:rPr>
        <w:t xml:space="preserve"> Communities in this situation would like more flexibility to attract new industry. Further, in DEQ’s view</w:t>
      </w:r>
      <w:r w:rsidR="009D7BB9" w:rsidRPr="0081285E">
        <w:rPr>
          <w:rFonts w:ascii="Times New Roman" w:hAnsi="Times New Roman"/>
          <w:sz w:val="22"/>
          <w:szCs w:val="22"/>
        </w:rPr>
        <w:t>,</w:t>
      </w:r>
      <w:r w:rsidR="008D4491" w:rsidRPr="0081285E">
        <w:rPr>
          <w:rFonts w:ascii="Times New Roman" w:hAnsi="Times New Roman"/>
          <w:sz w:val="22"/>
          <w:szCs w:val="22"/>
        </w:rPr>
        <w:t xml:space="preserve"> new industry </w:t>
      </w:r>
      <w:r w:rsidR="009D7BB9" w:rsidRPr="0081285E">
        <w:rPr>
          <w:rFonts w:ascii="Times New Roman" w:hAnsi="Times New Roman"/>
          <w:sz w:val="22"/>
          <w:szCs w:val="22"/>
        </w:rPr>
        <w:t>can help to improve air quality</w:t>
      </w:r>
      <w:r w:rsidR="008D4491" w:rsidRPr="0081285E">
        <w:rPr>
          <w:rFonts w:ascii="Times New Roman" w:hAnsi="Times New Roman"/>
          <w:sz w:val="22"/>
          <w:szCs w:val="22"/>
        </w:rPr>
        <w:t xml:space="preserve"> by helping to replace older woodstoves as part of an emission offset program.</w:t>
      </w:r>
      <w:r w:rsidR="002E1AD8" w:rsidRPr="0081285E">
        <w:rPr>
          <w:rFonts w:ascii="Times New Roman" w:hAnsi="Times New Roman"/>
          <w:sz w:val="22"/>
          <w:szCs w:val="22"/>
        </w:rPr>
        <w:t xml:space="preserve"> </w:t>
      </w:r>
      <w:r w:rsidR="00326C59" w:rsidRPr="0081285E">
        <w:rPr>
          <w:rFonts w:ascii="Times New Roman" w:hAnsi="Times New Roman"/>
          <w:sz w:val="22"/>
          <w:szCs w:val="22"/>
        </w:rPr>
        <w:t xml:space="preserve">In these cases, a sustainment area </w:t>
      </w:r>
      <w:r w:rsidR="002E5165" w:rsidRPr="0081285E">
        <w:rPr>
          <w:rFonts w:ascii="Times New Roman" w:hAnsi="Times New Roman"/>
          <w:sz w:val="22"/>
          <w:szCs w:val="22"/>
        </w:rPr>
        <w:t xml:space="preserve">designation </w:t>
      </w:r>
      <w:r w:rsidR="00326C59" w:rsidRPr="0081285E">
        <w:rPr>
          <w:rFonts w:ascii="Times New Roman" w:hAnsi="Times New Roman"/>
          <w:sz w:val="22"/>
          <w:szCs w:val="22"/>
        </w:rPr>
        <w:t>would be appropriate</w:t>
      </w:r>
      <w:r w:rsidR="003C3757" w:rsidRPr="0081285E">
        <w:rPr>
          <w:rFonts w:ascii="Times New Roman" w:hAnsi="Times New Roman"/>
          <w:sz w:val="22"/>
          <w:szCs w:val="22"/>
        </w:rPr>
        <w:t xml:space="preserve"> </w:t>
      </w:r>
      <w:r w:rsidR="00F42DEB" w:rsidRPr="0081285E">
        <w:rPr>
          <w:rFonts w:ascii="Times New Roman" w:hAnsi="Times New Roman"/>
          <w:sz w:val="22"/>
          <w:szCs w:val="22"/>
        </w:rPr>
        <w:t xml:space="preserve">because it gives the community and DEQ the ability to start working on the problem rather than wait for EPA’s formal </w:t>
      </w:r>
      <w:r w:rsidR="0098342E" w:rsidRPr="0081285E">
        <w:rPr>
          <w:rFonts w:ascii="Times New Roman" w:hAnsi="Times New Roman"/>
          <w:sz w:val="22"/>
          <w:szCs w:val="22"/>
        </w:rPr>
        <w:t xml:space="preserve">nonattainment </w:t>
      </w:r>
      <w:r w:rsidR="00F42DEB" w:rsidRPr="0081285E">
        <w:rPr>
          <w:rFonts w:ascii="Times New Roman" w:hAnsi="Times New Roman"/>
          <w:sz w:val="22"/>
          <w:szCs w:val="22"/>
        </w:rPr>
        <w:t>designation</w:t>
      </w:r>
      <w:r w:rsidR="002E1AD8" w:rsidRPr="0081285E">
        <w:rPr>
          <w:rFonts w:ascii="Times New Roman" w:hAnsi="Times New Roman"/>
          <w:sz w:val="22"/>
          <w:szCs w:val="22"/>
        </w:rPr>
        <w:t xml:space="preserve">. </w:t>
      </w:r>
    </w:p>
    <w:p w:rsidR="00CE2C89" w:rsidRPr="0081285E" w:rsidRDefault="00CE2C89" w:rsidP="00E5520F">
      <w:pPr>
        <w:pStyle w:val="NoSpacing"/>
        <w:rPr>
          <w:rFonts w:ascii="Times New Roman" w:hAnsi="Times New Roman"/>
          <w:sz w:val="22"/>
          <w:szCs w:val="22"/>
        </w:rPr>
      </w:pPr>
    </w:p>
    <w:p w:rsidR="00326C59" w:rsidRPr="0081285E" w:rsidRDefault="009566E5" w:rsidP="00E5520F">
      <w:pPr>
        <w:pStyle w:val="NoSpacing"/>
        <w:rPr>
          <w:rFonts w:ascii="Times New Roman" w:hAnsi="Times New Roman"/>
          <w:sz w:val="22"/>
          <w:szCs w:val="22"/>
        </w:rPr>
      </w:pPr>
      <w:r w:rsidRPr="0081285E">
        <w:rPr>
          <w:rFonts w:ascii="Times New Roman" w:hAnsi="Times New Roman"/>
          <w:sz w:val="22"/>
          <w:szCs w:val="22"/>
        </w:rPr>
        <w:lastRenderedPageBreak/>
        <w:t>The p</w:t>
      </w:r>
      <w:r w:rsidR="00097E24" w:rsidRPr="0081285E">
        <w:rPr>
          <w:rFonts w:ascii="Times New Roman" w:hAnsi="Times New Roman"/>
          <w:sz w:val="22"/>
          <w:szCs w:val="22"/>
        </w:rPr>
        <w:t xml:space="preserve">ermitting </w:t>
      </w:r>
      <w:r w:rsidRPr="0081285E">
        <w:rPr>
          <w:rFonts w:ascii="Times New Roman" w:hAnsi="Times New Roman"/>
          <w:sz w:val="22"/>
          <w:szCs w:val="22"/>
        </w:rPr>
        <w:t xml:space="preserve">requirements for </w:t>
      </w:r>
      <w:r w:rsidR="00097E24" w:rsidRPr="0081285E">
        <w:rPr>
          <w:rFonts w:ascii="Times New Roman" w:hAnsi="Times New Roman"/>
          <w:sz w:val="22"/>
          <w:szCs w:val="22"/>
        </w:rPr>
        <w:t>a</w:t>
      </w:r>
      <w:r w:rsidR="00E5520F" w:rsidRPr="0081285E">
        <w:rPr>
          <w:rFonts w:ascii="Times New Roman" w:hAnsi="Times New Roman"/>
          <w:sz w:val="22"/>
          <w:szCs w:val="22"/>
        </w:rPr>
        <w:t xml:space="preserve"> sustainment area include some nonattainment area </w:t>
      </w:r>
      <w:r w:rsidRPr="0081285E">
        <w:rPr>
          <w:rFonts w:ascii="Times New Roman" w:hAnsi="Times New Roman"/>
          <w:sz w:val="22"/>
          <w:szCs w:val="22"/>
        </w:rPr>
        <w:t xml:space="preserve">requirements </w:t>
      </w:r>
      <w:r w:rsidR="00E5520F" w:rsidRPr="0081285E">
        <w:rPr>
          <w:rFonts w:ascii="Times New Roman" w:hAnsi="Times New Roman"/>
          <w:sz w:val="22"/>
          <w:szCs w:val="22"/>
        </w:rPr>
        <w:t>without the elaborate S</w:t>
      </w:r>
      <w:r w:rsidR="009D7BB9" w:rsidRPr="0081285E">
        <w:rPr>
          <w:rFonts w:ascii="Times New Roman" w:hAnsi="Times New Roman"/>
          <w:sz w:val="22"/>
          <w:szCs w:val="22"/>
        </w:rPr>
        <w:t xml:space="preserve">tate </w:t>
      </w:r>
      <w:r w:rsidR="00E5520F" w:rsidRPr="0081285E">
        <w:rPr>
          <w:rFonts w:ascii="Times New Roman" w:hAnsi="Times New Roman"/>
          <w:sz w:val="22"/>
          <w:szCs w:val="22"/>
        </w:rPr>
        <w:t>I</w:t>
      </w:r>
      <w:r w:rsidR="009D7BB9" w:rsidRPr="0081285E">
        <w:rPr>
          <w:rFonts w:ascii="Times New Roman" w:hAnsi="Times New Roman"/>
          <w:sz w:val="22"/>
          <w:szCs w:val="22"/>
        </w:rPr>
        <w:t xml:space="preserve">mplementation </w:t>
      </w:r>
      <w:r w:rsidR="00E5520F" w:rsidRPr="0081285E">
        <w:rPr>
          <w:rFonts w:ascii="Times New Roman" w:hAnsi="Times New Roman"/>
          <w:sz w:val="22"/>
          <w:szCs w:val="22"/>
        </w:rPr>
        <w:t>P</w:t>
      </w:r>
      <w:r w:rsidR="009D7BB9" w:rsidRPr="0081285E">
        <w:rPr>
          <w:rFonts w:ascii="Times New Roman" w:hAnsi="Times New Roman"/>
          <w:sz w:val="22"/>
          <w:szCs w:val="22"/>
        </w:rPr>
        <w:t xml:space="preserve">lan </w:t>
      </w:r>
      <w:r w:rsidR="00E5520F" w:rsidRPr="0081285E">
        <w:rPr>
          <w:rFonts w:ascii="Times New Roman" w:hAnsi="Times New Roman"/>
          <w:sz w:val="22"/>
          <w:szCs w:val="22"/>
        </w:rPr>
        <w:t xml:space="preserve">related </w:t>
      </w:r>
      <w:r w:rsidR="00C61ED1" w:rsidRPr="0081285E">
        <w:rPr>
          <w:rFonts w:ascii="Times New Roman" w:hAnsi="Times New Roman"/>
          <w:sz w:val="22"/>
          <w:szCs w:val="22"/>
        </w:rPr>
        <w:t>attainment/</w:t>
      </w:r>
      <w:r w:rsidR="00097E24" w:rsidRPr="0081285E">
        <w:rPr>
          <w:rFonts w:ascii="Times New Roman" w:hAnsi="Times New Roman"/>
          <w:sz w:val="22"/>
          <w:szCs w:val="22"/>
        </w:rPr>
        <w:t>maintenance plan</w:t>
      </w:r>
      <w:r w:rsidR="00F3624F" w:rsidRPr="0081285E">
        <w:rPr>
          <w:rFonts w:ascii="Times New Roman" w:hAnsi="Times New Roman"/>
          <w:sz w:val="22"/>
          <w:szCs w:val="22"/>
        </w:rPr>
        <w:t xml:space="preserve"> </w:t>
      </w:r>
      <w:r w:rsidR="00E5520F" w:rsidRPr="0081285E">
        <w:rPr>
          <w:rFonts w:ascii="Times New Roman" w:hAnsi="Times New Roman"/>
          <w:sz w:val="22"/>
          <w:szCs w:val="22"/>
        </w:rPr>
        <w:t>process</w:t>
      </w:r>
      <w:r w:rsidR="00097E24" w:rsidRPr="0081285E">
        <w:rPr>
          <w:rFonts w:ascii="Times New Roman" w:hAnsi="Times New Roman"/>
          <w:sz w:val="22"/>
          <w:szCs w:val="22"/>
        </w:rPr>
        <w:t>. This</w:t>
      </w:r>
      <w:r w:rsidRPr="0081285E">
        <w:rPr>
          <w:rFonts w:ascii="Times New Roman" w:hAnsi="Times New Roman"/>
          <w:sz w:val="22"/>
          <w:szCs w:val="22"/>
        </w:rPr>
        <w:t xml:space="preserve"> partially removes the lag-time barrier to industrial development and</w:t>
      </w:r>
      <w:r w:rsidR="00E5520F" w:rsidRPr="0081285E">
        <w:rPr>
          <w:rFonts w:ascii="Times New Roman" w:hAnsi="Times New Roman"/>
          <w:sz w:val="22"/>
          <w:szCs w:val="22"/>
        </w:rPr>
        <w:t xml:space="preserve"> allow</w:t>
      </w:r>
      <w:r w:rsidR="00F3624F" w:rsidRPr="0081285E">
        <w:rPr>
          <w:rFonts w:ascii="Times New Roman" w:hAnsi="Times New Roman"/>
          <w:sz w:val="22"/>
          <w:szCs w:val="22"/>
        </w:rPr>
        <w:t>s</w:t>
      </w:r>
      <w:r w:rsidR="00E5520F" w:rsidRPr="0081285E">
        <w:rPr>
          <w:rFonts w:ascii="Times New Roman" w:hAnsi="Times New Roman"/>
          <w:sz w:val="22"/>
          <w:szCs w:val="22"/>
        </w:rPr>
        <w:t xml:space="preserve"> a community to </w:t>
      </w:r>
      <w:r w:rsidRPr="0081285E">
        <w:rPr>
          <w:rFonts w:ascii="Times New Roman" w:hAnsi="Times New Roman"/>
          <w:sz w:val="22"/>
          <w:szCs w:val="22"/>
        </w:rPr>
        <w:t>pursue economic development</w:t>
      </w:r>
      <w:r w:rsidR="00E5520F" w:rsidRPr="0081285E">
        <w:rPr>
          <w:rFonts w:ascii="Times New Roman" w:hAnsi="Times New Roman"/>
          <w:sz w:val="22"/>
          <w:szCs w:val="22"/>
        </w:rPr>
        <w:t xml:space="preserve"> without </w:t>
      </w:r>
      <w:r w:rsidRPr="0081285E">
        <w:rPr>
          <w:rFonts w:ascii="Times New Roman" w:hAnsi="Times New Roman"/>
          <w:sz w:val="22"/>
          <w:szCs w:val="22"/>
        </w:rPr>
        <w:t>the</w:t>
      </w:r>
      <w:r w:rsidR="00E5520F" w:rsidRPr="0081285E">
        <w:rPr>
          <w:rFonts w:ascii="Times New Roman" w:hAnsi="Times New Roman"/>
          <w:sz w:val="22"/>
          <w:szCs w:val="22"/>
        </w:rPr>
        <w:t xml:space="preserve"> stigma of the federal nonattainment designation. The rules are</w:t>
      </w:r>
      <w:r w:rsidRPr="0081285E">
        <w:rPr>
          <w:rFonts w:ascii="Times New Roman" w:hAnsi="Times New Roman"/>
          <w:sz w:val="22"/>
          <w:szCs w:val="22"/>
        </w:rPr>
        <w:t xml:space="preserve"> also</w:t>
      </w:r>
      <w:r w:rsidR="00E5520F" w:rsidRPr="0081285E">
        <w:rPr>
          <w:rFonts w:ascii="Times New Roman" w:hAnsi="Times New Roman"/>
          <w:sz w:val="22"/>
          <w:szCs w:val="22"/>
        </w:rPr>
        <w:t xml:space="preserve"> designed to provide incentives for new or modified industrial sources to </w:t>
      </w:r>
      <w:r w:rsidR="00A939F9" w:rsidRPr="0081285E">
        <w:rPr>
          <w:rFonts w:ascii="Times New Roman" w:hAnsi="Times New Roman"/>
          <w:sz w:val="22"/>
          <w:szCs w:val="22"/>
        </w:rPr>
        <w:t>reduc</w:t>
      </w:r>
      <w:r w:rsidR="004B4C7C" w:rsidRPr="0081285E">
        <w:rPr>
          <w:rFonts w:ascii="Times New Roman" w:hAnsi="Times New Roman"/>
          <w:sz w:val="22"/>
          <w:szCs w:val="22"/>
        </w:rPr>
        <w:t xml:space="preserve">e </w:t>
      </w:r>
      <w:r w:rsidR="00097E24" w:rsidRPr="0081285E">
        <w:rPr>
          <w:rFonts w:ascii="Times New Roman" w:hAnsi="Times New Roman"/>
          <w:sz w:val="22"/>
          <w:szCs w:val="22"/>
        </w:rPr>
        <w:t>emissions in the same airshed</w:t>
      </w:r>
      <w:r w:rsidR="00C61ED1" w:rsidRPr="0081285E">
        <w:rPr>
          <w:rFonts w:ascii="Times New Roman" w:hAnsi="Times New Roman"/>
          <w:sz w:val="22"/>
          <w:szCs w:val="22"/>
        </w:rPr>
        <w:t xml:space="preserve"> </w:t>
      </w:r>
      <w:r w:rsidR="004B4C7C" w:rsidRPr="0081285E">
        <w:rPr>
          <w:rFonts w:ascii="Times New Roman" w:hAnsi="Times New Roman"/>
          <w:sz w:val="22"/>
          <w:szCs w:val="22"/>
        </w:rPr>
        <w:t>by</w:t>
      </w:r>
      <w:r w:rsidR="00326C59" w:rsidRPr="0081285E">
        <w:rPr>
          <w:rFonts w:ascii="Times New Roman" w:hAnsi="Times New Roman"/>
          <w:sz w:val="22"/>
          <w:szCs w:val="22"/>
        </w:rPr>
        <w:t xml:space="preserve"> purchas</w:t>
      </w:r>
      <w:r w:rsidR="004B4C7C" w:rsidRPr="0081285E">
        <w:rPr>
          <w:rFonts w:ascii="Times New Roman" w:hAnsi="Times New Roman"/>
          <w:sz w:val="22"/>
          <w:szCs w:val="22"/>
        </w:rPr>
        <w:t>ing</w:t>
      </w:r>
      <w:r w:rsidR="00E5520F" w:rsidRPr="0081285E">
        <w:rPr>
          <w:rFonts w:ascii="Times New Roman" w:hAnsi="Times New Roman"/>
          <w:sz w:val="22"/>
          <w:szCs w:val="22"/>
        </w:rPr>
        <w:t xml:space="preserve"> </w:t>
      </w:r>
      <w:r w:rsidR="00326C59" w:rsidRPr="0081285E">
        <w:rPr>
          <w:rFonts w:ascii="Times New Roman" w:hAnsi="Times New Roman"/>
          <w:sz w:val="22"/>
          <w:szCs w:val="22"/>
        </w:rPr>
        <w:t xml:space="preserve">emission </w:t>
      </w:r>
      <w:r w:rsidR="00E5520F" w:rsidRPr="0081285E">
        <w:rPr>
          <w:rFonts w:ascii="Times New Roman" w:hAnsi="Times New Roman"/>
          <w:sz w:val="22"/>
          <w:szCs w:val="22"/>
        </w:rPr>
        <w:t xml:space="preserve">offsets from </w:t>
      </w:r>
      <w:r w:rsidRPr="0081285E">
        <w:rPr>
          <w:rFonts w:ascii="Times New Roman" w:hAnsi="Times New Roman"/>
          <w:sz w:val="22"/>
          <w:szCs w:val="22"/>
        </w:rPr>
        <w:t xml:space="preserve">the </w:t>
      </w:r>
      <w:r w:rsidR="00E5520F" w:rsidRPr="0081285E">
        <w:rPr>
          <w:rFonts w:ascii="Times New Roman" w:hAnsi="Times New Roman"/>
          <w:sz w:val="22"/>
          <w:szCs w:val="22"/>
        </w:rPr>
        <w:t xml:space="preserve">sources that are considered to be significantly contributing to the air quality problems in the area, such as woodstoves. </w:t>
      </w:r>
      <w:r w:rsidRPr="0081285E">
        <w:rPr>
          <w:rFonts w:ascii="Times New Roman" w:hAnsi="Times New Roman"/>
          <w:sz w:val="22"/>
          <w:szCs w:val="22"/>
        </w:rPr>
        <w:t>This would help protect p</w:t>
      </w:r>
      <w:r w:rsidR="00326C59" w:rsidRPr="0081285E">
        <w:rPr>
          <w:rFonts w:ascii="Times New Roman" w:hAnsi="Times New Roman"/>
          <w:sz w:val="22"/>
          <w:szCs w:val="22"/>
        </w:rPr>
        <w:t>ublic health</w:t>
      </w:r>
      <w:r w:rsidR="00206B1A" w:rsidRPr="0081285E">
        <w:rPr>
          <w:rFonts w:ascii="Times New Roman" w:hAnsi="Times New Roman"/>
          <w:sz w:val="22"/>
          <w:szCs w:val="22"/>
        </w:rPr>
        <w:t xml:space="preserve"> </w:t>
      </w:r>
      <w:r w:rsidR="00326C59" w:rsidRPr="0081285E">
        <w:rPr>
          <w:rFonts w:ascii="Times New Roman" w:hAnsi="Times New Roman"/>
          <w:sz w:val="22"/>
          <w:szCs w:val="22"/>
        </w:rPr>
        <w:t xml:space="preserve">by lowering the concentrations of emissions in neighborhoods where the air quality problem </w:t>
      </w:r>
      <w:r w:rsidR="00097E24" w:rsidRPr="0081285E">
        <w:rPr>
          <w:rFonts w:ascii="Times New Roman" w:hAnsi="Times New Roman"/>
          <w:sz w:val="22"/>
          <w:szCs w:val="22"/>
        </w:rPr>
        <w:t>is caused by</w:t>
      </w:r>
      <w:r w:rsidR="00B70853" w:rsidRPr="0081285E">
        <w:rPr>
          <w:rFonts w:ascii="Times New Roman" w:hAnsi="Times New Roman"/>
          <w:sz w:val="22"/>
          <w:szCs w:val="22"/>
        </w:rPr>
        <w:t xml:space="preserve"> </w:t>
      </w:r>
      <w:r w:rsidR="00097E24" w:rsidRPr="0081285E">
        <w:rPr>
          <w:rFonts w:ascii="Times New Roman" w:hAnsi="Times New Roman"/>
          <w:sz w:val="22"/>
          <w:szCs w:val="22"/>
        </w:rPr>
        <w:t xml:space="preserve">high woodstove </w:t>
      </w:r>
      <w:r w:rsidR="00326C59" w:rsidRPr="0081285E">
        <w:rPr>
          <w:rFonts w:ascii="Times New Roman" w:hAnsi="Times New Roman"/>
          <w:sz w:val="22"/>
          <w:szCs w:val="22"/>
        </w:rPr>
        <w:t>emissions on inversion days in the winter</w:t>
      </w:r>
      <w:r w:rsidR="002E1AD8" w:rsidRPr="0081285E">
        <w:rPr>
          <w:rFonts w:ascii="Times New Roman" w:hAnsi="Times New Roman"/>
          <w:sz w:val="22"/>
          <w:szCs w:val="22"/>
        </w:rPr>
        <w:t xml:space="preserve">. </w:t>
      </w:r>
    </w:p>
    <w:p w:rsidR="00326C59" w:rsidRPr="0081285E" w:rsidRDefault="00326C59" w:rsidP="00E5520F">
      <w:pPr>
        <w:pStyle w:val="NoSpacing"/>
        <w:rPr>
          <w:rFonts w:ascii="Times New Roman" w:hAnsi="Times New Roman"/>
          <w:sz w:val="22"/>
          <w:szCs w:val="22"/>
        </w:rPr>
      </w:pPr>
    </w:p>
    <w:p w:rsidR="00326C59" w:rsidRPr="0081285E" w:rsidRDefault="006E3A95" w:rsidP="00E5520F">
      <w:pPr>
        <w:pStyle w:val="NoSpacing"/>
        <w:rPr>
          <w:rFonts w:ascii="Times New Roman" w:hAnsi="Times New Roman"/>
          <w:sz w:val="22"/>
          <w:szCs w:val="22"/>
        </w:rPr>
      </w:pPr>
      <w:r w:rsidRPr="0081285E">
        <w:rPr>
          <w:rFonts w:ascii="Times New Roman" w:hAnsi="Times New Roman"/>
          <w:sz w:val="22"/>
          <w:szCs w:val="22"/>
        </w:rPr>
        <w:t>O</w:t>
      </w:r>
      <w:r w:rsidR="00206B1A" w:rsidRPr="0081285E">
        <w:rPr>
          <w:rFonts w:ascii="Times New Roman" w:hAnsi="Times New Roman"/>
          <w:sz w:val="22"/>
          <w:szCs w:val="22"/>
        </w:rPr>
        <w:t xml:space="preserve">n the surface </w:t>
      </w:r>
      <w:r w:rsidR="00326C59" w:rsidRPr="0081285E">
        <w:rPr>
          <w:rFonts w:ascii="Times New Roman" w:hAnsi="Times New Roman"/>
          <w:sz w:val="22"/>
          <w:szCs w:val="22"/>
        </w:rPr>
        <w:t xml:space="preserve">it may seem that </w:t>
      </w:r>
      <w:r w:rsidR="00097E24" w:rsidRPr="0081285E">
        <w:rPr>
          <w:rFonts w:ascii="Times New Roman" w:hAnsi="Times New Roman"/>
          <w:sz w:val="22"/>
          <w:szCs w:val="22"/>
        </w:rPr>
        <w:t>the amount of</w:t>
      </w:r>
      <w:r w:rsidR="00C77818" w:rsidRPr="0081285E">
        <w:rPr>
          <w:rFonts w:ascii="Times New Roman" w:hAnsi="Times New Roman"/>
          <w:sz w:val="22"/>
          <w:szCs w:val="22"/>
        </w:rPr>
        <w:t xml:space="preserve"> </w:t>
      </w:r>
      <w:r w:rsidR="00326C59" w:rsidRPr="0081285E">
        <w:rPr>
          <w:rFonts w:ascii="Times New Roman" w:hAnsi="Times New Roman"/>
          <w:sz w:val="22"/>
          <w:szCs w:val="22"/>
        </w:rPr>
        <w:t xml:space="preserve">emissions from an industrial stack would equal </w:t>
      </w:r>
      <w:r w:rsidRPr="0081285E">
        <w:rPr>
          <w:rFonts w:ascii="Times New Roman" w:hAnsi="Times New Roman"/>
          <w:sz w:val="22"/>
          <w:szCs w:val="22"/>
        </w:rPr>
        <w:t>the woodstove emissions</w:t>
      </w:r>
      <w:r w:rsidR="0091445E" w:rsidRPr="0081285E">
        <w:rPr>
          <w:rFonts w:ascii="Times New Roman" w:hAnsi="Times New Roman"/>
          <w:sz w:val="22"/>
          <w:szCs w:val="22"/>
        </w:rPr>
        <w:t>, and that the overall emission impact would not change. However,</w:t>
      </w:r>
      <w:r w:rsidR="00206B1A" w:rsidRPr="0081285E">
        <w:rPr>
          <w:rFonts w:ascii="Times New Roman" w:hAnsi="Times New Roman"/>
          <w:sz w:val="22"/>
          <w:szCs w:val="22"/>
        </w:rPr>
        <w:t xml:space="preserve"> the industrial stacks </w:t>
      </w:r>
      <w:r w:rsidRPr="0081285E">
        <w:rPr>
          <w:rFonts w:ascii="Times New Roman" w:hAnsi="Times New Roman"/>
          <w:sz w:val="22"/>
          <w:szCs w:val="22"/>
        </w:rPr>
        <w:t xml:space="preserve">are taller with higher </w:t>
      </w:r>
      <w:r w:rsidR="00206B1A" w:rsidRPr="0081285E">
        <w:rPr>
          <w:rFonts w:ascii="Times New Roman" w:hAnsi="Times New Roman"/>
          <w:sz w:val="22"/>
          <w:szCs w:val="22"/>
        </w:rPr>
        <w:t>velocity for better emission d</w:t>
      </w:r>
      <w:r w:rsidR="00A80BEA" w:rsidRPr="0081285E">
        <w:rPr>
          <w:rFonts w:ascii="Times New Roman" w:hAnsi="Times New Roman"/>
          <w:sz w:val="22"/>
          <w:szCs w:val="22"/>
        </w:rPr>
        <w:t>ispersion.</w:t>
      </w:r>
      <w:r w:rsidR="00206B1A" w:rsidRPr="0081285E">
        <w:rPr>
          <w:rFonts w:ascii="Times New Roman" w:hAnsi="Times New Roman"/>
          <w:sz w:val="22"/>
          <w:szCs w:val="22"/>
        </w:rPr>
        <w:t xml:space="preserve"> </w:t>
      </w:r>
      <w:r w:rsidR="00A80BEA" w:rsidRPr="0081285E">
        <w:rPr>
          <w:rFonts w:ascii="Times New Roman" w:hAnsi="Times New Roman"/>
          <w:sz w:val="22"/>
          <w:szCs w:val="22"/>
        </w:rPr>
        <w:t>I</w:t>
      </w:r>
      <w:r w:rsidR="00206B1A" w:rsidRPr="0081285E">
        <w:rPr>
          <w:rFonts w:ascii="Times New Roman" w:hAnsi="Times New Roman"/>
          <w:sz w:val="22"/>
          <w:szCs w:val="22"/>
        </w:rPr>
        <w:t xml:space="preserve">ndustry emissions </w:t>
      </w:r>
      <w:r w:rsidR="00097E24" w:rsidRPr="0081285E">
        <w:rPr>
          <w:rFonts w:ascii="Times New Roman" w:hAnsi="Times New Roman"/>
          <w:sz w:val="22"/>
          <w:szCs w:val="22"/>
        </w:rPr>
        <w:t xml:space="preserve">are </w:t>
      </w:r>
      <w:r w:rsidRPr="0081285E">
        <w:rPr>
          <w:rFonts w:ascii="Times New Roman" w:hAnsi="Times New Roman"/>
          <w:sz w:val="22"/>
          <w:szCs w:val="22"/>
        </w:rPr>
        <w:t xml:space="preserve">also </w:t>
      </w:r>
      <w:r w:rsidR="00097E24" w:rsidRPr="0081285E">
        <w:rPr>
          <w:rFonts w:ascii="Times New Roman" w:hAnsi="Times New Roman"/>
          <w:sz w:val="22"/>
          <w:szCs w:val="22"/>
        </w:rPr>
        <w:t>fairly constant</w:t>
      </w:r>
      <w:r w:rsidR="00A80BEA" w:rsidRPr="0081285E">
        <w:rPr>
          <w:rFonts w:ascii="Times New Roman" w:hAnsi="Times New Roman"/>
          <w:sz w:val="22"/>
          <w:szCs w:val="22"/>
        </w:rPr>
        <w:t xml:space="preserve"> </w:t>
      </w:r>
      <w:r w:rsidR="00206B1A" w:rsidRPr="0081285E">
        <w:rPr>
          <w:rFonts w:ascii="Times New Roman" w:hAnsi="Times New Roman"/>
          <w:sz w:val="22"/>
          <w:szCs w:val="22"/>
        </w:rPr>
        <w:t>year</w:t>
      </w:r>
      <w:r w:rsidR="009566E5" w:rsidRPr="0081285E">
        <w:rPr>
          <w:rFonts w:ascii="Times New Roman" w:hAnsi="Times New Roman"/>
          <w:sz w:val="22"/>
          <w:szCs w:val="22"/>
        </w:rPr>
        <w:t>-</w:t>
      </w:r>
      <w:r w:rsidR="00206B1A" w:rsidRPr="0081285E">
        <w:rPr>
          <w:rFonts w:ascii="Times New Roman" w:hAnsi="Times New Roman"/>
          <w:sz w:val="22"/>
          <w:szCs w:val="22"/>
        </w:rPr>
        <w:t>round</w:t>
      </w:r>
      <w:r w:rsidR="009566E5" w:rsidRPr="0081285E">
        <w:rPr>
          <w:rFonts w:ascii="Times New Roman" w:hAnsi="Times New Roman"/>
          <w:sz w:val="22"/>
          <w:szCs w:val="22"/>
        </w:rPr>
        <w:t>,</w:t>
      </w:r>
      <w:r w:rsidR="00206B1A" w:rsidRPr="0081285E">
        <w:rPr>
          <w:rFonts w:ascii="Times New Roman" w:hAnsi="Times New Roman"/>
          <w:sz w:val="22"/>
          <w:szCs w:val="22"/>
        </w:rPr>
        <w:t xml:space="preserve"> not </w:t>
      </w:r>
      <w:r w:rsidR="00097E24" w:rsidRPr="0081285E">
        <w:rPr>
          <w:rFonts w:ascii="Times New Roman" w:hAnsi="Times New Roman"/>
          <w:sz w:val="22"/>
          <w:szCs w:val="22"/>
        </w:rPr>
        <w:t>occurring</w:t>
      </w:r>
      <w:r w:rsidR="00A80BEA" w:rsidRPr="0081285E">
        <w:rPr>
          <w:rFonts w:ascii="Times New Roman" w:hAnsi="Times New Roman"/>
          <w:sz w:val="22"/>
          <w:szCs w:val="22"/>
        </w:rPr>
        <w:t xml:space="preserve"> </w:t>
      </w:r>
      <w:r w:rsidR="00206B1A" w:rsidRPr="0081285E">
        <w:rPr>
          <w:rFonts w:ascii="Times New Roman" w:hAnsi="Times New Roman"/>
          <w:sz w:val="22"/>
          <w:szCs w:val="22"/>
        </w:rPr>
        <w:t xml:space="preserve">just in </w:t>
      </w:r>
      <w:r w:rsidR="009566E5" w:rsidRPr="0081285E">
        <w:rPr>
          <w:rFonts w:ascii="Times New Roman" w:hAnsi="Times New Roman"/>
          <w:sz w:val="22"/>
          <w:szCs w:val="22"/>
        </w:rPr>
        <w:t>the</w:t>
      </w:r>
      <w:r w:rsidR="00206B1A" w:rsidRPr="0081285E">
        <w:rPr>
          <w:rFonts w:ascii="Times New Roman" w:hAnsi="Times New Roman"/>
          <w:sz w:val="22"/>
          <w:szCs w:val="22"/>
        </w:rPr>
        <w:t xml:space="preserve"> winter heating timeframe. In addition, </w:t>
      </w:r>
      <w:r w:rsidR="00097E24" w:rsidRPr="0081285E">
        <w:rPr>
          <w:rFonts w:ascii="Times New Roman" w:hAnsi="Times New Roman"/>
          <w:sz w:val="22"/>
          <w:szCs w:val="22"/>
        </w:rPr>
        <w:t>industrial</w:t>
      </w:r>
      <w:r w:rsidR="00206B1A" w:rsidRPr="0081285E">
        <w:rPr>
          <w:rFonts w:ascii="Times New Roman" w:hAnsi="Times New Roman"/>
          <w:sz w:val="22"/>
          <w:szCs w:val="22"/>
        </w:rPr>
        <w:t xml:space="preserve"> sources are</w:t>
      </w:r>
      <w:r w:rsidR="0091445E" w:rsidRPr="0081285E">
        <w:rPr>
          <w:rFonts w:ascii="Times New Roman" w:hAnsi="Times New Roman"/>
          <w:sz w:val="22"/>
          <w:szCs w:val="22"/>
        </w:rPr>
        <w:t xml:space="preserve"> often</w:t>
      </w:r>
      <w:r w:rsidR="00206B1A" w:rsidRPr="0081285E">
        <w:rPr>
          <w:rFonts w:ascii="Times New Roman" w:hAnsi="Times New Roman"/>
          <w:sz w:val="22"/>
          <w:szCs w:val="22"/>
        </w:rPr>
        <w:t xml:space="preserve"> located away from residential neighborhoods where</w:t>
      </w:r>
      <w:r w:rsidR="0091445E" w:rsidRPr="0081285E">
        <w:rPr>
          <w:rFonts w:ascii="Times New Roman" w:hAnsi="Times New Roman"/>
          <w:sz w:val="22"/>
          <w:szCs w:val="22"/>
        </w:rPr>
        <w:t xml:space="preserve"> population density is higher and where ambient air quality</w:t>
      </w:r>
      <w:r w:rsidR="00206B1A" w:rsidRPr="0081285E">
        <w:rPr>
          <w:rFonts w:ascii="Times New Roman" w:hAnsi="Times New Roman"/>
          <w:sz w:val="22"/>
          <w:szCs w:val="22"/>
        </w:rPr>
        <w:t xml:space="preserve"> monitors are located.</w:t>
      </w:r>
      <w:r w:rsidR="002E1AD8" w:rsidRPr="0081285E">
        <w:rPr>
          <w:rFonts w:ascii="Times New Roman" w:hAnsi="Times New Roman"/>
          <w:sz w:val="22"/>
          <w:szCs w:val="22"/>
        </w:rPr>
        <w:t xml:space="preserve"> </w:t>
      </w:r>
    </w:p>
    <w:p w:rsidR="000D18E8" w:rsidRPr="0081285E" w:rsidRDefault="008343FF">
      <w:pPr>
        <w:pStyle w:val="Heading2"/>
        <w:rPr>
          <w:rFonts w:ascii="Arial" w:hAnsi="Arial" w:cs="Arial"/>
          <w:sz w:val="24"/>
          <w:szCs w:val="24"/>
        </w:rPr>
      </w:pPr>
      <w:r w:rsidRPr="0081285E">
        <w:rPr>
          <w:rFonts w:ascii="Arial" w:hAnsi="Arial" w:cs="Arial"/>
          <w:sz w:val="24"/>
          <w:szCs w:val="24"/>
        </w:rPr>
        <w:t xml:space="preserve">How </w:t>
      </w:r>
      <w:r w:rsidR="00E64B8D" w:rsidRPr="0081285E">
        <w:rPr>
          <w:rFonts w:ascii="Arial" w:hAnsi="Arial" w:cs="Arial"/>
          <w:sz w:val="24"/>
          <w:szCs w:val="24"/>
        </w:rPr>
        <w:t>d</w:t>
      </w:r>
      <w:r w:rsidRPr="0081285E">
        <w:rPr>
          <w:rFonts w:ascii="Arial" w:hAnsi="Arial" w:cs="Arial"/>
          <w:sz w:val="24"/>
          <w:szCs w:val="24"/>
        </w:rPr>
        <w:t xml:space="preserve">oes Lakeview </w:t>
      </w:r>
      <w:r w:rsidR="00E64B8D" w:rsidRPr="0081285E">
        <w:rPr>
          <w:rFonts w:ascii="Arial" w:hAnsi="Arial" w:cs="Arial"/>
          <w:sz w:val="24"/>
          <w:szCs w:val="24"/>
        </w:rPr>
        <w:t>q</w:t>
      </w:r>
      <w:r w:rsidRPr="0081285E">
        <w:rPr>
          <w:rFonts w:ascii="Arial" w:hAnsi="Arial" w:cs="Arial"/>
          <w:sz w:val="24"/>
          <w:szCs w:val="24"/>
        </w:rPr>
        <w:t>ualify?</w:t>
      </w:r>
    </w:p>
    <w:p w:rsidR="008343FF" w:rsidRPr="0081285E" w:rsidRDefault="00ED0F92" w:rsidP="00595897">
      <w:pPr>
        <w:shd w:val="clear" w:color="auto" w:fill="FFFFFF"/>
        <w:rPr>
          <w:rFonts w:ascii="Times New Roman" w:hAnsi="Times New Roman"/>
          <w:sz w:val="22"/>
          <w:szCs w:val="22"/>
        </w:rPr>
      </w:pPr>
      <w:r w:rsidRPr="0081285E">
        <w:rPr>
          <w:rFonts w:ascii="Times New Roman" w:hAnsi="Times New Roman"/>
          <w:sz w:val="22"/>
          <w:szCs w:val="22"/>
        </w:rPr>
        <w:t>A</w:t>
      </w:r>
      <w:r w:rsidR="00097E24" w:rsidRPr="0081285E">
        <w:rPr>
          <w:rFonts w:ascii="Times New Roman" w:hAnsi="Times New Roman"/>
          <w:sz w:val="22"/>
          <w:szCs w:val="22"/>
        </w:rPr>
        <w:t>ir quality in</w:t>
      </w:r>
      <w:r w:rsidR="007D3E12" w:rsidRPr="0081285E">
        <w:rPr>
          <w:rFonts w:ascii="Times New Roman" w:hAnsi="Times New Roman"/>
          <w:sz w:val="22"/>
          <w:szCs w:val="22"/>
        </w:rPr>
        <w:t xml:space="preserve"> Lakeview has exceeded the PM</w:t>
      </w:r>
      <w:r w:rsidR="007D3E12" w:rsidRPr="0081285E">
        <w:rPr>
          <w:rFonts w:ascii="Times New Roman" w:hAnsi="Times New Roman"/>
          <w:sz w:val="22"/>
          <w:szCs w:val="22"/>
          <w:vertAlign w:val="subscript"/>
        </w:rPr>
        <w:t>2.5</w:t>
      </w:r>
      <w:r w:rsidR="007D3E12" w:rsidRPr="0081285E">
        <w:rPr>
          <w:rFonts w:ascii="Times New Roman" w:hAnsi="Times New Roman"/>
          <w:sz w:val="22"/>
          <w:szCs w:val="22"/>
        </w:rPr>
        <w:t xml:space="preserve"> standard but </w:t>
      </w:r>
      <w:r w:rsidR="00097E24" w:rsidRPr="0081285E">
        <w:rPr>
          <w:rFonts w:ascii="Times New Roman" w:hAnsi="Times New Roman"/>
          <w:sz w:val="22"/>
          <w:szCs w:val="22"/>
        </w:rPr>
        <w:t>the area</w:t>
      </w:r>
      <w:r w:rsidR="007D3E12" w:rsidRPr="0081285E">
        <w:rPr>
          <w:rFonts w:ascii="Times New Roman" w:hAnsi="Times New Roman"/>
          <w:sz w:val="22"/>
          <w:szCs w:val="22"/>
        </w:rPr>
        <w:t xml:space="preserve"> has not been formally designated nonattainment</w:t>
      </w:r>
      <w:r w:rsidR="001E5781" w:rsidRPr="0081285E">
        <w:rPr>
          <w:rFonts w:ascii="Times New Roman" w:hAnsi="Times New Roman"/>
          <w:sz w:val="22"/>
          <w:szCs w:val="22"/>
        </w:rPr>
        <w:t xml:space="preserve"> because there was insufficient data a</w:t>
      </w:r>
      <w:r w:rsidR="00C0732C" w:rsidRPr="0081285E">
        <w:rPr>
          <w:rFonts w:ascii="Times New Roman" w:hAnsi="Times New Roman"/>
          <w:sz w:val="22"/>
          <w:szCs w:val="22"/>
        </w:rPr>
        <w:t>t the time EPA made PM</w:t>
      </w:r>
      <w:r w:rsidR="00C0732C" w:rsidRPr="0081285E">
        <w:rPr>
          <w:rFonts w:ascii="Times New Roman" w:hAnsi="Times New Roman"/>
          <w:sz w:val="22"/>
          <w:szCs w:val="22"/>
          <w:vertAlign w:val="subscript"/>
        </w:rPr>
        <w:t>2.5</w:t>
      </w:r>
      <w:r w:rsidR="00C0732C" w:rsidRPr="0081285E">
        <w:rPr>
          <w:rFonts w:ascii="Times New Roman" w:hAnsi="Times New Roman"/>
          <w:sz w:val="22"/>
          <w:szCs w:val="22"/>
        </w:rPr>
        <w:t xml:space="preserve"> nonattainm</w:t>
      </w:r>
      <w:r w:rsidR="006D3A62" w:rsidRPr="0081285E">
        <w:rPr>
          <w:rFonts w:ascii="Times New Roman" w:hAnsi="Times New Roman"/>
          <w:sz w:val="22"/>
          <w:szCs w:val="22"/>
        </w:rPr>
        <w:t>ent area designations</w:t>
      </w:r>
      <w:r w:rsidRPr="0081285E">
        <w:rPr>
          <w:rFonts w:ascii="Times New Roman" w:hAnsi="Times New Roman"/>
          <w:sz w:val="22"/>
          <w:szCs w:val="22"/>
        </w:rPr>
        <w:t>.</w:t>
      </w:r>
      <w:r w:rsidR="007D3E12" w:rsidRPr="0081285E">
        <w:rPr>
          <w:rFonts w:ascii="Times New Roman" w:hAnsi="Times New Roman"/>
          <w:sz w:val="22"/>
          <w:szCs w:val="22"/>
        </w:rPr>
        <w:t xml:space="preserve"> </w:t>
      </w:r>
      <w:r w:rsidRPr="0081285E">
        <w:rPr>
          <w:rFonts w:ascii="Times New Roman" w:hAnsi="Times New Roman"/>
          <w:sz w:val="22"/>
          <w:szCs w:val="22"/>
        </w:rPr>
        <w:t>A</w:t>
      </w:r>
      <w:r w:rsidR="007D3E12" w:rsidRPr="0081285E">
        <w:rPr>
          <w:rFonts w:ascii="Times New Roman" w:hAnsi="Times New Roman"/>
          <w:sz w:val="22"/>
          <w:szCs w:val="22"/>
        </w:rPr>
        <w:t>ny</w:t>
      </w:r>
      <w:r w:rsidRPr="0081285E">
        <w:rPr>
          <w:rFonts w:ascii="Times New Roman" w:hAnsi="Times New Roman"/>
          <w:sz w:val="22"/>
          <w:szCs w:val="22"/>
        </w:rPr>
        <w:t xml:space="preserve"> intermediate size to large</w:t>
      </w:r>
      <w:r w:rsidR="007D3E12" w:rsidRPr="0081285E">
        <w:rPr>
          <w:rFonts w:ascii="Times New Roman" w:hAnsi="Times New Roman"/>
          <w:sz w:val="22"/>
          <w:szCs w:val="22"/>
        </w:rPr>
        <w:t xml:space="preserve"> industry wishing to expand or establish in Lakeview is restricted from doing so because of the impossibility of meeting the modeling requirements </w:t>
      </w:r>
      <w:r w:rsidR="00996D62" w:rsidRPr="0081285E">
        <w:rPr>
          <w:rFonts w:ascii="Times New Roman" w:hAnsi="Times New Roman"/>
          <w:sz w:val="22"/>
          <w:szCs w:val="22"/>
        </w:rPr>
        <w:t xml:space="preserve">as </w:t>
      </w:r>
      <w:r w:rsidR="007D3E12" w:rsidRPr="0081285E">
        <w:rPr>
          <w:rFonts w:ascii="Times New Roman" w:hAnsi="Times New Roman"/>
          <w:sz w:val="22"/>
          <w:szCs w:val="22"/>
        </w:rPr>
        <w:t>state</w:t>
      </w:r>
      <w:r w:rsidR="00996D62" w:rsidRPr="0081285E">
        <w:rPr>
          <w:rFonts w:ascii="Times New Roman" w:hAnsi="Times New Roman"/>
          <w:sz w:val="22"/>
          <w:szCs w:val="22"/>
        </w:rPr>
        <w:t>d</w:t>
      </w:r>
      <w:r w:rsidR="007D3E12" w:rsidRPr="0081285E">
        <w:rPr>
          <w:rFonts w:ascii="Times New Roman" w:hAnsi="Times New Roman"/>
          <w:sz w:val="22"/>
          <w:szCs w:val="22"/>
        </w:rPr>
        <w:t xml:space="preserve"> above. </w:t>
      </w:r>
      <w:r w:rsidR="008343FF" w:rsidRPr="0081285E">
        <w:rPr>
          <w:rFonts w:ascii="Times New Roman" w:hAnsi="Times New Roman"/>
          <w:sz w:val="22"/>
          <w:szCs w:val="22"/>
          <w:lang w:eastAsia="zh-CN"/>
        </w:rPr>
        <w:t xml:space="preserve">A sustainment area designation </w:t>
      </w:r>
      <w:r w:rsidRPr="0081285E">
        <w:rPr>
          <w:rFonts w:ascii="Times New Roman" w:hAnsi="Times New Roman"/>
          <w:sz w:val="22"/>
          <w:szCs w:val="22"/>
          <w:lang w:eastAsia="zh-CN"/>
        </w:rPr>
        <w:t xml:space="preserve">would </w:t>
      </w:r>
      <w:r w:rsidR="008343FF" w:rsidRPr="0081285E">
        <w:rPr>
          <w:rFonts w:ascii="Times New Roman" w:hAnsi="Times New Roman"/>
          <w:sz w:val="22"/>
          <w:szCs w:val="22"/>
          <w:lang w:eastAsia="zh-CN"/>
        </w:rPr>
        <w:t xml:space="preserve">provide a way for intermediate sized companies to establish or expand their operations while helping solve the real air quality problems. It will still be difficult for large companies to </w:t>
      </w:r>
      <w:r w:rsidR="00D071C7" w:rsidRPr="0081285E">
        <w:rPr>
          <w:rFonts w:ascii="Times New Roman" w:hAnsi="Times New Roman"/>
          <w:sz w:val="22"/>
          <w:szCs w:val="22"/>
          <w:lang w:eastAsia="zh-CN"/>
        </w:rPr>
        <w:t>obtain</w:t>
      </w:r>
      <w:r w:rsidR="008343FF" w:rsidRPr="0081285E">
        <w:rPr>
          <w:rFonts w:ascii="Times New Roman" w:hAnsi="Times New Roman"/>
          <w:sz w:val="22"/>
          <w:szCs w:val="22"/>
          <w:lang w:eastAsia="zh-CN"/>
        </w:rPr>
        <w:t xml:space="preserve"> permit</w:t>
      </w:r>
      <w:r w:rsidR="00D071C7" w:rsidRPr="0081285E">
        <w:rPr>
          <w:rFonts w:ascii="Times New Roman" w:hAnsi="Times New Roman"/>
          <w:sz w:val="22"/>
          <w:szCs w:val="22"/>
          <w:lang w:eastAsia="zh-CN"/>
        </w:rPr>
        <w:t>s</w:t>
      </w:r>
      <w:r w:rsidR="00026D7E" w:rsidRPr="0081285E">
        <w:rPr>
          <w:rFonts w:ascii="Times New Roman" w:hAnsi="Times New Roman"/>
          <w:sz w:val="22"/>
          <w:szCs w:val="22"/>
          <w:lang w:eastAsia="zh-CN"/>
        </w:rPr>
        <w:t xml:space="preserve"> </w:t>
      </w:r>
      <w:r w:rsidR="00097E24" w:rsidRPr="0081285E">
        <w:rPr>
          <w:rFonts w:ascii="Times New Roman" w:hAnsi="Times New Roman"/>
          <w:sz w:val="22"/>
          <w:szCs w:val="22"/>
          <w:lang w:eastAsia="zh-CN"/>
        </w:rPr>
        <w:t xml:space="preserve">because DEQ must </w:t>
      </w:r>
      <w:r w:rsidR="00026D7E" w:rsidRPr="0081285E">
        <w:rPr>
          <w:rFonts w:ascii="Times New Roman" w:hAnsi="Times New Roman"/>
          <w:sz w:val="22"/>
          <w:szCs w:val="22"/>
          <w:lang w:eastAsia="zh-CN"/>
        </w:rPr>
        <w:t xml:space="preserve">continue to </w:t>
      </w:r>
      <w:r w:rsidR="00097E24" w:rsidRPr="0081285E">
        <w:rPr>
          <w:rFonts w:ascii="Times New Roman" w:hAnsi="Times New Roman"/>
          <w:sz w:val="22"/>
          <w:szCs w:val="22"/>
          <w:lang w:eastAsia="zh-CN"/>
        </w:rPr>
        <w:t xml:space="preserve">implement </w:t>
      </w:r>
      <w:r w:rsidR="00D071C7" w:rsidRPr="0081285E">
        <w:rPr>
          <w:rFonts w:ascii="Times New Roman" w:hAnsi="Times New Roman"/>
          <w:sz w:val="22"/>
          <w:szCs w:val="22"/>
          <w:lang w:eastAsia="zh-CN"/>
        </w:rPr>
        <w:t>the more restrictive</w:t>
      </w:r>
      <w:r w:rsidR="00097E24" w:rsidRPr="0081285E">
        <w:rPr>
          <w:rFonts w:ascii="Times New Roman" w:hAnsi="Times New Roman"/>
          <w:sz w:val="22"/>
          <w:szCs w:val="22"/>
          <w:lang w:eastAsia="zh-CN"/>
        </w:rPr>
        <w:t xml:space="preserve"> regulations</w:t>
      </w:r>
      <w:r w:rsidR="00D071C7" w:rsidRPr="0081285E">
        <w:rPr>
          <w:rFonts w:ascii="Times New Roman" w:hAnsi="Times New Roman"/>
          <w:sz w:val="22"/>
          <w:szCs w:val="22"/>
          <w:lang w:eastAsia="zh-CN"/>
        </w:rPr>
        <w:t xml:space="preserve"> that apply to the underlying federal area designation</w:t>
      </w:r>
      <w:r w:rsidR="00097E24" w:rsidRPr="0081285E">
        <w:rPr>
          <w:rFonts w:ascii="Times New Roman" w:hAnsi="Times New Roman"/>
          <w:sz w:val="22"/>
          <w:szCs w:val="22"/>
          <w:lang w:eastAsia="zh-CN"/>
        </w:rPr>
        <w:t xml:space="preserve"> for these companies</w:t>
      </w:r>
      <w:r w:rsidR="008343FF" w:rsidRPr="0081285E">
        <w:rPr>
          <w:rFonts w:ascii="Times New Roman" w:hAnsi="Times New Roman"/>
          <w:sz w:val="22"/>
          <w:szCs w:val="22"/>
          <w:lang w:eastAsia="zh-CN"/>
        </w:rPr>
        <w:t xml:space="preserve">. </w:t>
      </w:r>
      <w:r w:rsidR="00D071C7" w:rsidRPr="0081285E">
        <w:rPr>
          <w:rFonts w:ascii="Times New Roman" w:hAnsi="Times New Roman"/>
          <w:sz w:val="22"/>
          <w:szCs w:val="22"/>
        </w:rPr>
        <w:t>Designating Lakeview as</w:t>
      </w:r>
      <w:r w:rsidR="008343FF" w:rsidRPr="0081285E">
        <w:rPr>
          <w:rFonts w:ascii="Times New Roman" w:hAnsi="Times New Roman"/>
          <w:sz w:val="22"/>
          <w:szCs w:val="22"/>
        </w:rPr>
        <w:t xml:space="preserve"> a sustainment area </w:t>
      </w:r>
      <w:r w:rsidR="00D071C7" w:rsidRPr="0081285E">
        <w:rPr>
          <w:rFonts w:ascii="Times New Roman" w:hAnsi="Times New Roman"/>
          <w:sz w:val="22"/>
          <w:szCs w:val="22"/>
        </w:rPr>
        <w:t xml:space="preserve">would </w:t>
      </w:r>
      <w:r w:rsidR="008343FF" w:rsidRPr="0081285E">
        <w:rPr>
          <w:rFonts w:ascii="Times New Roman" w:hAnsi="Times New Roman"/>
          <w:sz w:val="22"/>
          <w:szCs w:val="22"/>
        </w:rPr>
        <w:t xml:space="preserve">provide flexibility for </w:t>
      </w:r>
      <w:r w:rsidR="00D071C7" w:rsidRPr="0081285E">
        <w:rPr>
          <w:rFonts w:ascii="Times New Roman" w:hAnsi="Times New Roman"/>
          <w:sz w:val="22"/>
          <w:szCs w:val="22"/>
        </w:rPr>
        <w:t xml:space="preserve">the community to pursue </w:t>
      </w:r>
      <w:r w:rsidR="009F576F" w:rsidRPr="0081285E">
        <w:rPr>
          <w:rFonts w:ascii="Times New Roman" w:hAnsi="Times New Roman"/>
          <w:sz w:val="22"/>
          <w:szCs w:val="22"/>
        </w:rPr>
        <w:t xml:space="preserve">both </w:t>
      </w:r>
      <w:r w:rsidR="00D071C7" w:rsidRPr="0081285E">
        <w:rPr>
          <w:rFonts w:ascii="Times New Roman" w:hAnsi="Times New Roman"/>
          <w:sz w:val="22"/>
          <w:szCs w:val="22"/>
        </w:rPr>
        <w:t>ec</w:t>
      </w:r>
      <w:r w:rsidR="009F576F" w:rsidRPr="0081285E">
        <w:rPr>
          <w:rFonts w:ascii="Times New Roman" w:hAnsi="Times New Roman"/>
          <w:sz w:val="22"/>
          <w:szCs w:val="22"/>
        </w:rPr>
        <w:t xml:space="preserve">onomic development and </w:t>
      </w:r>
      <w:r w:rsidR="00D071C7" w:rsidRPr="0081285E">
        <w:rPr>
          <w:rFonts w:ascii="Times New Roman" w:hAnsi="Times New Roman"/>
          <w:sz w:val="22"/>
          <w:szCs w:val="22"/>
        </w:rPr>
        <w:t>improvements</w:t>
      </w:r>
      <w:r w:rsidR="008343FF" w:rsidRPr="0081285E">
        <w:rPr>
          <w:rFonts w:ascii="Times New Roman" w:hAnsi="Times New Roman"/>
          <w:sz w:val="22"/>
          <w:szCs w:val="22"/>
        </w:rPr>
        <w:t xml:space="preserve"> </w:t>
      </w:r>
      <w:r w:rsidR="009F576F" w:rsidRPr="0081285E">
        <w:rPr>
          <w:rFonts w:ascii="Times New Roman" w:hAnsi="Times New Roman"/>
          <w:sz w:val="22"/>
          <w:szCs w:val="22"/>
        </w:rPr>
        <w:t xml:space="preserve">to </w:t>
      </w:r>
      <w:r w:rsidR="008343FF" w:rsidRPr="0081285E">
        <w:rPr>
          <w:rFonts w:ascii="Times New Roman" w:hAnsi="Times New Roman"/>
          <w:sz w:val="22"/>
          <w:szCs w:val="22"/>
        </w:rPr>
        <w:t xml:space="preserve">air quality. </w:t>
      </w:r>
    </w:p>
    <w:p w:rsidR="00CC2151" w:rsidRPr="0081285E" w:rsidRDefault="00CC2151" w:rsidP="00595897">
      <w:pPr>
        <w:shd w:val="clear" w:color="auto" w:fill="FFFFFF"/>
        <w:rPr>
          <w:rFonts w:ascii="Times New Roman" w:hAnsi="Times New Roman"/>
          <w:color w:val="1F497D"/>
          <w:sz w:val="22"/>
          <w:szCs w:val="22"/>
          <w:lang w:eastAsia="zh-CN"/>
        </w:rPr>
      </w:pPr>
    </w:p>
    <w:p w:rsidR="00C52B45" w:rsidRPr="00125A45" w:rsidRDefault="0099155F" w:rsidP="0081285E">
      <w:pPr>
        <w:pStyle w:val="Heading2"/>
        <w:rPr>
          <w:rFonts w:ascii="Arial" w:hAnsi="Arial" w:cs="Arial"/>
          <w:sz w:val="28"/>
          <w:szCs w:val="28"/>
        </w:rPr>
      </w:pPr>
      <w:r w:rsidRPr="00125A45">
        <w:rPr>
          <w:rFonts w:ascii="Arial" w:hAnsi="Arial" w:cs="Arial"/>
          <w:sz w:val="28"/>
          <w:szCs w:val="28"/>
        </w:rPr>
        <w:t>Background</w:t>
      </w:r>
      <w:bookmarkEnd w:id="1"/>
      <w:bookmarkEnd w:id="2"/>
      <w:bookmarkEnd w:id="3"/>
    </w:p>
    <w:p w:rsidR="008552EE" w:rsidRPr="0081285E" w:rsidRDefault="008552EE">
      <w:pPr>
        <w:pStyle w:val="Heading2"/>
        <w:rPr>
          <w:rFonts w:ascii="Arial" w:hAnsi="Arial" w:cs="Arial"/>
          <w:sz w:val="24"/>
          <w:szCs w:val="24"/>
        </w:rPr>
      </w:pPr>
      <w:bookmarkStart w:id="4" w:name="_Toc320004521"/>
      <w:bookmarkStart w:id="5" w:name="_Toc320007415"/>
      <w:bookmarkStart w:id="6" w:name="_Toc330476362"/>
      <w:bookmarkStart w:id="7" w:name="_Toc339538109"/>
      <w:bookmarkStart w:id="8" w:name="_Toc369548780"/>
      <w:r w:rsidRPr="0081285E">
        <w:rPr>
          <w:rFonts w:ascii="Arial" w:hAnsi="Arial" w:cs="Arial"/>
          <w:sz w:val="24"/>
          <w:szCs w:val="24"/>
        </w:rPr>
        <w:t>What is PM?</w:t>
      </w:r>
    </w:p>
    <w:p w:rsidR="008552EE" w:rsidRPr="0081285E" w:rsidRDefault="008552EE" w:rsidP="00595897">
      <w:pPr>
        <w:shd w:val="clear" w:color="auto" w:fill="FFFFFF"/>
        <w:rPr>
          <w:rFonts w:ascii="Times New Roman" w:eastAsiaTheme="minorHAnsi" w:hAnsi="Times New Roman"/>
          <w:sz w:val="22"/>
          <w:szCs w:val="22"/>
        </w:rPr>
      </w:pPr>
      <w:r w:rsidRPr="0081285E">
        <w:rPr>
          <w:rFonts w:ascii="Times New Roman" w:hAnsi="Times New Roman"/>
          <w:sz w:val="22"/>
          <w:szCs w:val="22"/>
        </w:rPr>
        <w:t xml:space="preserve">Particulate matter (PM) is the general term used for a mixture of solid particles </w:t>
      </w:r>
      <w:r w:rsidR="00D0754F" w:rsidRPr="0081285E">
        <w:rPr>
          <w:rFonts w:ascii="Times New Roman" w:hAnsi="Times New Roman"/>
          <w:sz w:val="22"/>
          <w:szCs w:val="22"/>
        </w:rPr>
        <w:t xml:space="preserve">and </w:t>
      </w:r>
      <w:r w:rsidRPr="0081285E">
        <w:rPr>
          <w:rFonts w:ascii="Times New Roman" w:hAnsi="Times New Roman"/>
          <w:sz w:val="22"/>
          <w:szCs w:val="22"/>
        </w:rPr>
        <w:t xml:space="preserve">liquid droplets found in the air. </w:t>
      </w:r>
      <w:r w:rsidR="000E2B6D" w:rsidRPr="0081285E">
        <w:rPr>
          <w:rFonts w:ascii="Times New Roman" w:hAnsi="Times New Roman"/>
          <w:sz w:val="22"/>
          <w:szCs w:val="22"/>
        </w:rPr>
        <w:t>EPA characterizes PM into two size fractions: PM</w:t>
      </w:r>
      <w:r w:rsidR="000E2B6D" w:rsidRPr="0081285E">
        <w:rPr>
          <w:rFonts w:ascii="Times New Roman" w:hAnsi="Times New Roman"/>
          <w:sz w:val="22"/>
          <w:szCs w:val="22"/>
          <w:vertAlign w:val="subscript"/>
        </w:rPr>
        <w:t>10</w:t>
      </w:r>
      <w:r w:rsidR="000E2B6D" w:rsidRPr="0081285E">
        <w:rPr>
          <w:rFonts w:ascii="Times New Roman" w:hAnsi="Times New Roman"/>
          <w:sz w:val="22"/>
          <w:szCs w:val="22"/>
        </w:rPr>
        <w:t xml:space="preserve"> – coarse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10 microns and smaller</w:t>
      </w:r>
      <w:r w:rsidR="00D0754F" w:rsidRPr="0081285E">
        <w:rPr>
          <w:rFonts w:ascii="Times New Roman" w:hAnsi="Times New Roman"/>
          <w:sz w:val="22"/>
          <w:szCs w:val="22"/>
        </w:rPr>
        <w:t>,</w:t>
      </w:r>
      <w:r w:rsidR="000E2B6D" w:rsidRPr="0081285E">
        <w:rPr>
          <w:rFonts w:ascii="Times New Roman" w:hAnsi="Times New Roman"/>
          <w:sz w:val="22"/>
          <w:szCs w:val="22"/>
        </w:rPr>
        <w:t xml:space="preserve"> and PM</w:t>
      </w:r>
      <w:r w:rsidR="000E2B6D" w:rsidRPr="0081285E">
        <w:rPr>
          <w:rFonts w:ascii="Times New Roman" w:hAnsi="Times New Roman"/>
          <w:sz w:val="22"/>
          <w:szCs w:val="22"/>
          <w:vertAlign w:val="subscript"/>
        </w:rPr>
        <w:t>2.5</w:t>
      </w:r>
      <w:r w:rsidR="000E2B6D" w:rsidRPr="0081285E">
        <w:rPr>
          <w:rFonts w:ascii="Times New Roman" w:hAnsi="Times New Roman"/>
          <w:sz w:val="22"/>
          <w:szCs w:val="22"/>
        </w:rPr>
        <w:t xml:space="preserve"> – fine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2.5 microns and smaller. </w:t>
      </w:r>
      <w:r w:rsidRPr="0081285E">
        <w:rPr>
          <w:rFonts w:ascii="Times New Roman" w:eastAsiaTheme="minorHAnsi" w:hAnsi="Times New Roman"/>
          <w:sz w:val="22"/>
          <w:szCs w:val="22"/>
        </w:rPr>
        <w:t xml:space="preserve">Fine particulate matter </w:t>
      </w:r>
      <w:r w:rsidRPr="0081285E">
        <w:rPr>
          <w:rFonts w:ascii="Times New Roman" w:hAnsi="Times New Roman"/>
          <w:sz w:val="22"/>
          <w:szCs w:val="22"/>
        </w:rPr>
        <w:t>(PM</w:t>
      </w:r>
      <w:r w:rsidRPr="0081285E">
        <w:rPr>
          <w:rFonts w:ascii="Times New Roman" w:hAnsi="Times New Roman"/>
          <w:sz w:val="22"/>
          <w:szCs w:val="22"/>
          <w:vertAlign w:val="subscript"/>
        </w:rPr>
        <w:t>2.5</w:t>
      </w:r>
      <w:r w:rsidRPr="0081285E">
        <w:rPr>
          <w:rFonts w:ascii="Times New Roman" w:hAnsi="Times New Roman"/>
          <w:sz w:val="22"/>
          <w:szCs w:val="22"/>
        </w:rPr>
        <w:t xml:space="preserve">) </w:t>
      </w:r>
      <w:r w:rsidRPr="0081285E">
        <w:rPr>
          <w:rFonts w:ascii="Times New Roman" w:eastAsiaTheme="minorHAnsi" w:hAnsi="Times New Roman"/>
          <w:sz w:val="22"/>
          <w:szCs w:val="22"/>
        </w:rPr>
        <w:t xml:space="preserve">in the atmosphere is composed of a complex mixture of particles: sulfate, nitrate, and ammonium; particle-bound water; elemental carbon; organic carbon representing a variety of organic compounds; and crustal material. </w:t>
      </w:r>
    </w:p>
    <w:p w:rsidR="001E5781" w:rsidRPr="0081285E" w:rsidRDefault="001E5781" w:rsidP="00595897">
      <w:pPr>
        <w:shd w:val="clear" w:color="auto" w:fill="FFFFFF"/>
        <w:rPr>
          <w:rFonts w:ascii="Times New Roman" w:hAnsi="Times New Roman"/>
          <w:sz w:val="22"/>
          <w:szCs w:val="22"/>
        </w:rPr>
      </w:pPr>
    </w:p>
    <w:p w:rsidR="008552EE" w:rsidRPr="0081285E" w:rsidRDefault="008552EE" w:rsidP="009847BB">
      <w:pPr>
        <w:shd w:val="clear" w:color="auto" w:fill="FFFFFF"/>
        <w:rPr>
          <w:rFonts w:ascii="Times New Roman" w:hAnsi="Times New Roman"/>
          <w:sz w:val="22"/>
          <w:szCs w:val="22"/>
        </w:rPr>
      </w:pPr>
      <w:r w:rsidRPr="0081285E">
        <w:rPr>
          <w:rFonts w:ascii="Times New Roman" w:eastAsiaTheme="minorHAnsi" w:hAnsi="Times New Roman"/>
          <w:sz w:val="22"/>
          <w:szCs w:val="22"/>
        </w:rPr>
        <w:t>PM</w:t>
      </w:r>
      <w:r w:rsidRPr="0081285E">
        <w:rPr>
          <w:rFonts w:ascii="Times New Roman" w:hAnsi="Times New Roman"/>
          <w:sz w:val="22"/>
          <w:szCs w:val="22"/>
          <w:vertAlign w:val="subscript"/>
        </w:rPr>
        <w:t>2.5</w:t>
      </w:r>
      <w:r w:rsidRPr="0081285E">
        <w:rPr>
          <w:rFonts w:ascii="Times New Roman" w:eastAsiaTheme="minorHAnsi" w:hAnsi="Times New Roman"/>
          <w:sz w:val="22"/>
          <w:szCs w:val="22"/>
        </w:rPr>
        <w:t xml:space="preserve"> </w:t>
      </w:r>
      <w:r w:rsidRPr="0081285E">
        <w:rPr>
          <w:rFonts w:ascii="Times New Roman" w:hAnsi="Times New Roman"/>
          <w:sz w:val="22"/>
          <w:szCs w:val="22"/>
        </w:rPr>
        <w:t>can accumulate in the respiratory system and is associated with numerous health effects</w:t>
      </w:r>
      <w:r w:rsidR="002E1AD8" w:rsidRPr="0081285E">
        <w:rPr>
          <w:rFonts w:ascii="Times New Roman" w:hAnsi="Times New Roman"/>
          <w:sz w:val="22"/>
          <w:szCs w:val="22"/>
        </w:rPr>
        <w:t xml:space="preserve">. </w:t>
      </w:r>
      <w:r w:rsidRPr="0081285E">
        <w:rPr>
          <w:rFonts w:ascii="Times New Roman" w:hAnsi="Times New Roman"/>
          <w:sz w:val="22"/>
          <w:szCs w:val="22"/>
        </w:rPr>
        <w:t>These health effects are linked to premature death, especially related to heart disease</w:t>
      </w:r>
      <w:r w:rsidR="00D0754F" w:rsidRPr="0081285E">
        <w:rPr>
          <w:rFonts w:ascii="Times New Roman" w:hAnsi="Times New Roman"/>
          <w:sz w:val="22"/>
          <w:szCs w:val="22"/>
        </w:rPr>
        <w:t>;</w:t>
      </w:r>
      <w:r w:rsidRPr="0081285E">
        <w:rPr>
          <w:rFonts w:ascii="Times New Roman" w:hAnsi="Times New Roman"/>
          <w:sz w:val="22"/>
          <w:szCs w:val="22"/>
        </w:rPr>
        <w:t xml:space="preserve"> cardiovascular effects, such as heart attacks and strokes; reduced lung development</w:t>
      </w:r>
      <w:r w:rsidR="00D0754F" w:rsidRPr="0081285E">
        <w:rPr>
          <w:rFonts w:ascii="Times New Roman" w:hAnsi="Times New Roman"/>
          <w:sz w:val="22"/>
          <w:szCs w:val="22"/>
        </w:rPr>
        <w:t>;</w:t>
      </w:r>
      <w:r w:rsidRPr="0081285E">
        <w:rPr>
          <w:rFonts w:ascii="Times New Roman" w:hAnsi="Times New Roman"/>
          <w:sz w:val="22"/>
          <w:szCs w:val="22"/>
        </w:rPr>
        <w:t xml:space="preserve"> and chronic respiratory diseases such as asthma. Sensitive groups that are at greatest risk include the elderly, individuals with cardiopulmonary disease such as asthma, and children.</w:t>
      </w:r>
    </w:p>
    <w:p w:rsidR="00B80E86" w:rsidRPr="0081285E" w:rsidRDefault="00690D3A">
      <w:pPr>
        <w:pStyle w:val="Heading2"/>
        <w:rPr>
          <w:rFonts w:ascii="Arial" w:hAnsi="Arial" w:cs="Arial"/>
          <w:sz w:val="24"/>
          <w:szCs w:val="24"/>
        </w:rPr>
      </w:pPr>
      <w:r w:rsidRPr="0081285E">
        <w:rPr>
          <w:rFonts w:ascii="Arial" w:hAnsi="Arial" w:cs="Arial"/>
          <w:sz w:val="24"/>
          <w:szCs w:val="24"/>
        </w:rPr>
        <w:t xml:space="preserve">History of PM in Lakeview </w:t>
      </w:r>
      <w:bookmarkEnd w:id="4"/>
      <w:bookmarkEnd w:id="5"/>
      <w:bookmarkEnd w:id="6"/>
      <w:bookmarkEnd w:id="7"/>
      <w:bookmarkEnd w:id="8"/>
    </w:p>
    <w:p w:rsidR="00B95F95" w:rsidRPr="0081285E" w:rsidRDefault="00690D3A" w:rsidP="00D46AA0">
      <w:pPr>
        <w:rPr>
          <w:rFonts w:ascii="Times New Roman" w:hAnsi="Times New Roman"/>
          <w:sz w:val="22"/>
          <w:szCs w:val="22"/>
        </w:rPr>
      </w:pPr>
      <w:r w:rsidRPr="0081285E">
        <w:rPr>
          <w:rFonts w:ascii="Times New Roman" w:hAnsi="Times New Roman"/>
          <w:sz w:val="22"/>
          <w:szCs w:val="22"/>
        </w:rPr>
        <w:t>Lakeview has a long history of addressing PM issues in the community</w:t>
      </w:r>
      <w:r w:rsidR="002E1AD8" w:rsidRPr="0081285E">
        <w:rPr>
          <w:rFonts w:ascii="Times New Roman" w:hAnsi="Times New Roman"/>
          <w:sz w:val="22"/>
          <w:szCs w:val="22"/>
        </w:rPr>
        <w:t xml:space="preserve">. </w:t>
      </w:r>
      <w:r w:rsidR="00D46AA0" w:rsidRPr="0081285E">
        <w:rPr>
          <w:rFonts w:ascii="Times New Roman" w:hAnsi="Times New Roman"/>
          <w:sz w:val="22"/>
          <w:szCs w:val="22"/>
        </w:rPr>
        <w:t>In 1987, Lakeview was designated nonattainment for PM</w:t>
      </w:r>
      <w:r w:rsidR="00D46AA0" w:rsidRPr="0081285E">
        <w:rPr>
          <w:rFonts w:ascii="Times New Roman" w:hAnsi="Times New Roman"/>
          <w:sz w:val="22"/>
          <w:szCs w:val="22"/>
          <w:vertAlign w:val="subscript"/>
        </w:rPr>
        <w:t>10</w:t>
      </w:r>
      <w:r w:rsidR="00D46AA0" w:rsidRPr="0081285E">
        <w:rPr>
          <w:rFonts w:ascii="Times New Roman" w:hAnsi="Times New Roman"/>
          <w:sz w:val="22"/>
          <w:szCs w:val="22"/>
        </w:rPr>
        <w:t xml:space="preserve">. By the mid-1990s, Lakeview </w:t>
      </w:r>
      <w:r w:rsidR="001F4AE1" w:rsidRPr="0081285E">
        <w:rPr>
          <w:rFonts w:ascii="Times New Roman" w:hAnsi="Times New Roman"/>
          <w:sz w:val="22"/>
          <w:szCs w:val="22"/>
        </w:rPr>
        <w:t>developed</w:t>
      </w:r>
      <w:r w:rsidR="00D46AA0" w:rsidRPr="0081285E">
        <w:rPr>
          <w:rFonts w:ascii="Times New Roman" w:hAnsi="Times New Roman"/>
          <w:sz w:val="22"/>
          <w:szCs w:val="22"/>
        </w:rPr>
        <w:t xml:space="preserve"> </w:t>
      </w:r>
      <w:r w:rsidR="00AF5D7F" w:rsidRPr="0081285E">
        <w:rPr>
          <w:rFonts w:ascii="Times New Roman" w:hAnsi="Times New Roman"/>
          <w:sz w:val="22"/>
          <w:szCs w:val="22"/>
        </w:rPr>
        <w:t>a PM</w:t>
      </w:r>
      <w:r w:rsidR="004B7AD6" w:rsidRPr="0081285E">
        <w:rPr>
          <w:rFonts w:ascii="Times New Roman" w:hAnsi="Times New Roman"/>
          <w:sz w:val="22"/>
          <w:szCs w:val="22"/>
          <w:vertAlign w:val="subscript"/>
        </w:rPr>
        <w:t>10</w:t>
      </w:r>
      <w:r w:rsidR="00AF5D7F" w:rsidRPr="0081285E">
        <w:rPr>
          <w:rFonts w:ascii="Times New Roman" w:hAnsi="Times New Roman"/>
          <w:sz w:val="22"/>
          <w:szCs w:val="22"/>
        </w:rPr>
        <w:t xml:space="preserve"> </w:t>
      </w:r>
      <w:r w:rsidR="00D46AA0" w:rsidRPr="0081285E">
        <w:rPr>
          <w:rFonts w:ascii="Times New Roman" w:hAnsi="Times New Roman"/>
          <w:sz w:val="22"/>
          <w:szCs w:val="22"/>
        </w:rPr>
        <w:t xml:space="preserve">attainment plan to bring the area back into </w:t>
      </w:r>
      <w:r w:rsidR="004B7AD6" w:rsidRPr="0081285E">
        <w:rPr>
          <w:rFonts w:ascii="Times New Roman" w:hAnsi="Times New Roman"/>
          <w:sz w:val="22"/>
          <w:szCs w:val="22"/>
        </w:rPr>
        <w:t>compliance</w:t>
      </w:r>
      <w:r w:rsidR="001F4AE1" w:rsidRPr="0081285E">
        <w:rPr>
          <w:rFonts w:ascii="Times New Roman" w:hAnsi="Times New Roman"/>
          <w:sz w:val="22"/>
          <w:szCs w:val="22"/>
        </w:rPr>
        <w:t>,</w:t>
      </w:r>
      <w:r w:rsidR="000E2B6D" w:rsidRPr="0081285E">
        <w:rPr>
          <w:rFonts w:ascii="Times New Roman" w:hAnsi="Times New Roman"/>
          <w:sz w:val="22"/>
          <w:szCs w:val="22"/>
        </w:rPr>
        <w:t xml:space="preserve"> and the area met the standard by the late 1990s. A</w:t>
      </w:r>
      <w:r w:rsidR="00D46AA0" w:rsidRPr="0081285E">
        <w:rPr>
          <w:rFonts w:ascii="Times New Roman" w:hAnsi="Times New Roman"/>
          <w:sz w:val="22"/>
          <w:szCs w:val="22"/>
        </w:rPr>
        <w:t xml:space="preserve"> maintenance plan</w:t>
      </w:r>
      <w:r w:rsidR="00AF5D7F" w:rsidRPr="0081285E">
        <w:rPr>
          <w:rFonts w:ascii="Times New Roman" w:hAnsi="Times New Roman"/>
          <w:sz w:val="22"/>
          <w:szCs w:val="22"/>
        </w:rPr>
        <w:t xml:space="preserve"> was subsequently developed</w:t>
      </w:r>
      <w:r w:rsidR="00D46AA0" w:rsidRPr="0081285E">
        <w:rPr>
          <w:rFonts w:ascii="Times New Roman" w:hAnsi="Times New Roman"/>
          <w:sz w:val="22"/>
          <w:szCs w:val="22"/>
        </w:rPr>
        <w:t xml:space="preserve"> showing how the area would continue to meet the standard</w:t>
      </w:r>
      <w:r w:rsidR="002E1AD8" w:rsidRPr="0081285E">
        <w:rPr>
          <w:rFonts w:ascii="Times New Roman" w:hAnsi="Times New Roman"/>
          <w:sz w:val="22"/>
          <w:szCs w:val="22"/>
        </w:rPr>
        <w:t xml:space="preserve">. </w:t>
      </w:r>
      <w:r w:rsidR="00B95F95" w:rsidRPr="0081285E">
        <w:rPr>
          <w:rFonts w:ascii="Times New Roman" w:hAnsi="Times New Roman"/>
          <w:sz w:val="22"/>
          <w:szCs w:val="22"/>
        </w:rPr>
        <w:t xml:space="preserve">These plans </w:t>
      </w:r>
      <w:r w:rsidR="00B95F95" w:rsidRPr="0081285E">
        <w:rPr>
          <w:rFonts w:ascii="Times New Roman" w:hAnsi="Times New Roman"/>
          <w:sz w:val="22"/>
          <w:szCs w:val="22"/>
        </w:rPr>
        <w:lastRenderedPageBreak/>
        <w:t xml:space="preserve">were so successful that when EPA revised the PM standard in 1997, the community was able to meet the new </w:t>
      </w:r>
      <w:r w:rsidR="00AF5D7F" w:rsidRPr="0081285E">
        <w:rPr>
          <w:rFonts w:ascii="Times New Roman" w:hAnsi="Times New Roman"/>
          <w:sz w:val="22"/>
          <w:szCs w:val="22"/>
        </w:rPr>
        <w:t>PM</w:t>
      </w:r>
      <w:r w:rsidR="00AF5D7F" w:rsidRPr="0081285E">
        <w:rPr>
          <w:rFonts w:ascii="Times New Roman" w:hAnsi="Times New Roman"/>
          <w:sz w:val="22"/>
          <w:szCs w:val="22"/>
          <w:vertAlign w:val="subscript"/>
        </w:rPr>
        <w:t>2.5</w:t>
      </w:r>
      <w:r w:rsidR="00AF5D7F" w:rsidRPr="0081285E">
        <w:rPr>
          <w:rFonts w:ascii="Times New Roman" w:hAnsi="Times New Roman"/>
          <w:sz w:val="22"/>
          <w:szCs w:val="22"/>
        </w:rPr>
        <w:t xml:space="preserve"> </w:t>
      </w:r>
      <w:r w:rsidR="00B95F95" w:rsidRPr="0081285E">
        <w:rPr>
          <w:rFonts w:ascii="Times New Roman" w:hAnsi="Times New Roman"/>
          <w:sz w:val="22"/>
          <w:szCs w:val="22"/>
        </w:rPr>
        <w:t>standard due in large part to the existing strategies in the plans.</w:t>
      </w:r>
    </w:p>
    <w:p w:rsidR="001E5781" w:rsidRPr="0081285E" w:rsidRDefault="001E5781" w:rsidP="00D46AA0">
      <w:pPr>
        <w:rPr>
          <w:rFonts w:ascii="Times New Roman" w:hAnsi="Times New Roman"/>
          <w:sz w:val="22"/>
          <w:szCs w:val="22"/>
        </w:rPr>
      </w:pPr>
    </w:p>
    <w:p w:rsidR="0078165D" w:rsidRPr="0081285E" w:rsidRDefault="00D46AA0" w:rsidP="009847BB">
      <w:pPr>
        <w:shd w:val="clear" w:color="auto" w:fill="FFFFFF"/>
        <w:rPr>
          <w:rFonts w:ascii="Times New Roman" w:hAnsi="Times New Roman"/>
          <w:bCs/>
          <w:sz w:val="22"/>
          <w:szCs w:val="22"/>
        </w:rPr>
      </w:pPr>
      <w:r w:rsidRPr="0081285E">
        <w:rPr>
          <w:rFonts w:ascii="Times New Roman" w:hAnsi="Times New Roman"/>
          <w:sz w:val="22"/>
          <w:szCs w:val="22"/>
        </w:rPr>
        <w:t>I</w:t>
      </w:r>
      <w:r w:rsidR="008552EE" w:rsidRPr="0081285E">
        <w:rPr>
          <w:rFonts w:ascii="Times New Roman" w:hAnsi="Times New Roman"/>
          <w:sz w:val="22"/>
          <w:szCs w:val="22"/>
        </w:rPr>
        <w:t xml:space="preserve">n 2006, </w:t>
      </w:r>
      <w:r w:rsidRPr="0081285E">
        <w:rPr>
          <w:rFonts w:ascii="Times New Roman" w:hAnsi="Times New Roman"/>
          <w:sz w:val="22"/>
          <w:szCs w:val="22"/>
        </w:rPr>
        <w:t>EPA again revised the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standard, lowering </w:t>
      </w:r>
      <w:r w:rsidR="00881CFF" w:rsidRPr="0081285E">
        <w:rPr>
          <w:rFonts w:ascii="Times New Roman" w:hAnsi="Times New Roman"/>
          <w:sz w:val="22"/>
          <w:szCs w:val="22"/>
        </w:rPr>
        <w:t xml:space="preserve">the </w:t>
      </w:r>
      <w:r w:rsidR="005B6A99" w:rsidRPr="0081285E">
        <w:rPr>
          <w:rFonts w:ascii="Times New Roman" w:hAnsi="Times New Roman"/>
          <w:sz w:val="22"/>
          <w:szCs w:val="22"/>
        </w:rPr>
        <w:t>24-hour</w:t>
      </w:r>
      <w:r w:rsidR="00881CFF" w:rsidRPr="0081285E">
        <w:rPr>
          <w:rFonts w:ascii="Times New Roman" w:hAnsi="Times New Roman"/>
          <w:sz w:val="22"/>
          <w:szCs w:val="22"/>
        </w:rPr>
        <w:t xml:space="preserve"> standard</w:t>
      </w:r>
      <w:r w:rsidRPr="0081285E">
        <w:rPr>
          <w:rFonts w:ascii="Times New Roman" w:hAnsi="Times New Roman"/>
          <w:sz w:val="22"/>
          <w:szCs w:val="22"/>
        </w:rPr>
        <w:t xml:space="preserve"> from 65 ug/m</w:t>
      </w:r>
      <w:r w:rsidRPr="0081285E">
        <w:rPr>
          <w:rFonts w:ascii="Times New Roman" w:hAnsi="Times New Roman"/>
          <w:sz w:val="22"/>
          <w:szCs w:val="22"/>
          <w:vertAlign w:val="superscript"/>
        </w:rPr>
        <w:t>3</w:t>
      </w:r>
      <w:r w:rsidRPr="0081285E">
        <w:rPr>
          <w:rFonts w:ascii="Times New Roman" w:hAnsi="Times New Roman"/>
          <w:sz w:val="22"/>
          <w:szCs w:val="22"/>
        </w:rPr>
        <w:t xml:space="preserve"> to 35 ug/m</w:t>
      </w:r>
      <w:r w:rsidRPr="0081285E">
        <w:rPr>
          <w:rFonts w:ascii="Times New Roman" w:hAnsi="Times New Roman"/>
          <w:sz w:val="22"/>
          <w:szCs w:val="22"/>
          <w:vertAlign w:val="superscript"/>
        </w:rPr>
        <w:t>3</w:t>
      </w:r>
      <w:r w:rsidRPr="0081285E">
        <w:rPr>
          <w:rFonts w:ascii="Times New Roman" w:hAnsi="Times New Roman"/>
          <w:sz w:val="22"/>
          <w:szCs w:val="22"/>
        </w:rPr>
        <w:t xml:space="preserve">. </w:t>
      </w:r>
      <w:r w:rsidR="0078165D" w:rsidRPr="0081285E">
        <w:rPr>
          <w:rFonts w:ascii="Times New Roman" w:hAnsi="Times New Roman"/>
          <w:bCs/>
          <w:sz w:val="22"/>
          <w:szCs w:val="22"/>
        </w:rPr>
        <w:t>The 24-hour standard for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is met whenever the three year average of the annual 98th percentile of values at monitoring sites is less than or equal to 35 µg/m</w:t>
      </w:r>
      <w:r w:rsidR="0078165D" w:rsidRPr="0081285E">
        <w:rPr>
          <w:rFonts w:ascii="Times New Roman" w:hAnsi="Times New Roman"/>
          <w:bCs/>
          <w:sz w:val="22"/>
          <w:szCs w:val="22"/>
          <w:vertAlign w:val="superscript"/>
        </w:rPr>
        <w:t>3</w:t>
      </w:r>
      <w:r w:rsidR="0078165D" w:rsidRPr="0081285E">
        <w:rPr>
          <w:rFonts w:ascii="Times New Roman" w:hAnsi="Times New Roman"/>
          <w:bCs/>
          <w:sz w:val="22"/>
          <w:szCs w:val="22"/>
        </w:rPr>
        <w:t>. While Lakeview has violated the standard</w:t>
      </w:r>
      <w:r w:rsidR="001F4AE1" w:rsidRPr="0081285E">
        <w:rPr>
          <w:rFonts w:ascii="Times New Roman" w:hAnsi="Times New Roman"/>
          <w:bCs/>
          <w:sz w:val="22"/>
          <w:szCs w:val="22"/>
        </w:rPr>
        <w:t xml:space="preserve"> at times</w:t>
      </w:r>
      <w:r w:rsidR="0078165D" w:rsidRPr="0081285E">
        <w:rPr>
          <w:rFonts w:ascii="Times New Roman" w:hAnsi="Times New Roman"/>
          <w:bCs/>
          <w:sz w:val="22"/>
          <w:szCs w:val="22"/>
        </w:rPr>
        <w:t>, the area was not designated nonattainment for the 24-hour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AAQS, because there was </w:t>
      </w:r>
      <w:r w:rsidR="001F4AE1" w:rsidRPr="0081285E">
        <w:rPr>
          <w:rFonts w:ascii="Times New Roman" w:hAnsi="Times New Roman"/>
          <w:bCs/>
          <w:sz w:val="22"/>
          <w:szCs w:val="22"/>
        </w:rPr>
        <w:t>insufficient</w:t>
      </w:r>
      <w:r w:rsidR="0078165D" w:rsidRPr="0081285E">
        <w:rPr>
          <w:rFonts w:ascii="Times New Roman" w:hAnsi="Times New Roman"/>
          <w:bCs/>
          <w:sz w:val="22"/>
          <w:szCs w:val="22"/>
        </w:rPr>
        <w:t xml:space="preserve"> monitoring information available at the time of designations. </w:t>
      </w:r>
    </w:p>
    <w:p w:rsidR="00CC2151" w:rsidRPr="0081285E" w:rsidRDefault="00CC2151" w:rsidP="009847BB">
      <w:pPr>
        <w:shd w:val="clear" w:color="auto" w:fill="FFFFFF"/>
        <w:rPr>
          <w:rFonts w:ascii="Times New Roman" w:hAnsi="Times New Roman"/>
          <w:sz w:val="22"/>
          <w:szCs w:val="22"/>
        </w:rPr>
      </w:pPr>
    </w:p>
    <w:p w:rsidR="0068040C" w:rsidRPr="00125A45" w:rsidRDefault="0099155F" w:rsidP="007731E0">
      <w:pPr>
        <w:pStyle w:val="Heading2"/>
        <w:rPr>
          <w:rFonts w:ascii="Arial" w:hAnsi="Arial" w:cs="Arial"/>
          <w:sz w:val="28"/>
          <w:szCs w:val="28"/>
        </w:rPr>
      </w:pPr>
      <w:bookmarkStart w:id="9" w:name="_Toc369548782"/>
      <w:r w:rsidRPr="00125A45">
        <w:rPr>
          <w:rFonts w:ascii="Arial" w:hAnsi="Arial" w:cs="Arial"/>
          <w:sz w:val="28"/>
          <w:szCs w:val="28"/>
        </w:rPr>
        <w:t>Monitoring</w:t>
      </w:r>
      <w:bookmarkEnd w:id="9"/>
    </w:p>
    <w:p w:rsidR="00B80E86" w:rsidRPr="0081285E" w:rsidRDefault="005A784B">
      <w:pPr>
        <w:pStyle w:val="BodyText"/>
        <w:tabs>
          <w:tab w:val="left" w:pos="-1440"/>
          <w:tab w:val="left" w:pos="-720"/>
        </w:tabs>
        <w:rPr>
          <w:sz w:val="22"/>
          <w:szCs w:val="22"/>
        </w:rPr>
      </w:pPr>
      <w:r w:rsidRPr="0081285E">
        <w:rPr>
          <w:rFonts w:ascii="Times New Roman" w:eastAsiaTheme="minorHAnsi" w:hAnsi="Times New Roman" w:cstheme="minorBidi"/>
          <w:sz w:val="22"/>
          <w:szCs w:val="22"/>
        </w:rPr>
        <w:t>The Lakeview area has one particulate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monitoring site with the sampler located on the corner of Center and M Street</w:t>
      </w:r>
      <w:r w:rsidR="002E1AD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DEQ has monitored at </w:t>
      </w:r>
      <w:r w:rsidR="00E607C1" w:rsidRPr="0081285E">
        <w:rPr>
          <w:rFonts w:ascii="Times New Roman" w:eastAsiaTheme="minorHAnsi" w:hAnsi="Times New Roman" w:cstheme="minorBidi"/>
          <w:sz w:val="22"/>
          <w:szCs w:val="22"/>
        </w:rPr>
        <w:t>this</w:t>
      </w:r>
      <w:r w:rsidRPr="0081285E">
        <w:rPr>
          <w:rFonts w:ascii="Times New Roman" w:eastAsiaTheme="minorHAnsi" w:hAnsi="Times New Roman" w:cstheme="minorBidi"/>
          <w:sz w:val="22"/>
          <w:szCs w:val="22"/>
        </w:rPr>
        <w:t xml:space="preserve"> site since 1991 for PM</w:t>
      </w:r>
      <w:r w:rsidRPr="0081285E">
        <w:rPr>
          <w:rFonts w:ascii="Times New Roman" w:eastAsiaTheme="minorHAnsi" w:hAnsi="Times New Roman" w:cstheme="minorBidi"/>
          <w:sz w:val="22"/>
          <w:szCs w:val="22"/>
          <w:vertAlign w:val="subscript"/>
        </w:rPr>
        <w:t>10</w:t>
      </w:r>
      <w:r w:rsidRPr="0081285E">
        <w:rPr>
          <w:rFonts w:ascii="Times New Roman" w:eastAsiaTheme="minorHAnsi" w:hAnsi="Times New Roman" w:cstheme="minorBidi"/>
          <w:sz w:val="22"/>
          <w:szCs w:val="22"/>
        </w:rPr>
        <w:t xml:space="preserve"> and since 2007 for PM</w:t>
      </w:r>
      <w:r w:rsidRPr="0081285E">
        <w:rPr>
          <w:rFonts w:ascii="Times New Roman" w:eastAsiaTheme="minorHAnsi" w:hAnsi="Times New Roman" w:cstheme="minorBidi"/>
          <w:sz w:val="22"/>
          <w:szCs w:val="22"/>
          <w:vertAlign w:val="subscript"/>
        </w:rPr>
        <w:t>2.5</w:t>
      </w:r>
      <w:r w:rsidR="002E1AD8" w:rsidRPr="0081285E">
        <w:rPr>
          <w:rFonts w:ascii="Times New Roman" w:eastAsiaTheme="minorHAnsi" w:hAnsi="Times New Roman" w:cstheme="minorBidi"/>
          <w:sz w:val="22"/>
          <w:szCs w:val="22"/>
        </w:rPr>
        <w:t xml:space="preserve">. </w:t>
      </w:r>
      <w:r w:rsidR="00923366" w:rsidRPr="0081285E">
        <w:rPr>
          <w:rFonts w:ascii="Times New Roman" w:eastAsiaTheme="minorHAnsi" w:hAnsi="Times New Roman" w:cstheme="minorBidi"/>
          <w:sz w:val="22"/>
          <w:szCs w:val="22"/>
        </w:rPr>
        <w:t>Lakeview currently meets the revised annual PM</w:t>
      </w:r>
      <w:r w:rsidR="00923366" w:rsidRPr="0081285E">
        <w:rPr>
          <w:rFonts w:ascii="Times New Roman" w:eastAsiaTheme="minorHAnsi" w:hAnsi="Times New Roman" w:cstheme="minorBidi"/>
          <w:sz w:val="22"/>
          <w:szCs w:val="22"/>
          <w:vertAlign w:val="subscript"/>
        </w:rPr>
        <w:t xml:space="preserve">2.5 </w:t>
      </w:r>
      <w:r w:rsidR="00923366" w:rsidRPr="0081285E">
        <w:rPr>
          <w:rFonts w:ascii="Times New Roman" w:eastAsiaTheme="minorHAnsi" w:hAnsi="Times New Roman" w:cstheme="minorBidi"/>
          <w:sz w:val="22"/>
          <w:szCs w:val="22"/>
        </w:rPr>
        <w:t xml:space="preserve">standard, but has been close to violating or has violated the </w:t>
      </w:r>
      <w:r w:rsidR="005B6A99" w:rsidRPr="0081285E">
        <w:rPr>
          <w:rFonts w:ascii="Times New Roman" w:eastAsiaTheme="minorHAnsi" w:hAnsi="Times New Roman" w:cstheme="minorBidi"/>
          <w:sz w:val="22"/>
          <w:szCs w:val="22"/>
        </w:rPr>
        <w:t xml:space="preserve">24-hour </w:t>
      </w:r>
      <w:r w:rsidR="00923366" w:rsidRPr="0081285E">
        <w:rPr>
          <w:rFonts w:ascii="Times New Roman" w:eastAsiaTheme="minorHAnsi" w:hAnsi="Times New Roman" w:cstheme="minorBidi"/>
          <w:sz w:val="22"/>
          <w:szCs w:val="22"/>
        </w:rPr>
        <w:t>standard</w:t>
      </w:r>
      <w:r w:rsidR="00AF5DAE" w:rsidRPr="0081285E">
        <w:rPr>
          <w:rFonts w:ascii="Times New Roman" w:eastAsiaTheme="minorHAnsi" w:hAnsi="Times New Roman" w:cstheme="minorBidi"/>
          <w:sz w:val="22"/>
          <w:szCs w:val="22"/>
        </w:rPr>
        <w:t xml:space="preserve"> in recent years</w:t>
      </w:r>
      <w:r w:rsidR="00E607C1" w:rsidRPr="0081285E">
        <w:rPr>
          <w:rFonts w:ascii="Times New Roman" w:eastAsiaTheme="minorHAnsi" w:hAnsi="Times New Roman" w:cstheme="minorBidi"/>
          <w:sz w:val="22"/>
          <w:szCs w:val="22"/>
        </w:rPr>
        <w:t xml:space="preserve"> (Figure 1)</w:t>
      </w:r>
      <w:r w:rsidR="00923366" w:rsidRPr="0081285E">
        <w:rPr>
          <w:rFonts w:ascii="Times New Roman" w:eastAsiaTheme="minorHAnsi" w:hAnsi="Times New Roman" w:cstheme="minorBidi"/>
          <w:sz w:val="22"/>
          <w:szCs w:val="22"/>
        </w:rPr>
        <w:t xml:space="preserve">. </w:t>
      </w:r>
    </w:p>
    <w:p w:rsidR="003034C8" w:rsidRPr="0081285E" w:rsidRDefault="003034C8" w:rsidP="00486AB2">
      <w:pPr>
        <w:keepNext/>
        <w:suppressAutoHyphens/>
        <w:spacing w:after="200" w:line="276" w:lineRule="auto"/>
        <w:rPr>
          <w:rFonts w:ascii="Times New Roman" w:hAnsi="Times New Roman"/>
          <w:sz w:val="22"/>
          <w:szCs w:val="22"/>
        </w:rPr>
      </w:pPr>
      <w:r w:rsidRPr="0081285E">
        <w:rPr>
          <w:rFonts w:ascii="Times New Roman" w:hAnsi="Times New Roman"/>
          <w:sz w:val="22"/>
          <w:szCs w:val="22"/>
        </w:rPr>
        <w:t xml:space="preserve">   </w:t>
      </w:r>
    </w:p>
    <w:p w:rsidR="00C52B45" w:rsidRDefault="00E23F98" w:rsidP="006B74AD">
      <w:pPr>
        <w:keepNext/>
        <w:jc w:val="center"/>
        <w:rPr>
          <w:rFonts w:ascii="Times New Roman" w:hAnsi="Times New Roman"/>
        </w:rPr>
      </w:pPr>
      <w:r w:rsidRPr="00E23F98">
        <w:rPr>
          <w:rFonts w:ascii="Times New Roman" w:hAnsi="Times New Roman"/>
          <w:noProof/>
        </w:rPr>
        <w:drawing>
          <wp:inline distT="0" distB="0" distL="0" distR="0">
            <wp:extent cx="4572000" cy="280987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1E95" w:rsidRPr="00B55506" w:rsidRDefault="00AF0970" w:rsidP="006B74AD">
      <w:pPr>
        <w:pStyle w:val="Caption"/>
        <w:rPr>
          <w:sz w:val="20"/>
        </w:rPr>
      </w:pPr>
      <w:bookmarkStart w:id="10" w:name="_Toc330476344"/>
      <w:r w:rsidRPr="00B55506">
        <w:rPr>
          <w:sz w:val="20"/>
        </w:rPr>
        <w:t xml:space="preserve">Figure </w:t>
      </w:r>
      <w:r w:rsidR="000D2C50" w:rsidRPr="00B55506">
        <w:rPr>
          <w:sz w:val="20"/>
        </w:rPr>
        <w:t>1</w:t>
      </w:r>
      <w:r w:rsidRPr="00B55506">
        <w:rPr>
          <w:sz w:val="20"/>
        </w:rPr>
        <w:t xml:space="preserve">: </w:t>
      </w:r>
      <w:r w:rsidR="00C52B45" w:rsidRPr="00B55506">
        <w:rPr>
          <w:sz w:val="20"/>
        </w:rPr>
        <w:t xml:space="preserve">98th percentile concentrations measured at </w:t>
      </w:r>
      <w:r w:rsidR="00290C67" w:rsidRPr="00B55506">
        <w:rPr>
          <w:sz w:val="20"/>
        </w:rPr>
        <w:t>Center and M Street</w:t>
      </w:r>
      <w:r w:rsidR="00C52B45" w:rsidRPr="00B55506">
        <w:rPr>
          <w:sz w:val="20"/>
        </w:rPr>
        <w:t xml:space="preserve"> monitor</w:t>
      </w:r>
      <w:bookmarkEnd w:id="10"/>
      <w:r w:rsidR="00E607C1" w:rsidRPr="00B55506">
        <w:rPr>
          <w:sz w:val="20"/>
        </w:rPr>
        <w:t>, Lakeview, Oregon.</w:t>
      </w:r>
      <w:r w:rsidR="00C52B45" w:rsidRPr="00B55506">
        <w:rPr>
          <w:sz w:val="20"/>
        </w:rPr>
        <w:t xml:space="preserve"> </w:t>
      </w:r>
    </w:p>
    <w:p w:rsidR="009847BB" w:rsidRDefault="009847BB">
      <w:pPr>
        <w:spacing w:after="200" w:line="276" w:lineRule="auto"/>
        <w:rPr>
          <w:rFonts w:ascii="Times New Roman" w:eastAsiaTheme="majorEastAsia" w:hAnsi="Times New Roman" w:cstheme="majorBidi"/>
          <w:b/>
          <w:bCs/>
          <w:sz w:val="28"/>
          <w:szCs w:val="28"/>
        </w:rPr>
      </w:pPr>
      <w:bookmarkStart w:id="11" w:name="_Toc369548783"/>
      <w:r>
        <w:br w:type="page"/>
      </w:r>
    </w:p>
    <w:p w:rsidR="00921E95" w:rsidRPr="00125A45" w:rsidRDefault="0099155F" w:rsidP="0081285E">
      <w:pPr>
        <w:pStyle w:val="Heading2"/>
        <w:rPr>
          <w:rFonts w:ascii="Arial" w:hAnsi="Arial" w:cs="Arial"/>
          <w:sz w:val="28"/>
          <w:szCs w:val="28"/>
        </w:rPr>
      </w:pPr>
      <w:r w:rsidRPr="00125A45">
        <w:rPr>
          <w:rFonts w:ascii="Arial" w:hAnsi="Arial" w:cs="Arial"/>
          <w:sz w:val="28"/>
          <w:szCs w:val="28"/>
        </w:rPr>
        <w:t>Lakeview Geographic Boundary</w:t>
      </w:r>
      <w:bookmarkEnd w:id="11"/>
    </w:p>
    <w:p w:rsidR="001D2530" w:rsidRPr="0081285E" w:rsidRDefault="001D2530" w:rsidP="001D2530">
      <w:pPr>
        <w:keepNext/>
        <w:suppressAutoHyphens/>
        <w:rPr>
          <w:rFonts w:ascii="Times New Roman" w:hAnsi="Times New Roman"/>
          <w:sz w:val="22"/>
          <w:szCs w:val="22"/>
        </w:rPr>
      </w:pPr>
      <w:r w:rsidRPr="0081285E">
        <w:rPr>
          <w:rFonts w:ascii="Times New Roman" w:hAnsi="Times New Roman"/>
          <w:sz w:val="22"/>
          <w:szCs w:val="22"/>
        </w:rPr>
        <w:t>Lakeview is located in south central Oregon about 96 miles east of Klamath Falls at an elevation of about 4,800 feet. The area is typified by semi-arid climate where annual rainfall is 13 inches</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The town of Lakeview serves as an important commercial center for Lake County. </w:t>
      </w:r>
      <w:r w:rsidR="00197A6E" w:rsidRPr="0081285E">
        <w:rPr>
          <w:rFonts w:ascii="Times New Roman" w:hAnsi="Times New Roman"/>
          <w:sz w:val="22"/>
          <w:szCs w:val="22"/>
        </w:rPr>
        <w:t xml:space="preserve">The Lakeview urban growth boundary (UGB) is shown in </w:t>
      </w:r>
      <w:r w:rsidRPr="0081285E">
        <w:rPr>
          <w:rFonts w:ascii="Times New Roman" w:hAnsi="Times New Roman"/>
          <w:sz w:val="22"/>
          <w:szCs w:val="22"/>
        </w:rPr>
        <w:t>Fig</w:t>
      </w:r>
      <w:r w:rsidR="00933DC7" w:rsidRPr="0081285E">
        <w:rPr>
          <w:rFonts w:ascii="Times New Roman" w:hAnsi="Times New Roman"/>
          <w:sz w:val="22"/>
          <w:szCs w:val="22"/>
        </w:rPr>
        <w:t>ure</w:t>
      </w:r>
      <w:r w:rsidRPr="0081285E">
        <w:rPr>
          <w:rFonts w:ascii="Times New Roman" w:hAnsi="Times New Roman"/>
          <w:sz w:val="22"/>
          <w:szCs w:val="22"/>
        </w:rPr>
        <w:t xml:space="preserve"> </w:t>
      </w:r>
      <w:r w:rsidR="00933DC7" w:rsidRPr="0081285E">
        <w:rPr>
          <w:rFonts w:ascii="Times New Roman" w:hAnsi="Times New Roman"/>
          <w:sz w:val="22"/>
          <w:szCs w:val="22"/>
        </w:rPr>
        <w:t>2</w:t>
      </w:r>
      <w:r w:rsidRPr="0081285E">
        <w:rPr>
          <w:rFonts w:ascii="Times New Roman" w:hAnsi="Times New Roman"/>
          <w:sz w:val="22"/>
          <w:szCs w:val="22"/>
        </w:rPr>
        <w:t xml:space="preserve">. </w:t>
      </w:r>
    </w:p>
    <w:p w:rsidR="00B80E86" w:rsidRPr="0081285E" w:rsidRDefault="00B80E86">
      <w:pPr>
        <w:rPr>
          <w:sz w:val="22"/>
          <w:szCs w:val="22"/>
        </w:rPr>
      </w:pPr>
    </w:p>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B55506" w:rsidRDefault="00AF0970" w:rsidP="006B74AD">
      <w:pPr>
        <w:pStyle w:val="Caption"/>
        <w:rPr>
          <w:sz w:val="20"/>
        </w:rPr>
      </w:pPr>
      <w:bookmarkStart w:id="13" w:name="_Toc330476345"/>
      <w:bookmarkStart w:id="14" w:name="_Toc369548833"/>
      <w:bookmarkStart w:id="15" w:name="_Toc320004525"/>
      <w:bookmarkStart w:id="16" w:name="_Toc320007419"/>
      <w:r w:rsidRPr="00B55506">
        <w:rPr>
          <w:sz w:val="20"/>
        </w:rPr>
        <w:t xml:space="preserve">Figure </w:t>
      </w:r>
      <w:r w:rsidR="00933DC7" w:rsidRPr="00B55506">
        <w:rPr>
          <w:sz w:val="20"/>
        </w:rPr>
        <w:t>2</w:t>
      </w:r>
      <w:r w:rsidR="00C52B45" w:rsidRPr="00B55506">
        <w:rPr>
          <w:bCs/>
          <w:i/>
          <w:iCs/>
          <w:sz w:val="20"/>
        </w:rPr>
        <w:t xml:space="preserve">: </w:t>
      </w:r>
      <w:bookmarkEnd w:id="13"/>
      <w:r w:rsidR="004C66E2" w:rsidRPr="00B55506">
        <w:rPr>
          <w:bCs/>
          <w:i/>
          <w:iCs/>
          <w:sz w:val="20"/>
        </w:rPr>
        <w:t xml:space="preserve">Lakeview Urban Growth </w:t>
      </w:r>
      <w:r w:rsidR="00440C2D" w:rsidRPr="00B55506">
        <w:rPr>
          <w:bCs/>
          <w:i/>
          <w:iCs/>
          <w:sz w:val="20"/>
        </w:rPr>
        <w:t>Boundary</w:t>
      </w:r>
      <w:bookmarkEnd w:id="14"/>
    </w:p>
    <w:p w:rsidR="00B80E86" w:rsidRDefault="00B80E86">
      <w:bookmarkStart w:id="17" w:name="_Toc330476368"/>
      <w:bookmarkStart w:id="18" w:name="_Toc339538115"/>
    </w:p>
    <w:p w:rsidR="00B80E86" w:rsidRPr="0081285E" w:rsidRDefault="00481851">
      <w:pPr>
        <w:rPr>
          <w:rFonts w:ascii="Times New Roman" w:hAnsi="Times New Roman"/>
          <w:sz w:val="22"/>
          <w:szCs w:val="22"/>
        </w:rPr>
      </w:pPr>
      <w:r w:rsidRPr="0081285E">
        <w:rPr>
          <w:rFonts w:ascii="Times New Roman" w:hAnsi="Times New Roman"/>
          <w:sz w:val="22"/>
          <w:szCs w:val="22"/>
        </w:rPr>
        <w:t>The urban growth boundary consists of the entire town of Lakeview as well as parts o</w:t>
      </w:r>
      <w:r w:rsidR="008C4FD5" w:rsidRPr="0081285E">
        <w:rPr>
          <w:rFonts w:ascii="Times New Roman" w:hAnsi="Times New Roman"/>
          <w:sz w:val="22"/>
          <w:szCs w:val="22"/>
        </w:rPr>
        <w:t xml:space="preserve">f Lake County. </w:t>
      </w:r>
      <w:r w:rsidR="0089700B" w:rsidRPr="0081285E">
        <w:rPr>
          <w:rFonts w:ascii="Times New Roman" w:hAnsi="Times New Roman"/>
          <w:sz w:val="22"/>
          <w:szCs w:val="22"/>
        </w:rPr>
        <w:t xml:space="preserve">Most of the sources </w:t>
      </w:r>
      <w:r w:rsidR="00197A6E" w:rsidRPr="0081285E">
        <w:rPr>
          <w:rFonts w:ascii="Times New Roman" w:hAnsi="Times New Roman"/>
          <w:sz w:val="22"/>
          <w:szCs w:val="22"/>
        </w:rPr>
        <w:t>that</w:t>
      </w:r>
      <w:r w:rsidR="0089700B" w:rsidRPr="0081285E">
        <w:rPr>
          <w:rFonts w:ascii="Times New Roman" w:hAnsi="Times New Roman"/>
          <w:sz w:val="22"/>
          <w:szCs w:val="22"/>
        </w:rPr>
        <w:t xml:space="preserve"> influence </w:t>
      </w:r>
      <w:r w:rsidR="00197A6E" w:rsidRPr="0081285E">
        <w:rPr>
          <w:rFonts w:ascii="Times New Roman" w:hAnsi="Times New Roman"/>
          <w:sz w:val="22"/>
          <w:szCs w:val="22"/>
        </w:rPr>
        <w:t xml:space="preserve">air quality </w:t>
      </w:r>
      <w:r w:rsidR="0089700B" w:rsidRPr="0081285E">
        <w:rPr>
          <w:rFonts w:ascii="Times New Roman" w:hAnsi="Times New Roman"/>
          <w:sz w:val="22"/>
          <w:szCs w:val="22"/>
        </w:rPr>
        <w:t xml:space="preserve">are </w:t>
      </w:r>
      <w:r w:rsidR="00197A6E" w:rsidRPr="0081285E">
        <w:rPr>
          <w:rFonts w:ascii="Times New Roman" w:hAnsi="Times New Roman"/>
          <w:sz w:val="22"/>
          <w:szCs w:val="22"/>
        </w:rPr>
        <w:t>located</w:t>
      </w:r>
      <w:r w:rsidR="0089700B" w:rsidRPr="0081285E">
        <w:rPr>
          <w:rFonts w:ascii="Times New Roman" w:hAnsi="Times New Roman"/>
          <w:sz w:val="22"/>
          <w:szCs w:val="22"/>
        </w:rPr>
        <w:t xml:space="preserve"> within the </w:t>
      </w:r>
      <w:r w:rsidR="00064974" w:rsidRPr="0081285E">
        <w:rPr>
          <w:rFonts w:ascii="Times New Roman" w:hAnsi="Times New Roman"/>
          <w:sz w:val="22"/>
          <w:szCs w:val="22"/>
        </w:rPr>
        <w:t>UGB</w:t>
      </w:r>
      <w:r w:rsidR="002E1AD8" w:rsidRPr="0081285E">
        <w:rPr>
          <w:rFonts w:ascii="Times New Roman" w:hAnsi="Times New Roman"/>
          <w:sz w:val="22"/>
          <w:szCs w:val="22"/>
        </w:rPr>
        <w:t xml:space="preserve">. </w:t>
      </w:r>
      <w:r w:rsidR="0098342E" w:rsidRPr="0081285E">
        <w:rPr>
          <w:rFonts w:ascii="Times New Roman" w:hAnsi="Times New Roman"/>
          <w:sz w:val="22"/>
          <w:szCs w:val="22"/>
        </w:rPr>
        <w:t xml:space="preserve">All </w:t>
      </w:r>
      <w:r w:rsidR="00197A6E" w:rsidRPr="0081285E">
        <w:rPr>
          <w:rFonts w:ascii="Times New Roman" w:hAnsi="Times New Roman"/>
          <w:sz w:val="22"/>
          <w:szCs w:val="22"/>
        </w:rPr>
        <w:t xml:space="preserve">existing </w:t>
      </w:r>
      <w:r w:rsidR="009A5416" w:rsidRPr="0081285E">
        <w:rPr>
          <w:rFonts w:ascii="Times New Roman" w:hAnsi="Times New Roman"/>
          <w:sz w:val="22"/>
          <w:szCs w:val="22"/>
        </w:rPr>
        <w:t xml:space="preserve">industrial sources </w:t>
      </w:r>
      <w:r w:rsidR="00197A6E" w:rsidRPr="0081285E">
        <w:rPr>
          <w:rFonts w:ascii="Times New Roman" w:hAnsi="Times New Roman"/>
          <w:sz w:val="22"/>
          <w:szCs w:val="22"/>
        </w:rPr>
        <w:t xml:space="preserve">are </w:t>
      </w:r>
      <w:r w:rsidR="009A5416" w:rsidRPr="0081285E">
        <w:rPr>
          <w:rFonts w:ascii="Times New Roman" w:hAnsi="Times New Roman"/>
          <w:sz w:val="22"/>
          <w:szCs w:val="22"/>
        </w:rPr>
        <w:t>locate</w:t>
      </w:r>
      <w:r w:rsidR="00197A6E" w:rsidRPr="0081285E">
        <w:rPr>
          <w:rFonts w:ascii="Times New Roman" w:hAnsi="Times New Roman"/>
          <w:sz w:val="22"/>
          <w:szCs w:val="22"/>
        </w:rPr>
        <w:t>d</w:t>
      </w:r>
      <w:r w:rsidR="009A5416" w:rsidRPr="0081285E">
        <w:rPr>
          <w:rFonts w:ascii="Times New Roman" w:hAnsi="Times New Roman"/>
          <w:sz w:val="22"/>
          <w:szCs w:val="22"/>
        </w:rPr>
        <w:t xml:space="preserve"> </w:t>
      </w:r>
      <w:r w:rsidR="00197A6E" w:rsidRPr="0081285E">
        <w:rPr>
          <w:rFonts w:ascii="Times New Roman" w:hAnsi="Times New Roman"/>
          <w:sz w:val="22"/>
          <w:szCs w:val="22"/>
        </w:rPr>
        <w:t>with</w:t>
      </w:r>
      <w:r w:rsidR="009A5416" w:rsidRPr="0081285E">
        <w:rPr>
          <w:rFonts w:ascii="Times New Roman" w:hAnsi="Times New Roman"/>
          <w:sz w:val="22"/>
          <w:szCs w:val="22"/>
        </w:rPr>
        <w:t>in the UGB</w:t>
      </w:r>
      <w:r w:rsidR="00197A6E" w:rsidRPr="0081285E">
        <w:rPr>
          <w:rFonts w:ascii="Times New Roman" w:hAnsi="Times New Roman"/>
          <w:sz w:val="22"/>
          <w:szCs w:val="22"/>
        </w:rPr>
        <w:t>, and new industrial sources would most likely locate within the UGB</w:t>
      </w:r>
      <w:r w:rsidR="002E1AD8" w:rsidRPr="0081285E">
        <w:rPr>
          <w:rFonts w:ascii="Times New Roman" w:hAnsi="Times New Roman"/>
          <w:sz w:val="22"/>
          <w:szCs w:val="22"/>
        </w:rPr>
        <w:t xml:space="preserve">. </w:t>
      </w:r>
    </w:p>
    <w:p w:rsidR="00AF5DAE" w:rsidRPr="0081285E" w:rsidRDefault="00AF5DAE">
      <w:pPr>
        <w:rPr>
          <w:sz w:val="22"/>
          <w:szCs w:val="22"/>
        </w:rPr>
      </w:pPr>
    </w:p>
    <w:p w:rsidR="004A3934" w:rsidRDefault="00197A6E">
      <w:pPr>
        <w:rPr>
          <w:rFonts w:ascii="Times New Roman" w:hAnsi="Times New Roman"/>
          <w:sz w:val="22"/>
          <w:szCs w:val="22"/>
        </w:rPr>
      </w:pPr>
      <w:r w:rsidRPr="0081285E">
        <w:rPr>
          <w:rFonts w:ascii="Times New Roman" w:hAnsi="Times New Roman"/>
          <w:sz w:val="22"/>
          <w:szCs w:val="22"/>
        </w:rPr>
        <w:t xml:space="preserve">Lakeview has a current air quality boundary for </w:t>
      </w:r>
      <w:r w:rsidR="003145B7" w:rsidRPr="0081285E">
        <w:rPr>
          <w:rFonts w:ascii="Times New Roman" w:hAnsi="Times New Roman"/>
          <w:sz w:val="22"/>
          <w:szCs w:val="22"/>
        </w:rPr>
        <w:t xml:space="preserve">the </w:t>
      </w:r>
      <w:r w:rsidRPr="0081285E">
        <w:rPr>
          <w:rFonts w:ascii="Times New Roman" w:hAnsi="Times New Roman"/>
          <w:sz w:val="22"/>
          <w:szCs w:val="22"/>
        </w:rPr>
        <w:t>PM</w:t>
      </w:r>
      <w:r w:rsidRPr="0081285E">
        <w:rPr>
          <w:rFonts w:ascii="Times New Roman" w:hAnsi="Times New Roman"/>
          <w:sz w:val="22"/>
          <w:szCs w:val="22"/>
          <w:vertAlign w:val="subscript"/>
        </w:rPr>
        <w:t>10</w:t>
      </w:r>
      <w:r w:rsidR="003145B7" w:rsidRPr="0081285E">
        <w:rPr>
          <w:rFonts w:ascii="Times New Roman" w:hAnsi="Times New Roman"/>
          <w:sz w:val="22"/>
          <w:szCs w:val="22"/>
        </w:rPr>
        <w:t xml:space="preserve"> maintenance area</w:t>
      </w:r>
      <w:r w:rsidRPr="0081285E">
        <w:rPr>
          <w:rFonts w:ascii="Times New Roman" w:hAnsi="Times New Roman"/>
          <w:sz w:val="22"/>
          <w:szCs w:val="22"/>
        </w:rPr>
        <w:t>, which consists of the Lakeview UGB. DEQ and Lakeview propose that the Lakeview UGB also</w:t>
      </w:r>
      <w:r w:rsidR="00CA1E53" w:rsidRPr="0081285E">
        <w:rPr>
          <w:rFonts w:ascii="Times New Roman" w:hAnsi="Times New Roman"/>
          <w:sz w:val="22"/>
          <w:szCs w:val="22"/>
        </w:rPr>
        <w:t xml:space="preserve"> </w:t>
      </w:r>
      <w:r w:rsidRPr="0081285E">
        <w:rPr>
          <w:rFonts w:ascii="Times New Roman" w:hAnsi="Times New Roman"/>
          <w:sz w:val="22"/>
          <w:szCs w:val="22"/>
        </w:rPr>
        <w:t>be the geog</w:t>
      </w:r>
      <w:r w:rsidR="00CA1E53" w:rsidRPr="0081285E">
        <w:rPr>
          <w:rFonts w:ascii="Times New Roman" w:hAnsi="Times New Roman"/>
          <w:sz w:val="22"/>
          <w:szCs w:val="22"/>
        </w:rPr>
        <w:t xml:space="preserve">raphic boundary of the </w:t>
      </w:r>
      <w:r w:rsidR="004A62C5" w:rsidRPr="0081285E">
        <w:rPr>
          <w:rFonts w:ascii="Times New Roman" w:hAnsi="Times New Roman"/>
          <w:sz w:val="22"/>
          <w:szCs w:val="22"/>
        </w:rPr>
        <w:t xml:space="preserve">proposed </w:t>
      </w:r>
      <w:r w:rsidRPr="0081285E">
        <w:rPr>
          <w:rFonts w:ascii="Times New Roman" w:hAnsi="Times New Roman"/>
          <w:sz w:val="22"/>
          <w:szCs w:val="22"/>
        </w:rPr>
        <w:t>PM2.5 sustainment area.</w:t>
      </w:r>
    </w:p>
    <w:p w:rsidR="004A3934" w:rsidRPr="0081285E" w:rsidRDefault="004A3934">
      <w:pPr>
        <w:rPr>
          <w:rFonts w:ascii="Times New Roman" w:hAnsi="Times New Roman"/>
          <w:sz w:val="22"/>
          <w:szCs w:val="22"/>
        </w:rPr>
      </w:pPr>
    </w:p>
    <w:p w:rsidR="00B80E86" w:rsidRPr="00125A45" w:rsidRDefault="0099155F" w:rsidP="0081285E">
      <w:pPr>
        <w:pStyle w:val="Heading2"/>
        <w:rPr>
          <w:rFonts w:ascii="Arial" w:hAnsi="Arial" w:cs="Arial"/>
          <w:sz w:val="28"/>
          <w:szCs w:val="28"/>
        </w:rPr>
      </w:pPr>
      <w:bookmarkStart w:id="19" w:name="_Toc330476370"/>
      <w:bookmarkStart w:id="20" w:name="_Toc339538117"/>
      <w:bookmarkStart w:id="21" w:name="_Toc369548784"/>
      <w:bookmarkEnd w:id="12"/>
      <w:bookmarkEnd w:id="15"/>
      <w:bookmarkEnd w:id="16"/>
      <w:bookmarkEnd w:id="17"/>
      <w:bookmarkEnd w:id="18"/>
      <w:r w:rsidRPr="00125A45">
        <w:rPr>
          <w:rFonts w:ascii="Arial" w:hAnsi="Arial" w:cs="Arial"/>
          <w:sz w:val="28"/>
          <w:szCs w:val="28"/>
        </w:rPr>
        <w:t>Emission Inventory</w:t>
      </w:r>
      <w:bookmarkEnd w:id="19"/>
      <w:bookmarkEnd w:id="20"/>
      <w:bookmarkEnd w:id="21"/>
    </w:p>
    <w:p w:rsidR="00DA0D2D" w:rsidRPr="0081285E" w:rsidRDefault="00DA0D2D" w:rsidP="00DA0D2D">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An emission inventory consists of emission estimates from all sources that emit PM</w:t>
      </w:r>
      <w:r w:rsidRPr="0081285E">
        <w:rPr>
          <w:rFonts w:ascii="Times New Roman" w:eastAsiaTheme="minorHAnsi" w:hAnsi="Times New Roman" w:cstheme="minorBidi"/>
          <w:sz w:val="22"/>
          <w:szCs w:val="22"/>
          <w:vertAlign w:val="subscript"/>
        </w:rPr>
        <w:t>2.5</w:t>
      </w:r>
      <w:r w:rsidR="003145B7" w:rsidRPr="0081285E">
        <w:rPr>
          <w:rFonts w:ascii="Times New Roman" w:eastAsiaTheme="minorHAnsi" w:hAnsi="Times New Roman" w:cstheme="minorBidi"/>
          <w:sz w:val="22"/>
          <w:szCs w:val="22"/>
        </w:rPr>
        <w:t xml:space="preserve"> in an</w:t>
      </w:r>
      <w:r w:rsidRPr="0081285E">
        <w:rPr>
          <w:rFonts w:ascii="Times New Roman" w:eastAsiaTheme="minorHAnsi" w:hAnsi="Times New Roman" w:cstheme="minorBidi"/>
          <w:sz w:val="22"/>
          <w:szCs w:val="22"/>
        </w:rPr>
        <w:t xml:space="preserve"> area</w:t>
      </w:r>
      <w:r w:rsidR="002E1AD8"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E</w:t>
      </w:r>
      <w:r w:rsidRPr="0081285E">
        <w:rPr>
          <w:rFonts w:ascii="Times New Roman" w:eastAsiaTheme="minorHAnsi" w:hAnsi="Times New Roman" w:cstheme="minorBidi"/>
          <w:sz w:val="22"/>
          <w:szCs w:val="22"/>
        </w:rPr>
        <w:t xml:space="preserve">missions inventory data is essential </w:t>
      </w:r>
      <w:r w:rsidR="00FB0B1C" w:rsidRPr="0081285E">
        <w:rPr>
          <w:rFonts w:ascii="Times New Roman" w:eastAsiaTheme="minorHAnsi" w:hAnsi="Times New Roman" w:cstheme="minorBidi"/>
          <w:sz w:val="22"/>
          <w:szCs w:val="22"/>
        </w:rPr>
        <w:t>for identification of</w:t>
      </w:r>
      <w:r w:rsidRPr="0081285E">
        <w:rPr>
          <w:rFonts w:ascii="Times New Roman" w:eastAsiaTheme="minorHAnsi" w:hAnsi="Times New Roman" w:cstheme="minorBidi"/>
          <w:sz w:val="22"/>
          <w:szCs w:val="22"/>
        </w:rPr>
        <w:t xml:space="preserve"> the sources contributing to air quality problem</w:t>
      </w:r>
      <w:r w:rsidR="00FB0B1C" w:rsidRPr="0081285E">
        <w:rPr>
          <w:rFonts w:ascii="Times New Roman" w:eastAsiaTheme="minorHAnsi" w:hAnsi="Times New Roman" w:cstheme="minorBidi"/>
          <w:sz w:val="22"/>
          <w:szCs w:val="22"/>
        </w:rPr>
        <w:t>s,</w:t>
      </w:r>
      <w:r w:rsidRPr="0081285E">
        <w:rPr>
          <w:rFonts w:ascii="Times New Roman" w:eastAsiaTheme="minorHAnsi" w:hAnsi="Times New Roman" w:cstheme="minorBidi"/>
          <w:sz w:val="22"/>
          <w:szCs w:val="22"/>
        </w:rPr>
        <w:t xml:space="preserve"> </w:t>
      </w:r>
      <w:r w:rsidR="0029779D" w:rsidRPr="0081285E">
        <w:rPr>
          <w:rFonts w:ascii="Times New Roman" w:eastAsiaTheme="minorHAnsi" w:hAnsi="Times New Roman" w:cstheme="minorBidi"/>
          <w:sz w:val="22"/>
          <w:szCs w:val="22"/>
        </w:rPr>
        <w:t>as well as</w:t>
      </w:r>
      <w:r w:rsidRPr="0081285E">
        <w:rPr>
          <w:rFonts w:ascii="Times New Roman" w:eastAsiaTheme="minorHAnsi" w:hAnsi="Times New Roman" w:cstheme="minorBidi"/>
          <w:sz w:val="22"/>
          <w:szCs w:val="22"/>
        </w:rPr>
        <w:t xml:space="preserve"> the </w:t>
      </w:r>
      <w:r w:rsidR="00FB0B1C" w:rsidRPr="0081285E">
        <w:rPr>
          <w:rFonts w:ascii="Times New Roman" w:eastAsiaTheme="minorHAnsi" w:hAnsi="Times New Roman" w:cstheme="minorBidi"/>
          <w:sz w:val="22"/>
          <w:szCs w:val="22"/>
        </w:rPr>
        <w:t xml:space="preserve">development of </w:t>
      </w:r>
      <w:r w:rsidRPr="0081285E">
        <w:rPr>
          <w:rFonts w:ascii="Times New Roman" w:eastAsiaTheme="minorHAnsi" w:hAnsi="Times New Roman" w:cstheme="minorBidi"/>
          <w:sz w:val="22"/>
          <w:szCs w:val="22"/>
        </w:rPr>
        <w:t xml:space="preserve">emission reduction strategies. </w:t>
      </w:r>
    </w:p>
    <w:p w:rsidR="00CA14F3" w:rsidRPr="0081285E" w:rsidRDefault="00CA14F3" w:rsidP="00CA14F3">
      <w:pPr>
        <w:pStyle w:val="BodyText"/>
        <w:tabs>
          <w:tab w:val="left" w:pos="-1440"/>
          <w:tab w:val="left" w:pos="-720"/>
        </w:tabs>
        <w:rPr>
          <w:rFonts w:ascii="Times New Roman" w:eastAsiaTheme="minorHAnsi" w:hAnsi="Times New Roman" w:cstheme="minorBidi"/>
          <w:sz w:val="22"/>
          <w:szCs w:val="22"/>
        </w:rPr>
      </w:pPr>
    </w:p>
    <w:p w:rsidR="00CA14F3" w:rsidRPr="0081285E" w:rsidRDefault="00CA14F3" w:rsidP="00712C22">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w:t>
      </w:r>
      <w:r w:rsidR="0029779D" w:rsidRPr="0081285E">
        <w:rPr>
          <w:rFonts w:ascii="Times New Roman" w:eastAsiaTheme="minorHAnsi" w:hAnsi="Times New Roman" w:cstheme="minorBidi"/>
          <w:sz w:val="22"/>
          <w:szCs w:val="22"/>
        </w:rPr>
        <w:t>emission inventory</w:t>
      </w:r>
      <w:r w:rsidR="00AD7F7F"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 xml:space="preserve">began </w:t>
      </w:r>
      <w:r w:rsidRPr="0081285E">
        <w:rPr>
          <w:rFonts w:ascii="Times New Roman" w:eastAsiaTheme="minorHAnsi" w:hAnsi="Times New Roman" w:cstheme="minorBidi"/>
          <w:sz w:val="22"/>
          <w:szCs w:val="22"/>
        </w:rPr>
        <w:t>with an assessment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emission</w:t>
      </w:r>
      <w:r w:rsidR="0029779D"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s</w:t>
      </w:r>
      <w:r w:rsidR="0029779D" w:rsidRPr="0081285E">
        <w:rPr>
          <w:rFonts w:ascii="Times New Roman" w:eastAsiaTheme="minorHAnsi" w:hAnsi="Times New Roman" w:cstheme="minorBidi"/>
          <w:sz w:val="22"/>
          <w:szCs w:val="22"/>
        </w:rPr>
        <w:t>ources</w:t>
      </w:r>
      <w:r w:rsidR="00AD7F7F"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 Lakeview. Emission</w:t>
      </w:r>
      <w:r w:rsidR="00801B8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sources are summarized into four major categories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point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0029779D"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industrial facilities)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on-road mobile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car and truck exhaust, road dust)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non-road mobile sources (e.g., construction equipment, recreational off road vehicles, lawn and garden equipment)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and area sources (e.g., fugitive dust sources, outdoor burning, woodstoves). PM</w:t>
      </w:r>
      <w:r w:rsidRPr="0081285E">
        <w:rPr>
          <w:rFonts w:ascii="Times New Roman" w:eastAsiaTheme="minorHAnsi" w:hAnsi="Times New Roman" w:cstheme="minorBidi"/>
          <w:sz w:val="22"/>
          <w:szCs w:val="22"/>
          <w:vertAlign w:val="subscript"/>
        </w:rPr>
        <w:t xml:space="preserve">2.5 </w:t>
      </w:r>
      <w:r w:rsidRPr="0081285E">
        <w:rPr>
          <w:rFonts w:ascii="Times New Roman" w:eastAsiaTheme="minorHAnsi" w:hAnsi="Times New Roman" w:cstheme="minorBidi"/>
          <w:sz w:val="22"/>
          <w:szCs w:val="22"/>
        </w:rPr>
        <w:t>emissions are estimated using information</w:t>
      </w:r>
      <w:r w:rsidR="003145B7" w:rsidRPr="0081285E">
        <w:rPr>
          <w:rFonts w:ascii="Times New Roman" w:eastAsiaTheme="minorHAnsi" w:hAnsi="Times New Roman" w:cstheme="minorBidi"/>
          <w:sz w:val="22"/>
          <w:szCs w:val="22"/>
        </w:rPr>
        <w:t xml:space="preserve"> from </w:t>
      </w:r>
      <w:r w:rsidRPr="0081285E">
        <w:rPr>
          <w:rFonts w:ascii="Times New Roman" w:eastAsiaTheme="minorHAnsi" w:hAnsi="Times New Roman" w:cstheme="minorBidi"/>
          <w:sz w:val="22"/>
          <w:szCs w:val="22"/>
        </w:rPr>
        <w:t xml:space="preserve">industrial permits, population, housing, employment information, and estimates of motor vehicle travel in the area. </w:t>
      </w:r>
    </w:p>
    <w:p w:rsidR="003145B7" w:rsidRPr="0081285E" w:rsidRDefault="003145B7" w:rsidP="00712C22">
      <w:pPr>
        <w:pStyle w:val="BodyText"/>
        <w:tabs>
          <w:tab w:val="left" w:pos="-1440"/>
          <w:tab w:val="left" w:pos="-720"/>
        </w:tabs>
        <w:rPr>
          <w:rFonts w:ascii="Times New Roman" w:eastAsiaTheme="minorHAnsi" w:hAnsi="Times New Roman" w:cstheme="minorBidi"/>
          <w:sz w:val="22"/>
          <w:szCs w:val="22"/>
        </w:rPr>
      </w:pPr>
    </w:p>
    <w:p w:rsidR="00A64510" w:rsidRPr="0081285E" w:rsidRDefault="002A232F" w:rsidP="00A64510">
      <w:pPr>
        <w:pStyle w:val="BodyText"/>
        <w:tabs>
          <w:tab w:val="left" w:pos="-1440"/>
          <w:tab w:val="left" w:pos="-720"/>
        </w:tabs>
        <w:rPr>
          <w:rFonts w:ascii="Times New Roman" w:eastAsiaTheme="minorHAnsi" w:hAnsi="Times New Roman" w:cstheme="minorBidi"/>
          <w:sz w:val="22"/>
          <w:szCs w:val="22"/>
        </w:rPr>
      </w:pPr>
      <w:bookmarkStart w:id="22" w:name="_Toc320004540"/>
      <w:bookmarkStart w:id="23" w:name="_Toc320007435"/>
      <w:r w:rsidRPr="0081285E">
        <w:rPr>
          <w:rFonts w:ascii="Times New Roman" w:eastAsiaTheme="minorHAnsi" w:hAnsi="Times New Roman" w:cstheme="minorBidi"/>
          <w:sz w:val="22"/>
          <w:szCs w:val="22"/>
        </w:rPr>
        <w:t>For the Lakeview area, the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EI </w:t>
      </w:r>
      <w:r w:rsidR="00D01B89" w:rsidRPr="0081285E">
        <w:rPr>
          <w:rFonts w:ascii="Times New Roman" w:eastAsiaTheme="minorHAnsi" w:hAnsi="Times New Roman" w:cstheme="minorBidi"/>
          <w:sz w:val="22"/>
          <w:szCs w:val="22"/>
        </w:rPr>
        <w:t xml:space="preserve">year </w:t>
      </w:r>
      <w:r w:rsidRPr="0081285E">
        <w:rPr>
          <w:rFonts w:ascii="Times New Roman" w:eastAsiaTheme="minorHAnsi" w:hAnsi="Times New Roman" w:cstheme="minorBidi"/>
          <w:sz w:val="22"/>
          <w:szCs w:val="22"/>
        </w:rPr>
        <w:t>is 20</w:t>
      </w:r>
      <w:r w:rsidR="00597CAD" w:rsidRPr="0081285E">
        <w:rPr>
          <w:rFonts w:ascii="Times New Roman" w:eastAsiaTheme="minorHAnsi" w:hAnsi="Times New Roman" w:cstheme="minorBidi"/>
          <w:sz w:val="22"/>
          <w:szCs w:val="22"/>
        </w:rPr>
        <w:t>11</w:t>
      </w:r>
      <w:r w:rsidRPr="0081285E">
        <w:rPr>
          <w:rFonts w:ascii="Times New Roman" w:eastAsiaTheme="minorHAnsi" w:hAnsi="Times New Roman" w:cstheme="minorBidi"/>
          <w:sz w:val="22"/>
          <w:szCs w:val="22"/>
        </w:rPr>
        <w:t xml:space="preserve">. </w:t>
      </w:r>
      <w:r w:rsidR="00AF6C35" w:rsidRPr="0081285E">
        <w:rPr>
          <w:rFonts w:ascii="Times New Roman" w:eastAsiaTheme="minorHAnsi" w:hAnsi="Times New Roman" w:cstheme="minorBidi"/>
          <w:sz w:val="22"/>
          <w:szCs w:val="22"/>
        </w:rPr>
        <w:t xml:space="preserve">This year was selected because it </w:t>
      </w:r>
      <w:r w:rsidRPr="0081285E">
        <w:rPr>
          <w:rFonts w:ascii="Times New Roman" w:eastAsiaTheme="minorHAnsi" w:hAnsi="Times New Roman" w:cstheme="minorBidi"/>
          <w:sz w:val="22"/>
          <w:szCs w:val="22"/>
        </w:rPr>
        <w:t xml:space="preserve">is a year </w:t>
      </w:r>
      <w:r w:rsidR="00A64510" w:rsidRPr="0081285E">
        <w:rPr>
          <w:rFonts w:ascii="Times New Roman" w:eastAsiaTheme="minorHAnsi" w:hAnsi="Times New Roman" w:cstheme="minorBidi"/>
          <w:sz w:val="22"/>
          <w:szCs w:val="22"/>
        </w:rPr>
        <w:t>for which DEQ completed the National Emission Inventory (NEI)</w:t>
      </w:r>
      <w:r w:rsidRPr="0081285E">
        <w:rPr>
          <w:rFonts w:ascii="Times New Roman" w:eastAsiaTheme="minorHAnsi" w:hAnsi="Times New Roman" w:cstheme="minorBidi"/>
          <w:sz w:val="22"/>
          <w:szCs w:val="22"/>
        </w:rPr>
        <w:t xml:space="preserve"> for Lake County</w:t>
      </w:r>
      <w:r w:rsidR="002E1AD8" w:rsidRPr="0081285E">
        <w:rPr>
          <w:rFonts w:ascii="Times New Roman" w:eastAsiaTheme="minorHAnsi" w:hAnsi="Times New Roman" w:cstheme="minorBidi"/>
          <w:sz w:val="22"/>
          <w:szCs w:val="22"/>
        </w:rPr>
        <w:t xml:space="preserve">. </w:t>
      </w:r>
      <w:r w:rsidR="00597CAD" w:rsidRPr="0081285E">
        <w:rPr>
          <w:rFonts w:ascii="Times New Roman" w:eastAsiaTheme="minorHAnsi" w:hAnsi="Times New Roman" w:cstheme="minorBidi"/>
          <w:sz w:val="22"/>
          <w:szCs w:val="22"/>
        </w:rPr>
        <w:t>In some cases where current data wasn’t available, DEQ used 2008 data.</w:t>
      </w:r>
      <w:r w:rsidR="00A64510"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The Lake County inventory was scaled to obtain an estimate of</w:t>
      </w:r>
      <w:r w:rsidR="00D01B89" w:rsidRPr="0081285E">
        <w:rPr>
          <w:rFonts w:ascii="Times New Roman" w:eastAsiaTheme="minorHAnsi" w:hAnsi="Times New Roman" w:cstheme="minorBidi"/>
          <w:sz w:val="22"/>
          <w:szCs w:val="22"/>
        </w:rPr>
        <w:t xml:space="preserve"> PM</w:t>
      </w:r>
      <w:r w:rsidR="00D01B89" w:rsidRPr="0081285E">
        <w:rPr>
          <w:rFonts w:ascii="Times New Roman" w:eastAsiaTheme="minorHAnsi" w:hAnsi="Times New Roman" w:cstheme="minorBidi"/>
          <w:sz w:val="22"/>
          <w:szCs w:val="22"/>
          <w:vertAlign w:val="subscript"/>
        </w:rPr>
        <w:t>2.5</w:t>
      </w:r>
      <w:r w:rsidR="00D01B89" w:rsidRPr="0081285E">
        <w:rPr>
          <w:rFonts w:ascii="Times New Roman" w:eastAsiaTheme="minorHAnsi" w:hAnsi="Times New Roman" w:cstheme="minorBidi"/>
          <w:sz w:val="22"/>
          <w:szCs w:val="22"/>
        </w:rPr>
        <w:t xml:space="preserve"> emissions within</w:t>
      </w:r>
      <w:r w:rsidRPr="0081285E">
        <w:rPr>
          <w:rFonts w:ascii="Times New Roman" w:eastAsiaTheme="minorHAnsi" w:hAnsi="Times New Roman" w:cstheme="minorBidi"/>
          <w:sz w:val="22"/>
          <w:szCs w:val="22"/>
        </w:rPr>
        <w:t xml:space="preserve"> Lakeview’s UGB. </w:t>
      </w:r>
    </w:p>
    <w:p w:rsidR="00A64510" w:rsidRPr="0081285E" w:rsidRDefault="00A64510" w:rsidP="0081285E">
      <w:pPr>
        <w:pStyle w:val="Heading2"/>
        <w:rPr>
          <w:rFonts w:ascii="Arial" w:hAnsi="Arial" w:cs="Arial"/>
          <w:sz w:val="24"/>
          <w:szCs w:val="24"/>
        </w:rPr>
      </w:pPr>
      <w:bookmarkStart w:id="24" w:name="_Toc320004541"/>
      <w:bookmarkStart w:id="25" w:name="_Toc320007436"/>
      <w:bookmarkStart w:id="26" w:name="_Toc330476378"/>
      <w:bookmarkStart w:id="27" w:name="_Toc339538125"/>
      <w:bookmarkStart w:id="28" w:name="_Toc369548788"/>
      <w:bookmarkEnd w:id="22"/>
      <w:bookmarkEnd w:id="23"/>
      <w:r w:rsidRPr="0081285E">
        <w:rPr>
          <w:rFonts w:ascii="Arial" w:hAnsi="Arial" w:cs="Arial"/>
          <w:sz w:val="24"/>
          <w:szCs w:val="24"/>
        </w:rPr>
        <w:t>Source Category Distribution of Emission Inventory</w:t>
      </w:r>
      <w:bookmarkEnd w:id="24"/>
      <w:bookmarkEnd w:id="25"/>
      <w:bookmarkEnd w:id="26"/>
      <w:bookmarkEnd w:id="27"/>
      <w:bookmarkEnd w:id="28"/>
      <w:r w:rsidRPr="0081285E">
        <w:rPr>
          <w:rFonts w:ascii="Arial" w:hAnsi="Arial" w:cs="Arial"/>
          <w:sz w:val="24"/>
          <w:szCs w:val="24"/>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following sources represent the main </w:t>
      </w:r>
      <w:r w:rsidR="009165EE" w:rsidRPr="0081285E">
        <w:rPr>
          <w:rFonts w:ascii="Times New Roman" w:eastAsiaTheme="minorHAnsi" w:hAnsi="Times New Roman" w:cstheme="minorBidi"/>
          <w:sz w:val="22"/>
          <w:szCs w:val="22"/>
        </w:rPr>
        <w:t>PM</w:t>
      </w:r>
      <w:r w:rsidR="009165EE" w:rsidRPr="0081285E">
        <w:rPr>
          <w:rFonts w:ascii="Times New Roman" w:eastAsiaTheme="minorHAnsi" w:hAnsi="Times New Roman" w:cstheme="minorBidi"/>
          <w:sz w:val="22"/>
          <w:szCs w:val="22"/>
          <w:vertAlign w:val="subscript"/>
        </w:rPr>
        <w:t>2.5</w:t>
      </w:r>
      <w:r w:rsidR="009165EE"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emission sources in </w:t>
      </w:r>
      <w:r w:rsidR="002A232F" w:rsidRPr="0081285E">
        <w:rPr>
          <w:rFonts w:ascii="Times New Roman" w:eastAsiaTheme="minorHAnsi" w:hAnsi="Times New Roman" w:cstheme="minorBidi"/>
          <w:sz w:val="22"/>
          <w:szCs w:val="22"/>
        </w:rPr>
        <w:t>Lakeview</w:t>
      </w:r>
      <w:r w:rsidR="004A3934">
        <w:rPr>
          <w:rFonts w:ascii="Times New Roman" w:eastAsiaTheme="minorHAnsi" w:hAnsi="Times New Roman" w:cstheme="minorBidi"/>
          <w:sz w:val="22"/>
          <w:szCs w:val="22"/>
        </w:rPr>
        <w:t>:</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Residential Wood Combustion</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Residential wood combustion is a common way to heat homes in Oregon. To estimate emissions from wood burning,</w:t>
      </w:r>
      <w:r w:rsidR="002A232F" w:rsidRPr="0081285E">
        <w:rPr>
          <w:rFonts w:ascii="Times New Roman" w:eastAsiaTheme="minorHAnsi" w:hAnsi="Times New Roman" w:cstheme="minorBidi"/>
          <w:sz w:val="22"/>
          <w:szCs w:val="22"/>
        </w:rPr>
        <w:t xml:space="preserve"> DEQ used the estimated Lake County </w:t>
      </w:r>
      <w:r w:rsidR="00300CBD" w:rsidRPr="0081285E">
        <w:rPr>
          <w:rFonts w:ascii="Times New Roman" w:eastAsiaTheme="minorHAnsi" w:hAnsi="Times New Roman" w:cstheme="minorBidi"/>
          <w:sz w:val="22"/>
          <w:szCs w:val="22"/>
        </w:rPr>
        <w:t xml:space="preserve">and SE Oregon </w:t>
      </w:r>
      <w:r w:rsidR="002A232F" w:rsidRPr="0081285E">
        <w:rPr>
          <w:rFonts w:ascii="Times New Roman" w:eastAsiaTheme="minorHAnsi" w:hAnsi="Times New Roman" w:cstheme="minorBidi"/>
          <w:sz w:val="22"/>
          <w:szCs w:val="22"/>
        </w:rPr>
        <w:t xml:space="preserve">residential wood heating </w:t>
      </w:r>
      <w:r w:rsidR="00300CBD" w:rsidRPr="0081285E">
        <w:rPr>
          <w:rFonts w:ascii="Times New Roman" w:eastAsiaTheme="minorHAnsi" w:hAnsi="Times New Roman" w:cstheme="minorBidi"/>
          <w:sz w:val="22"/>
          <w:szCs w:val="22"/>
        </w:rPr>
        <w:t>surveys</w:t>
      </w:r>
      <w:r w:rsidR="002A232F" w:rsidRPr="0081285E">
        <w:rPr>
          <w:rFonts w:ascii="Times New Roman" w:eastAsiaTheme="minorHAnsi" w:hAnsi="Times New Roman" w:cstheme="minorBidi"/>
          <w:sz w:val="22"/>
          <w:szCs w:val="22"/>
        </w:rPr>
        <w:t xml:space="preserve"> and scaled it to</w:t>
      </w:r>
      <w:r w:rsidR="00300CBD" w:rsidRPr="0081285E">
        <w:rPr>
          <w:rFonts w:ascii="Times New Roman" w:eastAsiaTheme="minorHAnsi" w:hAnsi="Times New Roman" w:cstheme="minorBidi"/>
          <w:sz w:val="22"/>
          <w:szCs w:val="22"/>
        </w:rPr>
        <w:t xml:space="preserve"> the</w:t>
      </w:r>
      <w:r w:rsidR="002A232F" w:rsidRPr="0081285E">
        <w:rPr>
          <w:rFonts w:ascii="Times New Roman" w:eastAsiaTheme="minorHAnsi" w:hAnsi="Times New Roman" w:cstheme="minorBidi"/>
          <w:sz w:val="22"/>
          <w:szCs w:val="22"/>
        </w:rPr>
        <w:t xml:space="preserve"> Lakeview</w:t>
      </w:r>
      <w:r w:rsidR="00300CBD" w:rsidRPr="0081285E">
        <w:rPr>
          <w:rFonts w:ascii="Times New Roman" w:eastAsiaTheme="minorHAnsi" w:hAnsi="Times New Roman" w:cstheme="minorBidi"/>
          <w:sz w:val="22"/>
          <w:szCs w:val="22"/>
        </w:rPr>
        <w:t xml:space="preserve"> area</w:t>
      </w:r>
      <w:r w:rsidR="002A232F" w:rsidRPr="0081285E">
        <w:rPr>
          <w:rFonts w:ascii="Times New Roman" w:eastAsiaTheme="minorHAnsi" w:hAnsi="Times New Roman" w:cstheme="minorBidi"/>
          <w:sz w:val="22"/>
          <w:szCs w:val="22"/>
        </w:rPr>
        <w:t xml:space="preserve"> based on 2010 census population and </w:t>
      </w:r>
      <w:r w:rsidR="009165EE" w:rsidRPr="0081285E">
        <w:rPr>
          <w:rFonts w:ascii="Times New Roman" w:eastAsiaTheme="minorHAnsi" w:hAnsi="Times New Roman" w:cstheme="minorBidi"/>
          <w:sz w:val="22"/>
          <w:szCs w:val="22"/>
        </w:rPr>
        <w:t xml:space="preserve">number of </w:t>
      </w:r>
      <w:r w:rsidR="002A232F"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Mobile and Nonroad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Road dust and tailpipe emissions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from motor vehicles were calculated by applying emission factors from the </w:t>
      </w:r>
      <w:r w:rsidR="002A232F" w:rsidRPr="0081285E">
        <w:rPr>
          <w:rFonts w:ascii="Times New Roman" w:eastAsiaTheme="minorHAnsi" w:hAnsi="Times New Roman" w:cstheme="minorBidi"/>
          <w:sz w:val="22"/>
          <w:szCs w:val="22"/>
        </w:rPr>
        <w:t>Lake County 20</w:t>
      </w:r>
      <w:r w:rsidR="00300CBD" w:rsidRPr="0081285E">
        <w:rPr>
          <w:rFonts w:ascii="Times New Roman" w:eastAsiaTheme="minorHAnsi" w:hAnsi="Times New Roman" w:cstheme="minorBidi"/>
          <w:sz w:val="22"/>
          <w:szCs w:val="22"/>
        </w:rPr>
        <w:t>11</w:t>
      </w:r>
      <w:r w:rsidR="002A232F" w:rsidRPr="0081285E">
        <w:rPr>
          <w:rFonts w:ascii="Times New Roman" w:eastAsiaTheme="minorHAnsi" w:hAnsi="Times New Roman" w:cstheme="minorBidi"/>
          <w:sz w:val="22"/>
          <w:szCs w:val="22"/>
        </w:rPr>
        <w:t xml:space="preserve"> NEI </w:t>
      </w:r>
      <w:r w:rsidR="008E34DD" w:rsidRPr="0081285E">
        <w:rPr>
          <w:rFonts w:ascii="Times New Roman" w:eastAsiaTheme="minorHAnsi" w:hAnsi="Times New Roman" w:cstheme="minorBidi"/>
          <w:sz w:val="22"/>
          <w:szCs w:val="22"/>
        </w:rPr>
        <w:t xml:space="preserve">for </w:t>
      </w:r>
      <w:r w:rsidRPr="0081285E">
        <w:rPr>
          <w:rFonts w:ascii="Times New Roman" w:eastAsiaTheme="minorHAnsi" w:hAnsi="Times New Roman" w:cstheme="minorBidi"/>
          <w:sz w:val="22"/>
          <w:szCs w:val="22"/>
        </w:rPr>
        <w:t>EPA</w:t>
      </w:r>
      <w:r w:rsidR="008E34DD" w:rsidRPr="0081285E">
        <w:rPr>
          <w:rFonts w:ascii="Times New Roman" w:eastAsiaTheme="minorHAnsi" w:hAnsi="Times New Roman" w:cstheme="minorBidi"/>
          <w:sz w:val="22"/>
          <w:szCs w:val="22"/>
        </w:rPr>
        <w:t xml:space="preserve">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estimate to Lakeview’s UGB and the Goose Lake Basin based on 2010 census population and </w:t>
      </w:r>
      <w:r w:rsidR="00227B92" w:rsidRPr="0081285E">
        <w:rPr>
          <w:rFonts w:ascii="Times New Roman" w:eastAsiaTheme="minorHAnsi" w:hAnsi="Times New Roman" w:cstheme="minorBidi"/>
          <w:sz w:val="22"/>
          <w:szCs w:val="22"/>
        </w:rPr>
        <w:t xml:space="preserve">number of </w:t>
      </w:r>
      <w:r w:rsidR="008E34DD"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Emissions from rail, aircr</w:t>
      </w:r>
      <w:r w:rsidR="001E5781" w:rsidRPr="0081285E">
        <w:rPr>
          <w:rFonts w:ascii="Times New Roman" w:eastAsiaTheme="minorHAnsi" w:hAnsi="Times New Roman" w:cstheme="minorBidi"/>
          <w:sz w:val="22"/>
          <w:szCs w:val="22"/>
        </w:rPr>
        <w:t>aft, construction and other non</w:t>
      </w:r>
      <w:r w:rsidRPr="0081285E">
        <w:rPr>
          <w:rFonts w:ascii="Times New Roman" w:eastAsiaTheme="minorHAnsi" w:hAnsi="Times New Roman" w:cstheme="minorBidi"/>
          <w:sz w:val="22"/>
          <w:szCs w:val="22"/>
        </w:rPr>
        <w:t xml:space="preserve">road sources are estimated using </w:t>
      </w:r>
      <w:r w:rsidR="00300CBD" w:rsidRPr="0081285E">
        <w:rPr>
          <w:rFonts w:ascii="Times New Roman" w:eastAsiaTheme="minorHAnsi" w:hAnsi="Times New Roman" w:cstheme="minorBidi"/>
          <w:sz w:val="22"/>
          <w:szCs w:val="22"/>
        </w:rPr>
        <w:t>EPA’s</w:t>
      </w:r>
      <w:r w:rsidRPr="0081285E">
        <w:rPr>
          <w:rFonts w:ascii="Times New Roman" w:eastAsiaTheme="minorHAnsi" w:hAnsi="Times New Roman" w:cstheme="minorBidi"/>
          <w:sz w:val="22"/>
          <w:szCs w:val="22"/>
        </w:rPr>
        <w:t xml:space="preserve"> </w:t>
      </w:r>
      <w:r w:rsidR="008E34DD" w:rsidRPr="0081285E">
        <w:rPr>
          <w:rFonts w:ascii="Times New Roman" w:eastAsiaTheme="minorHAnsi" w:hAnsi="Times New Roman" w:cstheme="minorBidi"/>
          <w:sz w:val="22"/>
          <w:szCs w:val="22"/>
        </w:rPr>
        <w:t>NEI for Lake County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emissions based on area served</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Industrial Point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DEQ maintains data on industrial point source emissions for all sources emitting </w:t>
      </w:r>
      <w:r w:rsidR="00F42A02" w:rsidRPr="0081285E">
        <w:rPr>
          <w:rFonts w:ascii="Times New Roman" w:eastAsiaTheme="minorHAnsi" w:hAnsi="Times New Roman" w:cstheme="minorBidi"/>
          <w:sz w:val="22"/>
          <w:szCs w:val="22"/>
        </w:rPr>
        <w:t>10</w:t>
      </w:r>
      <w:r w:rsidRPr="0081285E">
        <w:rPr>
          <w:rFonts w:ascii="Times New Roman" w:eastAsiaTheme="minorHAnsi" w:hAnsi="Times New Roman" w:cstheme="minorBidi"/>
          <w:sz w:val="22"/>
          <w:szCs w:val="22"/>
        </w:rPr>
        <w:t xml:space="preserve"> or more tons of criteria pollutants per year. Emissions information is compiled from each source’s operating permit issued by DEQ. All permitted point sources within the</w:t>
      </w:r>
      <w:r w:rsidR="00E51D23" w:rsidRPr="0081285E">
        <w:rPr>
          <w:rFonts w:ascii="Times New Roman" w:eastAsiaTheme="minorHAnsi" w:hAnsi="Times New Roman" w:cstheme="minorBidi"/>
          <w:sz w:val="22"/>
          <w:szCs w:val="22"/>
        </w:rPr>
        <w:t xml:space="preserve"> Lakeview UGB </w:t>
      </w:r>
      <w:r w:rsidRPr="0081285E">
        <w:rPr>
          <w:rFonts w:ascii="Times New Roman" w:eastAsiaTheme="minorHAnsi" w:hAnsi="Times New Roman" w:cstheme="minorBidi"/>
          <w:sz w:val="22"/>
          <w:szCs w:val="22"/>
        </w:rPr>
        <w:t xml:space="preserve">are included in the emissions inventory. </w:t>
      </w:r>
    </w:p>
    <w:p w:rsidR="00575CFC" w:rsidRPr="0081285E" w:rsidRDefault="00575CFC" w:rsidP="00A64510">
      <w:pPr>
        <w:pStyle w:val="BodyText"/>
        <w:tabs>
          <w:tab w:val="left" w:pos="-1440"/>
          <w:tab w:val="left" w:pos="-720"/>
        </w:tabs>
        <w:rPr>
          <w:rFonts w:ascii="Times New Roman" w:eastAsiaTheme="minorHAnsi" w:hAnsi="Times New Roman" w:cstheme="minorBidi"/>
          <w:sz w:val="22"/>
          <w:szCs w:val="22"/>
        </w:rPr>
      </w:pP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Emission estimates are developed for both annual and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emissions. Annual emissions are reported as tons per year (tpy), whereas typical season and </w:t>
      </w:r>
      <w:r w:rsidR="00F46F08"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 emissions are reported as pounds per day (lbs/day)</w:t>
      </w:r>
      <w:r w:rsidR="002E1AD8"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2011</w:t>
      </w:r>
      <w:r w:rsidR="00064974" w:rsidRPr="0081285E">
        <w:rPr>
          <w:rFonts w:ascii="Times New Roman" w:eastAsiaTheme="minorHAnsi" w:hAnsi="Times New Roman" w:cstheme="minorBidi"/>
          <w:sz w:val="22"/>
          <w:szCs w:val="22"/>
        </w:rPr>
        <w:t>, the</w:t>
      </w:r>
      <w:r w:rsidR="00140EF4" w:rsidRPr="0081285E">
        <w:rPr>
          <w:rFonts w:ascii="Times New Roman" w:eastAsiaTheme="minorHAnsi" w:hAnsi="Times New Roman" w:cstheme="minorBidi"/>
          <w:sz w:val="22"/>
          <w:szCs w:val="22"/>
        </w:rPr>
        <w:t xml:space="preserve"> d</w:t>
      </w:r>
      <w:r w:rsidR="00666BF4" w:rsidRPr="0081285E">
        <w:rPr>
          <w:rFonts w:ascii="Times New Roman" w:eastAsiaTheme="minorHAnsi" w:hAnsi="Times New Roman" w:cstheme="minorBidi"/>
          <w:sz w:val="22"/>
          <w:szCs w:val="22"/>
        </w:rPr>
        <w:t>esign</w:t>
      </w:r>
      <w:r w:rsidR="00140EF4" w:rsidRPr="0081285E">
        <w:rPr>
          <w:rFonts w:ascii="Times New Roman" w:eastAsiaTheme="minorHAnsi" w:hAnsi="Times New Roman" w:cstheme="minorBidi"/>
          <w:sz w:val="22"/>
          <w:szCs w:val="22"/>
        </w:rPr>
        <w:t xml:space="preserve"> day</w:t>
      </w:r>
      <w:r w:rsidRPr="0081285E">
        <w:rPr>
          <w:rFonts w:ascii="Times New Roman" w:eastAsiaTheme="minorHAnsi" w:hAnsi="Times New Roman" w:cstheme="minorBidi"/>
          <w:sz w:val="22"/>
          <w:szCs w:val="22"/>
        </w:rPr>
        <w:t xml:space="preserve"> </w:t>
      </w:r>
      <w:r w:rsidR="00140EF4" w:rsidRPr="0081285E">
        <w:rPr>
          <w:rFonts w:ascii="Times New Roman" w:eastAsiaTheme="minorHAnsi" w:hAnsi="Times New Roman" w:cstheme="minorBidi"/>
          <w:sz w:val="22"/>
          <w:szCs w:val="22"/>
        </w:rPr>
        <w:t>e</w:t>
      </w:r>
      <w:r w:rsidR="00466594" w:rsidRPr="0081285E">
        <w:rPr>
          <w:rFonts w:ascii="Times New Roman" w:eastAsiaTheme="minorHAnsi" w:hAnsi="Times New Roman" w:cstheme="minorBidi"/>
          <w:sz w:val="22"/>
          <w:szCs w:val="22"/>
        </w:rPr>
        <w:t xml:space="preserve">missions </w:t>
      </w:r>
      <w:r w:rsidR="001509FB" w:rsidRPr="0081285E">
        <w:rPr>
          <w:rFonts w:ascii="Times New Roman" w:eastAsiaTheme="minorHAnsi" w:hAnsi="Times New Roman" w:cstheme="minorBidi"/>
          <w:sz w:val="22"/>
          <w:szCs w:val="22"/>
        </w:rPr>
        <w:t xml:space="preserve">were </w:t>
      </w:r>
      <w:r w:rsidR="00140EF4" w:rsidRPr="0081285E">
        <w:rPr>
          <w:rFonts w:ascii="Times New Roman" w:eastAsiaTheme="minorHAnsi" w:hAnsi="Times New Roman" w:cstheme="minorBidi"/>
          <w:sz w:val="22"/>
          <w:szCs w:val="22"/>
        </w:rPr>
        <w:t xml:space="preserve">emissions </w:t>
      </w:r>
      <w:r w:rsidRPr="0081285E">
        <w:rPr>
          <w:rFonts w:ascii="Times New Roman" w:eastAsiaTheme="minorHAnsi" w:hAnsi="Times New Roman" w:cstheme="minorBidi"/>
          <w:sz w:val="22"/>
          <w:szCs w:val="22"/>
        </w:rPr>
        <w:t xml:space="preserve">during the </w:t>
      </w:r>
      <w:r w:rsidR="00140EF4" w:rsidRPr="0081285E">
        <w:rPr>
          <w:rFonts w:ascii="Times New Roman" w:eastAsiaTheme="minorHAnsi" w:hAnsi="Times New Roman" w:cstheme="minorBidi"/>
          <w:sz w:val="22"/>
          <w:szCs w:val="22"/>
        </w:rPr>
        <w:t xml:space="preserve">wood heating season that </w:t>
      </w:r>
      <w:r w:rsidR="00466594" w:rsidRPr="0081285E">
        <w:rPr>
          <w:rFonts w:ascii="Times New Roman" w:eastAsiaTheme="minorHAnsi" w:hAnsi="Times New Roman" w:cstheme="minorBidi"/>
          <w:sz w:val="22"/>
          <w:szCs w:val="22"/>
        </w:rPr>
        <w:t>occu</w:t>
      </w:r>
      <w:r w:rsidR="00AF6C35" w:rsidRPr="0081285E">
        <w:rPr>
          <w:rFonts w:ascii="Times New Roman" w:eastAsiaTheme="minorHAnsi" w:hAnsi="Times New Roman" w:cstheme="minorBidi"/>
          <w:sz w:val="22"/>
          <w:szCs w:val="22"/>
        </w:rPr>
        <w:t>r</w:t>
      </w:r>
      <w:r w:rsidR="00466594" w:rsidRPr="0081285E">
        <w:rPr>
          <w:rFonts w:ascii="Times New Roman" w:eastAsiaTheme="minorHAnsi" w:hAnsi="Times New Roman" w:cstheme="minorBidi"/>
          <w:sz w:val="22"/>
          <w:szCs w:val="22"/>
        </w:rPr>
        <w:t>r</w:t>
      </w:r>
      <w:r w:rsidR="001509FB" w:rsidRPr="0081285E">
        <w:rPr>
          <w:rFonts w:ascii="Times New Roman" w:eastAsiaTheme="minorHAnsi" w:hAnsi="Times New Roman" w:cstheme="minorBidi"/>
          <w:sz w:val="22"/>
          <w:szCs w:val="22"/>
        </w:rPr>
        <w:t>ed</w:t>
      </w:r>
      <w:r w:rsidR="00466594" w:rsidRPr="0081285E">
        <w:rPr>
          <w:rFonts w:ascii="Times New Roman" w:eastAsiaTheme="minorHAnsi" w:hAnsi="Times New Roman" w:cstheme="minorBidi"/>
          <w:sz w:val="22"/>
          <w:szCs w:val="22"/>
        </w:rPr>
        <w:t xml:space="preserve"> on</w:t>
      </w:r>
      <w:r w:rsidR="00F46F08" w:rsidRPr="0081285E">
        <w:rPr>
          <w:rFonts w:ascii="Times New Roman" w:eastAsiaTheme="minorHAnsi" w:hAnsi="Times New Roman" w:cstheme="minorBidi"/>
          <w:sz w:val="22"/>
          <w:szCs w:val="22"/>
        </w:rPr>
        <w:t xml:space="preserve"> days when</w:t>
      </w:r>
      <w:r w:rsidR="00140EF4" w:rsidRPr="0081285E">
        <w:rPr>
          <w:rFonts w:ascii="Times New Roman" w:eastAsiaTheme="minorHAnsi" w:hAnsi="Times New Roman" w:cstheme="minorBidi"/>
          <w:sz w:val="22"/>
          <w:szCs w:val="22"/>
        </w:rPr>
        <w:t xml:space="preserve"> the highest monitored concentrations </w:t>
      </w:r>
      <w:r w:rsidR="001509FB" w:rsidRPr="0081285E">
        <w:rPr>
          <w:rFonts w:ascii="Times New Roman" w:eastAsiaTheme="minorHAnsi" w:hAnsi="Times New Roman" w:cstheme="minorBidi"/>
          <w:sz w:val="22"/>
          <w:szCs w:val="22"/>
        </w:rPr>
        <w:t xml:space="preserve">were </w:t>
      </w:r>
      <w:r w:rsidR="00F46F08" w:rsidRPr="0081285E">
        <w:rPr>
          <w:rFonts w:ascii="Times New Roman" w:eastAsiaTheme="minorHAnsi" w:hAnsi="Times New Roman" w:cstheme="minorBidi"/>
          <w:sz w:val="22"/>
          <w:szCs w:val="22"/>
        </w:rPr>
        <w:t>measured</w:t>
      </w:r>
      <w:r w:rsidRPr="0081285E">
        <w:rPr>
          <w:rFonts w:ascii="Times New Roman" w:eastAsiaTheme="minorHAnsi" w:hAnsi="Times New Roman" w:cstheme="minorBidi"/>
          <w:sz w:val="22"/>
          <w:szCs w:val="22"/>
        </w:rPr>
        <w:t xml:space="preserve">. </w:t>
      </w:r>
      <w:r w:rsidR="00653A70" w:rsidRPr="0081285E">
        <w:rPr>
          <w:rFonts w:ascii="Times New Roman" w:eastAsiaTheme="minorHAnsi" w:hAnsi="Times New Roman" w:cstheme="minorBidi"/>
          <w:sz w:val="22"/>
          <w:szCs w:val="22"/>
        </w:rPr>
        <w:t xml:space="preserve">For Lakeview, the </w:t>
      </w:r>
      <w:r w:rsidRPr="0081285E">
        <w:rPr>
          <w:rFonts w:ascii="Times New Roman" w:eastAsiaTheme="minorHAnsi" w:hAnsi="Times New Roman" w:cstheme="minorBidi"/>
          <w:sz w:val="22"/>
          <w:szCs w:val="22"/>
        </w:rPr>
        <w:t xml:space="preserve">typical season and </w:t>
      </w:r>
      <w:r w:rsidR="00666BF4"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days occur in winter (November through February)</w:t>
      </w:r>
      <w:r w:rsidR="00653A70" w:rsidRPr="0081285E">
        <w:rPr>
          <w:rFonts w:ascii="Times New Roman" w:eastAsiaTheme="minorHAnsi" w:hAnsi="Times New Roman" w:cstheme="minorBidi"/>
          <w:sz w:val="22"/>
          <w:szCs w:val="22"/>
        </w:rPr>
        <w:t xml:space="preserve"> when </w:t>
      </w:r>
      <w:r w:rsidRPr="0081285E">
        <w:rPr>
          <w:rFonts w:ascii="Times New Roman" w:eastAsiaTheme="minorHAnsi" w:hAnsi="Times New Roman" w:cstheme="minorBidi"/>
          <w:sz w:val="22"/>
          <w:szCs w:val="22"/>
        </w:rPr>
        <w:t>the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standard is most </w:t>
      </w:r>
      <w:r w:rsidR="00653A70" w:rsidRPr="0081285E">
        <w:rPr>
          <w:rFonts w:ascii="Times New Roman" w:eastAsiaTheme="minorHAnsi" w:hAnsi="Times New Roman" w:cstheme="minorBidi"/>
          <w:sz w:val="22"/>
          <w:szCs w:val="22"/>
        </w:rPr>
        <w:t>frequently</w:t>
      </w:r>
      <w:r w:rsidRPr="0081285E">
        <w:rPr>
          <w:rFonts w:ascii="Times New Roman" w:eastAsiaTheme="minorHAnsi" w:hAnsi="Times New Roman" w:cstheme="minorBidi"/>
          <w:sz w:val="22"/>
          <w:szCs w:val="22"/>
        </w:rPr>
        <w:t xml:space="preserve"> exceeded</w:t>
      </w:r>
      <w:r w:rsidR="002E1AD8" w:rsidRPr="0081285E">
        <w:rPr>
          <w:rFonts w:ascii="Times New Roman" w:eastAsiaTheme="minorHAnsi" w:hAnsi="Times New Roman" w:cstheme="minorBidi"/>
          <w:sz w:val="22"/>
          <w:szCs w:val="22"/>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p>
    <w:p w:rsidR="00CC2151" w:rsidRPr="0081285E" w:rsidRDefault="00CC2151">
      <w:pPr>
        <w:spacing w:after="200" w:line="276" w:lineRule="auto"/>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br w:type="page"/>
      </w:r>
    </w:p>
    <w:p w:rsidR="001879C8"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design day emissions for area, on-road, non-road </w:t>
      </w:r>
      <w:r w:rsidR="003A6F00" w:rsidRPr="0081285E">
        <w:rPr>
          <w:rFonts w:ascii="Times New Roman" w:eastAsiaTheme="minorHAnsi" w:hAnsi="Times New Roman" w:cstheme="minorBidi"/>
          <w:sz w:val="22"/>
          <w:szCs w:val="22"/>
        </w:rPr>
        <w:t xml:space="preserve">and industrial </w:t>
      </w:r>
      <w:r w:rsidRPr="0081285E">
        <w:rPr>
          <w:rFonts w:ascii="Times New Roman" w:eastAsiaTheme="minorHAnsi" w:hAnsi="Times New Roman" w:cstheme="minorBidi"/>
          <w:sz w:val="22"/>
          <w:szCs w:val="22"/>
        </w:rPr>
        <w:t xml:space="preserve">sources are shown in Table </w:t>
      </w:r>
      <w:r w:rsidR="00923366" w:rsidRPr="0081285E">
        <w:rPr>
          <w:rFonts w:ascii="Times New Roman" w:eastAsiaTheme="minorHAnsi" w:hAnsi="Times New Roman" w:cstheme="minorBidi"/>
          <w:sz w:val="22"/>
          <w:szCs w:val="22"/>
        </w:rPr>
        <w:t>1</w:t>
      </w:r>
      <w:r w:rsidR="00440C2D" w:rsidRPr="0081285E">
        <w:rPr>
          <w:rFonts w:ascii="Times New Roman" w:eastAsiaTheme="minorHAnsi" w:hAnsi="Times New Roman" w:cstheme="minorBidi"/>
          <w:sz w:val="22"/>
          <w:szCs w:val="22"/>
        </w:rPr>
        <w:t xml:space="preserve"> </w:t>
      </w:r>
      <w:r w:rsidR="008146F6" w:rsidRPr="0081285E">
        <w:rPr>
          <w:rFonts w:ascii="Times New Roman" w:eastAsiaTheme="minorHAnsi" w:hAnsi="Times New Roman" w:cstheme="minorBidi"/>
          <w:sz w:val="22"/>
          <w:szCs w:val="22"/>
        </w:rPr>
        <w:t xml:space="preserve">and Figure </w:t>
      </w:r>
      <w:r w:rsidR="00933DC7" w:rsidRPr="0081285E">
        <w:rPr>
          <w:rFonts w:ascii="Times New Roman" w:eastAsiaTheme="minorHAnsi" w:hAnsi="Times New Roman" w:cstheme="minorBidi"/>
          <w:sz w:val="22"/>
          <w:szCs w:val="22"/>
        </w:rPr>
        <w:t>3</w:t>
      </w:r>
      <w:r w:rsidR="008146F6"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the total UGB.</w:t>
      </w:r>
      <w:r w:rsidR="001879C8" w:rsidRPr="0081285E">
        <w:rPr>
          <w:rFonts w:ascii="Times New Roman" w:eastAsiaTheme="minorHAnsi" w:hAnsi="Times New Roman" w:cstheme="minorBidi"/>
          <w:sz w:val="22"/>
          <w:szCs w:val="22"/>
        </w:rPr>
        <w:t xml:space="preserve"> </w:t>
      </w:r>
    </w:p>
    <w:p w:rsidR="00912077" w:rsidRDefault="00912077" w:rsidP="00A64510">
      <w:pPr>
        <w:pStyle w:val="BodyText"/>
        <w:tabs>
          <w:tab w:val="left" w:pos="-1440"/>
          <w:tab w:val="left" w:pos="-720"/>
        </w:tabs>
        <w:rPr>
          <w:rFonts w:ascii="Times New Roman" w:eastAsiaTheme="minorHAnsi" w:hAnsi="Times New Roman" w:cstheme="minorBidi"/>
          <w:szCs w:val="24"/>
        </w:rPr>
      </w:pPr>
    </w:p>
    <w:tbl>
      <w:tblPr>
        <w:tblW w:w="7700" w:type="dxa"/>
        <w:jc w:val="center"/>
        <w:tblInd w:w="108" w:type="dxa"/>
        <w:tblLook w:val="04A0"/>
      </w:tblPr>
      <w:tblGrid>
        <w:gridCol w:w="6280"/>
        <w:gridCol w:w="1420"/>
      </w:tblGrid>
      <w:tr w:rsidR="00ED48B9" w:rsidRPr="00AF05B2" w:rsidTr="00C0732C">
        <w:trPr>
          <w:trHeight w:val="615"/>
          <w:jc w:val="center"/>
        </w:trPr>
        <w:tc>
          <w:tcPr>
            <w:tcW w:w="6280" w:type="dxa"/>
            <w:tcBorders>
              <w:top w:val="nil"/>
              <w:left w:val="nil"/>
              <w:bottom w:val="nil"/>
              <w:right w:val="nil"/>
            </w:tcBorders>
            <w:shd w:val="clear" w:color="auto" w:fill="auto"/>
            <w:vAlign w:val="bottom"/>
            <w:hideMark/>
          </w:tcPr>
          <w:p w:rsidR="00ED48B9" w:rsidRPr="00AF05B2" w:rsidRDefault="00ED48B9" w:rsidP="00C0732C">
            <w:pPr>
              <w:rPr>
                <w:rFonts w:ascii="Calibri" w:hAnsi="Calibri" w:cs="Calibri"/>
                <w:bCs/>
                <w:color w:val="000000"/>
                <w:szCs w:val="24"/>
              </w:rPr>
            </w:pPr>
          </w:p>
        </w:tc>
        <w:tc>
          <w:tcPr>
            <w:tcW w:w="14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D48B9" w:rsidRPr="00AF05B2" w:rsidRDefault="00ED48B9" w:rsidP="00C0732C">
            <w:pPr>
              <w:jc w:val="center"/>
              <w:rPr>
                <w:rFonts w:ascii="Calibri" w:hAnsi="Calibri" w:cs="Calibri"/>
                <w:color w:val="000000"/>
                <w:szCs w:val="24"/>
              </w:rPr>
            </w:pPr>
            <w:r w:rsidRPr="00AF05B2">
              <w:rPr>
                <w:rFonts w:ascii="Calibri" w:hAnsi="Calibri" w:cs="Calibri"/>
                <w:color w:val="000000"/>
                <w:szCs w:val="24"/>
              </w:rPr>
              <w:t>Design Day (lbs/day)</w:t>
            </w:r>
          </w:p>
        </w:tc>
      </w:tr>
      <w:tr w:rsidR="00ED48B9" w:rsidRPr="00AF05B2" w:rsidTr="00C0732C">
        <w:trPr>
          <w:trHeight w:val="345"/>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Residential Wood Combustion</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704</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Prescribed Burning and Wildfire</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0</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All Other Area Sources</w:t>
            </w:r>
            <w:r>
              <w:rPr>
                <w:rStyle w:val="FootnoteReference"/>
                <w:rFonts w:ascii="Calibri" w:hAnsi="Calibri" w:cs="Calibri"/>
                <w:color w:val="000000"/>
                <w:szCs w:val="24"/>
              </w:rPr>
              <w:footnoteReference w:id="1"/>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39</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On-Road</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2</w:t>
            </w:r>
          </w:p>
        </w:tc>
      </w:tr>
      <w:tr w:rsidR="00ED48B9" w:rsidRPr="00AF05B2" w:rsidTr="00C0732C">
        <w:trPr>
          <w:trHeight w:val="315"/>
          <w:jc w:val="center"/>
        </w:trPr>
        <w:tc>
          <w:tcPr>
            <w:tcW w:w="6280" w:type="dxa"/>
            <w:tcBorders>
              <w:top w:val="nil"/>
              <w:left w:val="nil"/>
              <w:right w:val="nil"/>
            </w:tcBorders>
            <w:shd w:val="clear" w:color="auto" w:fill="auto"/>
            <w:noWrap/>
            <w:vAlign w:val="bottom"/>
            <w:hideMark/>
          </w:tcPr>
          <w:p w:rsidR="00ED48B9" w:rsidRPr="00AF05B2" w:rsidRDefault="00E664B6" w:rsidP="00C0732C">
            <w:pPr>
              <w:rPr>
                <w:rFonts w:ascii="Calibri" w:hAnsi="Calibri" w:cs="Calibri"/>
                <w:color w:val="000000"/>
                <w:szCs w:val="24"/>
              </w:rPr>
            </w:pPr>
            <w:r>
              <w:rPr>
                <w:rFonts w:ascii="Calibri" w:hAnsi="Calibri" w:cs="Calibri"/>
                <w:color w:val="000000"/>
                <w:szCs w:val="24"/>
              </w:rPr>
              <w:t>Non</w:t>
            </w:r>
            <w:r w:rsidR="00ED48B9">
              <w:rPr>
                <w:rFonts w:ascii="Calibri" w:hAnsi="Calibri" w:cs="Calibri"/>
                <w:color w:val="000000"/>
                <w:szCs w:val="24"/>
              </w:rPr>
              <w:t>road Vehicles &amp; Equipment</w:t>
            </w:r>
          </w:p>
        </w:tc>
        <w:tc>
          <w:tcPr>
            <w:tcW w:w="1420" w:type="dxa"/>
            <w:tcBorders>
              <w:top w:val="nil"/>
              <w:left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w:t>
            </w:r>
          </w:p>
        </w:tc>
      </w:tr>
      <w:tr w:rsidR="00ED48B9" w:rsidRPr="00AF05B2" w:rsidTr="00C0732C">
        <w:trPr>
          <w:trHeight w:val="315"/>
          <w:jc w:val="center"/>
        </w:trPr>
        <w:tc>
          <w:tcPr>
            <w:tcW w:w="6280" w:type="dxa"/>
            <w:tcBorders>
              <w:top w:val="nil"/>
              <w:left w:val="nil"/>
              <w:bottom w:val="single" w:sz="8" w:space="0" w:color="auto"/>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Permitted Industrial Sources</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182</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p>
        </w:tc>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 </w:t>
            </w:r>
          </w:p>
        </w:tc>
      </w:tr>
      <w:tr w:rsidR="00ED48B9" w:rsidRPr="00AF05B2" w:rsidTr="00C0732C">
        <w:trPr>
          <w:trHeight w:val="315"/>
          <w:jc w:val="center"/>
        </w:trPr>
        <w:tc>
          <w:tcPr>
            <w:tcW w:w="6280" w:type="dxa"/>
            <w:tcBorders>
              <w:top w:val="nil"/>
              <w:left w:val="nil"/>
              <w:bottom w:val="single" w:sz="12" w:space="0" w:color="auto"/>
              <w:right w:val="nil"/>
            </w:tcBorders>
            <w:shd w:val="clear" w:color="auto" w:fill="auto"/>
            <w:noWrap/>
            <w:vAlign w:val="bottom"/>
            <w:hideMark/>
          </w:tcPr>
          <w:p w:rsidR="00ED48B9" w:rsidRPr="00AF05B2" w:rsidRDefault="00ED48B9" w:rsidP="00C0732C">
            <w:pPr>
              <w:rPr>
                <w:rFonts w:ascii="Calibri" w:hAnsi="Calibri" w:cs="Calibri"/>
                <w:bCs/>
                <w:i/>
                <w:iCs/>
                <w:color w:val="000000"/>
                <w:szCs w:val="24"/>
              </w:rPr>
            </w:pPr>
            <w:r w:rsidRPr="009E7463">
              <w:rPr>
                <w:rFonts w:ascii="Calibri" w:hAnsi="Calibri" w:cs="Calibri"/>
                <w:bCs/>
                <w:i/>
                <w:iCs/>
                <w:color w:val="000000"/>
                <w:szCs w:val="24"/>
              </w:rPr>
              <w:t>Total, All Sources, lbs/day</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930</w:t>
            </w:r>
          </w:p>
        </w:tc>
      </w:tr>
    </w:tbl>
    <w:p w:rsidR="00F748D1" w:rsidRPr="00B55506" w:rsidRDefault="00F748D1" w:rsidP="00F748D1">
      <w:pPr>
        <w:pStyle w:val="Caption"/>
        <w:rPr>
          <w:sz w:val="20"/>
        </w:rPr>
      </w:pPr>
      <w:bookmarkStart w:id="29" w:name="_Toc330476310"/>
      <w:bookmarkStart w:id="30" w:name="_Toc369548835"/>
      <w:r w:rsidRPr="00B55506">
        <w:rPr>
          <w:sz w:val="20"/>
        </w:rPr>
        <w:t xml:space="preserve">Table </w:t>
      </w:r>
      <w:r w:rsidR="00582524" w:rsidRPr="00B55506">
        <w:rPr>
          <w:sz w:val="20"/>
        </w:rPr>
        <w:fldChar w:fldCharType="begin"/>
      </w:r>
      <w:r w:rsidR="00F71B94" w:rsidRPr="00B55506">
        <w:rPr>
          <w:sz w:val="20"/>
        </w:rPr>
        <w:instrText xml:space="preserve"> SEQ Table \* ARABIC </w:instrText>
      </w:r>
      <w:r w:rsidR="00582524" w:rsidRPr="00B55506">
        <w:rPr>
          <w:sz w:val="20"/>
        </w:rPr>
        <w:fldChar w:fldCharType="separate"/>
      </w:r>
      <w:r w:rsidR="0061743A" w:rsidRPr="00B55506">
        <w:rPr>
          <w:noProof/>
          <w:sz w:val="20"/>
        </w:rPr>
        <w:t>1</w:t>
      </w:r>
      <w:r w:rsidR="00582524" w:rsidRPr="00B55506">
        <w:rPr>
          <w:sz w:val="20"/>
        </w:rPr>
        <w:fldChar w:fldCharType="end"/>
      </w:r>
      <w:r w:rsidRPr="00B55506">
        <w:rPr>
          <w:sz w:val="20"/>
        </w:rPr>
        <w:t>: 2011 Design Day PM</w:t>
      </w:r>
      <w:r w:rsidRPr="00B55506">
        <w:rPr>
          <w:sz w:val="20"/>
          <w:vertAlign w:val="subscript"/>
        </w:rPr>
        <w:t xml:space="preserve">2.5 </w:t>
      </w:r>
      <w:r w:rsidRPr="00B55506">
        <w:rPr>
          <w:sz w:val="20"/>
        </w:rPr>
        <w:t xml:space="preserve">Emissions for </w:t>
      </w:r>
      <w:bookmarkEnd w:id="29"/>
      <w:bookmarkEnd w:id="30"/>
      <w:r w:rsidRPr="00B55506">
        <w:rPr>
          <w:sz w:val="20"/>
        </w:rPr>
        <w:t>the Lakeview Analysis Area.</w:t>
      </w:r>
    </w:p>
    <w:p w:rsidR="00A64510" w:rsidRDefault="00A64510" w:rsidP="00736300">
      <w:pPr>
        <w:keepNext/>
        <w:rPr>
          <w:rFonts w:ascii="Times New Roman" w:hAnsi="Times New Roman"/>
        </w:rPr>
      </w:pPr>
    </w:p>
    <w:p w:rsidR="006D3A62" w:rsidRDefault="006D3A62" w:rsidP="00736300">
      <w:pPr>
        <w:keepNext/>
        <w:rPr>
          <w:rFonts w:ascii="Times New Roman" w:hAnsi="Times New Roman"/>
        </w:rPr>
      </w:pPr>
    </w:p>
    <w:p w:rsidR="00F1526E" w:rsidRDefault="00ED48B9" w:rsidP="00736300">
      <w:pPr>
        <w:keepNext/>
        <w:rPr>
          <w:rFonts w:ascii="Times New Roman" w:hAnsi="Times New Roman"/>
          <w:highlight w:val="yellow"/>
        </w:rPr>
      </w:pPr>
      <w:r w:rsidRPr="00ED48B9">
        <w:rPr>
          <w:rFonts w:ascii="Times New Roman" w:hAnsi="Times New Roman"/>
          <w:noProof/>
        </w:rPr>
        <w:drawing>
          <wp:inline distT="0" distB="0" distL="0" distR="0">
            <wp:extent cx="4130860" cy="3409950"/>
            <wp:effectExtent l="19050" t="0" r="2990" b="0"/>
            <wp:docPr id="9" name="Picture 2" descr="cid:image002.png@01CF6DD8.EBE87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6DD8.EBE87F80"/>
                    <pic:cNvPicPr>
                      <a:picLocks noChangeAspect="1" noChangeArrowheads="1"/>
                    </pic:cNvPicPr>
                  </pic:nvPicPr>
                  <pic:blipFill>
                    <a:blip r:embed="rId14" r:link="rId15" cstate="print"/>
                    <a:srcRect/>
                    <a:stretch>
                      <a:fillRect/>
                    </a:stretch>
                  </pic:blipFill>
                  <pic:spPr bwMode="auto">
                    <a:xfrm>
                      <a:off x="0" y="0"/>
                      <a:ext cx="4139059" cy="3416718"/>
                    </a:xfrm>
                    <a:prstGeom prst="rect">
                      <a:avLst/>
                    </a:prstGeom>
                    <a:noFill/>
                    <a:ln w="9525">
                      <a:noFill/>
                      <a:miter lim="800000"/>
                      <a:headEnd/>
                      <a:tailEnd/>
                    </a:ln>
                  </pic:spPr>
                </pic:pic>
              </a:graphicData>
            </a:graphic>
          </wp:inline>
        </w:drawing>
      </w:r>
    </w:p>
    <w:p w:rsidR="00F748D1" w:rsidRPr="00B55506" w:rsidRDefault="00F748D1" w:rsidP="00F748D1">
      <w:pPr>
        <w:pStyle w:val="Caption"/>
        <w:rPr>
          <w:sz w:val="20"/>
        </w:rPr>
      </w:pPr>
      <w:r w:rsidRPr="00B55506">
        <w:rPr>
          <w:sz w:val="20"/>
        </w:rPr>
        <w:t>Figure 3: PM2.5 Emissions by Source Category as a Percentage (Design Day)</w:t>
      </w:r>
    </w:p>
    <w:p w:rsidR="00866444" w:rsidRPr="00866444" w:rsidRDefault="00866444" w:rsidP="00736300">
      <w:pPr>
        <w:keepNext/>
        <w:rPr>
          <w:rFonts w:ascii="Times New Roman" w:hAnsi="Times New Roman"/>
          <w:highlight w:val="yellow"/>
        </w:rPr>
      </w:pPr>
    </w:p>
    <w:p w:rsidR="00866444" w:rsidRPr="0081285E" w:rsidRDefault="00632508" w:rsidP="00736300">
      <w:pPr>
        <w:keepNext/>
        <w:rPr>
          <w:rFonts w:ascii="Times New Roman" w:hAnsi="Times New Roman"/>
          <w:sz w:val="22"/>
          <w:szCs w:val="22"/>
        </w:rPr>
      </w:pPr>
      <w:r w:rsidRPr="0081285E">
        <w:rPr>
          <w:rFonts w:ascii="Times New Roman" w:hAnsi="Times New Roman"/>
          <w:sz w:val="22"/>
          <w:szCs w:val="22"/>
        </w:rPr>
        <w:t>Most of the</w:t>
      </w:r>
      <w:r w:rsidR="005E31D6" w:rsidRPr="0081285E">
        <w:rPr>
          <w:rFonts w:ascii="Times New Roman" w:hAnsi="Times New Roman"/>
          <w:sz w:val="22"/>
          <w:szCs w:val="22"/>
        </w:rPr>
        <w:t xml:space="preserve"> design day</w:t>
      </w:r>
      <w:r w:rsidRPr="0081285E">
        <w:rPr>
          <w:rFonts w:ascii="Times New Roman" w:hAnsi="Times New Roman"/>
          <w:sz w:val="22"/>
          <w:szCs w:val="22"/>
        </w:rPr>
        <w:t xml:space="preserv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emissions are from residential wood combustion. </w:t>
      </w:r>
      <w:r w:rsidR="00C2451D" w:rsidRPr="0081285E">
        <w:rPr>
          <w:rFonts w:ascii="Times New Roman" w:hAnsi="Times New Roman"/>
          <w:sz w:val="22"/>
          <w:szCs w:val="22"/>
        </w:rPr>
        <w:t>However, to get a</w:t>
      </w:r>
      <w:r w:rsidR="005E31D6" w:rsidRPr="0081285E">
        <w:rPr>
          <w:rFonts w:ascii="Times New Roman" w:hAnsi="Times New Roman"/>
          <w:sz w:val="22"/>
          <w:szCs w:val="22"/>
        </w:rPr>
        <w:t>n</w:t>
      </w:r>
      <w:r w:rsidR="00C2451D" w:rsidRPr="0081285E">
        <w:rPr>
          <w:rFonts w:ascii="Times New Roman" w:hAnsi="Times New Roman"/>
          <w:sz w:val="22"/>
          <w:szCs w:val="22"/>
        </w:rPr>
        <w:t xml:space="preserve"> </w:t>
      </w:r>
      <w:r w:rsidR="00687B9A" w:rsidRPr="0081285E">
        <w:rPr>
          <w:rFonts w:ascii="Times New Roman" w:hAnsi="Times New Roman"/>
          <w:sz w:val="22"/>
          <w:szCs w:val="22"/>
        </w:rPr>
        <w:t>estimate of what sources are directly influencing the monitor, DEQ looked into effective emissions.</w:t>
      </w:r>
      <w:r w:rsidR="00C2451D" w:rsidRPr="0081285E">
        <w:rPr>
          <w:rFonts w:ascii="Times New Roman" w:hAnsi="Times New Roman"/>
          <w:sz w:val="22"/>
          <w:szCs w:val="22"/>
        </w:rPr>
        <w:t xml:space="preserve"> </w:t>
      </w:r>
      <w:r w:rsidR="002170DF" w:rsidRPr="0081285E">
        <w:rPr>
          <w:rFonts w:ascii="Times New Roman" w:hAnsi="Times New Roman"/>
          <w:color w:val="000000" w:themeColor="text1"/>
          <w:sz w:val="22"/>
          <w:szCs w:val="22"/>
        </w:rPr>
        <w:t>Effective emissions are defined as those emission rates that correlate with measured concentrations at the monitor</w:t>
      </w:r>
      <w:r w:rsidR="002E1AD8" w:rsidRPr="0081285E">
        <w:rPr>
          <w:rFonts w:ascii="Times New Roman" w:hAnsi="Times New Roman"/>
          <w:color w:val="000000" w:themeColor="text1"/>
          <w:sz w:val="22"/>
          <w:szCs w:val="22"/>
        </w:rPr>
        <w:t xml:space="preserve">. </w:t>
      </w:r>
      <w:r w:rsidR="002170DF" w:rsidRPr="0081285E">
        <w:rPr>
          <w:rFonts w:ascii="Times New Roman" w:hAnsi="Times New Roman"/>
          <w:sz w:val="22"/>
          <w:szCs w:val="22"/>
        </w:rPr>
        <w:t xml:space="preserve">In considering the effective emissions, </w:t>
      </w:r>
      <w:r w:rsidR="00DA06F1" w:rsidRPr="0081285E">
        <w:rPr>
          <w:rFonts w:ascii="Times New Roman" w:hAnsi="Times New Roman"/>
          <w:sz w:val="22"/>
          <w:szCs w:val="22"/>
        </w:rPr>
        <w:t xml:space="preserve">residential wood combustion </w:t>
      </w:r>
      <w:r w:rsidR="005E31D6" w:rsidRPr="0081285E">
        <w:rPr>
          <w:rFonts w:ascii="Times New Roman" w:hAnsi="Times New Roman"/>
          <w:sz w:val="22"/>
          <w:szCs w:val="22"/>
        </w:rPr>
        <w:t xml:space="preserve">contributes </w:t>
      </w:r>
      <w:r w:rsidR="00DA06F1" w:rsidRPr="0081285E">
        <w:rPr>
          <w:rFonts w:ascii="Times New Roman" w:hAnsi="Times New Roman"/>
          <w:sz w:val="22"/>
          <w:szCs w:val="22"/>
        </w:rPr>
        <w:t xml:space="preserve">roughly </w:t>
      </w:r>
      <w:r w:rsidR="0002686C" w:rsidRPr="0081285E">
        <w:rPr>
          <w:rFonts w:ascii="Times New Roman" w:hAnsi="Times New Roman"/>
          <w:sz w:val="22"/>
          <w:szCs w:val="22"/>
        </w:rPr>
        <w:t>90</w:t>
      </w:r>
      <w:r w:rsidR="00DA06F1" w:rsidRPr="0081285E">
        <w:rPr>
          <w:rFonts w:ascii="Times New Roman" w:hAnsi="Times New Roman"/>
          <w:sz w:val="22"/>
          <w:szCs w:val="22"/>
        </w:rPr>
        <w:t>%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 xml:space="preserve"> and industrial emissions </w:t>
      </w:r>
      <w:r w:rsidR="005E31D6" w:rsidRPr="0081285E">
        <w:rPr>
          <w:rFonts w:ascii="Times New Roman" w:hAnsi="Times New Roman"/>
          <w:sz w:val="22"/>
          <w:szCs w:val="22"/>
        </w:rPr>
        <w:t xml:space="preserve">contribute </w:t>
      </w:r>
      <w:r w:rsidR="00DA06F1" w:rsidRPr="0081285E">
        <w:rPr>
          <w:rFonts w:ascii="Times New Roman" w:hAnsi="Times New Roman"/>
          <w:sz w:val="22"/>
          <w:szCs w:val="22"/>
        </w:rPr>
        <w:t>roughly 1%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w:t>
      </w:r>
      <w:r w:rsidR="002170DF" w:rsidRPr="0081285E">
        <w:rPr>
          <w:rFonts w:ascii="Times New Roman" w:hAnsi="Times New Roman"/>
          <w:sz w:val="22"/>
          <w:szCs w:val="22"/>
        </w:rPr>
        <w:t xml:space="preserve"> Residential wood heating is the primary source of </w:t>
      </w:r>
      <w:r w:rsidR="005E31D6" w:rsidRPr="0081285E">
        <w:rPr>
          <w:rFonts w:ascii="Times New Roman" w:hAnsi="Times New Roman"/>
          <w:sz w:val="22"/>
          <w:szCs w:val="22"/>
        </w:rPr>
        <w:t>PM</w:t>
      </w:r>
      <w:r w:rsidR="005E31D6" w:rsidRPr="0081285E">
        <w:rPr>
          <w:rFonts w:ascii="Times New Roman" w:hAnsi="Times New Roman"/>
          <w:sz w:val="22"/>
          <w:szCs w:val="22"/>
          <w:vertAlign w:val="subscript"/>
        </w:rPr>
        <w:t>2.5</w:t>
      </w:r>
      <w:r w:rsidR="005E31D6" w:rsidRPr="0081285E">
        <w:rPr>
          <w:rFonts w:ascii="Times New Roman" w:hAnsi="Times New Roman"/>
          <w:sz w:val="22"/>
          <w:szCs w:val="22"/>
        </w:rPr>
        <w:t xml:space="preserve"> </w:t>
      </w:r>
      <w:r w:rsidR="002170DF" w:rsidRPr="0081285E">
        <w:rPr>
          <w:rFonts w:ascii="Times New Roman" w:hAnsi="Times New Roman"/>
          <w:sz w:val="22"/>
          <w:szCs w:val="22"/>
        </w:rPr>
        <w:t xml:space="preserve">air pollution in the Lakeview area, </w:t>
      </w:r>
      <w:r w:rsidR="006B02BF" w:rsidRPr="0081285E">
        <w:rPr>
          <w:rFonts w:ascii="Times New Roman" w:hAnsi="Times New Roman"/>
          <w:sz w:val="22"/>
          <w:szCs w:val="22"/>
        </w:rPr>
        <w:t xml:space="preserve">and </w:t>
      </w:r>
      <w:r w:rsidR="002170DF" w:rsidRPr="0081285E">
        <w:rPr>
          <w:rFonts w:ascii="Times New Roman" w:hAnsi="Times New Roman"/>
          <w:sz w:val="22"/>
          <w:szCs w:val="22"/>
        </w:rPr>
        <w:t>efforts to reduce PM</w:t>
      </w:r>
      <w:r w:rsidR="002170DF" w:rsidRPr="0081285E">
        <w:rPr>
          <w:rFonts w:ascii="Times New Roman" w:hAnsi="Times New Roman"/>
          <w:sz w:val="22"/>
          <w:szCs w:val="22"/>
          <w:vertAlign w:val="subscript"/>
        </w:rPr>
        <w:t xml:space="preserve">2.5 </w:t>
      </w:r>
      <w:r w:rsidR="002170DF" w:rsidRPr="0081285E">
        <w:rPr>
          <w:rFonts w:ascii="Times New Roman" w:hAnsi="Times New Roman"/>
          <w:sz w:val="22"/>
          <w:szCs w:val="22"/>
        </w:rPr>
        <w:t xml:space="preserve">pollution should focus on </w:t>
      </w:r>
      <w:r w:rsidR="006B02BF" w:rsidRPr="0081285E">
        <w:rPr>
          <w:rFonts w:ascii="Times New Roman" w:hAnsi="Times New Roman"/>
          <w:sz w:val="22"/>
          <w:szCs w:val="22"/>
        </w:rPr>
        <w:t>this source</w:t>
      </w:r>
      <w:r w:rsidR="00A71ACF" w:rsidRPr="0081285E">
        <w:rPr>
          <w:rFonts w:ascii="Times New Roman" w:hAnsi="Times New Roman"/>
          <w:sz w:val="22"/>
          <w:szCs w:val="22"/>
        </w:rPr>
        <w:t xml:space="preserve"> category</w:t>
      </w:r>
      <w:r w:rsidR="006B02BF" w:rsidRPr="0081285E">
        <w:rPr>
          <w:rFonts w:ascii="Times New Roman" w:hAnsi="Times New Roman"/>
          <w:sz w:val="22"/>
          <w:szCs w:val="22"/>
        </w:rPr>
        <w:t xml:space="preserve">. </w:t>
      </w:r>
      <w:r w:rsidR="00375CB4" w:rsidRPr="0081285E">
        <w:rPr>
          <w:rFonts w:ascii="Times New Roman" w:hAnsi="Times New Roman"/>
          <w:sz w:val="22"/>
          <w:szCs w:val="22"/>
        </w:rPr>
        <w:t>DEQ therefore proposes to designate woodstoves as the priority sources in the proposed Lakeview sustainment area.</w:t>
      </w:r>
    </w:p>
    <w:p w:rsidR="00125A45" w:rsidRDefault="00125A45" w:rsidP="0081285E">
      <w:pPr>
        <w:pStyle w:val="Heading2"/>
        <w:rPr>
          <w:rFonts w:ascii="Arial" w:hAnsi="Arial" w:cs="Arial"/>
          <w:sz w:val="24"/>
          <w:szCs w:val="24"/>
        </w:rPr>
      </w:pPr>
      <w:bookmarkStart w:id="31" w:name="_Toc321981538"/>
      <w:bookmarkStart w:id="32" w:name="_Toc330476385"/>
      <w:bookmarkStart w:id="33" w:name="_Toc339538129"/>
      <w:bookmarkStart w:id="34" w:name="_Toc369548792"/>
    </w:p>
    <w:p w:rsidR="00801B88" w:rsidRPr="00125A45" w:rsidRDefault="00801B88" w:rsidP="0081285E">
      <w:pPr>
        <w:pStyle w:val="Heading2"/>
        <w:rPr>
          <w:rFonts w:ascii="Arial" w:hAnsi="Arial" w:cs="Arial"/>
          <w:sz w:val="28"/>
          <w:szCs w:val="28"/>
        </w:rPr>
      </w:pPr>
      <w:r w:rsidRPr="00125A45">
        <w:rPr>
          <w:rFonts w:ascii="Arial" w:hAnsi="Arial" w:cs="Arial"/>
          <w:sz w:val="28"/>
          <w:szCs w:val="28"/>
        </w:rPr>
        <w:t xml:space="preserve">PM </w:t>
      </w:r>
      <w:r w:rsidR="0099155F" w:rsidRPr="00125A45">
        <w:rPr>
          <w:rFonts w:ascii="Arial" w:hAnsi="Arial" w:cs="Arial"/>
          <w:sz w:val="28"/>
          <w:szCs w:val="28"/>
        </w:rPr>
        <w:t>Advance Program</w:t>
      </w:r>
    </w:p>
    <w:p w:rsidR="00736300" w:rsidRPr="0081285E" w:rsidRDefault="00C164E0" w:rsidP="00736300">
      <w:pPr>
        <w:rPr>
          <w:rFonts w:ascii="Times New Roman" w:hAnsi="Times New Roman"/>
          <w:sz w:val="22"/>
          <w:szCs w:val="22"/>
        </w:rPr>
      </w:pPr>
      <w:r w:rsidRPr="0081285E">
        <w:rPr>
          <w:rFonts w:ascii="Times New Roman" w:hAnsi="Times New Roman"/>
          <w:sz w:val="22"/>
          <w:szCs w:val="22"/>
        </w:rPr>
        <w:t>In 2013, EPA announced the development of a voluntary program that communities could participate in to reduce emissions of PM</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This program, called PM Advance, was modeled after </w:t>
      </w:r>
      <w:r w:rsidR="0053157B" w:rsidRPr="0081285E">
        <w:rPr>
          <w:rFonts w:ascii="Times New Roman" w:hAnsi="Times New Roman"/>
          <w:sz w:val="22"/>
          <w:szCs w:val="22"/>
        </w:rPr>
        <w:t xml:space="preserve">EPA’s </w:t>
      </w:r>
      <w:r w:rsidRPr="0081285E">
        <w:rPr>
          <w:rFonts w:ascii="Times New Roman" w:hAnsi="Times New Roman"/>
          <w:sz w:val="22"/>
          <w:szCs w:val="22"/>
        </w:rPr>
        <w:t xml:space="preserve">existing </w:t>
      </w:r>
      <w:r w:rsidR="0053157B" w:rsidRPr="0081285E">
        <w:rPr>
          <w:rFonts w:ascii="Times New Roman" w:hAnsi="Times New Roman"/>
          <w:sz w:val="22"/>
          <w:szCs w:val="22"/>
        </w:rPr>
        <w:t>O</w:t>
      </w:r>
      <w:r w:rsidRPr="0081285E">
        <w:rPr>
          <w:rFonts w:ascii="Times New Roman" w:hAnsi="Times New Roman"/>
          <w:sz w:val="22"/>
          <w:szCs w:val="22"/>
        </w:rPr>
        <w:t xml:space="preserve">zone </w:t>
      </w:r>
      <w:r w:rsidR="0053157B" w:rsidRPr="0081285E">
        <w:rPr>
          <w:rFonts w:ascii="Times New Roman" w:hAnsi="Times New Roman"/>
          <w:sz w:val="22"/>
          <w:szCs w:val="22"/>
        </w:rPr>
        <w:t>A</w:t>
      </w:r>
      <w:r w:rsidRPr="0081285E">
        <w:rPr>
          <w:rFonts w:ascii="Times New Roman" w:hAnsi="Times New Roman"/>
          <w:sz w:val="22"/>
          <w:szCs w:val="22"/>
        </w:rPr>
        <w:t>dvance program</w:t>
      </w:r>
      <w:r w:rsidR="002E1AD8" w:rsidRPr="0081285E">
        <w:rPr>
          <w:rFonts w:ascii="Times New Roman" w:hAnsi="Times New Roman"/>
          <w:sz w:val="22"/>
          <w:szCs w:val="22"/>
        </w:rPr>
        <w:t xml:space="preserve">. </w:t>
      </w:r>
      <w:r w:rsidRPr="0081285E">
        <w:rPr>
          <w:rFonts w:ascii="Times New Roman" w:hAnsi="Times New Roman"/>
          <w:sz w:val="22"/>
          <w:szCs w:val="22"/>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sidRPr="0081285E">
        <w:rPr>
          <w:rFonts w:ascii="Times New Roman" w:hAnsi="Times New Roman"/>
          <w:sz w:val="22"/>
          <w:szCs w:val="22"/>
        </w:rPr>
        <w:t xml:space="preserve">. </w:t>
      </w:r>
      <w:r w:rsidR="002B1AB1" w:rsidRPr="0081285E">
        <w:rPr>
          <w:rFonts w:ascii="Times New Roman" w:hAnsi="Times New Roman"/>
          <w:sz w:val="22"/>
          <w:szCs w:val="22"/>
        </w:rPr>
        <w:t xml:space="preserve">Development of the plan is based on community involvement and input to </w:t>
      </w:r>
      <w:r w:rsidR="00CE5A9D" w:rsidRPr="0081285E">
        <w:rPr>
          <w:rFonts w:ascii="Times New Roman" w:hAnsi="Times New Roman"/>
          <w:sz w:val="22"/>
          <w:szCs w:val="22"/>
        </w:rPr>
        <w:t>identif</w:t>
      </w:r>
      <w:r w:rsidR="002B1AB1" w:rsidRPr="0081285E">
        <w:rPr>
          <w:rFonts w:ascii="Times New Roman" w:hAnsi="Times New Roman"/>
          <w:sz w:val="22"/>
          <w:szCs w:val="22"/>
        </w:rPr>
        <w:t>y</w:t>
      </w:r>
      <w:r w:rsidR="00CE5A9D" w:rsidRPr="0081285E">
        <w:rPr>
          <w:rFonts w:ascii="Times New Roman" w:hAnsi="Times New Roman"/>
          <w:sz w:val="22"/>
          <w:szCs w:val="22"/>
        </w:rPr>
        <w:t xml:space="preserve"> </w:t>
      </w:r>
      <w:r w:rsidR="002B1AB1" w:rsidRPr="0081285E">
        <w:rPr>
          <w:rFonts w:ascii="Times New Roman" w:hAnsi="Times New Roman"/>
          <w:sz w:val="22"/>
          <w:szCs w:val="22"/>
        </w:rPr>
        <w:t xml:space="preserve">and implement </w:t>
      </w:r>
      <w:r w:rsidR="00CE5A9D" w:rsidRPr="0081285E">
        <w:rPr>
          <w:rFonts w:ascii="Times New Roman" w:hAnsi="Times New Roman"/>
          <w:sz w:val="22"/>
          <w:szCs w:val="22"/>
        </w:rPr>
        <w:t>emission reduction strategies</w:t>
      </w:r>
      <w:r w:rsidR="002E1AD8" w:rsidRPr="0081285E">
        <w:rPr>
          <w:rFonts w:ascii="Times New Roman" w:hAnsi="Times New Roman"/>
          <w:sz w:val="22"/>
          <w:szCs w:val="22"/>
        </w:rPr>
        <w:t xml:space="preserve">. </w:t>
      </w:r>
      <w:r w:rsidR="002B1AB1" w:rsidRPr="0081285E">
        <w:rPr>
          <w:rFonts w:ascii="Times New Roman" w:hAnsi="Times New Roman"/>
          <w:sz w:val="22"/>
          <w:szCs w:val="22"/>
        </w:rPr>
        <w:t>These strategies</w:t>
      </w:r>
      <w:r w:rsidR="00CE5A9D" w:rsidRPr="0081285E">
        <w:rPr>
          <w:rFonts w:ascii="Times New Roman" w:hAnsi="Times New Roman"/>
          <w:sz w:val="22"/>
          <w:szCs w:val="22"/>
        </w:rPr>
        <w:t xml:space="preserve"> can be changed or modified as needed to accomplish the objective of meeting the PM</w:t>
      </w:r>
      <w:r w:rsidR="00CE5A9D" w:rsidRPr="0081285E">
        <w:rPr>
          <w:rFonts w:ascii="Times New Roman" w:hAnsi="Times New Roman"/>
          <w:sz w:val="22"/>
          <w:szCs w:val="22"/>
          <w:vertAlign w:val="subscript"/>
        </w:rPr>
        <w:t xml:space="preserve">2.5 </w:t>
      </w:r>
      <w:r w:rsidR="00CE5A9D" w:rsidRPr="0081285E">
        <w:rPr>
          <w:rFonts w:ascii="Times New Roman" w:hAnsi="Times New Roman"/>
          <w:sz w:val="22"/>
          <w:szCs w:val="22"/>
        </w:rPr>
        <w:t>standard.</w:t>
      </w:r>
      <w:r w:rsidR="00736300" w:rsidRPr="0081285E">
        <w:rPr>
          <w:rFonts w:ascii="Times New Roman" w:hAnsi="Times New Roman"/>
          <w:sz w:val="22"/>
          <w:szCs w:val="22"/>
        </w:rPr>
        <w:t xml:space="preserve"> </w:t>
      </w:r>
    </w:p>
    <w:p w:rsidR="00A71ACF" w:rsidRPr="0081285E" w:rsidRDefault="00116FCF">
      <w:pPr>
        <w:pStyle w:val="Heading2"/>
        <w:rPr>
          <w:rFonts w:ascii="Arial" w:hAnsi="Arial" w:cs="Arial"/>
          <w:sz w:val="24"/>
          <w:szCs w:val="24"/>
        </w:rPr>
      </w:pPr>
      <w:r w:rsidRPr="0081285E">
        <w:rPr>
          <w:rFonts w:ascii="Arial" w:hAnsi="Arial" w:cs="Arial"/>
          <w:sz w:val="24"/>
          <w:szCs w:val="24"/>
        </w:rPr>
        <w:t>Lakeview’s PM Advance Plan</w:t>
      </w:r>
    </w:p>
    <w:p w:rsidR="00796F68" w:rsidRPr="0081285E" w:rsidRDefault="00C164E0" w:rsidP="00116FCF">
      <w:pPr>
        <w:rPr>
          <w:rFonts w:ascii="Times New Roman" w:hAnsi="Times New Roman"/>
          <w:sz w:val="22"/>
          <w:szCs w:val="22"/>
        </w:rPr>
      </w:pPr>
      <w:r w:rsidRPr="0081285E">
        <w:rPr>
          <w:rFonts w:ascii="Times New Roman" w:hAnsi="Times New Roman"/>
          <w:sz w:val="22"/>
          <w:szCs w:val="22"/>
        </w:rPr>
        <w:t>DEQ, in coordination with the Town of Lakeview and Lake County formed an advisory committee to develop a plan to achieve emission reductions by 2019</w:t>
      </w:r>
      <w:r w:rsidR="002E1AD8" w:rsidRPr="0081285E">
        <w:rPr>
          <w:rFonts w:ascii="Times New Roman" w:hAnsi="Times New Roman"/>
          <w:sz w:val="22"/>
          <w:szCs w:val="22"/>
        </w:rPr>
        <w:t xml:space="preserve">. </w:t>
      </w:r>
      <w:r w:rsidR="007D2FD5" w:rsidRPr="0081285E">
        <w:rPr>
          <w:rFonts w:ascii="Times New Roman" w:hAnsi="Times New Roman"/>
          <w:sz w:val="22"/>
          <w:szCs w:val="22"/>
        </w:rPr>
        <w:t>From</w:t>
      </w:r>
      <w:r w:rsidR="00866444" w:rsidRPr="0081285E">
        <w:rPr>
          <w:rFonts w:ascii="Times New Roman" w:hAnsi="Times New Roman"/>
          <w:sz w:val="22"/>
          <w:szCs w:val="22"/>
        </w:rPr>
        <w:t xml:space="preserve"> June 2013</w:t>
      </w:r>
      <w:r w:rsidR="007D2FD5" w:rsidRPr="0081285E">
        <w:rPr>
          <w:rFonts w:ascii="Times New Roman" w:hAnsi="Times New Roman"/>
          <w:sz w:val="22"/>
          <w:szCs w:val="22"/>
        </w:rPr>
        <w:t xml:space="preserve"> through </w:t>
      </w:r>
      <w:r w:rsidR="001D2530" w:rsidRPr="0081285E">
        <w:rPr>
          <w:rFonts w:ascii="Times New Roman" w:hAnsi="Times New Roman"/>
          <w:sz w:val="22"/>
          <w:szCs w:val="22"/>
        </w:rPr>
        <w:t>June 2014</w:t>
      </w:r>
      <w:r w:rsidR="00866444" w:rsidRPr="0081285E">
        <w:rPr>
          <w:rFonts w:ascii="Times New Roman" w:hAnsi="Times New Roman"/>
          <w:sz w:val="22"/>
          <w:szCs w:val="22"/>
        </w:rPr>
        <w:t xml:space="preserve">, </w:t>
      </w:r>
      <w:r w:rsidR="007D2FD5" w:rsidRPr="0081285E">
        <w:rPr>
          <w:rFonts w:ascii="Times New Roman" w:hAnsi="Times New Roman"/>
          <w:sz w:val="22"/>
          <w:szCs w:val="22"/>
        </w:rPr>
        <w:t xml:space="preserve">the advisory committee </w:t>
      </w:r>
      <w:r w:rsidR="001D2530" w:rsidRPr="0081285E">
        <w:rPr>
          <w:rFonts w:ascii="Times New Roman" w:hAnsi="Times New Roman"/>
          <w:sz w:val="22"/>
          <w:szCs w:val="22"/>
        </w:rPr>
        <w:t>has been meeting</w:t>
      </w:r>
      <w:r w:rsidR="007D2FD5" w:rsidRPr="0081285E">
        <w:rPr>
          <w:rFonts w:ascii="Times New Roman" w:hAnsi="Times New Roman"/>
          <w:sz w:val="22"/>
          <w:szCs w:val="22"/>
        </w:rPr>
        <w:t xml:space="preserve"> to discuss issues, identify the sources of PM in Lakeview, and to brainstorm and recommend strategies that the community would implement over the next five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The committee </w:t>
      </w:r>
      <w:r w:rsidR="001D2530" w:rsidRPr="0081285E">
        <w:rPr>
          <w:rFonts w:ascii="Times New Roman" w:hAnsi="Times New Roman"/>
          <w:sz w:val="22"/>
          <w:szCs w:val="22"/>
        </w:rPr>
        <w:t xml:space="preserve">plans to </w:t>
      </w:r>
      <w:r w:rsidR="00796F68" w:rsidRPr="0081285E">
        <w:rPr>
          <w:rFonts w:ascii="Times New Roman" w:hAnsi="Times New Roman"/>
          <w:sz w:val="22"/>
          <w:szCs w:val="22"/>
        </w:rPr>
        <w:t>put forward a suite of options to implement over the next few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This </w:t>
      </w:r>
      <w:r w:rsidR="001D2530" w:rsidRPr="0081285E">
        <w:rPr>
          <w:rFonts w:ascii="Times New Roman" w:hAnsi="Times New Roman"/>
          <w:sz w:val="22"/>
          <w:szCs w:val="22"/>
        </w:rPr>
        <w:t>may include</w:t>
      </w:r>
      <w:r w:rsidR="00796F68" w:rsidRPr="0081285E">
        <w:rPr>
          <w:rFonts w:ascii="Times New Roman" w:hAnsi="Times New Roman"/>
          <w:sz w:val="22"/>
          <w:szCs w:val="22"/>
        </w:rPr>
        <w:t xml:space="preserve"> enhanced education and outreach, continued implementation of the voluntary woodstove curtailment call,</w:t>
      </w:r>
      <w:r w:rsidR="002E1184" w:rsidRPr="0081285E">
        <w:rPr>
          <w:rFonts w:ascii="Times New Roman" w:hAnsi="Times New Roman"/>
          <w:sz w:val="22"/>
          <w:szCs w:val="22"/>
        </w:rPr>
        <w:t xml:space="preserve"> current and future woodstove changeouts,</w:t>
      </w:r>
      <w:r w:rsidR="00796F68" w:rsidRPr="0081285E">
        <w:rPr>
          <w:rFonts w:ascii="Times New Roman" w:hAnsi="Times New Roman"/>
          <w:sz w:val="22"/>
          <w:szCs w:val="22"/>
        </w:rPr>
        <w:t xml:space="preserve"> an agreement with the USFS to not burn on poor air quality days, and the potential expansion of open burning restrictions to incorporate </w:t>
      </w:r>
      <w:r w:rsidR="001D2530" w:rsidRPr="0081285E">
        <w:rPr>
          <w:rFonts w:ascii="Times New Roman" w:hAnsi="Times New Roman"/>
          <w:sz w:val="22"/>
          <w:szCs w:val="22"/>
        </w:rPr>
        <w:t>the UGB</w:t>
      </w:r>
      <w:r w:rsidR="00796F68" w:rsidRPr="0081285E">
        <w:rPr>
          <w:rFonts w:ascii="Times New Roman" w:hAnsi="Times New Roman"/>
          <w:sz w:val="22"/>
          <w:szCs w:val="22"/>
        </w:rPr>
        <w:t xml:space="preserve"> (current law only applies to the </w:t>
      </w:r>
      <w:r w:rsidR="001D2530" w:rsidRPr="0081285E">
        <w:rPr>
          <w:rFonts w:ascii="Times New Roman" w:hAnsi="Times New Roman"/>
          <w:sz w:val="22"/>
          <w:szCs w:val="22"/>
        </w:rPr>
        <w:t>town</w:t>
      </w:r>
      <w:r w:rsidR="00796F68" w:rsidRPr="0081285E">
        <w:rPr>
          <w:rFonts w:ascii="Times New Roman" w:hAnsi="Times New Roman"/>
          <w:sz w:val="22"/>
          <w:szCs w:val="22"/>
        </w:rPr>
        <w:t xml:space="preserve">). </w:t>
      </w:r>
      <w:r w:rsidR="002E1184" w:rsidRPr="0081285E">
        <w:rPr>
          <w:rFonts w:ascii="Times New Roman" w:hAnsi="Times New Roman"/>
          <w:sz w:val="22"/>
          <w:szCs w:val="22"/>
        </w:rPr>
        <w:t xml:space="preserve">The town also hopes to pursue future strategies including additional woodstove changeouts, long-term efforts to find alternate sources of heat other than wood (such as geothermal or natural gas), </w:t>
      </w:r>
      <w:r w:rsidR="00F91A5C" w:rsidRPr="0081285E">
        <w:rPr>
          <w:rFonts w:ascii="Times New Roman" w:hAnsi="Times New Roman"/>
          <w:sz w:val="22"/>
          <w:szCs w:val="22"/>
        </w:rPr>
        <w:t xml:space="preserve">and </w:t>
      </w:r>
      <w:r w:rsidR="002E1184" w:rsidRPr="0081285E">
        <w:rPr>
          <w:rFonts w:ascii="Times New Roman" w:hAnsi="Times New Roman"/>
          <w:sz w:val="22"/>
          <w:szCs w:val="22"/>
        </w:rPr>
        <w:t>additional town and county ordinances to restrict use of woodstoves.</w:t>
      </w:r>
      <w:r w:rsidR="00CC5D4B" w:rsidRPr="0081285E">
        <w:rPr>
          <w:rFonts w:ascii="Times New Roman" w:hAnsi="Times New Roman"/>
          <w:sz w:val="22"/>
          <w:szCs w:val="22"/>
        </w:rPr>
        <w:t xml:space="preserve"> Sustainment area rules will help the community change out uncertified woodstoves, the primary source of emissions that cause the exceedances of the PM</w:t>
      </w:r>
      <w:r w:rsidR="00CC5D4B" w:rsidRPr="0081285E">
        <w:rPr>
          <w:rFonts w:ascii="Times New Roman" w:hAnsi="Times New Roman"/>
          <w:sz w:val="22"/>
          <w:szCs w:val="22"/>
          <w:vertAlign w:val="subscript"/>
        </w:rPr>
        <w:t xml:space="preserve">2.5 </w:t>
      </w:r>
      <w:r w:rsidR="00116FCF" w:rsidRPr="0081285E">
        <w:rPr>
          <w:rFonts w:ascii="Times New Roman" w:hAnsi="Times New Roman"/>
          <w:sz w:val="22"/>
          <w:szCs w:val="22"/>
        </w:rPr>
        <w:t>s</w:t>
      </w:r>
      <w:r w:rsidR="00CC5D4B" w:rsidRPr="0081285E">
        <w:rPr>
          <w:rFonts w:ascii="Times New Roman" w:hAnsi="Times New Roman"/>
          <w:sz w:val="22"/>
          <w:szCs w:val="22"/>
        </w:rPr>
        <w:t>tandard.</w:t>
      </w:r>
    </w:p>
    <w:p w:rsidR="00411110" w:rsidRPr="0081285E" w:rsidRDefault="00411110" w:rsidP="00B70853">
      <w:pPr>
        <w:pStyle w:val="NoSpacing"/>
        <w:rPr>
          <w:rFonts w:ascii="Times New Roman" w:hAnsi="Times New Roman"/>
          <w:sz w:val="22"/>
          <w:szCs w:val="22"/>
        </w:rPr>
      </w:pPr>
      <w:bookmarkStart w:id="35" w:name="_Toc395598097"/>
      <w:bookmarkStart w:id="36" w:name="_Toc395598212"/>
      <w:bookmarkStart w:id="37" w:name="_Toc395599665"/>
      <w:bookmarkStart w:id="38" w:name="_Toc395600628"/>
      <w:bookmarkStart w:id="39" w:name="_Toc395601710"/>
      <w:bookmarkStart w:id="40" w:name="_Toc395602378"/>
      <w:bookmarkStart w:id="41" w:name="_Toc447015309"/>
      <w:bookmarkStart w:id="42" w:name="_Toc320007443"/>
      <w:bookmarkStart w:id="43" w:name="_Toc320180017"/>
      <w:bookmarkStart w:id="44" w:name="_Toc330476421"/>
      <w:bookmarkStart w:id="45" w:name="_Toc339538147"/>
      <w:bookmarkEnd w:id="31"/>
      <w:bookmarkEnd w:id="32"/>
      <w:bookmarkEnd w:id="33"/>
      <w:bookmarkEnd w:id="34"/>
    </w:p>
    <w:p w:rsidR="00E64B8D" w:rsidRDefault="00E64B8D" w:rsidP="00B70853">
      <w:pPr>
        <w:pStyle w:val="NoSpacing"/>
        <w:rPr>
          <w:rFonts w:ascii="Times New Roman" w:hAnsi="Times New Roman"/>
          <w:sz w:val="22"/>
          <w:szCs w:val="22"/>
        </w:rPr>
      </w:pPr>
      <w:r w:rsidRPr="0081285E">
        <w:rPr>
          <w:rFonts w:ascii="Times New Roman" w:hAnsi="Times New Roman"/>
          <w:sz w:val="22"/>
          <w:szCs w:val="22"/>
        </w:rPr>
        <w:t xml:space="preserve">A sustainment area </w:t>
      </w:r>
      <w:r w:rsidR="00405B33" w:rsidRPr="0081285E">
        <w:rPr>
          <w:rFonts w:ascii="Times New Roman" w:hAnsi="Times New Roman"/>
          <w:sz w:val="22"/>
          <w:szCs w:val="22"/>
        </w:rPr>
        <w:t xml:space="preserve">designation </w:t>
      </w:r>
      <w:r w:rsidRPr="0081285E">
        <w:rPr>
          <w:rFonts w:ascii="Times New Roman" w:hAnsi="Times New Roman"/>
          <w:sz w:val="22"/>
          <w:szCs w:val="22"/>
        </w:rPr>
        <w:t xml:space="preserve">for Lakeview will improve the </w:t>
      </w:r>
      <w:r w:rsidR="001879C8" w:rsidRPr="0081285E">
        <w:rPr>
          <w:rFonts w:ascii="Times New Roman" w:hAnsi="Times New Roman"/>
          <w:sz w:val="22"/>
          <w:szCs w:val="22"/>
        </w:rPr>
        <w:t xml:space="preserve">PM Advance </w:t>
      </w:r>
      <w:r w:rsidRPr="0081285E">
        <w:rPr>
          <w:rFonts w:ascii="Times New Roman" w:hAnsi="Times New Roman"/>
          <w:sz w:val="22"/>
          <w:szCs w:val="22"/>
        </w:rPr>
        <w:t>plan by</w:t>
      </w:r>
      <w:r w:rsidR="00405B33" w:rsidRPr="0081285E">
        <w:rPr>
          <w:rFonts w:ascii="Times New Roman" w:hAnsi="Times New Roman"/>
          <w:sz w:val="22"/>
          <w:szCs w:val="22"/>
        </w:rPr>
        <w:t xml:space="preserve"> </w:t>
      </w:r>
      <w:r w:rsidRPr="0081285E">
        <w:rPr>
          <w:rFonts w:ascii="Times New Roman" w:hAnsi="Times New Roman"/>
          <w:sz w:val="22"/>
          <w:szCs w:val="22"/>
        </w:rPr>
        <w:t>allow</w:t>
      </w:r>
      <w:r w:rsidR="00F91A5C" w:rsidRPr="0081285E">
        <w:rPr>
          <w:rFonts w:ascii="Times New Roman" w:hAnsi="Times New Roman"/>
          <w:sz w:val="22"/>
          <w:szCs w:val="22"/>
        </w:rPr>
        <w:t>ing and encouraging</w:t>
      </w:r>
      <w:r w:rsidRPr="0081285E">
        <w:rPr>
          <w:rFonts w:ascii="Times New Roman" w:hAnsi="Times New Roman"/>
          <w:sz w:val="22"/>
          <w:szCs w:val="22"/>
        </w:rPr>
        <w:t xml:space="preserve"> new or expanding industrial sources to purchase woodstove emission offsets to become established</w:t>
      </w:r>
      <w:r w:rsidR="00F91A5C" w:rsidRPr="0081285E">
        <w:rPr>
          <w:rFonts w:ascii="Times New Roman" w:hAnsi="Times New Roman"/>
          <w:sz w:val="22"/>
          <w:szCs w:val="22"/>
        </w:rPr>
        <w:t xml:space="preserve"> or expand</w:t>
      </w:r>
      <w:r w:rsidRPr="0081285E">
        <w:rPr>
          <w:rFonts w:ascii="Times New Roman" w:hAnsi="Times New Roman"/>
          <w:sz w:val="22"/>
          <w:szCs w:val="22"/>
        </w:rPr>
        <w:t xml:space="preserve"> in Lakeview. These reductions in woodstove emissions will reduce overall ambient conditions during critical wintertime days</w:t>
      </w:r>
      <w:r w:rsidR="00405B33" w:rsidRPr="0081285E">
        <w:rPr>
          <w:rFonts w:ascii="Times New Roman" w:hAnsi="Times New Roman"/>
          <w:sz w:val="22"/>
          <w:szCs w:val="22"/>
        </w:rPr>
        <w:t xml:space="preserve"> and contribute to better overall air quality in Lakeview</w:t>
      </w:r>
      <w:r w:rsidR="002E1AD8" w:rsidRPr="0081285E">
        <w:rPr>
          <w:rFonts w:ascii="Times New Roman" w:hAnsi="Times New Roman"/>
          <w:sz w:val="22"/>
          <w:szCs w:val="22"/>
        </w:rPr>
        <w:t xml:space="preserve">. </w:t>
      </w:r>
      <w:r w:rsidRPr="0081285E">
        <w:rPr>
          <w:rFonts w:ascii="Times New Roman" w:hAnsi="Times New Roman"/>
          <w:sz w:val="22"/>
          <w:szCs w:val="22"/>
        </w:rPr>
        <w:t xml:space="preserve"> </w:t>
      </w:r>
    </w:p>
    <w:p w:rsidR="0099155F" w:rsidRPr="0081285E" w:rsidRDefault="0099155F" w:rsidP="00B70853">
      <w:pPr>
        <w:pStyle w:val="NoSpacing"/>
        <w:rPr>
          <w:rFonts w:ascii="Times New Roman" w:hAnsi="Times New Roman"/>
          <w:sz w:val="22"/>
          <w:szCs w:val="22"/>
        </w:rPr>
      </w:pPr>
    </w:p>
    <w:bookmarkEnd w:id="35"/>
    <w:bookmarkEnd w:id="36"/>
    <w:bookmarkEnd w:id="37"/>
    <w:bookmarkEnd w:id="38"/>
    <w:bookmarkEnd w:id="39"/>
    <w:bookmarkEnd w:id="40"/>
    <w:bookmarkEnd w:id="41"/>
    <w:bookmarkEnd w:id="42"/>
    <w:bookmarkEnd w:id="43"/>
    <w:bookmarkEnd w:id="44"/>
    <w:bookmarkEnd w:id="45"/>
    <w:p w:rsidR="00C77594" w:rsidRPr="00125A45" w:rsidRDefault="0099155F" w:rsidP="0081285E">
      <w:pPr>
        <w:pStyle w:val="Heading2"/>
        <w:rPr>
          <w:rFonts w:ascii="Arial" w:hAnsi="Arial" w:cs="Arial"/>
          <w:sz w:val="28"/>
          <w:szCs w:val="28"/>
        </w:rPr>
      </w:pPr>
      <w:r w:rsidRPr="00125A45">
        <w:rPr>
          <w:rFonts w:ascii="Arial" w:hAnsi="Arial" w:cs="Arial"/>
          <w:sz w:val="28"/>
          <w:szCs w:val="28"/>
        </w:rPr>
        <w:t>Conclusion</w:t>
      </w:r>
    </w:p>
    <w:p w:rsidR="00C77594" w:rsidRPr="0081285E" w:rsidRDefault="004D208B" w:rsidP="00C77594">
      <w:pPr>
        <w:pStyle w:val="NoSpacing"/>
        <w:rPr>
          <w:rFonts w:ascii="Times New Roman" w:hAnsi="Times New Roman"/>
          <w:sz w:val="22"/>
          <w:szCs w:val="22"/>
        </w:rPr>
      </w:pPr>
      <w:r w:rsidRPr="0081285E">
        <w:rPr>
          <w:rFonts w:ascii="Times New Roman" w:hAnsi="Times New Roman"/>
          <w:sz w:val="22"/>
          <w:szCs w:val="22"/>
        </w:rPr>
        <w:t>DEQ proposes to designate the Lakeview area as a sustainment area for PM2.5, under OAR 340-204-0030, with woodstoves the priority sources.</w:t>
      </w:r>
    </w:p>
    <w:p w:rsidR="00C77594" w:rsidRPr="0081285E" w:rsidRDefault="00C77594" w:rsidP="00C77594">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Monitoring data has been presented showing that the Lakeview area is exceeding or has the potential to exceed the PM</w:t>
      </w:r>
      <w:r w:rsidRPr="0081285E">
        <w:rPr>
          <w:rFonts w:ascii="Times New Roman" w:hAnsi="Times New Roman"/>
          <w:sz w:val="22"/>
          <w:szCs w:val="22"/>
          <w:vertAlign w:val="subscript"/>
        </w:rPr>
        <w:t>2.5</w:t>
      </w:r>
      <w:r w:rsidRPr="0081285E">
        <w:rPr>
          <w:rFonts w:ascii="Times New Roman" w:hAnsi="Times New Roman"/>
          <w:sz w:val="22"/>
          <w:szCs w:val="22"/>
        </w:rPr>
        <w:t xml:space="preserve"> ambient air quality standard.</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description of the affected area based on the monitoring data has been presented. The boundary of the proposed Lakeview sustainment area is the Lakeview urban growth boundary.</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discussion and identification of the priority sources contributing to the exceedance or potential exceedance of the ambient air quality standard has been presented. DEQ has determined that woodstoves are the main contributors to PM</w:t>
      </w:r>
      <w:r w:rsidRPr="0081285E">
        <w:rPr>
          <w:rFonts w:ascii="Times New Roman" w:hAnsi="Times New Roman"/>
          <w:sz w:val="22"/>
          <w:szCs w:val="22"/>
          <w:vertAlign w:val="subscript"/>
        </w:rPr>
        <w:t>2.5</w:t>
      </w:r>
      <w:r w:rsidRPr="0081285E">
        <w:rPr>
          <w:rFonts w:ascii="Times New Roman" w:hAnsi="Times New Roman"/>
          <w:sz w:val="22"/>
          <w:szCs w:val="22"/>
        </w:rPr>
        <w:t xml:space="preserve"> air quality problems</w:t>
      </w:r>
      <w:r w:rsidR="00260862" w:rsidRPr="0081285E">
        <w:rPr>
          <w:rFonts w:ascii="Times New Roman" w:hAnsi="Times New Roman"/>
          <w:sz w:val="22"/>
          <w:szCs w:val="22"/>
        </w:rPr>
        <w:t>.</w:t>
      </w:r>
      <w:r w:rsidRPr="0081285E">
        <w:rPr>
          <w:rFonts w:ascii="Times New Roman" w:hAnsi="Times New Roman"/>
          <w:sz w:val="22"/>
          <w:szCs w:val="22"/>
        </w:rPr>
        <w:t xml:space="preserve"> </w:t>
      </w:r>
      <w:r w:rsidR="00260862" w:rsidRPr="0081285E">
        <w:rPr>
          <w:rFonts w:ascii="Times New Roman" w:hAnsi="Times New Roman"/>
          <w:sz w:val="22"/>
          <w:szCs w:val="22"/>
        </w:rPr>
        <w:t>T</w:t>
      </w:r>
      <w:r w:rsidR="004D208B" w:rsidRPr="0081285E">
        <w:rPr>
          <w:rFonts w:ascii="Times New Roman" w:hAnsi="Times New Roman"/>
          <w:sz w:val="22"/>
          <w:szCs w:val="22"/>
        </w:rPr>
        <w:t>herefore</w:t>
      </w:r>
      <w:r w:rsidR="00260862" w:rsidRPr="0081285E">
        <w:rPr>
          <w:rFonts w:ascii="Times New Roman" w:hAnsi="Times New Roman"/>
          <w:sz w:val="22"/>
          <w:szCs w:val="22"/>
        </w:rPr>
        <w:t>, DEQ</w:t>
      </w:r>
      <w:r w:rsidR="004D208B" w:rsidRPr="0081285E">
        <w:rPr>
          <w:rFonts w:ascii="Times New Roman" w:hAnsi="Times New Roman"/>
          <w:sz w:val="22"/>
          <w:szCs w:val="22"/>
        </w:rPr>
        <w:t xml:space="preserve"> </w:t>
      </w:r>
      <w:r w:rsidRPr="0081285E">
        <w:rPr>
          <w:rFonts w:ascii="Times New Roman" w:hAnsi="Times New Roman"/>
          <w:sz w:val="22"/>
          <w:szCs w:val="22"/>
        </w:rPr>
        <w:t>proposes to designate woodstoves as the priority sources in the Lakeview sustainment area.</w:t>
      </w:r>
    </w:p>
    <w:p w:rsidR="000025F5" w:rsidRPr="0081285E" w:rsidRDefault="000025F5" w:rsidP="000025F5">
      <w:pPr>
        <w:pStyle w:val="NoSpacing"/>
        <w:rPr>
          <w:rFonts w:ascii="Times New Roman" w:hAnsi="Times New Roman"/>
          <w:sz w:val="22"/>
          <w:szCs w:val="22"/>
        </w:rPr>
      </w:pPr>
    </w:p>
    <w:p w:rsidR="000025F5" w:rsidRPr="0081285E" w:rsidRDefault="00260862" w:rsidP="00C77594">
      <w:pPr>
        <w:pStyle w:val="NoSpacing"/>
        <w:rPr>
          <w:rFonts w:ascii="Times New Roman" w:hAnsi="Times New Roman"/>
          <w:sz w:val="22"/>
          <w:szCs w:val="22"/>
        </w:rPr>
      </w:pPr>
      <w:r w:rsidRPr="0081285E">
        <w:rPr>
          <w:rFonts w:ascii="Times New Roman" w:hAnsi="Times New Roman"/>
          <w:sz w:val="22"/>
          <w:szCs w:val="22"/>
        </w:rPr>
        <w:t>I</w:t>
      </w:r>
      <w:r w:rsidR="000025F5" w:rsidRPr="0081285E">
        <w:rPr>
          <w:rFonts w:ascii="Times New Roman" w:hAnsi="Times New Roman"/>
          <w:sz w:val="22"/>
          <w:szCs w:val="22"/>
        </w:rPr>
        <w:t xml:space="preserve">n summary, designating Lakeview as a sustainment area will allow Lakeview to pursue </w:t>
      </w:r>
      <w:r w:rsidRPr="0081285E">
        <w:rPr>
          <w:rFonts w:ascii="Times New Roman" w:hAnsi="Times New Roman"/>
          <w:sz w:val="22"/>
          <w:szCs w:val="22"/>
        </w:rPr>
        <w:t>intermediate</w:t>
      </w:r>
      <w:r w:rsidR="002F1ECD" w:rsidRPr="0081285E">
        <w:rPr>
          <w:rFonts w:ascii="Times New Roman" w:hAnsi="Times New Roman"/>
          <w:sz w:val="22"/>
          <w:szCs w:val="22"/>
        </w:rPr>
        <w:t>-</w:t>
      </w:r>
      <w:r w:rsidRPr="0081285E">
        <w:rPr>
          <w:rFonts w:ascii="Times New Roman" w:hAnsi="Times New Roman"/>
          <w:sz w:val="22"/>
          <w:szCs w:val="22"/>
        </w:rPr>
        <w:t xml:space="preserve">size industrial </w:t>
      </w:r>
      <w:r w:rsidR="000025F5" w:rsidRPr="0081285E">
        <w:rPr>
          <w:rFonts w:ascii="Times New Roman" w:hAnsi="Times New Roman"/>
          <w:sz w:val="22"/>
          <w:szCs w:val="22"/>
        </w:rPr>
        <w:t>economic development</w:t>
      </w:r>
      <w:r w:rsidRPr="0081285E">
        <w:rPr>
          <w:rFonts w:ascii="Times New Roman" w:hAnsi="Times New Roman"/>
          <w:sz w:val="22"/>
          <w:szCs w:val="22"/>
        </w:rPr>
        <w:t>. It</w:t>
      </w:r>
      <w:r w:rsidR="000025F5" w:rsidRPr="0081285E">
        <w:rPr>
          <w:rFonts w:ascii="Times New Roman" w:hAnsi="Times New Roman"/>
          <w:sz w:val="22"/>
          <w:szCs w:val="22"/>
        </w:rPr>
        <w:t xml:space="preserve"> will encourage new or expanding industry to obtain emission offsets from woodstove changeouts and thereby help address the main contributors to Lakeview’s air quality problems</w:t>
      </w:r>
      <w:r w:rsidRPr="0081285E">
        <w:rPr>
          <w:rFonts w:ascii="Times New Roman" w:hAnsi="Times New Roman"/>
          <w:sz w:val="22"/>
          <w:szCs w:val="22"/>
        </w:rPr>
        <w:t xml:space="preserve">. In addition, </w:t>
      </w:r>
      <w:r w:rsidR="002F1ECD" w:rsidRPr="0081285E">
        <w:rPr>
          <w:rFonts w:ascii="Times New Roman" w:hAnsi="Times New Roman"/>
          <w:sz w:val="22"/>
          <w:szCs w:val="22"/>
        </w:rPr>
        <w:t xml:space="preserve">a sustainment </w:t>
      </w:r>
      <w:r w:rsidRPr="0081285E">
        <w:rPr>
          <w:rFonts w:ascii="Times New Roman" w:hAnsi="Times New Roman"/>
          <w:sz w:val="22"/>
          <w:szCs w:val="22"/>
        </w:rPr>
        <w:t>designation</w:t>
      </w:r>
      <w:r w:rsidR="000025F5" w:rsidRPr="0081285E">
        <w:rPr>
          <w:rFonts w:ascii="Times New Roman" w:hAnsi="Times New Roman"/>
          <w:sz w:val="22"/>
          <w:szCs w:val="22"/>
        </w:rPr>
        <w:t xml:space="preserve"> along with Lakeview’s PM Advance efforts will help to bring Lakeview into compliance with the PM</w:t>
      </w:r>
      <w:r w:rsidR="00222FC6" w:rsidRPr="0081285E">
        <w:rPr>
          <w:rFonts w:ascii="Times New Roman" w:hAnsi="Times New Roman"/>
          <w:sz w:val="22"/>
          <w:szCs w:val="22"/>
          <w:vertAlign w:val="subscript"/>
        </w:rPr>
        <w:t>2.5</w:t>
      </w:r>
      <w:r w:rsidR="000025F5" w:rsidRPr="0081285E">
        <w:rPr>
          <w:rFonts w:ascii="Times New Roman" w:hAnsi="Times New Roman"/>
          <w:sz w:val="22"/>
          <w:szCs w:val="22"/>
        </w:rPr>
        <w:t xml:space="preserve"> AAQS.</w:t>
      </w:r>
    </w:p>
    <w:sectPr w:rsidR="000025F5" w:rsidRPr="0081285E" w:rsidSect="00CC2151">
      <w:footerReference w:type="default" r:id="rId16"/>
      <w:pgSz w:w="12240" w:h="15840"/>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81" w:rsidRDefault="001E5781" w:rsidP="00521690">
      <w:r>
        <w:separator/>
      </w:r>
    </w:p>
  </w:endnote>
  <w:endnote w:type="continuationSeparator" w:id="0">
    <w:p w:rsidR="001E5781" w:rsidRDefault="001E5781"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341887"/>
      <w:docPartObj>
        <w:docPartGallery w:val="Page Numbers (Bottom of Page)"/>
        <w:docPartUnique/>
      </w:docPartObj>
    </w:sdtPr>
    <w:sdtContent>
      <w:p w:rsidR="001E5781" w:rsidRPr="002A30F4" w:rsidRDefault="001E5781" w:rsidP="00B6437B">
        <w:pPr>
          <w:pStyle w:val="Footer"/>
          <w:rPr>
            <w:sz w:val="20"/>
          </w:rPr>
        </w:pPr>
      </w:p>
      <w:p w:rsidR="001E5781" w:rsidRPr="002A30F4" w:rsidRDefault="001E5781" w:rsidP="00B6437B">
        <w:pPr>
          <w:pStyle w:val="Footer"/>
          <w:rPr>
            <w:sz w:val="20"/>
          </w:rPr>
        </w:pPr>
        <w:r w:rsidRPr="002A30F4">
          <w:rPr>
            <w:sz w:val="20"/>
          </w:rPr>
          <w:t>06/16/14</w:t>
        </w:r>
        <w:r w:rsidR="00A92F1D">
          <w:rPr>
            <w:sz w:val="20"/>
          </w:rPr>
          <w:tab/>
          <w:t xml:space="preserve">Lakeview Sustainment Area </w:t>
        </w:r>
        <w:r w:rsidRPr="002A30F4">
          <w:rPr>
            <w:sz w:val="20"/>
          </w:rPr>
          <w:tab/>
          <w:t xml:space="preserve">Page | </w:t>
        </w:r>
        <w:r w:rsidR="00582524" w:rsidRPr="002A30F4">
          <w:rPr>
            <w:sz w:val="20"/>
          </w:rPr>
          <w:fldChar w:fldCharType="begin"/>
        </w:r>
        <w:r w:rsidR="00F71B94" w:rsidRPr="002A30F4">
          <w:rPr>
            <w:sz w:val="20"/>
          </w:rPr>
          <w:instrText xml:space="preserve"> PAGE   \* MERGEFORMAT </w:instrText>
        </w:r>
        <w:r w:rsidR="00582524" w:rsidRPr="002A30F4">
          <w:rPr>
            <w:sz w:val="20"/>
          </w:rPr>
          <w:fldChar w:fldCharType="separate"/>
        </w:r>
        <w:r w:rsidR="00970412">
          <w:rPr>
            <w:noProof/>
            <w:sz w:val="20"/>
          </w:rPr>
          <w:t>1</w:t>
        </w:r>
        <w:r w:rsidR="00582524" w:rsidRPr="002A30F4">
          <w:rPr>
            <w:sz w:val="20"/>
          </w:rPr>
          <w:fldChar w:fldCharType="end"/>
        </w:r>
        <w:r w:rsidRPr="002A30F4">
          <w:rPr>
            <w:sz w:val="20"/>
          </w:rPr>
          <w:t xml:space="preserve"> </w:t>
        </w:r>
      </w:p>
    </w:sdtContent>
  </w:sdt>
  <w:p w:rsidR="001E5781" w:rsidRDefault="001E57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81" w:rsidRDefault="001E5781" w:rsidP="00521690">
      <w:r>
        <w:separator/>
      </w:r>
    </w:p>
  </w:footnote>
  <w:footnote w:type="continuationSeparator" w:id="0">
    <w:p w:rsidR="001E5781" w:rsidRDefault="001E5781" w:rsidP="00521690">
      <w:r>
        <w:continuationSeparator/>
      </w:r>
    </w:p>
  </w:footnote>
  <w:footnote w:id="1">
    <w:p w:rsidR="001E5781" w:rsidRPr="00125A45" w:rsidRDefault="001E5781" w:rsidP="00ED48B9">
      <w:pPr>
        <w:pStyle w:val="FootnoteText"/>
        <w:rPr>
          <w:sz w:val="16"/>
          <w:szCs w:val="16"/>
        </w:rPr>
      </w:pPr>
      <w:r w:rsidRPr="00125A45">
        <w:rPr>
          <w:rStyle w:val="FootnoteReference"/>
          <w:sz w:val="16"/>
          <w:szCs w:val="16"/>
        </w:rPr>
        <w:footnoteRef/>
      </w:r>
      <w:r w:rsidRPr="00125A45">
        <w:rPr>
          <w:sz w:val="16"/>
          <w:szCs w:val="16"/>
        </w:rPr>
        <w:t xml:space="preserve"> Including wood heating used for commercial or business spaces requiring heat.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521690"/>
    <w:rsid w:val="000025F5"/>
    <w:rsid w:val="000028C2"/>
    <w:rsid w:val="00011AB5"/>
    <w:rsid w:val="00014951"/>
    <w:rsid w:val="00015C37"/>
    <w:rsid w:val="0001715A"/>
    <w:rsid w:val="00022E4E"/>
    <w:rsid w:val="0002686C"/>
    <w:rsid w:val="00026D7E"/>
    <w:rsid w:val="00032E12"/>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07E66"/>
    <w:rsid w:val="0011435D"/>
    <w:rsid w:val="00116FCF"/>
    <w:rsid w:val="00120687"/>
    <w:rsid w:val="00125A45"/>
    <w:rsid w:val="00125BD8"/>
    <w:rsid w:val="00127880"/>
    <w:rsid w:val="0014023B"/>
    <w:rsid w:val="00140EF4"/>
    <w:rsid w:val="001509FB"/>
    <w:rsid w:val="0015433A"/>
    <w:rsid w:val="001563C8"/>
    <w:rsid w:val="00157B7E"/>
    <w:rsid w:val="00161497"/>
    <w:rsid w:val="0016159E"/>
    <w:rsid w:val="00176792"/>
    <w:rsid w:val="001819B8"/>
    <w:rsid w:val="001879C8"/>
    <w:rsid w:val="00191701"/>
    <w:rsid w:val="0019415D"/>
    <w:rsid w:val="00197A6E"/>
    <w:rsid w:val="001A2E67"/>
    <w:rsid w:val="001A3E8F"/>
    <w:rsid w:val="001B5BDD"/>
    <w:rsid w:val="001D04EB"/>
    <w:rsid w:val="001D2530"/>
    <w:rsid w:val="001E03B1"/>
    <w:rsid w:val="001E0861"/>
    <w:rsid w:val="001E1E86"/>
    <w:rsid w:val="001E5781"/>
    <w:rsid w:val="001E5F6A"/>
    <w:rsid w:val="001F2654"/>
    <w:rsid w:val="001F28EE"/>
    <w:rsid w:val="001F4AE1"/>
    <w:rsid w:val="001F5B65"/>
    <w:rsid w:val="00200DC6"/>
    <w:rsid w:val="00206B1A"/>
    <w:rsid w:val="00207D45"/>
    <w:rsid w:val="00210431"/>
    <w:rsid w:val="0021205D"/>
    <w:rsid w:val="00212F78"/>
    <w:rsid w:val="002170DF"/>
    <w:rsid w:val="00222FC6"/>
    <w:rsid w:val="00227B92"/>
    <w:rsid w:val="00232807"/>
    <w:rsid w:val="00234D51"/>
    <w:rsid w:val="00236269"/>
    <w:rsid w:val="00237A38"/>
    <w:rsid w:val="00245796"/>
    <w:rsid w:val="00245CD2"/>
    <w:rsid w:val="0025076E"/>
    <w:rsid w:val="0025287C"/>
    <w:rsid w:val="00253C96"/>
    <w:rsid w:val="00257F27"/>
    <w:rsid w:val="002605A0"/>
    <w:rsid w:val="00260862"/>
    <w:rsid w:val="00261B4A"/>
    <w:rsid w:val="00267C46"/>
    <w:rsid w:val="002702AE"/>
    <w:rsid w:val="00271E0B"/>
    <w:rsid w:val="0027512F"/>
    <w:rsid w:val="00290C67"/>
    <w:rsid w:val="00291497"/>
    <w:rsid w:val="002923CA"/>
    <w:rsid w:val="0029589F"/>
    <w:rsid w:val="002969C4"/>
    <w:rsid w:val="00297187"/>
    <w:rsid w:val="0029779D"/>
    <w:rsid w:val="002A232F"/>
    <w:rsid w:val="002A30F4"/>
    <w:rsid w:val="002A6BD0"/>
    <w:rsid w:val="002A7DF3"/>
    <w:rsid w:val="002B1AB1"/>
    <w:rsid w:val="002B73BE"/>
    <w:rsid w:val="002C147B"/>
    <w:rsid w:val="002C299A"/>
    <w:rsid w:val="002C7144"/>
    <w:rsid w:val="002D142E"/>
    <w:rsid w:val="002D16DB"/>
    <w:rsid w:val="002E0D88"/>
    <w:rsid w:val="002E0FD2"/>
    <w:rsid w:val="002E1184"/>
    <w:rsid w:val="002E1AD8"/>
    <w:rsid w:val="002E5165"/>
    <w:rsid w:val="002F17C4"/>
    <w:rsid w:val="002F1ECD"/>
    <w:rsid w:val="002F5266"/>
    <w:rsid w:val="002F6DE3"/>
    <w:rsid w:val="002F77B4"/>
    <w:rsid w:val="00300CBD"/>
    <w:rsid w:val="003034C8"/>
    <w:rsid w:val="003145B7"/>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75CB4"/>
    <w:rsid w:val="003808A9"/>
    <w:rsid w:val="0038416F"/>
    <w:rsid w:val="003867D6"/>
    <w:rsid w:val="003A41C4"/>
    <w:rsid w:val="003A69CE"/>
    <w:rsid w:val="003A6F00"/>
    <w:rsid w:val="003B05FD"/>
    <w:rsid w:val="003B3668"/>
    <w:rsid w:val="003B4897"/>
    <w:rsid w:val="003B5810"/>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DB5"/>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2F8F"/>
    <w:rsid w:val="004830CF"/>
    <w:rsid w:val="0048554D"/>
    <w:rsid w:val="00486AB2"/>
    <w:rsid w:val="004942B1"/>
    <w:rsid w:val="00494B4C"/>
    <w:rsid w:val="0049799C"/>
    <w:rsid w:val="004A0378"/>
    <w:rsid w:val="004A3934"/>
    <w:rsid w:val="004A5013"/>
    <w:rsid w:val="004A62C5"/>
    <w:rsid w:val="004B4C7C"/>
    <w:rsid w:val="004B7AD6"/>
    <w:rsid w:val="004C3BC6"/>
    <w:rsid w:val="004C66E2"/>
    <w:rsid w:val="004D208B"/>
    <w:rsid w:val="004D70C4"/>
    <w:rsid w:val="004D7CE4"/>
    <w:rsid w:val="004E2B3D"/>
    <w:rsid w:val="004F1658"/>
    <w:rsid w:val="004F1F4A"/>
    <w:rsid w:val="004F360D"/>
    <w:rsid w:val="004F41DD"/>
    <w:rsid w:val="004F70D1"/>
    <w:rsid w:val="00501350"/>
    <w:rsid w:val="00503B31"/>
    <w:rsid w:val="005042CF"/>
    <w:rsid w:val="005151D7"/>
    <w:rsid w:val="0051564A"/>
    <w:rsid w:val="00515CF0"/>
    <w:rsid w:val="00521690"/>
    <w:rsid w:val="00521D8D"/>
    <w:rsid w:val="0053157B"/>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2524"/>
    <w:rsid w:val="00583633"/>
    <w:rsid w:val="0058363E"/>
    <w:rsid w:val="0058643A"/>
    <w:rsid w:val="005920FD"/>
    <w:rsid w:val="00594A08"/>
    <w:rsid w:val="00595826"/>
    <w:rsid w:val="00595897"/>
    <w:rsid w:val="00597992"/>
    <w:rsid w:val="00597CAD"/>
    <w:rsid w:val="005A1CA8"/>
    <w:rsid w:val="005A68DF"/>
    <w:rsid w:val="005A784B"/>
    <w:rsid w:val="005B0935"/>
    <w:rsid w:val="005B4A3D"/>
    <w:rsid w:val="005B6A99"/>
    <w:rsid w:val="005C3823"/>
    <w:rsid w:val="005C3B5B"/>
    <w:rsid w:val="005D1B3B"/>
    <w:rsid w:val="005E05CB"/>
    <w:rsid w:val="005E31D6"/>
    <w:rsid w:val="005E3457"/>
    <w:rsid w:val="005E4A3A"/>
    <w:rsid w:val="005F5A86"/>
    <w:rsid w:val="005F6208"/>
    <w:rsid w:val="005F634C"/>
    <w:rsid w:val="00600C79"/>
    <w:rsid w:val="00600DFD"/>
    <w:rsid w:val="00603F8C"/>
    <w:rsid w:val="006150A0"/>
    <w:rsid w:val="0061743A"/>
    <w:rsid w:val="00620989"/>
    <w:rsid w:val="00621BF8"/>
    <w:rsid w:val="00623192"/>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41EE"/>
    <w:rsid w:val="00695524"/>
    <w:rsid w:val="00696F58"/>
    <w:rsid w:val="0069763B"/>
    <w:rsid w:val="006A181F"/>
    <w:rsid w:val="006A56A7"/>
    <w:rsid w:val="006B02BF"/>
    <w:rsid w:val="006B05F6"/>
    <w:rsid w:val="006B74AD"/>
    <w:rsid w:val="006C0C53"/>
    <w:rsid w:val="006C3C0F"/>
    <w:rsid w:val="006C4575"/>
    <w:rsid w:val="006C48B6"/>
    <w:rsid w:val="006D0770"/>
    <w:rsid w:val="006D1C81"/>
    <w:rsid w:val="006D3A62"/>
    <w:rsid w:val="006E1F81"/>
    <w:rsid w:val="006E3A95"/>
    <w:rsid w:val="006E6FFD"/>
    <w:rsid w:val="006E7A4F"/>
    <w:rsid w:val="006E7BEA"/>
    <w:rsid w:val="006E7ECF"/>
    <w:rsid w:val="006F693F"/>
    <w:rsid w:val="007068F4"/>
    <w:rsid w:val="00711673"/>
    <w:rsid w:val="00712C22"/>
    <w:rsid w:val="0071579D"/>
    <w:rsid w:val="00720F72"/>
    <w:rsid w:val="00726093"/>
    <w:rsid w:val="00734306"/>
    <w:rsid w:val="00736300"/>
    <w:rsid w:val="007364CA"/>
    <w:rsid w:val="007376A5"/>
    <w:rsid w:val="007438A2"/>
    <w:rsid w:val="00744AC7"/>
    <w:rsid w:val="0074675D"/>
    <w:rsid w:val="00753CD9"/>
    <w:rsid w:val="00760BF1"/>
    <w:rsid w:val="00761C2F"/>
    <w:rsid w:val="00764801"/>
    <w:rsid w:val="007713F7"/>
    <w:rsid w:val="007731E0"/>
    <w:rsid w:val="00774030"/>
    <w:rsid w:val="00774B71"/>
    <w:rsid w:val="0078165D"/>
    <w:rsid w:val="00782E8E"/>
    <w:rsid w:val="007845F9"/>
    <w:rsid w:val="00790C9A"/>
    <w:rsid w:val="00796F68"/>
    <w:rsid w:val="00797971"/>
    <w:rsid w:val="00797F92"/>
    <w:rsid w:val="007A2EB1"/>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7F4CCD"/>
    <w:rsid w:val="00801B88"/>
    <w:rsid w:val="00807D73"/>
    <w:rsid w:val="0081049C"/>
    <w:rsid w:val="00811246"/>
    <w:rsid w:val="0081285E"/>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0105"/>
    <w:rsid w:val="00851A8A"/>
    <w:rsid w:val="008532CC"/>
    <w:rsid w:val="008552EE"/>
    <w:rsid w:val="008600DD"/>
    <w:rsid w:val="008633A4"/>
    <w:rsid w:val="00866444"/>
    <w:rsid w:val="00870B93"/>
    <w:rsid w:val="00871B60"/>
    <w:rsid w:val="0087661F"/>
    <w:rsid w:val="00877C7E"/>
    <w:rsid w:val="00881CFF"/>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491"/>
    <w:rsid w:val="008D4B1A"/>
    <w:rsid w:val="008E01D0"/>
    <w:rsid w:val="008E1DE9"/>
    <w:rsid w:val="008E34DD"/>
    <w:rsid w:val="008E3DE1"/>
    <w:rsid w:val="008F082F"/>
    <w:rsid w:val="008F4931"/>
    <w:rsid w:val="00906076"/>
    <w:rsid w:val="00906B82"/>
    <w:rsid w:val="00912077"/>
    <w:rsid w:val="0091445E"/>
    <w:rsid w:val="009165EE"/>
    <w:rsid w:val="00921E95"/>
    <w:rsid w:val="00923366"/>
    <w:rsid w:val="009236F9"/>
    <w:rsid w:val="00923F33"/>
    <w:rsid w:val="00924CAF"/>
    <w:rsid w:val="00924D2A"/>
    <w:rsid w:val="00925EB8"/>
    <w:rsid w:val="00933DC7"/>
    <w:rsid w:val="00936201"/>
    <w:rsid w:val="00943E31"/>
    <w:rsid w:val="009548E1"/>
    <w:rsid w:val="009566E5"/>
    <w:rsid w:val="009603FE"/>
    <w:rsid w:val="009624C6"/>
    <w:rsid w:val="00962706"/>
    <w:rsid w:val="00963C47"/>
    <w:rsid w:val="00966BD5"/>
    <w:rsid w:val="00970412"/>
    <w:rsid w:val="00970841"/>
    <w:rsid w:val="00980371"/>
    <w:rsid w:val="0098342E"/>
    <w:rsid w:val="009847BB"/>
    <w:rsid w:val="00986ABC"/>
    <w:rsid w:val="0099155F"/>
    <w:rsid w:val="00992A47"/>
    <w:rsid w:val="00992ECC"/>
    <w:rsid w:val="0099349B"/>
    <w:rsid w:val="00994A52"/>
    <w:rsid w:val="009954E6"/>
    <w:rsid w:val="00996D62"/>
    <w:rsid w:val="009A40D8"/>
    <w:rsid w:val="009A5416"/>
    <w:rsid w:val="009C04CA"/>
    <w:rsid w:val="009C1279"/>
    <w:rsid w:val="009D1D66"/>
    <w:rsid w:val="009D4C46"/>
    <w:rsid w:val="009D7BB9"/>
    <w:rsid w:val="009E4DDF"/>
    <w:rsid w:val="009E5CC8"/>
    <w:rsid w:val="009E643C"/>
    <w:rsid w:val="009F576F"/>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06D4"/>
    <w:rsid w:val="00A9201B"/>
    <w:rsid w:val="00A92F1D"/>
    <w:rsid w:val="00A939F9"/>
    <w:rsid w:val="00A957FF"/>
    <w:rsid w:val="00AA04DA"/>
    <w:rsid w:val="00AA3870"/>
    <w:rsid w:val="00AB10D6"/>
    <w:rsid w:val="00AB30B0"/>
    <w:rsid w:val="00AC2CB0"/>
    <w:rsid w:val="00AC4316"/>
    <w:rsid w:val="00AC5E63"/>
    <w:rsid w:val="00AC687E"/>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1B07"/>
    <w:rsid w:val="00B02346"/>
    <w:rsid w:val="00B123B6"/>
    <w:rsid w:val="00B13EE2"/>
    <w:rsid w:val="00B16894"/>
    <w:rsid w:val="00B25530"/>
    <w:rsid w:val="00B35B7B"/>
    <w:rsid w:val="00B36710"/>
    <w:rsid w:val="00B4491B"/>
    <w:rsid w:val="00B46567"/>
    <w:rsid w:val="00B46650"/>
    <w:rsid w:val="00B47BDE"/>
    <w:rsid w:val="00B50490"/>
    <w:rsid w:val="00B520EC"/>
    <w:rsid w:val="00B55506"/>
    <w:rsid w:val="00B55BA1"/>
    <w:rsid w:val="00B63E72"/>
    <w:rsid w:val="00B6437B"/>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32C"/>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594"/>
    <w:rsid w:val="00C77818"/>
    <w:rsid w:val="00C82C1D"/>
    <w:rsid w:val="00C91BEF"/>
    <w:rsid w:val="00C95D7B"/>
    <w:rsid w:val="00CA14F3"/>
    <w:rsid w:val="00CA1C5B"/>
    <w:rsid w:val="00CA1E53"/>
    <w:rsid w:val="00CA4325"/>
    <w:rsid w:val="00CA4F9E"/>
    <w:rsid w:val="00CA5A33"/>
    <w:rsid w:val="00CB195B"/>
    <w:rsid w:val="00CB3400"/>
    <w:rsid w:val="00CB757C"/>
    <w:rsid w:val="00CC2151"/>
    <w:rsid w:val="00CC3F8D"/>
    <w:rsid w:val="00CC40B8"/>
    <w:rsid w:val="00CC5D4B"/>
    <w:rsid w:val="00CD67A5"/>
    <w:rsid w:val="00CE2C89"/>
    <w:rsid w:val="00CE5A9D"/>
    <w:rsid w:val="00CE79B0"/>
    <w:rsid w:val="00D00B8F"/>
    <w:rsid w:val="00D01B89"/>
    <w:rsid w:val="00D06DE8"/>
    <w:rsid w:val="00D071C7"/>
    <w:rsid w:val="00D0754F"/>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397B"/>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67F7"/>
    <w:rsid w:val="00DB72C8"/>
    <w:rsid w:val="00DC731F"/>
    <w:rsid w:val="00DD3A44"/>
    <w:rsid w:val="00DD419E"/>
    <w:rsid w:val="00DD4C90"/>
    <w:rsid w:val="00DD5AF1"/>
    <w:rsid w:val="00DD676A"/>
    <w:rsid w:val="00DD7762"/>
    <w:rsid w:val="00DE3C64"/>
    <w:rsid w:val="00DF0DE7"/>
    <w:rsid w:val="00DF3B70"/>
    <w:rsid w:val="00DF7DF9"/>
    <w:rsid w:val="00E02E22"/>
    <w:rsid w:val="00E12A60"/>
    <w:rsid w:val="00E2193F"/>
    <w:rsid w:val="00E23F98"/>
    <w:rsid w:val="00E253AE"/>
    <w:rsid w:val="00E258A9"/>
    <w:rsid w:val="00E32472"/>
    <w:rsid w:val="00E33150"/>
    <w:rsid w:val="00E34032"/>
    <w:rsid w:val="00E36648"/>
    <w:rsid w:val="00E37D1D"/>
    <w:rsid w:val="00E406E9"/>
    <w:rsid w:val="00E413E2"/>
    <w:rsid w:val="00E41A16"/>
    <w:rsid w:val="00E51D23"/>
    <w:rsid w:val="00E52CD7"/>
    <w:rsid w:val="00E5520F"/>
    <w:rsid w:val="00E55937"/>
    <w:rsid w:val="00E607C1"/>
    <w:rsid w:val="00E62B30"/>
    <w:rsid w:val="00E64B8D"/>
    <w:rsid w:val="00E657E5"/>
    <w:rsid w:val="00E664B6"/>
    <w:rsid w:val="00E76437"/>
    <w:rsid w:val="00E76805"/>
    <w:rsid w:val="00E8674A"/>
    <w:rsid w:val="00E908D7"/>
    <w:rsid w:val="00E94EE3"/>
    <w:rsid w:val="00E95E55"/>
    <w:rsid w:val="00E95EA0"/>
    <w:rsid w:val="00EA1BE6"/>
    <w:rsid w:val="00EA4129"/>
    <w:rsid w:val="00EA7390"/>
    <w:rsid w:val="00EB3305"/>
    <w:rsid w:val="00EC1E00"/>
    <w:rsid w:val="00ED04AB"/>
    <w:rsid w:val="00ED0F92"/>
    <w:rsid w:val="00ED3E20"/>
    <w:rsid w:val="00ED48B9"/>
    <w:rsid w:val="00ED5B65"/>
    <w:rsid w:val="00ED7DB1"/>
    <w:rsid w:val="00EE084A"/>
    <w:rsid w:val="00EE2014"/>
    <w:rsid w:val="00EE3E8E"/>
    <w:rsid w:val="00EE45F5"/>
    <w:rsid w:val="00EE46B6"/>
    <w:rsid w:val="00EE55DA"/>
    <w:rsid w:val="00EE5A02"/>
    <w:rsid w:val="00EE6138"/>
    <w:rsid w:val="00EF295A"/>
    <w:rsid w:val="00EF2F1F"/>
    <w:rsid w:val="00F029DC"/>
    <w:rsid w:val="00F05552"/>
    <w:rsid w:val="00F14C30"/>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4B4B"/>
    <w:rsid w:val="00F664A7"/>
    <w:rsid w:val="00F71B94"/>
    <w:rsid w:val="00F748D1"/>
    <w:rsid w:val="00F811FA"/>
    <w:rsid w:val="00F83A0A"/>
    <w:rsid w:val="00F91A5C"/>
    <w:rsid w:val="00F951FD"/>
    <w:rsid w:val="00FA1684"/>
    <w:rsid w:val="00FA5299"/>
    <w:rsid w:val="00FA5EC9"/>
    <w:rsid w:val="00FB0B1C"/>
    <w:rsid w:val="00FB15DB"/>
    <w:rsid w:val="00FB1E71"/>
    <w:rsid w:val="00FB2252"/>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35AB"/>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aliases w:val="H1 Permit Overview"/>
    <w:basedOn w:val="Normal"/>
    <w:next w:val="Normal"/>
    <w:link w:val="Heading1Char"/>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Permit Overview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002.png@01CF6DD8.EBE87F80"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eqhq1\AQCOMMON\Klamath%20Falls%20Attain%20Plan\Planning\Draft%20Attainment%20Plan\nonattainment%20are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200" b="1" i="0" u="none" strike="noStrike" baseline="0"/>
              <a:t>Lakeview Center and M Street Monitor: 98th Percentile Concentrations</a:t>
            </a:r>
            <a:endParaRPr lang="en-US" sz="1200"/>
          </a:p>
        </c:rich>
      </c:tx>
    </c:title>
    <c:plotArea>
      <c:layout/>
      <c:barChart>
        <c:barDir val="col"/>
        <c:grouping val="clustered"/>
        <c:ser>
          <c:idx val="0"/>
          <c:order val="0"/>
          <c:tx>
            <c:strRef>
              <c:f>Sheet1!$A$49</c:f>
              <c:strCache>
                <c:ptCount val="1"/>
                <c:pt idx="0">
                  <c:v>PM2.5 Concentration 98th Percentile</c:v>
                </c:pt>
              </c:strCache>
            </c:strRef>
          </c:tx>
          <c:cat>
            <c:numRef>
              <c:f>Sheet1!$D$51:$D$61</c:f>
              <c:numCache>
                <c:formatCode>0</c:formatCode>
                <c:ptCount val="11"/>
                <c:pt idx="0">
                  <c:v>2001</c:v>
                </c:pt>
                <c:pt idx="1">
                  <c:v>2002</c:v>
                </c:pt>
                <c:pt idx="2">
                  <c:v>2003</c:v>
                </c:pt>
                <c:pt idx="3">
                  <c:v>2006</c:v>
                </c:pt>
                <c:pt idx="4">
                  <c:v>2007</c:v>
                </c:pt>
                <c:pt idx="5">
                  <c:v>2008</c:v>
                </c:pt>
                <c:pt idx="6">
                  <c:v>2009</c:v>
                </c:pt>
                <c:pt idx="7">
                  <c:v>2010</c:v>
                </c:pt>
                <c:pt idx="8">
                  <c:v>2011</c:v>
                </c:pt>
                <c:pt idx="9">
                  <c:v>2012</c:v>
                </c:pt>
                <c:pt idx="10">
                  <c:v>2013</c:v>
                </c:pt>
              </c:numCache>
            </c:numRef>
          </c:cat>
          <c:val>
            <c:numRef>
              <c:f>Sheet1!$A$51:$A$61</c:f>
              <c:numCache>
                <c:formatCode>General</c:formatCode>
                <c:ptCount val="11"/>
                <c:pt idx="0">
                  <c:v>29</c:v>
                </c:pt>
                <c:pt idx="1">
                  <c:v>30</c:v>
                </c:pt>
                <c:pt idx="4">
                  <c:v>38</c:v>
                </c:pt>
                <c:pt idx="5">
                  <c:v>44</c:v>
                </c:pt>
                <c:pt idx="6">
                  <c:v>43</c:v>
                </c:pt>
                <c:pt idx="7">
                  <c:v>26</c:v>
                </c:pt>
                <c:pt idx="8">
                  <c:v>38</c:v>
                </c:pt>
                <c:pt idx="9">
                  <c:v>39</c:v>
                </c:pt>
                <c:pt idx="10">
                  <c:v>94</c:v>
                </c:pt>
              </c:numCache>
            </c:numRef>
          </c:val>
        </c:ser>
        <c:dLbls/>
        <c:gapWidth val="75"/>
        <c:overlap val="-25"/>
        <c:axId val="119168000"/>
        <c:axId val="173212416"/>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4">
                  <c:v>35</c:v>
                </c:pt>
                <c:pt idx="5">
                  <c:v>35</c:v>
                </c:pt>
                <c:pt idx="6">
                  <c:v>35</c:v>
                </c:pt>
                <c:pt idx="7">
                  <c:v>35</c:v>
                </c:pt>
                <c:pt idx="8">
                  <c:v>35</c:v>
                </c:pt>
                <c:pt idx="9">
                  <c:v>35</c:v>
                </c:pt>
                <c:pt idx="10">
                  <c:v>35</c:v>
                </c:pt>
              </c:numCache>
            </c:numRef>
          </c:val>
        </c:ser>
        <c:dLbls/>
        <c:marker val="1"/>
        <c:axId val="119168000"/>
        <c:axId val="173212416"/>
      </c:lineChart>
      <c:catAx>
        <c:axId val="119168000"/>
        <c:scaling>
          <c:orientation val="minMax"/>
        </c:scaling>
        <c:axPos val="b"/>
        <c:numFmt formatCode="0" sourceLinked="0"/>
        <c:majorTickMark val="none"/>
        <c:tickLblPos val="nextTo"/>
        <c:txPr>
          <a:bodyPr rot="5400000" vert="horz"/>
          <a:lstStyle/>
          <a:p>
            <a:pPr>
              <a:defRPr/>
            </a:pPr>
            <a:endParaRPr lang="en-US"/>
          </a:p>
        </c:txPr>
        <c:crossAx val="173212416"/>
        <c:crosses val="autoZero"/>
        <c:auto val="1"/>
        <c:lblAlgn val="ctr"/>
        <c:lblOffset val="100"/>
      </c:catAx>
      <c:valAx>
        <c:axId val="173212416"/>
        <c:scaling>
          <c:orientation val="minMax"/>
          <c:max val="100"/>
        </c:scaling>
        <c:axPos val="l"/>
        <c:majorGridlines/>
        <c:title>
          <c:tx>
            <c:rich>
              <a:bodyPr rot="-5400000" vert="horz"/>
              <a:lstStyle/>
              <a:p>
                <a:pPr>
                  <a:defRPr/>
                </a:pPr>
                <a:r>
                  <a:rPr lang="en-US" sz="1000" b="1" i="0" u="none" strike="noStrike" baseline="0"/>
                  <a:t>µg/m3</a:t>
                </a:r>
                <a:endParaRPr lang="en-US"/>
              </a:p>
            </c:rich>
          </c:tx>
        </c:title>
        <c:numFmt formatCode="General" sourceLinked="1"/>
        <c:majorTickMark val="none"/>
        <c:tickLblPos val="nextTo"/>
        <c:spPr>
          <a:ln w="9525">
            <a:noFill/>
          </a:ln>
        </c:spPr>
        <c:crossAx val="119168000"/>
        <c:crosses val="autoZero"/>
        <c:crossBetween val="between"/>
      </c:valAx>
    </c:plotArea>
    <c:legend>
      <c:legendPos val="b"/>
    </c:legend>
    <c:plotVisOnly val="1"/>
    <c:dispBlanksAs val="gap"/>
  </c:chart>
  <c:spPr>
    <a:solidFill>
      <a:schemeClr val="bg1">
        <a:lumMod val="75000"/>
      </a:schemeClr>
    </a:solid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0.41698</cdr:x>
      <cdr:y>0.55261</cdr:y>
    </cdr:from>
    <cdr:to>
      <cdr:x>0.48679</cdr:x>
      <cdr:y>0.55568</cdr:y>
    </cdr:to>
    <cdr:sp macro="" textlink="">
      <cdr:nvSpPr>
        <cdr:cNvPr id="7" name="Straight Connector 6"/>
        <cdr:cNvSpPr/>
      </cdr:nvSpPr>
      <cdr:spPr>
        <a:xfrm xmlns:a="http://schemas.openxmlformats.org/drawingml/2006/main" flipV="1">
          <a:off x="1906433" y="1552767"/>
          <a:ext cx="319171" cy="8626"/>
        </a:xfrm>
        <a:prstGeom xmlns:a="http://schemas.openxmlformats.org/drawingml/2006/main" prst="line">
          <a:avLst/>
        </a:prstGeom>
        <a:ln xmlns:a="http://schemas.openxmlformats.org/drawingml/2006/main" w="28575">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A83A65-E9E9-4224-96E4-58B50E00946F}">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328CB2C0-FCE8-4BA3-B128-EEC26C71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4BA44-1402-4AAF-893A-9467D8D99C90}">
  <ds:schemaRefs>
    <ds:schemaRef ds:uri="http://schemas.microsoft.com/sharepoint/v3/contenttype/forms"/>
  </ds:schemaRefs>
</ds:datastoreItem>
</file>

<file path=customXml/itemProps4.xml><?xml version="1.0" encoding="utf-8"?>
<ds:datastoreItem xmlns:ds="http://schemas.openxmlformats.org/officeDocument/2006/customXml" ds:itemID="{88429893-7038-426C-A901-A16A6981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AGarten</cp:lastModifiedBy>
  <cp:revision>2</cp:revision>
  <cp:lastPrinted>2014-06-03T17:06:00Z</cp:lastPrinted>
  <dcterms:created xsi:type="dcterms:W3CDTF">2014-06-11T22:08:00Z</dcterms:created>
  <dcterms:modified xsi:type="dcterms:W3CDTF">2014-06-11T22:08:00Z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