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C753F" w:rsidRPr="0081285E" w:rsidTr="00EF3941">
        <w:trPr>
          <w:trHeight w:val="810"/>
        </w:trPr>
        <w:tc>
          <w:tcPr>
            <w:tcW w:w="1356" w:type="dxa"/>
            <w:vMerge w:val="restart"/>
          </w:tcPr>
          <w:p w:rsidR="00CC753F" w:rsidRPr="0081285E" w:rsidRDefault="00CC753F" w:rsidP="00EF3941">
            <w:pPr>
              <w:rPr>
                <w:rFonts w:cstheme="minorHAnsi"/>
                <w:b/>
                <w:sz w:val="28"/>
                <w:szCs w:val="28"/>
              </w:rPr>
            </w:pPr>
            <w:r w:rsidRPr="0081285E">
              <w:rPr>
                <w:rFonts w:cstheme="minorHAnsi"/>
                <w:b/>
                <w:noProof/>
                <w:sz w:val="28"/>
                <w:szCs w:val="28"/>
              </w:rPr>
              <w:drawing>
                <wp:inline distT="0" distB="0" distL="0" distR="0">
                  <wp:extent cx="696987" cy="1585708"/>
                  <wp:effectExtent l="19050" t="0" r="7863" b="0"/>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4" cstate="print"/>
                          <a:stretch>
                            <a:fillRect/>
                          </a:stretch>
                        </pic:blipFill>
                        <pic:spPr>
                          <a:xfrm>
                            <a:off x="0" y="0"/>
                            <a:ext cx="696987" cy="1585708"/>
                          </a:xfrm>
                          <a:prstGeom prst="rect">
                            <a:avLst/>
                          </a:prstGeom>
                        </pic:spPr>
                      </pic:pic>
                    </a:graphicData>
                  </a:graphic>
                </wp:inline>
              </w:drawing>
            </w:r>
          </w:p>
        </w:tc>
        <w:tc>
          <w:tcPr>
            <w:tcW w:w="8220" w:type="dxa"/>
          </w:tcPr>
          <w:p w:rsidR="00CC753F" w:rsidRDefault="00CC753F" w:rsidP="00EF3941">
            <w:pPr>
              <w:rPr>
                <w:rFonts w:ascii="Arial" w:hAnsi="Arial" w:cs="Arial"/>
                <w:b/>
                <w:sz w:val="28"/>
                <w:szCs w:val="28"/>
              </w:rPr>
            </w:pPr>
          </w:p>
          <w:p w:rsidR="00CC753F" w:rsidRPr="00C71209" w:rsidRDefault="00CC753F" w:rsidP="00EF3941">
            <w:pPr>
              <w:rPr>
                <w:rFonts w:ascii="Arial" w:hAnsi="Arial" w:cs="Arial"/>
                <w:b/>
                <w:sz w:val="28"/>
                <w:szCs w:val="28"/>
              </w:rPr>
            </w:pPr>
            <w:r>
              <w:rPr>
                <w:rFonts w:ascii="Arial" w:hAnsi="Arial" w:cs="Arial"/>
                <w:b/>
                <w:sz w:val="28"/>
                <w:szCs w:val="28"/>
              </w:rPr>
              <w:t>Proposed Rules Cover Page</w:t>
            </w:r>
          </w:p>
        </w:tc>
      </w:tr>
      <w:tr w:rsidR="00CC753F" w:rsidRPr="0081285E" w:rsidTr="00CC753F">
        <w:trPr>
          <w:trHeight w:val="630"/>
        </w:trPr>
        <w:tc>
          <w:tcPr>
            <w:tcW w:w="1356" w:type="dxa"/>
            <w:vMerge/>
          </w:tcPr>
          <w:p w:rsidR="00CC753F" w:rsidRPr="0081285E" w:rsidRDefault="00CC753F" w:rsidP="00EF3941">
            <w:pPr>
              <w:rPr>
                <w:rFonts w:cstheme="minorHAnsi"/>
                <w:b/>
                <w:sz w:val="28"/>
                <w:szCs w:val="28"/>
              </w:rPr>
            </w:pPr>
          </w:p>
        </w:tc>
        <w:tc>
          <w:tcPr>
            <w:tcW w:w="8220" w:type="dxa"/>
            <w:vAlign w:val="bottom"/>
          </w:tcPr>
          <w:p w:rsidR="00CC753F" w:rsidRPr="00CC753F" w:rsidRDefault="00CC753F" w:rsidP="00CC753F">
            <w:pPr>
              <w:rPr>
                <w:rFonts w:ascii="Arial" w:hAnsi="Arial" w:cs="Arial"/>
                <w:sz w:val="28"/>
                <w:szCs w:val="28"/>
              </w:rPr>
            </w:pPr>
          </w:p>
        </w:tc>
      </w:tr>
      <w:tr w:rsidR="00CC753F" w:rsidRPr="0081285E" w:rsidTr="00EF3941">
        <w:trPr>
          <w:trHeight w:val="450"/>
        </w:trPr>
        <w:tc>
          <w:tcPr>
            <w:tcW w:w="1356" w:type="dxa"/>
            <w:vMerge/>
          </w:tcPr>
          <w:p w:rsidR="00CC753F" w:rsidRPr="0081285E" w:rsidRDefault="00CC753F" w:rsidP="00EF3941">
            <w:pPr>
              <w:rPr>
                <w:rFonts w:cstheme="minorHAnsi"/>
                <w:b/>
                <w:sz w:val="28"/>
                <w:szCs w:val="28"/>
              </w:rPr>
            </w:pPr>
          </w:p>
        </w:tc>
        <w:tc>
          <w:tcPr>
            <w:tcW w:w="8220" w:type="dxa"/>
            <w:vAlign w:val="bottom"/>
          </w:tcPr>
          <w:p w:rsidR="00CC753F" w:rsidRPr="00CC753F" w:rsidRDefault="00CC753F" w:rsidP="00CC753F">
            <w:pPr>
              <w:rPr>
                <w:rFonts w:ascii="Arial" w:hAnsi="Arial" w:cs="Arial"/>
                <w:sz w:val="24"/>
                <w:szCs w:val="24"/>
              </w:rPr>
            </w:pPr>
          </w:p>
        </w:tc>
      </w:tr>
      <w:tr w:rsidR="00CC753F" w:rsidRPr="0081285E" w:rsidTr="00EF3941">
        <w:trPr>
          <w:gridAfter w:val="1"/>
          <w:wAfter w:w="8220" w:type="dxa"/>
          <w:trHeight w:val="322"/>
        </w:trPr>
        <w:tc>
          <w:tcPr>
            <w:tcW w:w="1356" w:type="dxa"/>
            <w:vMerge/>
          </w:tcPr>
          <w:p w:rsidR="00CC753F" w:rsidRPr="0081285E" w:rsidRDefault="00CC753F" w:rsidP="00EF3941">
            <w:pPr>
              <w:rPr>
                <w:rFonts w:cstheme="minorHAnsi"/>
                <w:b/>
                <w:sz w:val="28"/>
                <w:szCs w:val="28"/>
              </w:rPr>
            </w:pPr>
          </w:p>
        </w:tc>
      </w:tr>
    </w:tbl>
    <w:p w:rsidR="008D7241" w:rsidRDefault="008D7241" w:rsidP="006429B9">
      <w:pPr>
        <w:spacing w:after="120"/>
        <w:jc w:val="center"/>
        <w:rPr>
          <w:rFonts w:ascii="Arial" w:hAnsi="Arial" w:cs="Arial"/>
          <w:b/>
          <w:sz w:val="28"/>
          <w:szCs w:val="28"/>
        </w:rPr>
      </w:pPr>
    </w:p>
    <w:p w:rsidR="00CC753F" w:rsidRPr="0039247D" w:rsidRDefault="00CC753F" w:rsidP="006429B9">
      <w:pPr>
        <w:spacing w:after="120"/>
        <w:jc w:val="center"/>
        <w:rPr>
          <w:rFonts w:ascii="Arial" w:hAnsi="Arial" w:cs="Arial"/>
          <w:b/>
          <w:sz w:val="28"/>
          <w:szCs w:val="28"/>
        </w:rPr>
      </w:pPr>
    </w:p>
    <w:p w:rsidR="005F4E40" w:rsidRDefault="006429B9" w:rsidP="006429B9">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DEQ’s </w:t>
      </w:r>
      <w:r w:rsidR="00EE03DF" w:rsidRPr="006429B9">
        <w:rPr>
          <w:rFonts w:ascii="Times New Roman" w:hAnsi="Times New Roman" w:cs="Times New Roman"/>
          <w:sz w:val="24"/>
          <w:szCs w:val="24"/>
        </w:rPr>
        <w:t xml:space="preserve">proposed </w:t>
      </w:r>
      <w:r>
        <w:rPr>
          <w:rFonts w:ascii="Times New Roman" w:hAnsi="Times New Roman" w:cs="Times New Roman"/>
          <w:sz w:val="24"/>
          <w:szCs w:val="24"/>
        </w:rPr>
        <w:t xml:space="preserve">rules </w:t>
      </w:r>
      <w:r w:rsidR="00EE03DF" w:rsidRPr="006429B9">
        <w:rPr>
          <w:rFonts w:ascii="Times New Roman" w:hAnsi="Times New Roman" w:cs="Times New Roman"/>
          <w:sz w:val="24"/>
          <w:szCs w:val="24"/>
        </w:rPr>
        <w:t xml:space="preserve">are provided </w:t>
      </w:r>
      <w:r>
        <w:rPr>
          <w:rFonts w:ascii="Times New Roman" w:hAnsi="Times New Roman" w:cs="Times New Roman"/>
          <w:sz w:val="24"/>
          <w:szCs w:val="24"/>
        </w:rPr>
        <w:t>in the following sections:</w:t>
      </w:r>
    </w:p>
    <w:p w:rsidR="008D7241" w:rsidRDefault="008D7241" w:rsidP="006429B9">
      <w:pPr>
        <w:spacing w:after="120"/>
        <w:ind w:firstLine="720"/>
        <w:rPr>
          <w:rFonts w:ascii="Times New Roman" w:hAnsi="Times New Roman" w:cs="Times New Roman"/>
          <w:sz w:val="24"/>
          <w:szCs w:val="24"/>
        </w:rPr>
      </w:pPr>
    </w:p>
    <w:p w:rsidR="002F7375" w:rsidRDefault="00B014FD" w:rsidP="006429B9">
      <w:pPr>
        <w:spacing w:after="120"/>
        <w:ind w:left="720"/>
        <w:rPr>
          <w:rFonts w:ascii="Times New Roman" w:hAnsi="Times New Roman" w:cs="Times New Roman"/>
          <w:sz w:val="24"/>
          <w:szCs w:val="24"/>
        </w:rPr>
      </w:pPr>
      <w:r>
        <w:rPr>
          <w:rFonts w:ascii="Times New Roman" w:hAnsi="Times New Roman" w:cs="Times New Roman"/>
          <w:sz w:val="24"/>
          <w:szCs w:val="24"/>
        </w:rPr>
        <w:t>A</w:t>
      </w:r>
      <w:r w:rsidR="00EE03DF" w:rsidRPr="006429B9">
        <w:rPr>
          <w:rFonts w:ascii="Times New Roman" w:hAnsi="Times New Roman" w:cs="Times New Roman"/>
          <w:sz w:val="24"/>
          <w:szCs w:val="24"/>
        </w:rPr>
        <w:t xml:space="preserve">. </w:t>
      </w:r>
      <w:r w:rsidR="006429B9">
        <w:rPr>
          <w:rFonts w:ascii="Times New Roman" w:hAnsi="Times New Roman" w:cs="Times New Roman"/>
          <w:sz w:val="24"/>
          <w:szCs w:val="24"/>
        </w:rPr>
        <w:tab/>
        <w:t xml:space="preserve">Oregon Administrative </w:t>
      </w:r>
      <w:r w:rsidR="006429B9" w:rsidRPr="006429B9">
        <w:rPr>
          <w:rFonts w:ascii="Times New Roman" w:hAnsi="Times New Roman" w:cs="Times New Roman"/>
          <w:sz w:val="24"/>
          <w:szCs w:val="24"/>
        </w:rPr>
        <w:t>R</w:t>
      </w:r>
      <w:r w:rsidR="00EE03DF" w:rsidRPr="006429B9">
        <w:rPr>
          <w:rFonts w:ascii="Times New Roman" w:hAnsi="Times New Roman" w:cs="Times New Roman"/>
          <w:sz w:val="24"/>
          <w:szCs w:val="24"/>
        </w:rPr>
        <w:t>ules</w:t>
      </w:r>
      <w:r w:rsidR="006429B9" w:rsidRPr="006429B9">
        <w:rPr>
          <w:rFonts w:ascii="Times New Roman" w:hAnsi="Times New Roman" w:cs="Times New Roman"/>
          <w:sz w:val="24"/>
          <w:szCs w:val="24"/>
        </w:rPr>
        <w:t xml:space="preserve"> </w:t>
      </w:r>
    </w:p>
    <w:p w:rsidR="00042229" w:rsidRDefault="00042229" w:rsidP="00042229">
      <w:pPr>
        <w:spacing w:after="120"/>
        <w:ind w:left="1440"/>
        <w:rPr>
          <w:rFonts w:ascii="Times New Roman" w:hAnsi="Times New Roman" w:cs="Times New Roman"/>
          <w:sz w:val="24"/>
          <w:szCs w:val="24"/>
        </w:rPr>
      </w:pPr>
      <w:r>
        <w:rPr>
          <w:rFonts w:ascii="Times New Roman" w:hAnsi="Times New Roman" w:cs="Times New Roman"/>
          <w:sz w:val="24"/>
          <w:szCs w:val="24"/>
        </w:rPr>
        <w:t>Note: DEQ’s proposed changes are indicated in redline strikeout</w:t>
      </w:r>
    </w:p>
    <w:p w:rsidR="00042229" w:rsidRDefault="00042229" w:rsidP="00042229">
      <w:pPr>
        <w:spacing w:after="120"/>
        <w:ind w:left="1440"/>
        <w:rPr>
          <w:rFonts w:ascii="Times New Roman" w:hAnsi="Times New Roman" w:cs="Times New Roman"/>
          <w:sz w:val="24"/>
          <w:szCs w:val="24"/>
        </w:rPr>
      </w:pPr>
    </w:p>
    <w:p w:rsidR="00042229" w:rsidRDefault="00B014FD" w:rsidP="006429B9">
      <w:pPr>
        <w:spacing w:after="120"/>
        <w:ind w:left="720"/>
        <w:rPr>
          <w:rFonts w:ascii="Times New Roman" w:hAnsi="Times New Roman" w:cs="Times New Roman"/>
          <w:sz w:val="24"/>
          <w:szCs w:val="24"/>
        </w:rPr>
      </w:pPr>
      <w:r>
        <w:rPr>
          <w:rFonts w:ascii="Times New Roman" w:hAnsi="Times New Roman" w:cs="Times New Roman"/>
          <w:sz w:val="24"/>
          <w:szCs w:val="24"/>
        </w:rPr>
        <w:t>B</w:t>
      </w:r>
      <w:r w:rsidR="006429B9">
        <w:rPr>
          <w:rFonts w:ascii="Times New Roman" w:hAnsi="Times New Roman" w:cs="Times New Roman"/>
          <w:sz w:val="24"/>
          <w:szCs w:val="24"/>
        </w:rPr>
        <w:t>.</w:t>
      </w:r>
      <w:r w:rsidR="006429B9">
        <w:rPr>
          <w:rFonts w:ascii="Times New Roman" w:hAnsi="Times New Roman" w:cs="Times New Roman"/>
          <w:sz w:val="24"/>
          <w:szCs w:val="24"/>
        </w:rPr>
        <w:tab/>
      </w:r>
      <w:r w:rsidR="006429B9" w:rsidRPr="006429B9">
        <w:rPr>
          <w:rFonts w:ascii="Times New Roman" w:hAnsi="Times New Roman" w:cs="Times New Roman"/>
          <w:sz w:val="24"/>
          <w:szCs w:val="24"/>
        </w:rPr>
        <w:t>Continuous Monitoring Manual</w:t>
      </w:r>
    </w:p>
    <w:p w:rsidR="006429B9" w:rsidRPr="006429B9" w:rsidRDefault="006429B9" w:rsidP="006429B9">
      <w:pPr>
        <w:spacing w:after="12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014FD">
        <w:rPr>
          <w:rFonts w:ascii="Times New Roman" w:hAnsi="Times New Roman" w:cs="Times New Roman"/>
          <w:sz w:val="24"/>
          <w:szCs w:val="24"/>
        </w:rPr>
        <w:t>B1</w:t>
      </w:r>
      <w:r w:rsidRPr="006429B9">
        <w:rPr>
          <w:rFonts w:ascii="Times New Roman" w:hAnsi="Times New Roman" w:cs="Times New Roman"/>
          <w:sz w:val="24"/>
          <w:szCs w:val="24"/>
        </w:rPr>
        <w:t xml:space="preserve">. </w:t>
      </w:r>
      <w:r>
        <w:rPr>
          <w:rFonts w:ascii="Times New Roman" w:hAnsi="Times New Roman" w:cs="Times New Roman"/>
          <w:sz w:val="24"/>
          <w:szCs w:val="24"/>
        </w:rPr>
        <w:tab/>
      </w:r>
      <w:r w:rsidRPr="006429B9">
        <w:rPr>
          <w:rFonts w:ascii="Times New Roman" w:hAnsi="Times New Roman" w:cs="Times New Roman"/>
          <w:sz w:val="24"/>
          <w:szCs w:val="24"/>
        </w:rPr>
        <w:t xml:space="preserve">Continuous Monitoring Manual </w:t>
      </w:r>
      <w:r w:rsidR="00042229">
        <w:rPr>
          <w:rFonts w:ascii="Times New Roman" w:hAnsi="Times New Roman" w:cs="Times New Roman"/>
          <w:sz w:val="24"/>
          <w:szCs w:val="24"/>
        </w:rPr>
        <w:t>(1992 Edition)</w:t>
      </w:r>
    </w:p>
    <w:p w:rsidR="006429B9" w:rsidRDefault="00B014FD" w:rsidP="006429B9">
      <w:pPr>
        <w:spacing w:after="120"/>
        <w:ind w:left="2880" w:hanging="720"/>
        <w:rPr>
          <w:rFonts w:ascii="Times New Roman" w:hAnsi="Times New Roman" w:cs="Times New Roman"/>
          <w:sz w:val="24"/>
          <w:szCs w:val="24"/>
        </w:rPr>
      </w:pPr>
      <w:r>
        <w:rPr>
          <w:rFonts w:ascii="Times New Roman" w:hAnsi="Times New Roman" w:cs="Times New Roman"/>
          <w:sz w:val="24"/>
          <w:szCs w:val="24"/>
        </w:rPr>
        <w:t>B2</w:t>
      </w:r>
      <w:r w:rsidR="006429B9" w:rsidRPr="006429B9">
        <w:rPr>
          <w:rFonts w:ascii="Times New Roman" w:hAnsi="Times New Roman" w:cs="Times New Roman"/>
          <w:sz w:val="24"/>
          <w:szCs w:val="24"/>
        </w:rPr>
        <w:t xml:space="preserve">. </w:t>
      </w:r>
      <w:r w:rsidR="006429B9">
        <w:rPr>
          <w:rFonts w:ascii="Times New Roman" w:hAnsi="Times New Roman" w:cs="Times New Roman"/>
          <w:sz w:val="24"/>
          <w:szCs w:val="24"/>
        </w:rPr>
        <w:tab/>
      </w:r>
      <w:r w:rsidR="006429B9" w:rsidRPr="006429B9">
        <w:rPr>
          <w:rFonts w:ascii="Times New Roman" w:hAnsi="Times New Roman" w:cs="Times New Roman"/>
          <w:sz w:val="24"/>
          <w:szCs w:val="24"/>
        </w:rPr>
        <w:t xml:space="preserve">Continuous Monitoring Manual </w:t>
      </w:r>
      <w:r w:rsidR="00042229">
        <w:rPr>
          <w:rFonts w:ascii="Times New Roman" w:hAnsi="Times New Roman" w:cs="Times New Roman"/>
          <w:sz w:val="24"/>
          <w:szCs w:val="24"/>
        </w:rPr>
        <w:t>(</w:t>
      </w:r>
      <w:r w:rsidR="006429B9">
        <w:rPr>
          <w:rFonts w:ascii="Times New Roman" w:hAnsi="Times New Roman" w:cs="Times New Roman"/>
          <w:sz w:val="24"/>
          <w:szCs w:val="24"/>
        </w:rPr>
        <w:t>2014 Edition</w:t>
      </w:r>
      <w:r w:rsidR="00042229">
        <w:rPr>
          <w:rFonts w:ascii="Times New Roman" w:hAnsi="Times New Roman" w:cs="Times New Roman"/>
          <w:sz w:val="24"/>
          <w:szCs w:val="24"/>
        </w:rPr>
        <w:t>)</w:t>
      </w:r>
      <w:r w:rsidR="006429B9">
        <w:rPr>
          <w:rFonts w:ascii="Times New Roman" w:hAnsi="Times New Roman" w:cs="Times New Roman"/>
          <w:sz w:val="24"/>
          <w:szCs w:val="24"/>
        </w:rPr>
        <w:t xml:space="preserve"> </w:t>
      </w:r>
    </w:p>
    <w:p w:rsidR="00042229" w:rsidRDefault="00042229" w:rsidP="00042229">
      <w:pPr>
        <w:spacing w:after="120"/>
        <w:ind w:left="1440"/>
        <w:rPr>
          <w:rFonts w:ascii="Times New Roman" w:hAnsi="Times New Roman" w:cs="Times New Roman"/>
          <w:sz w:val="24"/>
          <w:szCs w:val="24"/>
        </w:rPr>
      </w:pPr>
      <w:r>
        <w:rPr>
          <w:rFonts w:ascii="Times New Roman" w:hAnsi="Times New Roman" w:cs="Times New Roman"/>
          <w:sz w:val="24"/>
          <w:szCs w:val="24"/>
        </w:rPr>
        <w:t xml:space="preserve">Note: DEQ proposes extensive changes to the Continuous Monitoring Manual as described in the Notice. The manual does not contain redline strikeout because the extensive changes would be difficult to understand. The proposed rules include the 1992 Edition and the proposed 2014 Edition of the manual. The 1992 Edition would be deleted and replaced by the 2014 Edition. </w:t>
      </w:r>
    </w:p>
    <w:p w:rsidR="00042229" w:rsidRPr="006429B9" w:rsidRDefault="00042229" w:rsidP="006429B9">
      <w:pPr>
        <w:spacing w:after="120"/>
        <w:ind w:left="2880" w:hanging="720"/>
        <w:rPr>
          <w:rFonts w:ascii="Times New Roman" w:hAnsi="Times New Roman" w:cs="Times New Roman"/>
          <w:sz w:val="24"/>
          <w:szCs w:val="24"/>
        </w:rPr>
      </w:pPr>
    </w:p>
    <w:p w:rsidR="006429B9" w:rsidRDefault="00B014FD" w:rsidP="006429B9">
      <w:pPr>
        <w:spacing w:after="120"/>
        <w:ind w:left="720"/>
        <w:rPr>
          <w:rFonts w:ascii="Times New Roman" w:hAnsi="Times New Roman" w:cs="Times New Roman"/>
          <w:sz w:val="24"/>
          <w:szCs w:val="24"/>
        </w:rPr>
      </w:pPr>
      <w:r>
        <w:rPr>
          <w:rFonts w:ascii="Times New Roman" w:hAnsi="Times New Roman" w:cs="Times New Roman"/>
          <w:sz w:val="24"/>
          <w:szCs w:val="24"/>
        </w:rPr>
        <w:t>C</w:t>
      </w:r>
      <w:r w:rsidR="006429B9">
        <w:rPr>
          <w:rFonts w:ascii="Times New Roman" w:hAnsi="Times New Roman" w:cs="Times New Roman"/>
          <w:sz w:val="24"/>
          <w:szCs w:val="24"/>
        </w:rPr>
        <w:t>.</w:t>
      </w:r>
      <w:r w:rsidR="006429B9">
        <w:rPr>
          <w:rFonts w:ascii="Times New Roman" w:hAnsi="Times New Roman" w:cs="Times New Roman"/>
          <w:sz w:val="24"/>
          <w:szCs w:val="24"/>
        </w:rPr>
        <w:tab/>
      </w:r>
      <w:r w:rsidR="006429B9" w:rsidRPr="006429B9">
        <w:rPr>
          <w:rFonts w:ascii="Times New Roman" w:hAnsi="Times New Roman" w:cs="Times New Roman"/>
          <w:sz w:val="24"/>
          <w:szCs w:val="24"/>
        </w:rPr>
        <w:t xml:space="preserve">Source Sampling Manual Volume I </w:t>
      </w:r>
    </w:p>
    <w:p w:rsidR="00EE03DF" w:rsidRPr="006429B9" w:rsidRDefault="00B014FD" w:rsidP="006429B9">
      <w:pPr>
        <w:spacing w:after="120"/>
        <w:ind w:left="1440" w:firstLine="720"/>
        <w:rPr>
          <w:rFonts w:ascii="Times New Roman" w:hAnsi="Times New Roman" w:cs="Times New Roman"/>
          <w:sz w:val="24"/>
          <w:szCs w:val="24"/>
        </w:rPr>
      </w:pPr>
      <w:r>
        <w:rPr>
          <w:rFonts w:ascii="Times New Roman" w:hAnsi="Times New Roman" w:cs="Times New Roman"/>
          <w:sz w:val="24"/>
          <w:szCs w:val="24"/>
        </w:rPr>
        <w:t>C1</w:t>
      </w:r>
      <w:r w:rsidR="00EE03DF" w:rsidRPr="006429B9">
        <w:rPr>
          <w:rFonts w:ascii="Times New Roman" w:hAnsi="Times New Roman" w:cs="Times New Roman"/>
          <w:sz w:val="24"/>
          <w:szCs w:val="24"/>
        </w:rPr>
        <w:t xml:space="preserve">. </w:t>
      </w:r>
      <w:r w:rsidR="006429B9">
        <w:rPr>
          <w:rFonts w:ascii="Times New Roman" w:hAnsi="Times New Roman" w:cs="Times New Roman"/>
          <w:sz w:val="24"/>
          <w:szCs w:val="24"/>
        </w:rPr>
        <w:tab/>
      </w:r>
      <w:r w:rsidR="00EE03DF" w:rsidRPr="006429B9">
        <w:rPr>
          <w:rFonts w:ascii="Times New Roman" w:hAnsi="Times New Roman" w:cs="Times New Roman"/>
          <w:sz w:val="24"/>
          <w:szCs w:val="24"/>
        </w:rPr>
        <w:t>Source Sampling Manual Volume I</w:t>
      </w:r>
      <w:r w:rsidR="006429B9">
        <w:rPr>
          <w:rFonts w:ascii="Times New Roman" w:hAnsi="Times New Roman" w:cs="Times New Roman"/>
          <w:sz w:val="24"/>
          <w:szCs w:val="24"/>
        </w:rPr>
        <w:t xml:space="preserve"> </w:t>
      </w:r>
      <w:r w:rsidR="00042229">
        <w:rPr>
          <w:rFonts w:ascii="Times New Roman" w:hAnsi="Times New Roman" w:cs="Times New Roman"/>
          <w:sz w:val="24"/>
          <w:szCs w:val="24"/>
        </w:rPr>
        <w:t>(</w:t>
      </w:r>
      <w:r w:rsidR="006429B9">
        <w:rPr>
          <w:rFonts w:ascii="Times New Roman" w:hAnsi="Times New Roman" w:cs="Times New Roman"/>
          <w:sz w:val="24"/>
          <w:szCs w:val="24"/>
        </w:rPr>
        <w:t>1992 Edition</w:t>
      </w:r>
      <w:r w:rsidR="00042229">
        <w:rPr>
          <w:rFonts w:ascii="Times New Roman" w:hAnsi="Times New Roman" w:cs="Times New Roman"/>
          <w:sz w:val="24"/>
          <w:szCs w:val="24"/>
        </w:rPr>
        <w:t>)</w:t>
      </w:r>
    </w:p>
    <w:p w:rsidR="006429B9" w:rsidRPr="006429B9" w:rsidRDefault="00B014FD" w:rsidP="006429B9">
      <w:pPr>
        <w:spacing w:after="120"/>
        <w:ind w:left="2880" w:hanging="720"/>
        <w:rPr>
          <w:rFonts w:ascii="Times New Roman" w:hAnsi="Times New Roman" w:cs="Times New Roman"/>
          <w:sz w:val="24"/>
          <w:szCs w:val="24"/>
        </w:rPr>
      </w:pPr>
      <w:r>
        <w:rPr>
          <w:rFonts w:ascii="Times New Roman" w:hAnsi="Times New Roman" w:cs="Times New Roman"/>
          <w:sz w:val="24"/>
          <w:szCs w:val="24"/>
        </w:rPr>
        <w:t>C2</w:t>
      </w:r>
      <w:r w:rsidR="00EE03DF" w:rsidRPr="006429B9">
        <w:rPr>
          <w:rFonts w:ascii="Times New Roman" w:hAnsi="Times New Roman" w:cs="Times New Roman"/>
          <w:sz w:val="24"/>
          <w:szCs w:val="24"/>
        </w:rPr>
        <w:t>.</w:t>
      </w:r>
      <w:r w:rsidR="006429B9" w:rsidRPr="006429B9">
        <w:rPr>
          <w:rFonts w:ascii="Times New Roman" w:hAnsi="Times New Roman" w:cs="Times New Roman"/>
          <w:sz w:val="24"/>
          <w:szCs w:val="24"/>
        </w:rPr>
        <w:t xml:space="preserve"> </w:t>
      </w:r>
      <w:r w:rsidR="006429B9">
        <w:rPr>
          <w:rFonts w:ascii="Times New Roman" w:hAnsi="Times New Roman" w:cs="Times New Roman"/>
          <w:sz w:val="24"/>
          <w:szCs w:val="24"/>
        </w:rPr>
        <w:tab/>
      </w:r>
      <w:r w:rsidR="00EE03DF" w:rsidRPr="006429B9">
        <w:rPr>
          <w:rFonts w:ascii="Times New Roman" w:hAnsi="Times New Roman" w:cs="Times New Roman"/>
          <w:sz w:val="24"/>
          <w:szCs w:val="24"/>
        </w:rPr>
        <w:t xml:space="preserve">Source Sampling Manual Volume I </w:t>
      </w:r>
      <w:r w:rsidR="00042229">
        <w:rPr>
          <w:rFonts w:ascii="Times New Roman" w:hAnsi="Times New Roman" w:cs="Times New Roman"/>
          <w:sz w:val="24"/>
          <w:szCs w:val="24"/>
        </w:rPr>
        <w:t>(</w:t>
      </w:r>
      <w:r w:rsidR="006429B9">
        <w:rPr>
          <w:rFonts w:ascii="Times New Roman" w:hAnsi="Times New Roman" w:cs="Times New Roman"/>
          <w:sz w:val="24"/>
          <w:szCs w:val="24"/>
        </w:rPr>
        <w:t>2014 Edition</w:t>
      </w:r>
      <w:r w:rsidR="00042229">
        <w:rPr>
          <w:rFonts w:ascii="Times New Roman" w:hAnsi="Times New Roman" w:cs="Times New Roman"/>
          <w:sz w:val="24"/>
          <w:szCs w:val="24"/>
        </w:rPr>
        <w:t>)</w:t>
      </w:r>
      <w:r w:rsidR="006429B9">
        <w:rPr>
          <w:rFonts w:ascii="Times New Roman" w:hAnsi="Times New Roman" w:cs="Times New Roman"/>
          <w:sz w:val="24"/>
          <w:szCs w:val="24"/>
        </w:rPr>
        <w:t xml:space="preserve"> </w:t>
      </w:r>
    </w:p>
    <w:p w:rsidR="00042229" w:rsidRDefault="00042229" w:rsidP="00042229">
      <w:pPr>
        <w:spacing w:after="120"/>
        <w:ind w:left="1440"/>
        <w:rPr>
          <w:rFonts w:ascii="Times New Roman" w:hAnsi="Times New Roman" w:cs="Times New Roman"/>
          <w:sz w:val="24"/>
          <w:szCs w:val="24"/>
        </w:rPr>
      </w:pPr>
      <w:r>
        <w:rPr>
          <w:rFonts w:ascii="Times New Roman" w:hAnsi="Times New Roman" w:cs="Times New Roman"/>
          <w:sz w:val="24"/>
          <w:szCs w:val="24"/>
        </w:rPr>
        <w:t xml:space="preserve">Note: DEQ proposes extensive changes to the </w:t>
      </w:r>
      <w:r w:rsidRPr="006429B9">
        <w:rPr>
          <w:rFonts w:ascii="Times New Roman" w:hAnsi="Times New Roman" w:cs="Times New Roman"/>
          <w:sz w:val="24"/>
          <w:szCs w:val="24"/>
        </w:rPr>
        <w:t xml:space="preserve">Source Sampling Manual Volume I </w:t>
      </w:r>
      <w:r>
        <w:rPr>
          <w:rFonts w:ascii="Times New Roman" w:hAnsi="Times New Roman" w:cs="Times New Roman"/>
          <w:sz w:val="24"/>
          <w:szCs w:val="24"/>
        </w:rPr>
        <w:t xml:space="preserve">as described in the Notice. The manual does not contain redline strikeout because the extensive changes would be difficult to understand. The proposed rules include the 1992 Edition and the proposed 2014 Edition of the manual. The 1992 Edition would be deleted and replaced by the 2014 Edition. </w:t>
      </w:r>
    </w:p>
    <w:p w:rsidR="00042229" w:rsidRDefault="00042229" w:rsidP="00042229">
      <w:pPr>
        <w:spacing w:after="120"/>
        <w:ind w:left="1440"/>
        <w:rPr>
          <w:rFonts w:ascii="Times New Roman" w:hAnsi="Times New Roman" w:cs="Times New Roman"/>
          <w:sz w:val="24"/>
          <w:szCs w:val="24"/>
        </w:rPr>
      </w:pPr>
    </w:p>
    <w:p w:rsidR="00EE03DF" w:rsidRDefault="00B014FD" w:rsidP="006429B9">
      <w:pPr>
        <w:spacing w:after="120"/>
        <w:ind w:left="720"/>
        <w:rPr>
          <w:rFonts w:ascii="Times New Roman" w:hAnsi="Times New Roman" w:cs="Times New Roman"/>
          <w:sz w:val="24"/>
          <w:szCs w:val="24"/>
        </w:rPr>
      </w:pPr>
      <w:r>
        <w:rPr>
          <w:rFonts w:ascii="Times New Roman" w:hAnsi="Times New Roman" w:cs="Times New Roman"/>
          <w:sz w:val="24"/>
          <w:szCs w:val="24"/>
        </w:rPr>
        <w:t>D</w:t>
      </w:r>
      <w:r w:rsidR="00EE03DF" w:rsidRPr="006429B9">
        <w:rPr>
          <w:rFonts w:ascii="Times New Roman" w:hAnsi="Times New Roman" w:cs="Times New Roman"/>
          <w:sz w:val="24"/>
          <w:szCs w:val="24"/>
        </w:rPr>
        <w:t xml:space="preserve">. </w:t>
      </w:r>
      <w:r w:rsidR="006429B9">
        <w:rPr>
          <w:rFonts w:ascii="Times New Roman" w:hAnsi="Times New Roman" w:cs="Times New Roman"/>
          <w:sz w:val="24"/>
          <w:szCs w:val="24"/>
        </w:rPr>
        <w:tab/>
      </w:r>
      <w:r w:rsidR="00EE03DF" w:rsidRPr="006429B9">
        <w:rPr>
          <w:rFonts w:ascii="Times New Roman" w:hAnsi="Times New Roman" w:cs="Times New Roman"/>
          <w:sz w:val="24"/>
          <w:szCs w:val="24"/>
        </w:rPr>
        <w:t xml:space="preserve">Source Sampling Manual Volume II </w:t>
      </w:r>
    </w:p>
    <w:p w:rsidR="00EE03DF" w:rsidRPr="006429B9" w:rsidRDefault="00042229" w:rsidP="00042229">
      <w:pPr>
        <w:spacing w:after="120"/>
        <w:ind w:left="1440"/>
        <w:rPr>
          <w:rFonts w:ascii="Times New Roman" w:hAnsi="Times New Roman" w:cs="Times New Roman"/>
          <w:sz w:val="24"/>
          <w:szCs w:val="24"/>
        </w:rPr>
      </w:pPr>
      <w:r>
        <w:rPr>
          <w:rFonts w:ascii="Times New Roman" w:hAnsi="Times New Roman" w:cs="Times New Roman"/>
          <w:sz w:val="24"/>
          <w:szCs w:val="24"/>
        </w:rPr>
        <w:t>Note: DEQ’s proposed changes are indicated in redline strikeout</w:t>
      </w:r>
    </w:p>
    <w:p w:rsidR="00EE03DF" w:rsidRPr="006429B9" w:rsidRDefault="00EE03DF" w:rsidP="006429B9">
      <w:pPr>
        <w:spacing w:after="120"/>
        <w:rPr>
          <w:rFonts w:ascii="Times New Roman" w:hAnsi="Times New Roman" w:cs="Times New Roman"/>
          <w:sz w:val="24"/>
          <w:szCs w:val="24"/>
        </w:rPr>
      </w:pPr>
    </w:p>
    <w:sectPr w:rsidR="00EE03DF" w:rsidRPr="006429B9"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E03DF"/>
    <w:rsid w:val="0004162D"/>
    <w:rsid w:val="00042229"/>
    <w:rsid w:val="00055081"/>
    <w:rsid w:val="000663FF"/>
    <w:rsid w:val="00072747"/>
    <w:rsid w:val="00086050"/>
    <w:rsid w:val="000D63C8"/>
    <w:rsid w:val="00105A1F"/>
    <w:rsid w:val="001145C7"/>
    <w:rsid w:val="00123E37"/>
    <w:rsid w:val="00130294"/>
    <w:rsid w:val="00147ABC"/>
    <w:rsid w:val="0016035F"/>
    <w:rsid w:val="00160398"/>
    <w:rsid w:val="0018239E"/>
    <w:rsid w:val="001B2FDB"/>
    <w:rsid w:val="001B3570"/>
    <w:rsid w:val="001B3F26"/>
    <w:rsid w:val="001B7136"/>
    <w:rsid w:val="001F0A15"/>
    <w:rsid w:val="002117FD"/>
    <w:rsid w:val="002321CE"/>
    <w:rsid w:val="00257103"/>
    <w:rsid w:val="0028599E"/>
    <w:rsid w:val="002914A3"/>
    <w:rsid w:val="002B2EB6"/>
    <w:rsid w:val="002C738D"/>
    <w:rsid w:val="002E3B21"/>
    <w:rsid w:val="002F7375"/>
    <w:rsid w:val="0031480D"/>
    <w:rsid w:val="00363023"/>
    <w:rsid w:val="0037136E"/>
    <w:rsid w:val="00375B62"/>
    <w:rsid w:val="0039247D"/>
    <w:rsid w:val="003C5880"/>
    <w:rsid w:val="003E24CA"/>
    <w:rsid w:val="003F6D2C"/>
    <w:rsid w:val="004004FB"/>
    <w:rsid w:val="004020DE"/>
    <w:rsid w:val="004148F7"/>
    <w:rsid w:val="00421215"/>
    <w:rsid w:val="00432290"/>
    <w:rsid w:val="004667CF"/>
    <w:rsid w:val="0048557D"/>
    <w:rsid w:val="004B64AC"/>
    <w:rsid w:val="004D0EE3"/>
    <w:rsid w:val="004D596A"/>
    <w:rsid w:val="00504DEF"/>
    <w:rsid w:val="00517A87"/>
    <w:rsid w:val="00552805"/>
    <w:rsid w:val="005543C8"/>
    <w:rsid w:val="00556CB0"/>
    <w:rsid w:val="00561850"/>
    <w:rsid w:val="00567E78"/>
    <w:rsid w:val="00577B21"/>
    <w:rsid w:val="005979A4"/>
    <w:rsid w:val="005C4FD4"/>
    <w:rsid w:val="005F3454"/>
    <w:rsid w:val="005F4E40"/>
    <w:rsid w:val="006141E4"/>
    <w:rsid w:val="006203FE"/>
    <w:rsid w:val="006429B9"/>
    <w:rsid w:val="00655048"/>
    <w:rsid w:val="00675A4C"/>
    <w:rsid w:val="00684BA3"/>
    <w:rsid w:val="00695B9A"/>
    <w:rsid w:val="006A18DA"/>
    <w:rsid w:val="006A492A"/>
    <w:rsid w:val="006C3C0F"/>
    <w:rsid w:val="006C5965"/>
    <w:rsid w:val="006F40EA"/>
    <w:rsid w:val="006F63F9"/>
    <w:rsid w:val="0071109F"/>
    <w:rsid w:val="00737D9E"/>
    <w:rsid w:val="007631B4"/>
    <w:rsid w:val="00784F57"/>
    <w:rsid w:val="007970C4"/>
    <w:rsid w:val="007A37C0"/>
    <w:rsid w:val="007B7C50"/>
    <w:rsid w:val="007C40D3"/>
    <w:rsid w:val="007D68D2"/>
    <w:rsid w:val="007E0952"/>
    <w:rsid w:val="007E1B35"/>
    <w:rsid w:val="007E4E24"/>
    <w:rsid w:val="007F30C0"/>
    <w:rsid w:val="007F65C1"/>
    <w:rsid w:val="0081306E"/>
    <w:rsid w:val="008149BB"/>
    <w:rsid w:val="00856306"/>
    <w:rsid w:val="0088000D"/>
    <w:rsid w:val="008914B9"/>
    <w:rsid w:val="008A61FA"/>
    <w:rsid w:val="008B18E5"/>
    <w:rsid w:val="008C4FE8"/>
    <w:rsid w:val="008C5DD4"/>
    <w:rsid w:val="008C6D18"/>
    <w:rsid w:val="008D7241"/>
    <w:rsid w:val="0092481E"/>
    <w:rsid w:val="0095052E"/>
    <w:rsid w:val="00954812"/>
    <w:rsid w:val="00965755"/>
    <w:rsid w:val="00967942"/>
    <w:rsid w:val="00976CA6"/>
    <w:rsid w:val="0098023C"/>
    <w:rsid w:val="009B7685"/>
    <w:rsid w:val="009D2E9F"/>
    <w:rsid w:val="00A212DA"/>
    <w:rsid w:val="00A266B5"/>
    <w:rsid w:val="00A64A5F"/>
    <w:rsid w:val="00A678EE"/>
    <w:rsid w:val="00A746CF"/>
    <w:rsid w:val="00A77188"/>
    <w:rsid w:val="00A77A29"/>
    <w:rsid w:val="00A818D7"/>
    <w:rsid w:val="00A952F5"/>
    <w:rsid w:val="00AD4268"/>
    <w:rsid w:val="00AD478E"/>
    <w:rsid w:val="00AD518E"/>
    <w:rsid w:val="00AE6A0A"/>
    <w:rsid w:val="00AE6AAE"/>
    <w:rsid w:val="00AF12D2"/>
    <w:rsid w:val="00AF3FA3"/>
    <w:rsid w:val="00B014FD"/>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753F"/>
    <w:rsid w:val="00D07B8C"/>
    <w:rsid w:val="00D273A5"/>
    <w:rsid w:val="00D378E1"/>
    <w:rsid w:val="00D56022"/>
    <w:rsid w:val="00DA4150"/>
    <w:rsid w:val="00DB080D"/>
    <w:rsid w:val="00DC099F"/>
    <w:rsid w:val="00DC36F8"/>
    <w:rsid w:val="00DD65D8"/>
    <w:rsid w:val="00DF66B9"/>
    <w:rsid w:val="00E044EB"/>
    <w:rsid w:val="00E37052"/>
    <w:rsid w:val="00E4294F"/>
    <w:rsid w:val="00EA192F"/>
    <w:rsid w:val="00EA467D"/>
    <w:rsid w:val="00EA5264"/>
    <w:rsid w:val="00EE03DF"/>
    <w:rsid w:val="00EF7889"/>
    <w:rsid w:val="00F03103"/>
    <w:rsid w:val="00F12809"/>
    <w:rsid w:val="00F20309"/>
    <w:rsid w:val="00F24154"/>
    <w:rsid w:val="00F568FC"/>
    <w:rsid w:val="00F614CF"/>
    <w:rsid w:val="00F6767A"/>
    <w:rsid w:val="00F7441E"/>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9B9"/>
    <w:rPr>
      <w:rFonts w:ascii="Tahoma" w:hAnsi="Tahoma" w:cs="Tahoma"/>
      <w:sz w:val="16"/>
      <w:szCs w:val="16"/>
    </w:rPr>
  </w:style>
  <w:style w:type="character" w:customStyle="1" w:styleId="BalloonTextChar">
    <w:name w:val="Balloon Text Char"/>
    <w:basedOn w:val="DefaultParagraphFont"/>
    <w:link w:val="BalloonText"/>
    <w:uiPriority w:val="99"/>
    <w:semiHidden/>
    <w:rsid w:val="006429B9"/>
    <w:rPr>
      <w:rFonts w:ascii="Tahoma" w:hAnsi="Tahoma" w:cs="Tahoma"/>
      <w:sz w:val="16"/>
      <w:szCs w:val="16"/>
    </w:rPr>
  </w:style>
  <w:style w:type="table" w:styleId="TableGrid">
    <w:name w:val="Table Grid"/>
    <w:basedOn w:val="TableNormal"/>
    <w:uiPriority w:val="59"/>
    <w:rsid w:val="00CC753F"/>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6</cp:revision>
  <cp:lastPrinted>2014-06-09T23:47:00Z</cp:lastPrinted>
  <dcterms:created xsi:type="dcterms:W3CDTF">2014-06-09T18:06:00Z</dcterms:created>
  <dcterms:modified xsi:type="dcterms:W3CDTF">2014-06-11T22:39:00Z</dcterms:modified>
</cp:coreProperties>
</file>