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29" w:rsidRDefault="004D6529" w:rsidP="003029C4">
      <w:pPr>
        <w:tabs>
          <w:tab w:val="left" w:pos="7290"/>
        </w:tabs>
        <w:rPr>
          <w:b/>
          <w:bCs/>
        </w:rPr>
      </w:pPr>
    </w:p>
    <w:p w:rsidR="002F08DF" w:rsidRDefault="003029C4" w:rsidP="003029C4">
      <w:pPr>
        <w:tabs>
          <w:tab w:val="left" w:pos="7290"/>
        </w:tabs>
        <w:rPr>
          <w:b/>
          <w:bCs/>
        </w:rPr>
      </w:pPr>
      <w:r>
        <w:rPr>
          <w:b/>
          <w:bCs/>
        </w:rPr>
        <w:tab/>
      </w:r>
    </w:p>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w:t>
      </w:r>
      <w:proofErr w:type="gramStart"/>
      <w:r w:rsidRPr="0034229F">
        <w:t>actual</w:t>
      </w:r>
      <w:proofErr w:type="gramEnd"/>
      <w:r w:rsidRPr="0034229F">
        <w:t xml:space="preserve"> emissions equal the average rate at which the source actually emitted the pollutant during an applicable baseline period and that represents normal source operation;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will be reset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lastRenderedPageBreak/>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lastRenderedPageBreak/>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w:t>
      </w:r>
      <w:r w:rsidRPr="0034229F">
        <w:lastRenderedPageBreak/>
        <w:t xml:space="preserve">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221D97"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w:t>
      </w:r>
      <w:r w:rsidRPr="0034229F">
        <w:lastRenderedPageBreak/>
        <w:t xml:space="preserve">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lastRenderedPageBreak/>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gramStart"/>
      <w:r w:rsidRPr="0034229F">
        <w:t>aa</w:t>
      </w:r>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air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gramStart"/>
      <w:r w:rsidRPr="00162082">
        <w:t>uu</w:t>
      </w:r>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w:t>
      </w:r>
      <w:r w:rsidRPr="00162082">
        <w:lastRenderedPageBreak/>
        <w:t>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blowdown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lastRenderedPageBreak/>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lastRenderedPageBreak/>
        <w:t xml:space="preserve">(33) "De minimis emission levels" mean the levels for the pollutants listed in Table 4. </w:t>
      </w:r>
    </w:p>
    <w:p w:rsidR="0034229F" w:rsidRPr="0034229F" w:rsidRDefault="002F716D" w:rsidP="0034229F">
      <w:r w:rsidRPr="00FF1A76">
        <w:rPr>
          <w:b/>
          <w:bCs/>
        </w:rPr>
        <w:t>NOTE:</w:t>
      </w:r>
      <w:r w:rsidRPr="00FF1A76">
        <w:t xml:space="preserve"> De minimis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lastRenderedPageBreak/>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lastRenderedPageBreak/>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 xml:space="preserve">hazardous air pollutants listed in OAR 340 division 244 </w:t>
      </w:r>
      <w:r w:rsidRPr="0034229F">
        <w:t xml:space="preserve"> greater than or equal to 100 tons per year if in a source category listed below, or 250 tons per year if not in a source category listed. </w:t>
      </w:r>
      <w:del w:id="2"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emissions of a 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lastRenderedPageBreak/>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gramStart"/>
      <w:r w:rsidRPr="0034229F">
        <w:t>aa</w:t>
      </w:r>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lastRenderedPageBreak/>
        <w:t xml:space="preserve">(58)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hydrofluorocarbons, perfluorocarbons, and sulfur hexafluoride. Each gas is also individually a greenhouse gas. </w:t>
      </w:r>
    </w:p>
    <w:p w:rsidR="009575A6" w:rsidRPr="0034229F" w:rsidRDefault="00A67221" w:rsidP="0034229F">
      <w:r w:rsidRPr="002238F2">
        <w:t>(</w:t>
      </w:r>
      <w:commentRangeStart w:id="3"/>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commentRangeEnd w:id="3"/>
      <w:r w:rsidR="004D6529">
        <w:rPr>
          <w:rStyle w:val="CommentReference"/>
        </w:rPr>
        <w:commentReference w:id="3"/>
      </w:r>
    </w:p>
    <w:p w:rsidR="0034229F" w:rsidRPr="0034229F" w:rsidRDefault="0034229F" w:rsidP="0034229F">
      <w:r w:rsidRPr="0034229F">
        <w:t xml:space="preserve">(62) "Growth Allowance" means an allocation of some part of an airshed's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lastRenderedPageBreak/>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7535E4" w:rsidRPr="0034229F" w:rsidRDefault="0034229F" w:rsidP="0034229F">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 w:rsidRPr="0034229F">
        <w:lastRenderedPageBreak/>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being considered an increase. </w:t>
      </w:r>
    </w:p>
    <w:p w:rsidR="003168BB" w:rsidRDefault="0034229F">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 w:rsidRPr="0034229F">
        <w:t>(</w:t>
      </w:r>
      <w:r w:rsidR="004411A1" w:rsidRPr="00B3698B">
        <w:t>e</w:t>
      </w:r>
      <w:r w:rsidRPr="0034229F">
        <w:t xml:space="preserve">) The following are not considered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w:t>
      </w:r>
      <w:r w:rsidRPr="0034229F">
        <w:lastRenderedPageBreak/>
        <w:t xml:space="preserve">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lastRenderedPageBreak/>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commentRangeStart w:id="16"/>
      <w:del w:id="17"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commentRangeEnd w:id="16"/>
      <w:r w:rsidR="007C3482">
        <w:rPr>
          <w:rStyle w:val="CommentReference"/>
        </w:rPr>
        <w:commentReference w:id="16"/>
      </w:r>
    </w:p>
    <w:p w:rsidR="0034229F" w:rsidRPr="0034229F" w:rsidRDefault="0034229F" w:rsidP="0034229F">
      <w:r w:rsidRPr="0034229F">
        <w:t>(</w:t>
      </w:r>
      <w:ins w:id="18" w:author="jinahar" w:date="2014-08-12T12:41:00Z">
        <w:r w:rsidR="00221D97">
          <w:t>C</w:t>
        </w:r>
      </w:ins>
      <w:del w:id="19"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w:t>
      </w:r>
      <w:r w:rsidRPr="0034229F">
        <w:lastRenderedPageBreak/>
        <w:t xml:space="preserve">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34229F" w:rsidRPr="0034229F" w:rsidRDefault="0034229F" w:rsidP="0034229F">
      <w:r w:rsidRPr="0034229F">
        <w:t xml:space="preserve">(c) Routine maintenance, repair and like-for-like replacement of components unless they increase the expected life of the stationary source by using component upgrades that would not otherwise be necessary for the stationary source to function.(75)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lastRenderedPageBreak/>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34229F" w:rsidRPr="0034229F"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lastRenderedPageBreak/>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w:t>
      </w:r>
      <w:r w:rsidRPr="0034229F">
        <w:lastRenderedPageBreak/>
        <w:t xml:space="preserve">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3 month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lastRenderedPageBreak/>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Act; </w:t>
      </w:r>
    </w:p>
    <w:p w:rsidR="0034229F" w:rsidRPr="00DA0937" w:rsidRDefault="00F543CC" w:rsidP="0034229F">
      <w:r w:rsidRPr="00DA0937">
        <w:t xml:space="preserve">(D) Any Class I or II substance subject to a standard promulgated under or established by Title VI of the Act;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w:t>
      </w:r>
      <w:r w:rsidRPr="0034229F">
        <w:lastRenderedPageBreak/>
        <w:t xml:space="preserve">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lastRenderedPageBreak/>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34229F">
      <w:r w:rsidRPr="0034229F">
        <w:lastRenderedPageBreak/>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273225">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r w:rsidRPr="00273225">
        <w:t>(c) Any new source or modification with an emissions increase less than the rates specified in Table 2 or 3</w:t>
      </w:r>
      <w:r w:rsidR="00D94314">
        <w:t xml:space="preserve"> of this </w:t>
      </w:r>
      <w:proofErr w:type="gramStart"/>
      <w:r w:rsidR="00D94314">
        <w:t xml:space="preserve">rule </w:t>
      </w:r>
      <w:r w:rsidR="001E4425">
        <w:t xml:space="preserve"> </w:t>
      </w:r>
      <w:r w:rsidRPr="00273225">
        <w:t>associated</w:t>
      </w:r>
      <w:proofErr w:type="gramEnd"/>
      <w:r w:rsidRPr="00273225">
        <w:t xml:space="preserve">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w:t>
      </w:r>
      <w:r w:rsidRPr="0034229F">
        <w:lastRenderedPageBreak/>
        <w:t xml:space="preserve">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w:t>
      </w:r>
      <w:r w:rsidRPr="0034229F">
        <w:lastRenderedPageBreak/>
        <w:t xml:space="preserve">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FF5F08" w:rsidRDefault="0034229F" w:rsidP="0034229F">
      <w:r w:rsidRPr="0034229F">
        <w:t xml:space="preserve">(145) "Total Reduced Sulfur" or "TRS" means the sum of the sulfur compounds hydrogen sulfide, methyl mercaptan, dimethyl sulfide, dimethyl disulfide, and any other organic sulfides present expressed as hydrogen sulfide(H2S). </w:t>
      </w:r>
    </w:p>
    <w:p w:rsidR="0034229F" w:rsidRPr="0034229F" w:rsidRDefault="0034229F" w:rsidP="0034229F">
      <w:r w:rsidRPr="0034229F">
        <w:lastRenderedPageBreak/>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w:t>
      </w:r>
      <w:r w:rsidRPr="0034229F">
        <w:lastRenderedPageBreak/>
        <w:t xml:space="preserve">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143659">
      <w:r w:rsidRPr="0034229F">
        <w:t>[ED. NOTE: Tables referenced are not included in rule text. </w:t>
      </w:r>
      <w:hyperlink r:id="rId13" w:history="1">
        <w:r w:rsidRPr="0034229F">
          <w:rPr>
            <w:rStyle w:val="Hyperlink"/>
          </w:rPr>
          <w:t>Click here for PDF copy of table(s).</w:t>
        </w:r>
      </w:hyperlink>
      <w:r w:rsidRPr="0034229F">
        <w:t xml:space="preserve">] </w:t>
      </w:r>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w:t>
      </w:r>
      <w:r w:rsidRPr="0034229F">
        <w:lastRenderedPageBreak/>
        <w:t xml:space="preserve">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p w:rsidR="00026BA4" w:rsidRDefault="00026BA4">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530"/>
        <w:gridCol w:w="1818"/>
        <w:gridCol w:w="2047"/>
        <w:gridCol w:w="2076"/>
        <w:gridCol w:w="1594"/>
        <w:gridCol w:w="40"/>
      </w:tblGrid>
      <w:tr w:rsidR="00C1188E" w:rsidTr="00E9074C">
        <w:trPr>
          <w:tblHeader/>
        </w:trPr>
        <w:tc>
          <w:tcPr>
            <w:tcW w:w="9105" w:type="dxa"/>
            <w:gridSpan w:val="6"/>
            <w:tcBorders>
              <w:top w:val="double" w:sz="4" w:space="0" w:color="auto"/>
              <w:bottom w:val="single" w:sz="4" w:space="0" w:color="auto"/>
            </w:tcBorders>
            <w:shd w:val="clear" w:color="auto" w:fill="FFFFFF" w:themeFill="background1"/>
          </w:tcPr>
          <w:p w:rsidR="00C1188E" w:rsidRDefault="00F65E7E" w:rsidP="00E9074C">
            <w:pPr>
              <w:pStyle w:val="ListParagraph"/>
              <w:spacing w:after="120"/>
              <w:ind w:left="0" w:right="634"/>
              <w:jc w:val="center"/>
              <w:outlineLvl w:val="0"/>
              <w:rPr>
                <w:rFonts w:asciiTheme="majorHAnsi" w:eastAsia="Times New Roman" w:hAnsiTheme="majorHAnsi" w:cstheme="majorHAnsi"/>
                <w:color w:val="FFFFFF" w:themeColor="background1"/>
              </w:rPr>
            </w:pPr>
            <w:r w:rsidRPr="00F65E7E">
              <w:rPr>
                <w:noProof/>
              </w:rPr>
              <w:lastRenderedPageBreak/>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C1188E" w:rsidRPr="00CC79F1" w:rsidRDefault="00C1188E" w:rsidP="00E9074C">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C1188E" w:rsidTr="00E9074C">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C1188E" w:rsidTr="00E9074C">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C1188E" w:rsidRPr="00B439A9" w:rsidRDefault="00C1188E" w:rsidP="00E9074C">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color w:val="000000" w:themeColor="text1"/>
              </w:rPr>
            </w:pP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outlineLvl w:val="0"/>
              <w:rPr>
                <w:rFonts w:eastAsia="Times New Roman"/>
              </w:rPr>
            </w:pPr>
          </w:p>
          <w:p w:rsidR="00C1188E" w:rsidRPr="0017497C" w:rsidRDefault="00F65E7E" w:rsidP="00E9074C">
            <w:pPr>
              <w:rPr>
                <w:rFonts w:eastAsia="Times New Roman"/>
                <w:b/>
              </w:rPr>
            </w:pPr>
            <w:r w:rsidRPr="0017497C">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rPr>
              <w:tab/>
            </w:r>
            <w:r w:rsidR="00C1188E" w:rsidRPr="0017497C">
              <w:rPr>
                <w:rFonts w:eastAsia="Times New Roman"/>
              </w:rPr>
              <w:tab/>
            </w:r>
            <w:r w:rsidR="00C1188E" w:rsidRPr="0017497C">
              <w:rPr>
                <w:rFonts w:eastAsia="Times New Roman"/>
                <w:b/>
              </w:rPr>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C1188E" w:rsidRPr="0017497C" w:rsidRDefault="00C1188E" w:rsidP="00E9074C">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C1188E" w:rsidRPr="0017497C" w:rsidRDefault="00C1188E" w:rsidP="00E9074C">
            <w:pPr>
              <w:spacing w:after="120"/>
              <w:ind w:right="634"/>
              <w:jc w:val="center"/>
              <w:outlineLvl w:val="0"/>
              <w:rPr>
                <w:rFonts w:eastAsia="Times New Roman"/>
                <w:b/>
                <w:color w:val="FFFFFF"/>
              </w:rPr>
            </w:pPr>
            <w:r w:rsidRPr="0017497C">
              <w:rPr>
                <w:rFonts w:eastAsia="Times New Roman"/>
                <w:b/>
                <w:color w:val="FFFFFF"/>
              </w:rPr>
              <w:t>-20-8010)</w:t>
            </w: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outlineLvl w:val="0"/>
              <w:rPr>
                <w:rFonts w:eastAsia="Times New Roman"/>
                <w:color w:val="000000"/>
              </w:rPr>
            </w:pPr>
            <w:r w:rsidRPr="0017497C">
              <w:rPr>
                <w:rFonts w:eastAsia="Times New Roman"/>
                <w:color w:val="000000"/>
              </w:rPr>
              <w:t>Emission Rate</w:t>
            </w:r>
          </w:p>
        </w:tc>
      </w:tr>
      <w:tr w:rsidR="00C1188E" w:rsidRPr="0017497C" w:rsidTr="00E9074C">
        <w:trPr>
          <w:trHeight w:val="350"/>
        </w:trPr>
        <w:tc>
          <w:tcPr>
            <w:tcW w:w="4545" w:type="dxa"/>
            <w:tcBorders>
              <w:top w:val="single" w:sz="4" w:space="0" w:color="auto"/>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commentRangeStart w:id="20"/>
            <w:r w:rsidRPr="0017497C">
              <w:rPr>
                <w:rFonts w:eastAsia="Times New Roman"/>
              </w:rPr>
              <w:t>75,000 tons/year</w:t>
            </w:r>
            <w:commentRangeEnd w:id="20"/>
            <w:r w:rsidR="00026BA4" w:rsidRPr="0017497C">
              <w:rPr>
                <w:rStyle w:val="CommentReference"/>
                <w:sz w:val="24"/>
                <w:szCs w:val="24"/>
              </w:rPr>
              <w:commentReference w:id="20"/>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octa- chlorinated dibenzo-p-dioxins and dibenzofurans)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solid waste landfill emissions (measured as nonmethane organic compounds) </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 tons/year</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2092"/>
        <w:gridCol w:w="2093"/>
        <w:gridCol w:w="375"/>
      </w:tblGrid>
      <w:tr w:rsidR="00C1188E" w:rsidRPr="0017497C" w:rsidTr="00E9074C">
        <w:trPr>
          <w:tblHeader/>
        </w:trPr>
        <w:tc>
          <w:tcPr>
            <w:tcW w:w="9105" w:type="dxa"/>
            <w:gridSpan w:val="4"/>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vMerge w:val="restart"/>
            <w:tcBorders>
              <w:top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Emission Rate</w:t>
            </w:r>
          </w:p>
        </w:tc>
      </w:tr>
      <w:tr w:rsidR="00C1188E" w:rsidRPr="0017497C" w:rsidTr="00E9074C">
        <w:trPr>
          <w:trHeight w:val="350"/>
        </w:trPr>
        <w:tc>
          <w:tcPr>
            <w:tcW w:w="4545" w:type="dxa"/>
            <w:vMerge/>
            <w:tcBorders>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C1188E" w:rsidRPr="0017497C" w:rsidRDefault="00C1188E" w:rsidP="00E9074C">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(50.0 lbs.)</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contextualSpacing/>
              <w:outlineLvl w:val="0"/>
              <w:rPr>
                <w:rFonts w:eastAsia="Times New Roman"/>
                <w:b/>
              </w:rPr>
            </w:pPr>
            <w:r w:rsidRPr="0017497C">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De Minimis Emission Levels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C1188E" w:rsidRPr="0017497C" w:rsidRDefault="00C1188E" w:rsidP="00E9074C">
            <w:pPr>
              <w:spacing w:after="120"/>
              <w:ind w:right="634"/>
              <w:jc w:val="center"/>
              <w:outlineLvl w:val="0"/>
              <w:rPr>
                <w:rFonts w:eastAsia="Times New Roman"/>
                <w:b/>
              </w:rPr>
            </w:pP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De minimis (tons/year,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bl>
    <w:p w:rsidR="00C1188E" w:rsidRPr="0017497C" w:rsidRDefault="00C1188E" w:rsidP="00C1188E"/>
    <w:p w:rsidR="00C1188E" w:rsidRPr="0017497C" w:rsidRDefault="00C1188E" w:rsidP="00C1188E">
      <w:r w:rsidRPr="0017497C">
        <w:br w:type="page"/>
      </w:r>
    </w:p>
    <w:p w:rsidR="00C1188E" w:rsidRPr="0017497C" w:rsidRDefault="00C1188E" w:rsidP="00C1188E"/>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r w:rsidRPr="0017497C">
              <w:br w:type="page"/>
            </w:r>
            <w:r w:rsidRPr="0017497C">
              <w:br w:type="page"/>
            </w: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 xml:space="preserve">State of Oregon Department of Environmental Quality </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 xml:space="preserve">Generic PSEL </w:t>
            </w:r>
          </w:p>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49</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r>
    </w:tbl>
    <w:p w:rsidR="00C1188E" w:rsidRPr="0017497C" w:rsidRDefault="00C1188E" w:rsidP="00C1188E"/>
    <w:p w:rsidR="00C1188E" w:rsidRPr="0017497C" w:rsidRDefault="00C1188E">
      <w:pPr>
        <w:rPr>
          <w:bCs/>
        </w:rPr>
      </w:pPr>
      <w:r w:rsidRPr="0017497C">
        <w:rPr>
          <w:bCs/>
        </w:rPr>
        <w:br w:type="page"/>
      </w:r>
    </w:p>
    <w:p w:rsidR="0019395D" w:rsidRPr="0017497C" w:rsidRDefault="0019395D" w:rsidP="00E951D0">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firstRow="1" w:lastRow="1" w:firstColumn="1" w:lastColumn="1" w:noHBand="0" w:noVBand="0"/>
      </w:tblPr>
      <w:tblGrid>
        <w:gridCol w:w="9922"/>
      </w:tblGrid>
      <w:tr w:rsidR="00E434AC" w:rsidRPr="00E434AC" w:rsidTr="002C2D11">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5"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Concrete Manufacturing including Redimix and CTB more than 5,000 but less than 25,000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#2 diesel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sectPr w:rsidR="00E434AC" w:rsidRPr="00E434AC" w:rsidSect="00FB2996">
          <w:headerReference w:type="default" r:id="rId16"/>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Building paper and Buildingboard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Chlorine and Alkalies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Concrete Manufacturing including Redimix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t xml:space="preserve">Flatwood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gasoline dispensing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Particleboard Manufacturing (including strandboard, flakeboard, and waferboard)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Sawmills and/or Planing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E434AC">
      <w:pPr>
        <w:autoSpaceDE w:val="0"/>
        <w:autoSpaceDN w:val="0"/>
        <w:adjustRightInd w:val="0"/>
        <w:spacing w:after="60" w:line="240" w:lineRule="auto"/>
      </w:pPr>
      <w:r w:rsidRPr="00E434AC">
        <w:t>85.</w:t>
      </w:r>
      <w:r w:rsidRPr="00E434AC">
        <w:tab/>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434AC" w:rsidRPr="00E434AC" w:rsidRDefault="00E434AC" w:rsidP="00E434AC">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434AC" w:rsidRPr="00E434AC" w:rsidRDefault="00E434AC" w:rsidP="00E434AC">
      <w:pPr>
        <w:autoSpaceDE w:val="0"/>
        <w:autoSpaceDN w:val="0"/>
        <w:adjustRightInd w:val="0"/>
        <w:spacing w:after="0" w:line="240" w:lineRule="auto"/>
        <w:rPr>
          <w:b/>
          <w:bCs/>
        </w:rPr>
        <w:sectPr w:rsidR="00E434AC" w:rsidRPr="00E434AC" w:rsidSect="00FB2996">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Source categories for which a General ACDP has been issued.</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Commercial ethylene oxide sterilization operations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 xml:space="preserve">All sources having the Potential to </w:t>
      </w:r>
      <w:proofErr w:type="gramStart"/>
      <w:r w:rsidRPr="00E434AC">
        <w:t>Emit</w:t>
      </w:r>
      <w:proofErr w:type="gramEnd"/>
      <w:r w:rsidRPr="00E434AC">
        <w:t xml:space="preserve"> </w:t>
      </w:r>
      <w:commentRangeStart w:id="21"/>
      <w:del w:id="22" w:author="jinahar" w:date="2014-08-12T13:39:00Z">
        <w:r w:rsidRPr="00E434AC" w:rsidDel="00E434AC">
          <w:delText>more than 100</w:delText>
        </w:r>
      </w:del>
      <w:ins w:id="23" w:author="jinahar" w:date="2014-08-12T13:39:00Z">
        <w:r w:rsidRPr="0017497C">
          <w:t>75</w:t>
        </w:r>
      </w:ins>
      <w:r w:rsidRPr="00E434AC">
        <w:t xml:space="preserve">,000 tons CO2e </w:t>
      </w:r>
      <w:ins w:id="24" w:author="jinahar" w:date="2014-08-12T13:39:00Z">
        <w:r w:rsidRPr="0017497C">
          <w:t xml:space="preserve">or more </w:t>
        </w:r>
      </w:ins>
      <w:r w:rsidRPr="00E434AC">
        <w:t xml:space="preserve">of GHG emissions </w:t>
      </w:r>
      <w:commentRangeEnd w:id="21"/>
      <w:r w:rsidRPr="0017497C">
        <w:rPr>
          <w:rStyle w:val="CommentReference"/>
          <w:sz w:val="24"/>
          <w:szCs w:val="24"/>
        </w:rPr>
        <w:commentReference w:id="21"/>
      </w:r>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6. </w:t>
      </w:r>
      <w:r w:rsidRPr="00E434AC">
        <w:tab/>
        <w:t>All Sources having the Potential to Emit more than 100 tons of any regulated air contaminant</w:t>
      </w:r>
      <w:ins w:id="25" w:author="jinahar" w:date="2014-08-12T13:39:00Z">
        <w:r w:rsidRPr="0017497C">
          <w:t>, except GHG</w:t>
        </w:r>
        <w:proofErr w:type="gramStart"/>
        <w:r w:rsidRPr="0017497C">
          <w:t xml:space="preserve">, </w:t>
        </w:r>
      </w:ins>
      <w:r w:rsidRPr="00E434AC">
        <w:t xml:space="preserve"> in</w:t>
      </w:r>
      <w:proofErr w:type="gramEnd"/>
      <w:r w:rsidRPr="00E434AC">
        <w:t xml:space="preserve">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7.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8.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E434AC" w:rsidRPr="0017497C" w:rsidRDefault="00E434AC">
      <w:pPr>
        <w:rPr>
          <w:b/>
        </w:rPr>
      </w:pPr>
      <w:r w:rsidRPr="0017497C">
        <w:rPr>
          <w:b/>
        </w:rPr>
        <w:br w:type="page"/>
      </w:r>
    </w:p>
    <w:p w:rsidR="006E29B8" w:rsidRPr="000D2285" w:rsidRDefault="006E29B8" w:rsidP="000D2285">
      <w:pPr>
        <w:jc w:val="center"/>
        <w:rPr>
          <w:b/>
        </w:rPr>
      </w:pPr>
      <w:r w:rsidRPr="000D2285">
        <w:rPr>
          <w:b/>
        </w:rPr>
        <w:lastRenderedPageBreak/>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(a) The source is a new federal major source for a regulated pollutant that is not GHG</w:t>
      </w:r>
      <w:del w:id="26" w:author="pcuser" w:date="2013-03-06T13:06:00Z">
        <w:r w:rsidRPr="00213067">
          <w:delText>s</w:delText>
        </w:r>
      </w:del>
      <w:r w:rsidRPr="00213067">
        <w:t xml:space="preserve">, and also emits, will emit or will have the potential to emit 75,000 tons per year CO2e or more; or </w:t>
      </w:r>
    </w:p>
    <w:p w:rsidR="006E29B8" w:rsidRPr="00213067" w:rsidDel="007724EA" w:rsidRDefault="00A67221" w:rsidP="006E29B8">
      <w:pPr>
        <w:rPr>
          <w:del w:id="27" w:author="jinahar" w:date="2014-07-21T12:58:00Z"/>
        </w:rPr>
      </w:pPr>
      <w:commentRangeStart w:id="28"/>
      <w:r w:rsidRPr="00213067">
        <w:t>(b) The source is or becomes a federal major source subject to OAR 340-224-0070 as a result of a major modification for a regulated pollutant that is not GHG</w:t>
      </w:r>
      <w:del w:id="29" w:author="pcuser" w:date="2013-03-06T13:06:00Z">
        <w:r w:rsidRPr="00213067">
          <w:delText>s</w:delText>
        </w:r>
      </w:del>
      <w:r w:rsidRPr="00213067">
        <w:t>, and will have an emissions increase</w:t>
      </w:r>
      <w:r w:rsidR="006E29B8" w:rsidRPr="00213067">
        <w:t xml:space="preserve"> of 75,000 tons per year CO2e or more over the netting basis. </w:t>
      </w:r>
      <w:commentRangeEnd w:id="28"/>
      <w:r w:rsidR="00531359">
        <w:rPr>
          <w:rStyle w:val="CommentReference"/>
        </w:rPr>
        <w:commentReference w:id="28"/>
      </w:r>
    </w:p>
    <w:p w:rsidR="006E29B8" w:rsidRPr="00213067" w:rsidDel="007724EA" w:rsidRDefault="00FD71BF" w:rsidP="006E29B8">
      <w:pPr>
        <w:rPr>
          <w:del w:id="30" w:author="jinahar" w:date="2014-07-21T12:58:00Z"/>
        </w:rPr>
      </w:pPr>
      <w:del w:id="31"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32" w:author="jinahar" w:date="2014-07-21T12:58:00Z"/>
        </w:rPr>
      </w:pPr>
      <w:del w:id="33" w:author="jinahar" w:date="2014-07-21T12:58:00Z">
        <w:r w:rsidRPr="00213067" w:rsidDel="007724EA">
          <w:delText xml:space="preserve">(a) A new federal major source; or </w:delText>
        </w:r>
      </w:del>
    </w:p>
    <w:p w:rsidR="006E29B8" w:rsidRPr="00213067" w:rsidDel="007724EA" w:rsidRDefault="00FD71BF" w:rsidP="006E29B8">
      <w:pPr>
        <w:rPr>
          <w:del w:id="34" w:author="jinahar" w:date="2014-07-21T12:58:00Z"/>
        </w:rPr>
      </w:pPr>
      <w:del w:id="35"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36" w:author="jinahar" w:date="2014-08-12T13:33:00Z">
        <w:r w:rsidR="005B0F78">
          <w:t>6</w:t>
        </w:r>
      </w:ins>
      <w:bookmarkStart w:id="37" w:name="_GoBack"/>
      <w:del w:id="38" w:author="jinahar" w:date="2014-08-12T13:33:00Z">
        <w:r w:rsidRPr="00213067" w:rsidDel="005B0F78">
          <w:delText>7</w:delText>
        </w:r>
      </w:del>
      <w:bookmarkEnd w:id="37"/>
      <w:r w:rsidRPr="00213067">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w:t>
      </w:r>
      <w:r w:rsidRPr="00213067">
        <w:lastRenderedPageBreak/>
        <w:t xml:space="preserve">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7"/>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rk" w:date="2014-08-13T11:00:00Z" w:initials="M">
    <w:p w:rsidR="004D6529" w:rsidRDefault="004D6529">
      <w:pPr>
        <w:pStyle w:val="CommentText"/>
      </w:pPr>
      <w:r>
        <w:rPr>
          <w:rStyle w:val="CommentReference"/>
        </w:rPr>
        <w:annotationRef/>
      </w:r>
      <w:r>
        <w:t>Dave – I’m not sure if we need this change in the temporary rule.  Or even at all?</w:t>
      </w:r>
    </w:p>
  </w:comment>
  <w:comment w:id="16" w:author="jinahar" w:date="2014-07-21T14:52:00Z" w:initials="j">
    <w:p w:rsidR="00430492" w:rsidRDefault="00430492">
      <w:pPr>
        <w:pStyle w:val="CommentText"/>
      </w:pPr>
      <w:r>
        <w:rPr>
          <w:rStyle w:val="CommentReference"/>
        </w:rPr>
        <w:annotationRef/>
      </w:r>
    </w:p>
  </w:comment>
  <w:comment w:id="20" w:author="jinahar" w:date="2014-08-13T11:01:00Z" w:initials="j">
    <w:p w:rsidR="004D6529" w:rsidRDefault="00026BA4" w:rsidP="004D6529">
      <w:pPr>
        <w:pStyle w:val="CommentText"/>
      </w:pPr>
      <w:r>
        <w:rPr>
          <w:rStyle w:val="CommentReference"/>
        </w:rPr>
        <w:annotationRef/>
      </w:r>
      <w:r>
        <w:t>Are we keeping this?</w:t>
      </w:r>
      <w:r w:rsidR="00EC7D58">
        <w:t xml:space="preserve">  If so, we can get rid of these tables.</w:t>
      </w:r>
      <w:r w:rsidR="004D6529">
        <w:t xml:space="preserve"> </w:t>
      </w:r>
    </w:p>
    <w:p w:rsidR="004D6529" w:rsidRDefault="004D6529" w:rsidP="004D6529">
      <w:pPr>
        <w:pStyle w:val="CommentText"/>
      </w:pPr>
    </w:p>
    <w:p w:rsidR="004D6529" w:rsidRDefault="004D6529" w:rsidP="004D6529">
      <w:pPr>
        <w:pStyle w:val="CommentText"/>
      </w:pPr>
      <w:r>
        <w:t>Yes, we need to keep the GHG SER.  Remove tables from SharePoint version.</w:t>
      </w:r>
    </w:p>
  </w:comment>
  <w:comment w:id="21" w:author="jinahar" w:date="2014-08-12T13:42:00Z" w:initials="j">
    <w:p w:rsidR="00E434AC" w:rsidRDefault="00E434AC" w:rsidP="00E434AC">
      <w:pPr>
        <w:pStyle w:val="CommentText"/>
      </w:pPr>
      <w:r>
        <w:rPr>
          <w:rStyle w:val="CommentReference"/>
        </w:rPr>
        <w:annotationRef/>
      </w:r>
      <w:r>
        <w:t xml:space="preserve">George:  </w:t>
      </w:r>
      <w:r w:rsidRPr="00E434AC">
        <w:t>I changed this to 75,000 (the SER) to be consistent with No. 4 in Part C. Also rewrote slightly to make sense.</w:t>
      </w:r>
    </w:p>
    <w:p w:rsidR="00E434AC" w:rsidRDefault="00E434AC" w:rsidP="00E434AC">
      <w:pPr>
        <w:pStyle w:val="CommentText"/>
      </w:pPr>
    </w:p>
    <w:p w:rsidR="00E434AC" w:rsidRPr="00E434AC" w:rsidRDefault="00E434AC" w:rsidP="00E434AC">
      <w:pPr>
        <w:pStyle w:val="CommentText"/>
      </w:pPr>
      <w:r>
        <w:t>Jill:  I’m not following you, George.  No. 4 Part C?</w:t>
      </w:r>
    </w:p>
    <w:p w:rsidR="00E434AC" w:rsidRDefault="00E434AC">
      <w:pPr>
        <w:pStyle w:val="CommentText"/>
      </w:pPr>
    </w:p>
  </w:comment>
  <w:comment w:id="28" w:author="George" w:date="2014-07-22T11:04:00Z" w:initials="G">
    <w:p w:rsidR="00430492" w:rsidRDefault="00430492">
      <w:pPr>
        <w:pStyle w:val="CommentText"/>
      </w:pPr>
      <w:r>
        <w:rPr>
          <w:rStyle w:val="CommentReference"/>
        </w:rPr>
        <w:annotationRef/>
      </w:r>
      <w:r>
        <w:t>This needs to be revised, maybe like this: and also has a major modification for GHG. Don’t need to do this now, and might need to think about this more, but it should be on the list of fixes. Also, becoming a FM source as a result of a major mod is not consistent with the current rules. It doesn’t matter how a source becomes FM, it just has to be FM, so it shouldn’t be contingent upon it becoming FM as a result of a major mod. I think.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92" w:rsidRDefault="00430492" w:rsidP="00081C65">
      <w:pPr>
        <w:spacing w:after="0" w:line="240" w:lineRule="auto"/>
      </w:pPr>
      <w:r>
        <w:separator/>
      </w:r>
    </w:p>
  </w:endnote>
  <w:endnote w:type="continuationSeparator" w:id="0">
    <w:p w:rsidR="00430492" w:rsidRDefault="00430492"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92" w:rsidRDefault="0096759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sidR="00430492">
      <w:rPr>
        <w:rFonts w:asciiTheme="majorHAnsi" w:hAnsiTheme="majorHAnsi"/>
      </w:rPr>
      <w:ptab w:relativeTo="margin" w:alignment="right" w:leader="none"/>
    </w:r>
    <w:r w:rsidR="00430492">
      <w:rPr>
        <w:rFonts w:asciiTheme="majorHAnsi" w:hAnsiTheme="majorHAnsi"/>
      </w:rPr>
      <w:t xml:space="preserve">PAGE </w:t>
    </w:r>
    <w:r w:rsidR="00430492">
      <w:fldChar w:fldCharType="begin"/>
    </w:r>
    <w:r w:rsidR="00430492">
      <w:instrText xml:space="preserve"> PAGE   \* MERGEFORMAT </w:instrText>
    </w:r>
    <w:r w:rsidR="00430492">
      <w:fldChar w:fldCharType="separate"/>
    </w:r>
    <w:r w:rsidR="004D6529" w:rsidRPr="004D6529">
      <w:rPr>
        <w:rFonts w:asciiTheme="majorHAnsi" w:hAnsiTheme="majorHAnsi"/>
        <w:noProof/>
      </w:rPr>
      <w:t>46</w:t>
    </w:r>
    <w:r w:rsidR="00430492">
      <w:rPr>
        <w:rFonts w:asciiTheme="majorHAnsi" w:hAnsiTheme="majorHAnsi"/>
        <w:noProof/>
      </w:rPr>
      <w:fldChar w:fldCharType="end"/>
    </w:r>
  </w:p>
  <w:p w:rsidR="00430492" w:rsidRDefault="00430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92" w:rsidRDefault="00430492" w:rsidP="00081C65">
      <w:pPr>
        <w:spacing w:after="0" w:line="240" w:lineRule="auto"/>
      </w:pPr>
      <w:r>
        <w:separator/>
      </w:r>
    </w:p>
  </w:footnote>
  <w:footnote w:type="continuationSeparator" w:id="0">
    <w:p w:rsidR="00430492" w:rsidRDefault="00430492" w:rsidP="0008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AC" w:rsidRDefault="00E434AC">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6529"/>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rcweb.sos.state.or.us/pages/rules/oars_300/oar_340/_340_tables/340-200-0020%20_5-17.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2.tif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DCE1A0D7-4972-42B2-A4B5-917F8A72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47</Pages>
  <Words>15864</Words>
  <Characters>90429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17</cp:revision>
  <cp:lastPrinted>2014-07-21T20:53:00Z</cp:lastPrinted>
  <dcterms:created xsi:type="dcterms:W3CDTF">2014-08-12T17:17:00Z</dcterms:created>
  <dcterms:modified xsi:type="dcterms:W3CDTF">2014-08-13T18:02:00Z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