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B50AB3" w:rsidRPr="00932EFC" w:rsidRDefault="00827167" w:rsidP="00CD1FCC">
      <w:pPr>
        <w:autoSpaceDE w:val="0"/>
        <w:autoSpaceDN w:val="0"/>
        <w:adjustRightInd w:val="0"/>
        <w:rPr>
          <w:rFonts w:ascii="Times New Roman" w:hAnsi="Times New Roman" w:cs="Times New Roman"/>
          <w:color w:val="000000"/>
        </w:rPr>
      </w:pPr>
      <w:r>
        <w:rPr>
          <w:rFonts w:ascii="Times New Roman" w:hAnsi="Times New Roman" w:cs="Times New Roman"/>
          <w:color w:val="000000"/>
        </w:rPr>
        <w:t>A</w:t>
      </w:r>
      <w:r w:rsidR="00932EFC" w:rsidRPr="00932EFC">
        <w:rPr>
          <w:rFonts w:ascii="Times New Roman" w:hAnsi="Times New Roman" w:cs="Times New Roman"/>
          <w:color w:val="000000"/>
        </w:rPr>
        <w:t>nnouncement to</w:t>
      </w:r>
      <w:r w:rsidR="004A2B68" w:rsidRPr="00932EFC">
        <w:rPr>
          <w:rFonts w:ascii="Times New Roman" w:hAnsi="Times New Roman" w:cs="Times New Roman"/>
          <w:color w:val="000000"/>
        </w:rPr>
        <w:t xml:space="preserve"> </w:t>
      </w:r>
      <w:r w:rsidR="00724E1B">
        <w:rPr>
          <w:rFonts w:ascii="Times New Roman" w:hAnsi="Times New Roman" w:cs="Times New Roman"/>
          <w:color w:val="000000"/>
        </w:rPr>
        <w:t>G</w:t>
      </w:r>
      <w:r w:rsidR="00B50AB3" w:rsidRPr="00932EFC">
        <w:rPr>
          <w:rFonts w:ascii="Times New Roman" w:hAnsi="Times New Roman" w:cs="Times New Roman"/>
          <w:color w:val="000000"/>
        </w:rPr>
        <w:t>ovDelivery Subscribers of Air Quality Permits, Rulemaking, Title V Permit Program public:</w:t>
      </w:r>
    </w:p>
    <w:p w:rsidR="00791175" w:rsidRDefault="00791175" w:rsidP="00791175">
      <w:pPr>
        <w:autoSpaceDE w:val="0"/>
        <w:autoSpaceDN w:val="0"/>
        <w:adjustRightInd w:val="0"/>
        <w:rPr>
          <w:rFonts w:ascii="Arial" w:hAnsi="Arial" w:cs="Arial"/>
          <w:b/>
          <w:bCs/>
          <w:color w:val="000000"/>
          <w:sz w:val="21"/>
          <w:szCs w:val="21"/>
        </w:rPr>
      </w:pPr>
    </w:p>
    <w:p w:rsidR="00724E1B" w:rsidRDefault="00791175" w:rsidP="00724E1B">
      <w:pPr>
        <w:autoSpaceDE w:val="0"/>
        <w:autoSpaceDN w:val="0"/>
        <w:rPr>
          <w:rFonts w:ascii="Arial" w:hAnsi="Arial" w:cs="Arial"/>
          <w:b/>
          <w:bCs/>
          <w:color w:val="000000"/>
          <w:sz w:val="21"/>
          <w:szCs w:val="21"/>
        </w:rPr>
      </w:pPr>
      <w:r w:rsidRPr="00932EFC">
        <w:rPr>
          <w:rFonts w:ascii="Arial" w:hAnsi="Arial" w:cs="Arial"/>
          <w:b/>
          <w:bCs/>
          <w:color w:val="000000"/>
          <w:sz w:val="21"/>
          <w:szCs w:val="21"/>
        </w:rPr>
        <w:t xml:space="preserve">Subject: </w:t>
      </w:r>
      <w:r w:rsidR="00724E1B" w:rsidRPr="00724E1B">
        <w:rPr>
          <w:rFonts w:ascii="Arial" w:hAnsi="Arial" w:cs="Arial"/>
          <w:bCs/>
          <w:color w:val="000000"/>
          <w:sz w:val="21"/>
          <w:szCs w:val="21"/>
        </w:rPr>
        <w:t>DEQ extends public comment period for proposed revisions to greenhouse gas permitting rules to Sept. 15, 2014</w:t>
      </w:r>
    </w:p>
    <w:p w:rsidR="00791175" w:rsidRDefault="00932EFC" w:rsidP="00791175">
      <w:pPr>
        <w:autoSpaceDE w:val="0"/>
        <w:autoSpaceDN w:val="0"/>
        <w:adjustRightInd w:val="0"/>
        <w:rPr>
          <w:rFonts w:ascii="Arial" w:hAnsi="Arial" w:cs="Arial"/>
          <w:b/>
          <w:bCs/>
          <w:color w:val="000000"/>
          <w:sz w:val="21"/>
          <w:szCs w:val="21"/>
        </w:rPr>
      </w:pPr>
      <w:r w:rsidRPr="00932EFC">
        <w:rPr>
          <w:rFonts w:ascii="Times New Roman" w:hAnsi="Times New Roman" w:cs="Times New Roman"/>
          <w:bCs/>
          <w:color w:val="000000"/>
        </w:rPr>
        <w:t xml:space="preserve"> </w:t>
      </w:r>
    </w:p>
    <w:p w:rsidR="00724E1B" w:rsidRDefault="00724E1B" w:rsidP="00724E1B">
      <w:pPr>
        <w:autoSpaceDE w:val="0"/>
        <w:autoSpaceDN w:val="0"/>
        <w:rPr>
          <w:rFonts w:ascii="Arial" w:hAnsi="Arial" w:cs="Arial"/>
          <w:b/>
          <w:bCs/>
          <w:color w:val="000000"/>
          <w:sz w:val="21"/>
          <w:szCs w:val="21"/>
        </w:rPr>
      </w:pPr>
      <w:r>
        <w:rPr>
          <w:rFonts w:ascii="Arial" w:hAnsi="Arial" w:cs="Arial"/>
          <w:b/>
          <w:bCs/>
          <w:color w:val="000000"/>
          <w:sz w:val="21"/>
          <w:szCs w:val="21"/>
        </w:rPr>
        <w:t>DEQ extends public comment period for proposed revisions to greenhouse gas permitting rules to Sept. 15, 2014</w:t>
      </w:r>
    </w:p>
    <w:p w:rsidR="00724E1B" w:rsidRDefault="00724E1B" w:rsidP="00724E1B">
      <w:pPr>
        <w:pStyle w:val="PlainText"/>
        <w:rPr>
          <w:rFonts w:ascii="Times New Roman" w:hAnsi="Times New Roman" w:cs="Times New Roman"/>
          <w:sz w:val="22"/>
          <w:szCs w:val="22"/>
        </w:rPr>
      </w:pPr>
      <w:r>
        <w:rPr>
          <w:rFonts w:ascii="Times New Roman" w:hAnsi="Times New Roman" w:cs="Times New Roman"/>
          <w:sz w:val="22"/>
          <w:szCs w:val="22"/>
        </w:rPr>
        <w:t xml:space="preserve">DEQ is extending the public comment period for the air quality permitting, Heat Smart, and gasoline dispensing facility updates with regard to certain Oregon greenhouse gas permitting rules. Specifically, DEQ is extending the public comment period for OAR 340-200-0020, 340-216-0020, 340-216-8010, 340-216-8020 and 340-224-0010 of Chapter 340 of the Oregon Administrative Rules from Aug. 28, 2014 to Sept. 15, 2014. </w:t>
      </w:r>
    </w:p>
    <w:p w:rsidR="00724E1B" w:rsidRPr="00724E1B" w:rsidRDefault="00724E1B" w:rsidP="00724E1B">
      <w:pPr>
        <w:autoSpaceDE w:val="0"/>
        <w:autoSpaceDN w:val="0"/>
        <w:rPr>
          <w:rFonts w:ascii="Times New Roman" w:hAnsi="Times New Roman" w:cs="Times New Roman"/>
        </w:rPr>
      </w:pPr>
      <w:r>
        <w:rPr>
          <w:rFonts w:ascii="Times New Roman" w:hAnsi="Times New Roman"/>
        </w:rPr>
        <w:t xml:space="preserve">DEQ is </w:t>
      </w:r>
      <w:r w:rsidRPr="00724E1B">
        <w:rPr>
          <w:rFonts w:ascii="Times New Roman" w:hAnsi="Times New Roman"/>
        </w:rPr>
        <w:t xml:space="preserve">extending the public comment period in anticipation that people will want more time to comment on the greenhouse gas permitting rules in light of recent action by the U.S. Supreme Court. On June 23, 2014, the U.S. Supreme Court invalidated portions of the U.S. Environmental Protection Agency’s greenhouse gas regulations known as the Tailoring Rule. </w:t>
      </w:r>
    </w:p>
    <w:p w:rsidR="00724E1B" w:rsidRPr="00724E1B" w:rsidRDefault="00724E1B" w:rsidP="00724E1B">
      <w:pPr>
        <w:autoSpaceDE w:val="0"/>
        <w:autoSpaceDN w:val="0"/>
        <w:rPr>
          <w:rFonts w:ascii="Times New Roman" w:hAnsi="Times New Roman"/>
        </w:rPr>
      </w:pPr>
      <w:r w:rsidRPr="00724E1B">
        <w:rPr>
          <w:rFonts w:ascii="Times New Roman" w:hAnsi="Times New Roman"/>
        </w:rPr>
        <w:t xml:space="preserve">In a separate temporary rulemaking, DEQ is proposing temporary rule revisions to address the U.S. Supreme Court ruling. </w:t>
      </w:r>
      <w:hyperlink r:id="rId5" w:history="1">
        <w:r w:rsidRPr="00724E1B">
          <w:rPr>
            <w:rStyle w:val="Hyperlink"/>
            <w:rFonts w:ascii="Times New Roman" w:hAnsi="Times New Roman"/>
            <w:color w:val="0000CC"/>
          </w:rPr>
          <w:t>Click here</w:t>
        </w:r>
      </w:hyperlink>
      <w:r w:rsidRPr="00724E1B">
        <w:rPr>
          <w:rFonts w:ascii="Times New Roman" w:hAnsi="Times New Roman"/>
        </w:rPr>
        <w:t xml:space="preserve"> to learn about the temporary rulemaking. </w:t>
      </w:r>
    </w:p>
    <w:p w:rsidR="00724E1B" w:rsidRDefault="00724E1B" w:rsidP="00724E1B">
      <w:pPr>
        <w:autoSpaceDE w:val="0"/>
        <w:autoSpaceDN w:val="0"/>
        <w:rPr>
          <w:rFonts w:ascii="Times New Roman" w:hAnsi="Times New Roman"/>
          <w:color w:val="000000"/>
        </w:rPr>
      </w:pPr>
      <w:r w:rsidRPr="00724E1B">
        <w:rPr>
          <w:rFonts w:ascii="Times New Roman" w:hAnsi="Times New Roman"/>
        </w:rPr>
        <w:t>While DEQ is not accepting comment on the temporary rulemaking, DEQ requests comment on whether Oregon’s proposed rules in the air quality permitting, Heat Smart, and gasoline dispensing facility updates should be retained as they are revised as proposed in the temporary rulemaking.</w:t>
      </w:r>
      <w:r>
        <w:rPr>
          <w:rFonts w:ascii="Times New Roman" w:hAnsi="Times New Roman"/>
          <w:color w:val="1F497D"/>
        </w:rPr>
        <w:t xml:space="preserve"> </w:t>
      </w:r>
      <w:hyperlink r:id="rId6" w:history="1">
        <w:r>
          <w:rPr>
            <w:rStyle w:val="Hyperlink"/>
            <w:rFonts w:ascii="Times New Roman" w:hAnsi="Times New Roman"/>
          </w:rPr>
          <w:t>Click here</w:t>
        </w:r>
      </w:hyperlink>
      <w:r>
        <w:rPr>
          <w:rFonts w:ascii="Times New Roman" w:hAnsi="Times New Roman"/>
          <w:color w:val="0000FF"/>
        </w:rPr>
        <w:t xml:space="preserve"> </w:t>
      </w:r>
      <w:r>
        <w:rPr>
          <w:rFonts w:ascii="Times New Roman" w:hAnsi="Times New Roman"/>
          <w:color w:val="000000"/>
        </w:rPr>
        <w:t>to view the rulemaking documents and learn how to submit comments.</w:t>
      </w:r>
    </w:p>
    <w:p w:rsidR="00724E1B" w:rsidRDefault="00724E1B" w:rsidP="00724E1B">
      <w:pPr>
        <w:autoSpaceDE w:val="0"/>
        <w:autoSpaceDN w:val="0"/>
        <w:rPr>
          <w:rFonts w:ascii="Times New Roman" w:hAnsi="Times New Roman"/>
          <w:color w:val="000000"/>
        </w:rPr>
      </w:pPr>
      <w:r>
        <w:rPr>
          <w:rFonts w:ascii="Times New Roman" w:hAnsi="Times New Roman"/>
        </w:rPr>
        <w:t>This deadline extension is an update to DEQ’s initial rulemaking proposal issued June 16, 2014. The close of the public comment period for all of the rules in DEQ’s initial proposal remains 5:00 p.m., Aug. 28, 2014, except OAR 340-200-0020, 340-216-0020, 340-216-8010, 340-216-8020 and 340-224-0010.</w:t>
      </w:r>
      <w:r>
        <w:rPr>
          <w:rFonts w:ascii="Times New Roman" w:hAnsi="Times New Roman"/>
          <w:color w:val="000000"/>
        </w:rPr>
        <w:t xml:space="preserve"> To consider comments on </w:t>
      </w:r>
      <w:r>
        <w:rPr>
          <w:rFonts w:ascii="Times New Roman" w:hAnsi="Times New Roman"/>
        </w:rPr>
        <w:t>OAR 340-200-0020, 340-216-0020, 340-216-8010, 340-216-8020 and 340-224-0010</w:t>
      </w:r>
      <w:r>
        <w:rPr>
          <w:rFonts w:ascii="Times New Roman" w:hAnsi="Times New Roman"/>
          <w:color w:val="000000"/>
        </w:rPr>
        <w:t xml:space="preserve">, DEQ must receive the comment by </w:t>
      </w:r>
      <w:r>
        <w:rPr>
          <w:rFonts w:ascii="Times New Roman" w:hAnsi="Times New Roman"/>
          <w:b/>
          <w:bCs/>
          <w:color w:val="000000"/>
        </w:rPr>
        <w:t>5:00 p.m., Sept. 15, 2014.</w:t>
      </w:r>
      <w:r>
        <w:rPr>
          <w:rFonts w:ascii="Times New Roman" w:hAnsi="Times New Roman"/>
        </w:rPr>
        <w:t xml:space="preserve"> </w:t>
      </w:r>
    </w:p>
    <w:p w:rsidR="00724E1B" w:rsidRDefault="00724E1B" w:rsidP="00724E1B">
      <w:pPr>
        <w:autoSpaceDE w:val="0"/>
        <w:autoSpaceDN w:val="0"/>
        <w:rPr>
          <w:rFonts w:ascii="Times New Roman" w:hAnsi="Times New Roman"/>
          <w:color w:val="000000"/>
        </w:rPr>
      </w:pPr>
      <w:r>
        <w:rPr>
          <w:rFonts w:ascii="Times New Roman" w:hAnsi="Times New Roman"/>
          <w:color w:val="000000"/>
        </w:rPr>
        <w:t>DEQ plans to take the final proposal including any modifications made in response to public comments to the Environmental Quality Commission for decision at the commission's January 2015 meeting. If adopted, DEQ will submit the rules to the U.S. Environmental Protection Agency as a revision to the State Implementation Plan as required by the Clean Air Act.</w:t>
      </w:r>
    </w:p>
    <w:p w:rsidR="00791175" w:rsidRPr="00D92C21" w:rsidRDefault="00724E1B" w:rsidP="00724E1B">
      <w:pPr>
        <w:autoSpaceDE w:val="0"/>
        <w:autoSpaceDN w:val="0"/>
        <w:rPr>
          <w:rFonts w:ascii="Times New Roman" w:hAnsi="Times New Roman" w:cs="Times New Roman"/>
          <w:b/>
          <w:bCs/>
          <w:color w:val="000000"/>
        </w:rPr>
      </w:pPr>
      <w:proofErr w:type="gramStart"/>
      <w:r>
        <w:rPr>
          <w:rFonts w:ascii="Times New Roman" w:hAnsi="Times New Roman"/>
          <w:color w:val="000000"/>
        </w:rPr>
        <w:t>Questions?</w:t>
      </w:r>
      <w:proofErr w:type="gramEnd"/>
      <w:r>
        <w:rPr>
          <w:rFonts w:ascii="Times New Roman" w:hAnsi="Times New Roman"/>
          <w:color w:val="000000"/>
        </w:rPr>
        <w:t xml:space="preserve"> Contact Jill Inahara at 503-229-5001 or </w:t>
      </w:r>
      <w:hyperlink r:id="rId7" w:history="1">
        <w:r>
          <w:rPr>
            <w:rStyle w:val="Hyperlink"/>
            <w:rFonts w:ascii="Times New Roman" w:hAnsi="Times New Roman"/>
          </w:rPr>
          <w:t>inahara.jill@deq.state.or.us</w:t>
        </w:r>
      </w:hyperlink>
      <w:r>
        <w:rPr>
          <w:rFonts w:ascii="Times New Roman" w:hAnsi="Times New Roman"/>
          <w:color w:val="000000"/>
        </w:rPr>
        <w:t xml:space="preserve">. In Lane County, contact Max Hueftle at 541-736-1056 or </w:t>
      </w:r>
      <w:hyperlink r:id="rId8" w:history="1">
        <w:r>
          <w:rPr>
            <w:rStyle w:val="Hyperlink"/>
            <w:rFonts w:ascii="Times New Roman" w:hAnsi="Times New Roman"/>
          </w:rPr>
          <w:t>max@lrapa.org</w:t>
        </w:r>
      </w:hyperlink>
      <w:r>
        <w:rPr>
          <w:rFonts w:ascii="Times New Roman" w:hAnsi="Times New Roman"/>
          <w:color w:val="000000"/>
        </w:rPr>
        <w:t>.</w:t>
      </w:r>
    </w:p>
    <w:sectPr w:rsidR="00791175" w:rsidRPr="00D92C21" w:rsidSect="005F4E40">
      <w:pgSz w:w="12240" w:h="15840"/>
      <w:pgMar w:top="1440" w:right="1440" w:bottom="1440" w:left="1440" w:header="720" w:footer="720" w:gutter="0"/>
      <w:cols w:space="720"/>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02FF" w:usb1="4000ACFF" w:usb2="00000001" w:usb3="00000000" w:csb0="0000019F" w:csb1="00000000"/>
  </w:font>
  <w:font w:name="Tahoma">
    <w:panose1 w:val="020B0604030504040204"/>
    <w:charset w:val="00"/>
    <w:family w:val="swiss"/>
    <w:pitch w:val="variable"/>
    <w:sig w:usb0="E1002EFF" w:usb1="C000605B" w:usb2="00000029" w:usb3="00000000" w:csb0="000101FF" w:csb1="00000000"/>
  </w:font>
  <w:font w:name="Consolas">
    <w:panose1 w:val="020B0609020204030204"/>
    <w:charset w:val="00"/>
    <w:family w:val="modern"/>
    <w:pitch w:val="fixed"/>
    <w:sig w:usb0="E10002FF" w:usb1="4000FCFF" w:usb2="00000009" w:usb3="00000000" w:csb0="000001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1C4A14"/>
    <w:multiLevelType w:val="hybridMultilevel"/>
    <w:tmpl w:val="7ADE282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
    <w:nsid w:val="71E5205B"/>
    <w:multiLevelType w:val="hybridMultilevel"/>
    <w:tmpl w:val="FE0A5AF6"/>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1"/>
  </w:num>
  <w:num w:numId="2">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proofState w:spelling="clean" w:grammar="clean"/>
  <w:defaultTabStop w:val="720"/>
  <w:characterSpacingControl w:val="doNotCompress"/>
  <w:compat/>
  <w:rsids>
    <w:rsidRoot w:val="00B50AB3"/>
    <w:rsid w:val="00034D90"/>
    <w:rsid w:val="0004162D"/>
    <w:rsid w:val="00055081"/>
    <w:rsid w:val="000663FF"/>
    <w:rsid w:val="00072747"/>
    <w:rsid w:val="00086050"/>
    <w:rsid w:val="000D63C8"/>
    <w:rsid w:val="00105A1F"/>
    <w:rsid w:val="0011093D"/>
    <w:rsid w:val="001145C7"/>
    <w:rsid w:val="00123E37"/>
    <w:rsid w:val="00130294"/>
    <w:rsid w:val="00147ABC"/>
    <w:rsid w:val="0016035F"/>
    <w:rsid w:val="00160398"/>
    <w:rsid w:val="0018239E"/>
    <w:rsid w:val="001B2FDB"/>
    <w:rsid w:val="001B3570"/>
    <w:rsid w:val="001B3F26"/>
    <w:rsid w:val="001B7136"/>
    <w:rsid w:val="001F0A15"/>
    <w:rsid w:val="001F3A86"/>
    <w:rsid w:val="002117FD"/>
    <w:rsid w:val="002321CE"/>
    <w:rsid w:val="00257103"/>
    <w:rsid w:val="0028556C"/>
    <w:rsid w:val="0028599E"/>
    <w:rsid w:val="002914A3"/>
    <w:rsid w:val="002B2EB6"/>
    <w:rsid w:val="002C738D"/>
    <w:rsid w:val="002E3B21"/>
    <w:rsid w:val="0031480D"/>
    <w:rsid w:val="00363023"/>
    <w:rsid w:val="003649AB"/>
    <w:rsid w:val="0037136E"/>
    <w:rsid w:val="00375B62"/>
    <w:rsid w:val="003B7B3D"/>
    <w:rsid w:val="003C5880"/>
    <w:rsid w:val="003E24CA"/>
    <w:rsid w:val="003F6D2C"/>
    <w:rsid w:val="004004FB"/>
    <w:rsid w:val="004020DE"/>
    <w:rsid w:val="004148F7"/>
    <w:rsid w:val="00420C4C"/>
    <w:rsid w:val="00421215"/>
    <w:rsid w:val="00432290"/>
    <w:rsid w:val="00456FA8"/>
    <w:rsid w:val="004666BD"/>
    <w:rsid w:val="004667CF"/>
    <w:rsid w:val="00476C4B"/>
    <w:rsid w:val="004A2B68"/>
    <w:rsid w:val="004A4A0C"/>
    <w:rsid w:val="004B64AC"/>
    <w:rsid w:val="004D0EE3"/>
    <w:rsid w:val="004D596A"/>
    <w:rsid w:val="00504DEF"/>
    <w:rsid w:val="00517A87"/>
    <w:rsid w:val="00552805"/>
    <w:rsid w:val="005543C8"/>
    <w:rsid w:val="00556CB0"/>
    <w:rsid w:val="00561850"/>
    <w:rsid w:val="00567E78"/>
    <w:rsid w:val="00572B31"/>
    <w:rsid w:val="00577B21"/>
    <w:rsid w:val="005979A4"/>
    <w:rsid w:val="005C4FD4"/>
    <w:rsid w:val="005E1E9C"/>
    <w:rsid w:val="005F3454"/>
    <w:rsid w:val="005F4E40"/>
    <w:rsid w:val="00605AAB"/>
    <w:rsid w:val="006141E4"/>
    <w:rsid w:val="006203FE"/>
    <w:rsid w:val="00640082"/>
    <w:rsid w:val="00655048"/>
    <w:rsid w:val="006707E7"/>
    <w:rsid w:val="00675A4C"/>
    <w:rsid w:val="00684BA3"/>
    <w:rsid w:val="006932A4"/>
    <w:rsid w:val="00695B9A"/>
    <w:rsid w:val="006A18DA"/>
    <w:rsid w:val="006A492A"/>
    <w:rsid w:val="006C3C0F"/>
    <w:rsid w:val="006C5965"/>
    <w:rsid w:val="006E3AAE"/>
    <w:rsid w:val="006F40EA"/>
    <w:rsid w:val="006F63F9"/>
    <w:rsid w:val="0071109F"/>
    <w:rsid w:val="00720479"/>
    <w:rsid w:val="00724E1B"/>
    <w:rsid w:val="00784F57"/>
    <w:rsid w:val="00791175"/>
    <w:rsid w:val="007970C4"/>
    <w:rsid w:val="007A37C0"/>
    <w:rsid w:val="007B7C50"/>
    <w:rsid w:val="007C40D3"/>
    <w:rsid w:val="007D68D2"/>
    <w:rsid w:val="007E0952"/>
    <w:rsid w:val="007E0F95"/>
    <w:rsid w:val="007E1B35"/>
    <w:rsid w:val="007E4E24"/>
    <w:rsid w:val="007F30C0"/>
    <w:rsid w:val="007F65C1"/>
    <w:rsid w:val="0081306E"/>
    <w:rsid w:val="008149BB"/>
    <w:rsid w:val="00815391"/>
    <w:rsid w:val="00827167"/>
    <w:rsid w:val="00856306"/>
    <w:rsid w:val="0088000D"/>
    <w:rsid w:val="008914B9"/>
    <w:rsid w:val="008A61FA"/>
    <w:rsid w:val="008B18E5"/>
    <w:rsid w:val="008C4FE8"/>
    <w:rsid w:val="008C54B5"/>
    <w:rsid w:val="008C5DD4"/>
    <w:rsid w:val="008C6D18"/>
    <w:rsid w:val="0092481E"/>
    <w:rsid w:val="00932EFC"/>
    <w:rsid w:val="0095052E"/>
    <w:rsid w:val="00954812"/>
    <w:rsid w:val="00965755"/>
    <w:rsid w:val="00966943"/>
    <w:rsid w:val="00967942"/>
    <w:rsid w:val="00976CA6"/>
    <w:rsid w:val="0098023C"/>
    <w:rsid w:val="009B7685"/>
    <w:rsid w:val="009C3FD5"/>
    <w:rsid w:val="009C6AEF"/>
    <w:rsid w:val="009D2E9F"/>
    <w:rsid w:val="00A212DA"/>
    <w:rsid w:val="00A21A5F"/>
    <w:rsid w:val="00A266B5"/>
    <w:rsid w:val="00A369C4"/>
    <w:rsid w:val="00A51C9F"/>
    <w:rsid w:val="00A64A5F"/>
    <w:rsid w:val="00A678EE"/>
    <w:rsid w:val="00A746CF"/>
    <w:rsid w:val="00A77A29"/>
    <w:rsid w:val="00A818D7"/>
    <w:rsid w:val="00A952F5"/>
    <w:rsid w:val="00AD4268"/>
    <w:rsid w:val="00AD518E"/>
    <w:rsid w:val="00AE6A0A"/>
    <w:rsid w:val="00AE6AAE"/>
    <w:rsid w:val="00AF3FA3"/>
    <w:rsid w:val="00B152D3"/>
    <w:rsid w:val="00B275F9"/>
    <w:rsid w:val="00B31667"/>
    <w:rsid w:val="00B50AB3"/>
    <w:rsid w:val="00B936A5"/>
    <w:rsid w:val="00BA0BBE"/>
    <w:rsid w:val="00BA4B17"/>
    <w:rsid w:val="00BB0308"/>
    <w:rsid w:val="00BC3A24"/>
    <w:rsid w:val="00BC697D"/>
    <w:rsid w:val="00BD1D11"/>
    <w:rsid w:val="00C06585"/>
    <w:rsid w:val="00C10362"/>
    <w:rsid w:val="00C16443"/>
    <w:rsid w:val="00C2138D"/>
    <w:rsid w:val="00C26D5B"/>
    <w:rsid w:val="00C6510D"/>
    <w:rsid w:val="00C746CC"/>
    <w:rsid w:val="00CA112E"/>
    <w:rsid w:val="00CB3493"/>
    <w:rsid w:val="00CB5FB7"/>
    <w:rsid w:val="00CB6115"/>
    <w:rsid w:val="00CB7E6D"/>
    <w:rsid w:val="00CD1FCC"/>
    <w:rsid w:val="00CF2531"/>
    <w:rsid w:val="00D07B8C"/>
    <w:rsid w:val="00D273A5"/>
    <w:rsid w:val="00D378E1"/>
    <w:rsid w:val="00D56022"/>
    <w:rsid w:val="00D92C21"/>
    <w:rsid w:val="00DA4150"/>
    <w:rsid w:val="00DB080D"/>
    <w:rsid w:val="00DC099F"/>
    <w:rsid w:val="00DC36F8"/>
    <w:rsid w:val="00DD65D8"/>
    <w:rsid w:val="00DF66B9"/>
    <w:rsid w:val="00E00988"/>
    <w:rsid w:val="00E044EB"/>
    <w:rsid w:val="00E37052"/>
    <w:rsid w:val="00E4294F"/>
    <w:rsid w:val="00EA192F"/>
    <w:rsid w:val="00EA467D"/>
    <w:rsid w:val="00EA5264"/>
    <w:rsid w:val="00EF7889"/>
    <w:rsid w:val="00F03103"/>
    <w:rsid w:val="00F12809"/>
    <w:rsid w:val="00F20309"/>
    <w:rsid w:val="00F24154"/>
    <w:rsid w:val="00F568FC"/>
    <w:rsid w:val="00F614CF"/>
    <w:rsid w:val="00F7441E"/>
    <w:rsid w:val="00FB60C2"/>
    <w:rsid w:val="00FC7BE7"/>
    <w:rsid w:val="00FD2432"/>
    <w:rsid w:val="00FF59CD"/>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5F4E40"/>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B50AB3"/>
    <w:rPr>
      <w:color w:val="0000FF" w:themeColor="hyperlink"/>
      <w:u w:val="single"/>
    </w:rPr>
  </w:style>
  <w:style w:type="paragraph" w:styleId="BalloonText">
    <w:name w:val="Balloon Text"/>
    <w:basedOn w:val="Normal"/>
    <w:link w:val="BalloonTextChar"/>
    <w:uiPriority w:val="99"/>
    <w:semiHidden/>
    <w:unhideWhenUsed/>
    <w:rsid w:val="00B50AB3"/>
    <w:rPr>
      <w:rFonts w:ascii="Tahoma" w:hAnsi="Tahoma" w:cs="Tahoma"/>
      <w:sz w:val="16"/>
      <w:szCs w:val="16"/>
    </w:rPr>
  </w:style>
  <w:style w:type="character" w:customStyle="1" w:styleId="BalloonTextChar">
    <w:name w:val="Balloon Text Char"/>
    <w:basedOn w:val="DefaultParagraphFont"/>
    <w:link w:val="BalloonText"/>
    <w:uiPriority w:val="99"/>
    <w:semiHidden/>
    <w:rsid w:val="00B50AB3"/>
    <w:rPr>
      <w:rFonts w:ascii="Tahoma" w:hAnsi="Tahoma" w:cs="Tahoma"/>
      <w:sz w:val="16"/>
      <w:szCs w:val="16"/>
    </w:rPr>
  </w:style>
  <w:style w:type="paragraph" w:styleId="ListParagraph">
    <w:name w:val="List Paragraph"/>
    <w:basedOn w:val="Normal"/>
    <w:uiPriority w:val="34"/>
    <w:qFormat/>
    <w:rsid w:val="00791175"/>
    <w:pPr>
      <w:ind w:left="720"/>
      <w:contextualSpacing/>
    </w:pPr>
  </w:style>
  <w:style w:type="character" w:styleId="FollowedHyperlink">
    <w:name w:val="FollowedHyperlink"/>
    <w:basedOn w:val="DefaultParagraphFont"/>
    <w:uiPriority w:val="99"/>
    <w:semiHidden/>
    <w:unhideWhenUsed/>
    <w:rsid w:val="00791175"/>
    <w:rPr>
      <w:color w:val="800080" w:themeColor="followedHyperlink"/>
      <w:u w:val="single"/>
    </w:rPr>
  </w:style>
  <w:style w:type="character" w:styleId="CommentReference">
    <w:name w:val="annotation reference"/>
    <w:basedOn w:val="DefaultParagraphFont"/>
    <w:uiPriority w:val="99"/>
    <w:semiHidden/>
    <w:unhideWhenUsed/>
    <w:rsid w:val="004A2B68"/>
    <w:rPr>
      <w:sz w:val="16"/>
      <w:szCs w:val="16"/>
    </w:rPr>
  </w:style>
  <w:style w:type="paragraph" w:styleId="CommentText">
    <w:name w:val="annotation text"/>
    <w:basedOn w:val="Normal"/>
    <w:link w:val="CommentTextChar"/>
    <w:uiPriority w:val="99"/>
    <w:semiHidden/>
    <w:unhideWhenUsed/>
    <w:rsid w:val="004A2B68"/>
    <w:rPr>
      <w:sz w:val="20"/>
      <w:szCs w:val="20"/>
    </w:rPr>
  </w:style>
  <w:style w:type="character" w:customStyle="1" w:styleId="CommentTextChar">
    <w:name w:val="Comment Text Char"/>
    <w:basedOn w:val="DefaultParagraphFont"/>
    <w:link w:val="CommentText"/>
    <w:uiPriority w:val="99"/>
    <w:semiHidden/>
    <w:rsid w:val="004A2B68"/>
    <w:rPr>
      <w:sz w:val="20"/>
      <w:szCs w:val="20"/>
    </w:rPr>
  </w:style>
  <w:style w:type="paragraph" w:styleId="CommentSubject">
    <w:name w:val="annotation subject"/>
    <w:basedOn w:val="CommentText"/>
    <w:next w:val="CommentText"/>
    <w:link w:val="CommentSubjectChar"/>
    <w:uiPriority w:val="99"/>
    <w:semiHidden/>
    <w:unhideWhenUsed/>
    <w:rsid w:val="004A2B68"/>
    <w:rPr>
      <w:b/>
      <w:bCs/>
    </w:rPr>
  </w:style>
  <w:style w:type="character" w:customStyle="1" w:styleId="CommentSubjectChar">
    <w:name w:val="Comment Subject Char"/>
    <w:basedOn w:val="CommentTextChar"/>
    <w:link w:val="CommentSubject"/>
    <w:uiPriority w:val="99"/>
    <w:semiHidden/>
    <w:rsid w:val="004A2B68"/>
    <w:rPr>
      <w:b/>
      <w:bCs/>
    </w:rPr>
  </w:style>
  <w:style w:type="paragraph" w:styleId="PlainText">
    <w:name w:val="Plain Text"/>
    <w:basedOn w:val="Normal"/>
    <w:link w:val="PlainTextChar"/>
    <w:uiPriority w:val="99"/>
    <w:unhideWhenUsed/>
    <w:rsid w:val="00CD1FCC"/>
    <w:rPr>
      <w:rFonts w:ascii="Consolas" w:hAnsi="Consolas"/>
      <w:sz w:val="21"/>
      <w:szCs w:val="21"/>
    </w:rPr>
  </w:style>
  <w:style w:type="character" w:customStyle="1" w:styleId="PlainTextChar">
    <w:name w:val="Plain Text Char"/>
    <w:basedOn w:val="DefaultParagraphFont"/>
    <w:link w:val="PlainText"/>
    <w:uiPriority w:val="99"/>
    <w:rsid w:val="00CD1FCC"/>
    <w:rPr>
      <w:rFonts w:ascii="Consolas" w:hAnsi="Consolas"/>
      <w:sz w:val="21"/>
      <w:szCs w:val="21"/>
    </w:rPr>
  </w:style>
</w:styles>
</file>

<file path=word/webSettings.xml><?xml version="1.0" encoding="utf-8"?>
<w:webSettings xmlns:r="http://schemas.openxmlformats.org/officeDocument/2006/relationships" xmlns:w="http://schemas.openxmlformats.org/wordprocessingml/2006/main">
  <w:divs>
    <w:div w:id="42755277">
      <w:bodyDiv w:val="1"/>
      <w:marLeft w:val="0"/>
      <w:marRight w:val="0"/>
      <w:marTop w:val="0"/>
      <w:marBottom w:val="0"/>
      <w:divBdr>
        <w:top w:val="none" w:sz="0" w:space="0" w:color="auto"/>
        <w:left w:val="none" w:sz="0" w:space="0" w:color="auto"/>
        <w:bottom w:val="none" w:sz="0" w:space="0" w:color="auto"/>
        <w:right w:val="none" w:sz="0" w:space="0" w:color="auto"/>
      </w:divBdr>
    </w:div>
    <w:div w:id="357506995">
      <w:bodyDiv w:val="1"/>
      <w:marLeft w:val="0"/>
      <w:marRight w:val="0"/>
      <w:marTop w:val="0"/>
      <w:marBottom w:val="0"/>
      <w:divBdr>
        <w:top w:val="none" w:sz="0" w:space="0" w:color="auto"/>
        <w:left w:val="none" w:sz="0" w:space="0" w:color="auto"/>
        <w:bottom w:val="none" w:sz="0" w:space="0" w:color="auto"/>
        <w:right w:val="none" w:sz="0" w:space="0" w:color="auto"/>
      </w:divBdr>
    </w:div>
    <w:div w:id="584342317">
      <w:bodyDiv w:val="1"/>
      <w:marLeft w:val="0"/>
      <w:marRight w:val="0"/>
      <w:marTop w:val="0"/>
      <w:marBottom w:val="0"/>
      <w:divBdr>
        <w:top w:val="none" w:sz="0" w:space="0" w:color="auto"/>
        <w:left w:val="none" w:sz="0" w:space="0" w:color="auto"/>
        <w:bottom w:val="none" w:sz="0" w:space="0" w:color="auto"/>
        <w:right w:val="none" w:sz="0" w:space="0" w:color="auto"/>
      </w:divBdr>
    </w:div>
    <w:div w:id="778524938">
      <w:bodyDiv w:val="1"/>
      <w:marLeft w:val="0"/>
      <w:marRight w:val="0"/>
      <w:marTop w:val="0"/>
      <w:marBottom w:val="0"/>
      <w:divBdr>
        <w:top w:val="none" w:sz="0" w:space="0" w:color="auto"/>
        <w:left w:val="none" w:sz="0" w:space="0" w:color="auto"/>
        <w:bottom w:val="none" w:sz="0" w:space="0" w:color="auto"/>
        <w:right w:val="none" w:sz="0" w:space="0" w:color="auto"/>
      </w:divBdr>
    </w:div>
    <w:div w:id="1208681708">
      <w:bodyDiv w:val="1"/>
      <w:marLeft w:val="0"/>
      <w:marRight w:val="0"/>
      <w:marTop w:val="0"/>
      <w:marBottom w:val="0"/>
      <w:divBdr>
        <w:top w:val="none" w:sz="0" w:space="0" w:color="auto"/>
        <w:left w:val="none" w:sz="0" w:space="0" w:color="auto"/>
        <w:bottom w:val="none" w:sz="0" w:space="0" w:color="auto"/>
        <w:right w:val="none" w:sz="0" w:space="0" w:color="auto"/>
      </w:divBdr>
    </w:div>
    <w:div w:id="1408578874">
      <w:bodyDiv w:val="1"/>
      <w:marLeft w:val="0"/>
      <w:marRight w:val="0"/>
      <w:marTop w:val="0"/>
      <w:marBottom w:val="0"/>
      <w:divBdr>
        <w:top w:val="none" w:sz="0" w:space="0" w:color="auto"/>
        <w:left w:val="none" w:sz="0" w:space="0" w:color="auto"/>
        <w:bottom w:val="none" w:sz="0" w:space="0" w:color="auto"/>
        <w:right w:val="none" w:sz="0" w:space="0" w:color="auto"/>
      </w:divBdr>
    </w:div>
    <w:div w:id="1572697568">
      <w:bodyDiv w:val="1"/>
      <w:marLeft w:val="0"/>
      <w:marRight w:val="0"/>
      <w:marTop w:val="0"/>
      <w:marBottom w:val="0"/>
      <w:divBdr>
        <w:top w:val="none" w:sz="0" w:space="0" w:color="auto"/>
        <w:left w:val="none" w:sz="0" w:space="0" w:color="auto"/>
        <w:bottom w:val="none" w:sz="0" w:space="0" w:color="auto"/>
        <w:right w:val="none" w:sz="0" w:space="0" w:color="auto"/>
      </w:divBdr>
    </w:div>
    <w:div w:id="1752970619">
      <w:bodyDiv w:val="1"/>
      <w:marLeft w:val="0"/>
      <w:marRight w:val="0"/>
      <w:marTop w:val="0"/>
      <w:marBottom w:val="0"/>
      <w:divBdr>
        <w:top w:val="none" w:sz="0" w:space="0" w:color="auto"/>
        <w:left w:val="none" w:sz="0" w:space="0" w:color="auto"/>
        <w:bottom w:val="none" w:sz="0" w:space="0" w:color="auto"/>
        <w:right w:val="none" w:sz="0" w:space="0" w:color="auto"/>
      </w:divBdr>
    </w:div>
    <w:div w:id="1863935685">
      <w:bodyDiv w:val="1"/>
      <w:marLeft w:val="0"/>
      <w:marRight w:val="0"/>
      <w:marTop w:val="0"/>
      <w:marBottom w:val="0"/>
      <w:divBdr>
        <w:top w:val="none" w:sz="0" w:space="0" w:color="auto"/>
        <w:left w:val="none" w:sz="0" w:space="0" w:color="auto"/>
        <w:bottom w:val="none" w:sz="0" w:space="0" w:color="auto"/>
        <w:right w:val="none" w:sz="0" w:space="0" w:color="auto"/>
      </w:divBdr>
    </w:div>
    <w:div w:id="205920889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yperlink" Target="mailto:max@lrapa.org" TargetMode="External"/><Relationship Id="rId3" Type="http://schemas.openxmlformats.org/officeDocument/2006/relationships/settings" Target="settings.xml"/><Relationship Id="rId7" Type="http://schemas.openxmlformats.org/officeDocument/2006/relationships/hyperlink" Target="mailto:inahara.jill@deq.state.or.us"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www.oregon.gov/deq/RulesandRegulations/Pages/2014/aqperm.aspx" TargetMode="External"/><Relationship Id="rId5" Type="http://schemas.openxmlformats.org/officeDocument/2006/relationships/hyperlink" Target="http://www.oregon.gov/deq/RulesandRegulations/Pages/2014/GHGTemp.aspx"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31</TotalTime>
  <Pages>1</Pages>
  <Words>428</Words>
  <Characters>2445</Characters>
  <Application>Microsoft Office Word</Application>
  <DocSecurity>0</DocSecurity>
  <Lines>20</Lines>
  <Paragraphs>5</Paragraphs>
  <ScaleCrop>false</ScaleCrop>
  <HeadingPairs>
    <vt:vector size="2" baseType="variant">
      <vt:variant>
        <vt:lpstr>Title</vt:lpstr>
      </vt:variant>
      <vt:variant>
        <vt:i4>1</vt:i4>
      </vt:variant>
    </vt:vector>
  </HeadingPairs>
  <TitlesOfParts>
    <vt:vector size="1" baseType="lpstr">
      <vt:lpstr/>
    </vt:vector>
  </TitlesOfParts>
  <Company>State of Oregon Department of Environmental Quality</Company>
  <LinksUpToDate>false</LinksUpToDate>
  <CharactersWithSpaces>2868</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AGarten</dc:creator>
  <cp:lastModifiedBy>AGarten</cp:lastModifiedBy>
  <cp:revision>5</cp:revision>
  <dcterms:created xsi:type="dcterms:W3CDTF">2014-08-25T17:49:00Z</dcterms:created>
  <dcterms:modified xsi:type="dcterms:W3CDTF">2014-08-26T17:27:00Z</dcterms:modified>
</cp:coreProperties>
</file>