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47C" w:rsidRDefault="00C2147C" w:rsidP="00C2147C">
      <w:pPr>
        <w:pStyle w:val="Heading1"/>
        <w:numPr>
          <w:ilvl w:val="0"/>
          <w:numId w:val="2"/>
        </w:numPr>
      </w:pPr>
      <w:r w:rsidRPr="00C2147C">
        <w:t>Clarify and update air quality rules</w:t>
      </w:r>
    </w:p>
    <w:p w:rsidR="00FD31DD" w:rsidRDefault="00FD31DD" w:rsidP="00FD31DD"/>
    <w:p w:rsidR="00FD31DD" w:rsidRDefault="00FD31DD" w:rsidP="00FD31DD">
      <w:r>
        <w:t>Columbia Riverkeeper/NEDC/Neighbors for Clean Air:</w:t>
      </w:r>
    </w:p>
    <w:p w:rsidR="002526A4" w:rsidRDefault="002526A4" w:rsidP="00FD31DD"/>
    <w:p w:rsidR="002526A4" w:rsidRDefault="002526A4" w:rsidP="002526A4">
      <w:r w:rsidRPr="00312E5B">
        <w:t xml:space="preserve">DEQ should </w:t>
      </w:r>
      <w:r>
        <w:t>keep its current</w:t>
      </w:r>
      <w:r w:rsidRPr="00312E5B">
        <w:t xml:space="preserve"> regulations on GHGs for PSD and Title V.</w:t>
      </w:r>
      <w:r>
        <w:t xml:space="preserve"> The Supreme Court’s decision in UARG does not affect Oregon’s ability to regulate sources based on greenhouse gas emissions. DEQ can and should regulate greenhouse gas emissions under its state law authority. Permits allow collection of data needed to find out current levels of greenhouse gas emissions from larger industrial sources in Oregon and to monitor any trends of greenhouse gas emissions in Oregon over the next several decades. Permits for new sources will also help to limit greenhouse gas emissions in Oregon.</w:t>
      </w:r>
    </w:p>
    <w:p w:rsidR="0012520F" w:rsidRDefault="0012520F" w:rsidP="002526A4">
      <w:pPr>
        <w:pBdr>
          <w:bottom w:val="single" w:sz="12" w:space="1" w:color="auto"/>
        </w:pBdr>
      </w:pPr>
    </w:p>
    <w:p w:rsidR="0012520F" w:rsidRDefault="0012520F" w:rsidP="002526A4"/>
    <w:p w:rsidR="0012520F" w:rsidRDefault="0012520F" w:rsidP="0012520F">
      <w:r>
        <w:t>Columbia Riverkeeper/NEDC/Neighbors for Clean Air:</w:t>
      </w:r>
    </w:p>
    <w:p w:rsidR="00042646" w:rsidRDefault="00042646" w:rsidP="002526A4"/>
    <w:p w:rsidR="009C59FE" w:rsidRDefault="009C59FE" w:rsidP="009C59FE">
      <w:r>
        <w:t>Instead of spending time and energy creating from scratch a brand new, untested area designation program, DEQ should be investing its energy, resources, and technical knowledge in helping the Town of Lakeview undertake the process that the Clean Air Act lays out to deal with areas violating the National Ambient Air Quality Standards: nonattaiment planning. While the Commenters appreciate that this planning takes time, energy, and money, failing to do so and relying instead on an untested program puts the health of Lakeview residents at risk.</w:t>
      </w:r>
    </w:p>
    <w:p w:rsidR="00397A21" w:rsidRDefault="00397A21" w:rsidP="009C59FE">
      <w:pPr>
        <w:pBdr>
          <w:bottom w:val="single" w:sz="12" w:space="1" w:color="auto"/>
        </w:pBdr>
      </w:pPr>
    </w:p>
    <w:p w:rsidR="00397A21" w:rsidRDefault="00397A21" w:rsidP="009C59FE"/>
    <w:p w:rsidR="00397A21" w:rsidRDefault="00397A21" w:rsidP="00397A21">
      <w:r>
        <w:t>Columbia Riverkeeper/NEDC/Neighbors for Clean Air:</w:t>
      </w:r>
    </w:p>
    <w:p w:rsidR="00042646" w:rsidRDefault="00042646" w:rsidP="002526A4"/>
    <w:p w:rsidR="0012520F" w:rsidRDefault="0012520F" w:rsidP="0012520F">
      <w:r>
        <w:t>DEQ should provide additional information and analysis before removing state regulations for industries no longer operating in the state.</w:t>
      </w:r>
    </w:p>
    <w:p w:rsidR="0012520F" w:rsidRDefault="0012520F" w:rsidP="0012520F"/>
    <w:p w:rsidR="0012520F" w:rsidRDefault="0012520F" w:rsidP="0012520F">
      <w:r>
        <w:t xml:space="preserve">Under DEQ’s proposal, </w:t>
      </w:r>
      <w:r w:rsidR="001771FF">
        <w:t xml:space="preserve">the five specific rules for neutral sulfite semi-chemical pulp mills, sulfite pulp mills, primary aluminum plants, laterite ore production of ferronickel, and charcoal producing plants </w:t>
      </w:r>
      <w:r>
        <w:t>would be repealed because the industries no longer operate in Oregon. DEQ states that if a new facility in one of these industrial categories wants to begin operation in Oregon, and requires an air permit, more stringent federal standards would apply and that these standards are incorporated by reference into Oregon’s regulations. DEQ does not state what specifically these federal standards are in the description of the rule change. In the “crosswalk” of the proposed rule changes, DEQ states that New Source Review/Prevention of Significant Deterioration (NSR/PSD), New Source Performance Standards (NSPS), and MACT6 would apply. DEQ states that these rules would be more stringent than the existing standards.</w:t>
      </w:r>
      <w:r w:rsidR="005E18EC">
        <w:t xml:space="preserve"> T</w:t>
      </w:r>
      <w:r>
        <w:t xml:space="preserve">he lack of detailed </w:t>
      </w:r>
      <w:r w:rsidR="005E18EC">
        <w:lastRenderedPageBreak/>
        <w:t>analysis provided to the public is very concerning, given that</w:t>
      </w:r>
      <w:r>
        <w:t xml:space="preserve"> in some circumstances, the existing rules are more stringent than</w:t>
      </w:r>
      <w:r w:rsidR="005E18EC">
        <w:t xml:space="preserve"> identifiable federal standards.</w:t>
      </w:r>
    </w:p>
    <w:p w:rsidR="00967C46" w:rsidRDefault="00967C46" w:rsidP="0012520F">
      <w:pPr>
        <w:pBdr>
          <w:bottom w:val="single" w:sz="12" w:space="1" w:color="auto"/>
        </w:pBdr>
      </w:pPr>
    </w:p>
    <w:p w:rsidR="00967C46" w:rsidRDefault="00967C46" w:rsidP="0012520F"/>
    <w:p w:rsidR="00967C46" w:rsidRDefault="00967C46" w:rsidP="0012520F"/>
    <w:p w:rsidR="00DF3378" w:rsidRDefault="00DF3378" w:rsidP="00DF3378">
      <w:r>
        <w:t>Columbia Riverkeeper/NEDC/Neighbors for Clean Air:</w:t>
      </w:r>
    </w:p>
    <w:p w:rsidR="00DF3378" w:rsidRDefault="00DF3378" w:rsidP="00DF3378"/>
    <w:p w:rsidR="00DF3378" w:rsidRDefault="00C87189" w:rsidP="00DF3378">
      <w:r>
        <w:t xml:space="preserve">DEQ has not given the public enough time and opportunity to </w:t>
      </w:r>
      <w:r w:rsidR="007468AC">
        <w:t xml:space="preserve">intelligently </w:t>
      </w:r>
      <w:r w:rsidR="001B338D">
        <w:t xml:space="preserve">comment on over 1,000 pages of material, even when one takes into account the </w:t>
      </w:r>
      <w:r w:rsidR="006F6683">
        <w:t xml:space="preserve">grant of the time extensions. The PowerPoint presentations where simplified and inadequate to </w:t>
      </w:r>
      <w:r w:rsidR="00A05F25">
        <w:t xml:space="preserve">given the </w:t>
      </w:r>
      <w:r w:rsidR="006E78A1">
        <w:t xml:space="preserve">width and breadth of the proposals, and the summaries </w:t>
      </w:r>
      <w:r w:rsidR="00903D77">
        <w:t>prepared</w:t>
      </w:r>
      <w:r w:rsidR="006E78A1">
        <w:t xml:space="preserve"> by DEQ did not cover all the changes.</w:t>
      </w:r>
      <w:r w:rsidR="00DF3378">
        <w:t xml:space="preserve"> </w:t>
      </w:r>
    </w:p>
    <w:p w:rsidR="00903D77" w:rsidRDefault="00903D77" w:rsidP="00DF3378">
      <w:pPr>
        <w:pBdr>
          <w:bottom w:val="single" w:sz="12" w:space="1" w:color="auto"/>
        </w:pBdr>
      </w:pPr>
    </w:p>
    <w:p w:rsidR="00903D77" w:rsidRDefault="00903D77" w:rsidP="00DF3378"/>
    <w:p w:rsidR="00903D77" w:rsidRDefault="00903D77" w:rsidP="00DF3378"/>
    <w:p w:rsidR="00903D77" w:rsidRDefault="00903D77" w:rsidP="00903D77">
      <w:r>
        <w:t>Columbia Riverkeeper/NEDC/Neighbors for Clean Air:</w:t>
      </w:r>
    </w:p>
    <w:p w:rsidR="00903D77" w:rsidRDefault="00903D77" w:rsidP="00DF3378"/>
    <w:p w:rsidR="00DF3378" w:rsidRDefault="00903D77" w:rsidP="00DF3378">
      <w:r>
        <w:t>There are</w:t>
      </w:r>
      <w:r w:rsidR="00DF3378">
        <w:t xml:space="preserve"> several areas where DEQ’s work has been incomplete or insufficiently explained. </w:t>
      </w:r>
      <w:r w:rsidR="00A675DF">
        <w:t xml:space="preserve">Given the breadth of the proposed changes, </w:t>
      </w:r>
      <w:r w:rsidR="00DF3378">
        <w:t xml:space="preserve">DEQ </w:t>
      </w:r>
      <w:r w:rsidR="00A675DF">
        <w:t xml:space="preserve">should </w:t>
      </w:r>
      <w:r w:rsidR="00DF3378">
        <w:t>to ease off its current schedule and review its work and provide more detailed analysis for public review. Very little in these proposals is necessary, and a delay to make sure DEQ gets it right is appropriate.</w:t>
      </w:r>
    </w:p>
    <w:p w:rsidR="00A675DF" w:rsidRDefault="00A675DF" w:rsidP="00DF3378">
      <w:pPr>
        <w:pBdr>
          <w:bottom w:val="single" w:sz="12" w:space="1" w:color="auto"/>
        </w:pBdr>
      </w:pPr>
    </w:p>
    <w:p w:rsidR="00A675DF" w:rsidRDefault="00A675DF" w:rsidP="00DF3378"/>
    <w:p w:rsidR="00A675DF" w:rsidRDefault="00A675DF" w:rsidP="00DF3378"/>
    <w:p w:rsidR="009C59FE" w:rsidRDefault="009C59FE" w:rsidP="002526A4"/>
    <w:p w:rsidR="002526A4" w:rsidRDefault="002526A4" w:rsidP="00FD31DD"/>
    <w:p w:rsidR="00FD31DD" w:rsidRPr="00FD31DD" w:rsidRDefault="00FD31DD" w:rsidP="00FD31DD"/>
    <w:p w:rsidR="00C2147C" w:rsidRDefault="00C2147C" w:rsidP="00C2147C">
      <w:pPr>
        <w:pStyle w:val="Heading1"/>
        <w:numPr>
          <w:ilvl w:val="0"/>
          <w:numId w:val="2"/>
        </w:numPr>
      </w:pPr>
      <w:r w:rsidRPr="00C2147C">
        <w:t>Update particulate matter emission standards</w:t>
      </w:r>
    </w:p>
    <w:p w:rsidR="00FD31DD" w:rsidRDefault="00FD31DD" w:rsidP="00FD31DD"/>
    <w:p w:rsidR="00FD31DD" w:rsidRDefault="00FD31DD" w:rsidP="00FD31DD">
      <w:r>
        <w:t>Columbia Riverkeeper/NEDC/Neighbors for Clean Air:</w:t>
      </w:r>
    </w:p>
    <w:p w:rsidR="009F5FCF" w:rsidRDefault="009F5FCF" w:rsidP="00FD31DD"/>
    <w:p w:rsidR="00266C9A" w:rsidRDefault="003578FB" w:rsidP="00266C9A">
      <w:r>
        <w:t>T</w:t>
      </w:r>
      <w:r w:rsidR="009F5FCF">
        <w:t>he proposed changes to grain</w:t>
      </w:r>
      <w:r>
        <w:t xml:space="preserve"> loading and opacity standards are </w:t>
      </w:r>
      <w:r w:rsidR="00D433FA">
        <w:t xml:space="preserve">a welcomed first step in protecting airsheds from pollution. </w:t>
      </w:r>
      <w:r w:rsidR="00867B68">
        <w:t xml:space="preserve">It is </w:t>
      </w:r>
      <w:r w:rsidR="009F5FCF">
        <w:t xml:space="preserve">important for DEQ to revise these rules to update them to better reflect actual operations of these sources, and what they are actually able to achieve when run properly. DEQ must make clear that this rule change is one step in modernizing control requirements. </w:t>
      </w:r>
    </w:p>
    <w:p w:rsidR="009F5FCF" w:rsidRDefault="009F5FCF" w:rsidP="009F5FCF">
      <w:r>
        <w:t xml:space="preserve">DEQ </w:t>
      </w:r>
      <w:r w:rsidR="00266C9A">
        <w:t xml:space="preserve">should also </w:t>
      </w:r>
      <w:r>
        <w:t xml:space="preserve">immediately add </w:t>
      </w:r>
      <w:r w:rsidR="00085670">
        <w:t xml:space="preserve">the use of a significant </w:t>
      </w:r>
      <w:r>
        <w:t xml:space="preserve">figure </w:t>
      </w:r>
      <w:r w:rsidR="00085670">
        <w:t>as mandated by</w:t>
      </w:r>
      <w:r>
        <w:t xml:space="preserve"> EPA’s guidance</w:t>
      </w:r>
      <w:r w:rsidR="00085670">
        <w:t>.</w:t>
      </w:r>
      <w:r>
        <w:t xml:space="preserve"> </w:t>
      </w:r>
      <w:r w:rsidR="00085670">
        <w:t>U</w:t>
      </w:r>
      <w:r>
        <w:t xml:space="preserve">nder DEQ’s proposal, Oregon would not measure up until 2020. </w:t>
      </w:r>
    </w:p>
    <w:p w:rsidR="009F5FCF" w:rsidRDefault="009F5FCF" w:rsidP="00FD31DD">
      <w:pPr>
        <w:pBdr>
          <w:bottom w:val="single" w:sz="12" w:space="1" w:color="auto"/>
        </w:pBdr>
      </w:pPr>
    </w:p>
    <w:p w:rsidR="00227F41" w:rsidRDefault="00227F41" w:rsidP="00FD31DD"/>
    <w:p w:rsidR="00337271" w:rsidRDefault="00337271" w:rsidP="00337271"/>
    <w:p w:rsidR="00337271" w:rsidRDefault="00337271" w:rsidP="00337271">
      <w:r>
        <w:t>Columbia Riverkeeper/NEDC/Neighbors for Clean Air:</w:t>
      </w:r>
    </w:p>
    <w:p w:rsidR="00337271" w:rsidRDefault="00337271" w:rsidP="00337271"/>
    <w:p w:rsidR="00337271" w:rsidRDefault="00337271" w:rsidP="00337271">
      <w:r>
        <w:t>DEQ should revise its rules to abandon the Plant Site Emission Limit (PSEL) Program because it is contrary to the Clean Air Act</w:t>
      </w:r>
      <w:r w:rsidR="00346F31">
        <w:t>.</w:t>
      </w:r>
    </w:p>
    <w:p w:rsidR="00337271" w:rsidRDefault="00337271" w:rsidP="00337271"/>
    <w:p w:rsidR="00337271" w:rsidRDefault="00337271" w:rsidP="00337271">
      <w:r>
        <w:t>All sources in Oregon, uses the Plant Site Emission Limit (PSEL) program to implement the Prevention of Significant Deterioration (PSD) program. The Commenters believe that the PSEL program does not meet the minimum requirements of the Clean Air Act and is therefore illegal.</w:t>
      </w:r>
    </w:p>
    <w:p w:rsidR="00337271" w:rsidRDefault="00337271" w:rsidP="00337271"/>
    <w:p w:rsidR="00337271" w:rsidRDefault="00337271" w:rsidP="00337271">
      <w:r>
        <w:t xml:space="preserve">The first problem with Oregon’s PSD program is that it focuses on the PSEL to determine whether a "major modification" has occurred, and the PSEL is purportedly based on actual emissions in the mid-1970s. In Oregon, to qualify as a major modification, a change must result in "an increase in the PSEL" over the significant emission rate over the netting basis. OAR 340-200-0020(66)(a). The problem with Oregon's approach is that the PSEL is a permit limit, not a calculation of actual emissions or potential to emit of a new unit. A PSEL is “the total mass of emissions per unit of time of an individual air pollutant specified in a permit source.” OAR 340-200- 0020(88). A PSEL is a plant-wide cap on annual emissions in a permit limit that is intended to function as a federally and practically enforceable limit on a source’s potential to emit (PTE). Because the PSEL is a permit limit, the source must apply for an increase in its permit limit to ever qualify as a "major modification" under OAR 340- 200-0020(66)(a). However, the focus of the determination must be on whether actual emissions increase, not whether the permit limit changes. </w:t>
      </w:r>
    </w:p>
    <w:p w:rsidR="00337271" w:rsidRDefault="00337271" w:rsidP="00337271"/>
    <w:p w:rsidR="00337271" w:rsidRDefault="00337271" w:rsidP="00337271">
      <w:r>
        <w:t xml:space="preserve">Even assuming that this requirement for a change in PSEL is the result of less than careful drafting, the second problem with Oregon's program is that it requires a "major modification" to result in increase in permitted (not actual) emissions that is equivalent to an increase over the SER on a plant-wide basis. Instead of focusing on the pollution increase from the new emissions unit, Oregon's program determines whether an emissions increase is significant by reference to the entire facility. In this way, Oregon's program features "automatic netting" based on a permit limit from the 1970s. Thus, so long as the source had a PSEL in excess of emissions projected from the source after a physical or operational change, and never banked those emissions, no PSD permit is required. Indeed, even if a proposed change would have the potential to increase emissions more than the SER above current emission levels, so long as the source does not request a PSEL increase of more than the SER above current permitted limits, no PSD permit is required. The third problem with Oregon's PSEL approach is that the PSEL is not based on projected or actual emissions during a time-frame that is contemporaneous with the physical or operational change in question, but during the "baseline period." OAR 340- 200-0020(3). The rules define baseline period as “any consecutive 12 calendar month period during calendar years 1977 or 1978.” OAR 340-200- 0020(14). Oregon's definition of "baseline period" also allows DEQ to use an earlier time period “upon a determination that it is more representative of normal source operation.” Id. The baseline emission rate is then adjusted as rules change and future permitting </w:t>
      </w:r>
      <w:r>
        <w:lastRenderedPageBreak/>
        <w:t>decisions are made. The adjusted baseline is referred to as the “netting basis,” and is defined as follows:</w:t>
      </w:r>
    </w:p>
    <w:p w:rsidR="00337271" w:rsidRDefault="00337271" w:rsidP="00337271"/>
    <w:p w:rsidR="00337271" w:rsidRDefault="00337271" w:rsidP="00337271">
      <w:r>
        <w:t xml:space="preserve">the baseline emission rate MINUS any emission reductions required by rule, orders, or permit conditions required by the SIP or used to avoid SIP requirements, MINUS any unassigned emissions that are reduced from allowable </w:t>
      </w:r>
    </w:p>
    <w:p w:rsidR="00337271" w:rsidRDefault="00337271" w:rsidP="00337271">
      <w:r>
        <w:t>under OAR 340-222-0045, MINUS any emissions credits transferred off site, PLUS any emission increases approved through [NSR] regulations. OAR 340-200-0020(71).</w:t>
      </w:r>
    </w:p>
    <w:p w:rsidR="00337271" w:rsidRDefault="00337271" w:rsidP="00337271"/>
    <w:p w:rsidR="00337271" w:rsidRDefault="00337271" w:rsidP="00337271">
      <w:r>
        <w:t>The resultant "netting basis" in many cases may not, and in this case does not reflect actual emissions at any time that is reasonably contemporaneous with the physical or operational change in question. In fact, the "netting basis" reflects a thirty-year "look back" period, in clear contravention of the federal regulatory floor. Even EPA has acknowledged that Oregon’s PSD program does not subject the same sources to PSD that the federal program does and that some sources that would trigger the federal program do not trigger Oregon’s PSD program. See 68 Fed. Reg. 2891 (Jan.22, 2003).</w:t>
      </w:r>
    </w:p>
    <w:p w:rsidR="00337271" w:rsidRDefault="00337271" w:rsidP="00337271"/>
    <w:p w:rsidR="00337271" w:rsidRDefault="00337271" w:rsidP="00337271">
      <w:pPr>
        <w:pBdr>
          <w:bottom w:val="single" w:sz="12" w:space="1" w:color="auto"/>
        </w:pBdr>
      </w:pPr>
      <w:r>
        <w:t xml:space="preserve">Given that the PSEL program is inconsistent with the federal program because of its focus on permitted instead of actual or potential emissions, and its 30-year “look back” period, DEQ should discontinue use of this program. </w:t>
      </w:r>
    </w:p>
    <w:p w:rsidR="00337271" w:rsidRDefault="00337271" w:rsidP="00337271">
      <w:pPr>
        <w:pBdr>
          <w:bottom w:val="single" w:sz="12" w:space="1" w:color="auto"/>
        </w:pBdr>
      </w:pPr>
    </w:p>
    <w:p w:rsidR="00337271" w:rsidRDefault="00337271" w:rsidP="00227F41"/>
    <w:p w:rsidR="00337271" w:rsidRDefault="00337271" w:rsidP="00227F41"/>
    <w:p w:rsidR="00227F41" w:rsidRDefault="00227F41" w:rsidP="00227F41">
      <w:r>
        <w:t>Columbia Riverkeeper/NEDC/Neighbors for Clean Air:</w:t>
      </w:r>
    </w:p>
    <w:p w:rsidR="00227F41" w:rsidRDefault="00227F41" w:rsidP="00227F41"/>
    <w:p w:rsidR="00227F41" w:rsidRDefault="00227F41" w:rsidP="00227F41">
      <w:r>
        <w:t>DEQ must revise its regulations regarding Significant Impact Levels for PM2.5 to maintain consistency with EPA’s regulations and federal case law.</w:t>
      </w:r>
    </w:p>
    <w:p w:rsidR="00227F41" w:rsidRDefault="00227F41" w:rsidP="00227F41"/>
    <w:p w:rsidR="00227F41" w:rsidRDefault="00227F41" w:rsidP="00227F41">
      <w:r>
        <w:t>Congress established maximum allowable increases over baseline concentrations (“increments”) for certain pollutants in section 163 of the CAA, 42 U.S.C. § 7473, and for other pollutants delegated EPA the authority to prevent significant deterioration of air quality that would result from these pollutants. 42 U.S.C. § 7476(a). Any permit applicant seeking to construct or modify a major emitting facility must demonstrate the resulting emissions will not cause or contribute to a violation of the increment more than once per year, or to any violation of the NAAQS ever. Id. § 7475(a)(3).</w:t>
      </w:r>
    </w:p>
    <w:p w:rsidR="00227F41" w:rsidRDefault="00227F41" w:rsidP="00227F41"/>
    <w:p w:rsidR="00227F41" w:rsidRDefault="00227F41" w:rsidP="00227F41">
      <w:r>
        <w:t xml:space="preserve">In 2010, EPA established Significant Impact Levels (“SILs”) for PM2.5 to determine whether a new source may be exempt from certain requirements under the PSD program. 75 Fed. Reg. 64,864 (Oct. 20, 2010). EPA described a SIL as a numeric value that represents the level of ambient impact below which EPA has determined a source will have an insignificant effect on ambient air quality. 72 Fed. Reg. 54,112, 54,139 (Sept. 21, 2007). Thus EPA reasoned that if a new or modified source </w:t>
      </w:r>
      <w:r>
        <w:lastRenderedPageBreak/>
        <w:t>demonstrates its impact does not exceed a SIL at the relevant location, it may be exempt from the extensive air analysis and modeling required to show its additional emissions will not cause or contribute to a violation of the NAAQS (“cumulative air quality analysis”). 72 Fed. Reg. at 54,139. The theory was based on EPA’s authority to create exemptions for certain de minimis impacts. See Alabama Power Co. v. Costle, 636 F.2d 323 (D.C. Cir. 1979). EPA considered a source whose emissions do not exceed the SIL as de minimis. 72 Fed. Reg. at 54,139 (“EPA considers the conduct of a cumulative air quality analysis and modeling by such a source to yield information of trivial or no value with respect to the impact of the proposed source or modification.”).</w:t>
      </w:r>
    </w:p>
    <w:p w:rsidR="00227F41" w:rsidRDefault="00227F41" w:rsidP="00227F41"/>
    <w:p w:rsidR="00227F41" w:rsidRDefault="00227F41" w:rsidP="00227F41">
      <w:r>
        <w:t>In January 2013, the D.C. Circuit Court of Appeals vacated and remanded EPA’s regulations at 40 C.F.R. §§ 51.166(k)(2) and 52.21(k)(2). Sierra Club v. EPA, 705 F.3d 458 (D.C. Cir. 2013) (“EPA asserts that [because] it did not intend to automatically exempt a proposed source from the requirements of the Act without affording the permitting authorities discretion in applying the SILs, it requests that we vacate and remand the regulatory text promulgated in the rule at 40 C.F.R. §§ 51.166(k)(2) and 52.21(k)(2)”). Sierra Club argued that proposed sources in an area on the verge of violating the NAAQS or an increment could violate the NAAQS or an increment even if the resulting emission levels would fall below the SIL.</w:t>
      </w:r>
    </w:p>
    <w:p w:rsidR="00227F41" w:rsidRDefault="00227F41" w:rsidP="00227F41"/>
    <w:p w:rsidR="00227F41" w:rsidRDefault="00227F41" w:rsidP="00227F41">
      <w:r>
        <w:t>Under EPA’s policy, a permitting authority could authorize numerous sources as de minimis that in reality would have a cumulative impact in violation of the NAAQS or an increment. Because the CAA’s PSD provisions require a demonstration that the source will not cause or contribute to a violation of the NAAQS or increment as a precondition to construction, 42 U.S.C. § 7475(a)(3), this permit regime would conflict with an express statutory command.</w:t>
      </w:r>
    </w:p>
    <w:p w:rsidR="00227F41" w:rsidRDefault="00227F41" w:rsidP="00227F41"/>
    <w:p w:rsidR="00227F41" w:rsidRDefault="00227F41" w:rsidP="00227F41">
      <w:r>
        <w:t>Following the decision in December of 2013, EPA amended its regulations at 40 C.F.R. §§ 51.166(k)(2) and 52.21(k)(2) to remove the vacated PM2.5 SILs. 78 Fed. Reg. 73,698 (Dec. 9, 2013). DEQ must likewise revise its rules to maintain consistency with the federal regulations and the decision by the D.C. Circuit Court of Appeals.7 Id. at 73,700 (explaining that the Court’s vacatur of the regulations “means that these provisions can no longer be relied upon by either permit applicants or permitting authorities.”). Indeed, EPA instructs permitting authorities in delegated states to “remove their corresponding SILs provisions . . . as soon as feasible, which may be in conjunction with the next otherwise planned SIP revision.” Id. Since DEQ “proposes to clarify, update and reorganize Oregon’s air quality rules” with this rule revision, see DEQ Notice at 846, this is precisely the time for DEQ to remove the PM2.5 SILs from its rules.</w:t>
      </w:r>
    </w:p>
    <w:p w:rsidR="00227F41" w:rsidRDefault="00227F41" w:rsidP="00FD31DD"/>
    <w:p w:rsidR="00FD31DD" w:rsidRPr="00FD31DD" w:rsidRDefault="00FD31DD" w:rsidP="00FD31DD"/>
    <w:p w:rsidR="00C2147C" w:rsidRDefault="00C2147C" w:rsidP="00C2147C">
      <w:pPr>
        <w:pStyle w:val="Heading1"/>
        <w:numPr>
          <w:ilvl w:val="0"/>
          <w:numId w:val="2"/>
        </w:numPr>
      </w:pPr>
      <w:r w:rsidRPr="00C2147C">
        <w:lastRenderedPageBreak/>
        <w:t>Change permitting requirements for emergency generators and small natural gas or oil-fired equipment</w:t>
      </w:r>
    </w:p>
    <w:p w:rsidR="00FD31DD" w:rsidRDefault="00FD31DD" w:rsidP="00FD31DD"/>
    <w:p w:rsidR="008F0795" w:rsidRDefault="008F0795" w:rsidP="008F0795">
      <w:r w:rsidRPr="00071548">
        <w:t>Associated Oregon Industries</w:t>
      </w:r>
      <w:r w:rsidR="008B407D">
        <w:t xml:space="preserve"> (2)</w:t>
      </w:r>
      <w:r>
        <w:t>:</w:t>
      </w:r>
    </w:p>
    <w:p w:rsidR="008F0795" w:rsidRDefault="008F0795" w:rsidP="00FD31DD"/>
    <w:p w:rsidR="008F0795" w:rsidRDefault="00613B95" w:rsidP="008F0795">
      <w:r>
        <w:t>DEQ</w:t>
      </w:r>
      <w:r w:rsidR="008F0795">
        <w:t xml:space="preserve"> proposed revisions to the categorically insignificant activity category for emergency generators and pumps </w:t>
      </w:r>
      <w:r>
        <w:t xml:space="preserve">are overly broad and </w:t>
      </w:r>
      <w:r w:rsidR="000653F0">
        <w:t>overreaching</w:t>
      </w:r>
      <w:r w:rsidR="008F0795">
        <w:t xml:space="preserve">. </w:t>
      </w:r>
      <w:r w:rsidR="000653F0">
        <w:t>DEQ</w:t>
      </w:r>
      <w:r w:rsidR="008F0795">
        <w:t>s proposal would make the definition of categorically insignificant emergency generators much too narrow, and impose new costs and administrative burdens on myriad sources with emergency generators the emissions from which are clearly insignificant. To fix this, AOI asks the Department to make the following two edits to its proposed definition of the emergency generator categorically insignificant activity category:</w:t>
      </w:r>
    </w:p>
    <w:p w:rsidR="008F0795" w:rsidRDefault="008F0795" w:rsidP="008F0795"/>
    <w:p w:rsidR="008F0795" w:rsidRDefault="008F0795" w:rsidP="008F0795">
      <w:r>
        <w:t xml:space="preserve">First, the Department should eliminate part (B) of the proposed definition. The mere fact that a source has an emergency unit rated at 500 horsepower or greater does not reflect the source’s actual emissions from that unit, or other of its emergency generators. </w:t>
      </w:r>
    </w:p>
    <w:p w:rsidR="008F0795" w:rsidRDefault="008F0795" w:rsidP="008F0795"/>
    <w:p w:rsidR="008F0795" w:rsidRDefault="008F0795" w:rsidP="008F0795">
      <w:r>
        <w:t>Second, the Department should revise part (A) of the proposed definition to clarify that the assessment of a source’s aggregate emergency generator emissions should be made by reference to actual emissions from those units over the calendar year. In particular, we request that part (A) be revised to state: “The actual aggregate emissions</w:t>
      </w:r>
      <w:r w:rsidR="00E60C18">
        <w:t xml:space="preserve"> </w:t>
      </w:r>
      <w:r>
        <w:t xml:space="preserve">from stationary emergency generators and pumps over a calendar year are greater than the de minimis level for any regulated pollutant.” </w:t>
      </w:r>
    </w:p>
    <w:p w:rsidR="008F0795" w:rsidRDefault="008F0795" w:rsidP="008F0795"/>
    <w:p w:rsidR="008F0795" w:rsidRDefault="008F0795" w:rsidP="008F0795">
      <w:r>
        <w:t>The vast majority of sources lack any incentive to actually operate their emergency generators for any longer than is necessary</w:t>
      </w:r>
      <w:r w:rsidR="004F32ED">
        <w:t>.</w:t>
      </w:r>
      <w:r w:rsidR="009B11A6">
        <w:t xml:space="preserve"> </w:t>
      </w:r>
      <w:r w:rsidR="004F32ED">
        <w:t>F</w:t>
      </w:r>
      <w:r>
        <w:t xml:space="preserve">or the overwhelming majority of sources, estimating emergency generator emissions by reference to the 100 total readiness testing hours of operation allowed by applicable NSPS or NESHAP requirements would grossly exaggerate emissions from those units. </w:t>
      </w:r>
      <w:r w:rsidR="009B11A6">
        <w:t>S</w:t>
      </w:r>
      <w:r>
        <w:t xml:space="preserve">uch sources (and DEQ) would bear new costs and regulatory burdens (e.g., construction approvals, permit modifications, emission factor development) disproportionate to the insignificant emissions from those units. To avoid these unintended consequences, </w:t>
      </w:r>
      <w:r w:rsidR="009B11A6">
        <w:t>DEQ</w:t>
      </w:r>
      <w:r>
        <w:t xml:space="preserve"> should define categorically insignificant emergency generators by reference to the actual emissions from those units.</w:t>
      </w:r>
    </w:p>
    <w:p w:rsidR="00C37718" w:rsidRDefault="00C37718" w:rsidP="008F0795"/>
    <w:p w:rsidR="00C37718" w:rsidRDefault="00C37718" w:rsidP="00C37718">
      <w:r w:rsidRPr="003B1626">
        <w:t>Oregon Association of Clean Water Agencies</w:t>
      </w:r>
      <w:r>
        <w:t>:</w:t>
      </w:r>
    </w:p>
    <w:p w:rsidR="00C37718" w:rsidRDefault="00C37718" w:rsidP="00C37718">
      <w:r>
        <w:t xml:space="preserve">Insignificant emission units – small natural gas and oil fired units could require permitting that is currently exempt from permitting. It is important to note that many wastewater treatment plants are REQUIRED by the DEQ water quality permitting program to install and maintain backup generator sources of power. </w:t>
      </w:r>
    </w:p>
    <w:p w:rsidR="00C37718" w:rsidRDefault="00C37718" w:rsidP="00C37718"/>
    <w:p w:rsidR="00C37718" w:rsidRDefault="00C37718" w:rsidP="008F0795"/>
    <w:p w:rsidR="009B11A6" w:rsidRDefault="009B11A6" w:rsidP="008F0795">
      <w:pPr>
        <w:pBdr>
          <w:bottom w:val="single" w:sz="12" w:space="1" w:color="auto"/>
        </w:pBdr>
      </w:pPr>
    </w:p>
    <w:p w:rsidR="009B11A6" w:rsidRDefault="009B11A6" w:rsidP="008F0795"/>
    <w:p w:rsidR="009B11A6" w:rsidRPr="00FD31DD" w:rsidRDefault="009B11A6" w:rsidP="008F0795"/>
    <w:p w:rsidR="00C2147C" w:rsidRDefault="00C2147C" w:rsidP="00C2147C">
      <w:pPr>
        <w:pStyle w:val="Heading1"/>
        <w:numPr>
          <w:ilvl w:val="0"/>
          <w:numId w:val="2"/>
        </w:numPr>
      </w:pPr>
      <w:r w:rsidRPr="00C2147C">
        <w:t>Establish two new state air quality area designations, “sustainment” and “reattainment,” to help areas avoid and more quickly end a federal nonattainment designation</w:t>
      </w:r>
    </w:p>
    <w:p w:rsidR="00FD31DD" w:rsidRDefault="00FD31DD" w:rsidP="00FD31DD"/>
    <w:p w:rsidR="00FD31DD" w:rsidRDefault="00FD31DD" w:rsidP="00FD31DD">
      <w:r>
        <w:t>Columbia Riverkeeper/NEDC/Neighbors for Clean Air:</w:t>
      </w:r>
    </w:p>
    <w:p w:rsidR="000A1335" w:rsidRDefault="000A1335" w:rsidP="00FD31DD"/>
    <w:p w:rsidR="000A1335" w:rsidRDefault="000A1335" w:rsidP="000A1335">
      <w:r>
        <w:t xml:space="preserve">DEQ’s proposal would make the current system more complex by adding two new designations: attainment/sustainment and nonattainment/reattainment. In addition, DEQ proposal to differentiate between “major sources” and “federal major sources” in nonattainment and maintenance areas will put “major sources” under a lesser level of scrutiny. DEQ believes that the new designations will help “major sources” in nonattainment areas that have met the ambient air quality standards to reach attainment more quickly, but choosing Lakeview as a sustainment area speaks to the contrary. </w:t>
      </w:r>
    </w:p>
    <w:p w:rsidR="000A1335" w:rsidRDefault="000A1335" w:rsidP="00FD31DD"/>
    <w:p w:rsidR="00FF610F" w:rsidRDefault="00FF610F" w:rsidP="00FF610F">
      <w:r>
        <w:t xml:space="preserve">DEQ’s proposed sustainment and reattainment area designations are unneeded and overly complicated, preventing ordinary citizens from understanding them. The proposed rules use many cross-references and refer to different regulatory sections. Section 4b for example was not completely thought through or vetted. This can also potentially violate the anti-backsliding provisions of the Clean Air Act. </w:t>
      </w:r>
    </w:p>
    <w:p w:rsidR="00FF610F" w:rsidRDefault="00FF610F" w:rsidP="00FF610F"/>
    <w:p w:rsidR="00D4383E" w:rsidRDefault="00D4383E" w:rsidP="00D4383E">
      <w:r>
        <w:t>DEQ has not identified any areas where designation as reattainment would currently be applied. There is no way to understand the practical application of the reattainment program without any context to apply it. Instead of the one-size-fits-all approach proposed by DEQ, it should look at areas on a case-by-case basis to determine what, if any, requirements are no longer necessary achieve or maintain compliance.</w:t>
      </w:r>
    </w:p>
    <w:p w:rsidR="00F05EFD" w:rsidRDefault="00F05EFD" w:rsidP="00D4383E"/>
    <w:p w:rsidR="00F05EFD" w:rsidRDefault="00F05EFD" w:rsidP="00D4383E">
      <w:r>
        <w:t>The proposed sustainment and reattainment area designations are overly complicated, making citizen engagement or understanding next to impossible. The only area identified by DEQ as susceptible to use these programs is clearly a poor test case. It is unclear whether the sustainment area program is sufficient to actually help an area comply with the NAAQS, potentially putting an area in a limbo between attainment and nonattainment while Oregonians’ health is being effected. For these reasons, the Commenters urge DEQ abandon the proposed changes to the New Source Review program an actual need is identified.</w:t>
      </w:r>
    </w:p>
    <w:p w:rsidR="001C0D3F" w:rsidRDefault="001C0D3F" w:rsidP="00D4383E"/>
    <w:p w:rsidR="001C0D3F" w:rsidRDefault="001C0D3F" w:rsidP="001C0D3F">
      <w:r>
        <w:t xml:space="preserve">The reattainment program also raises serious questions of whether the proposal complies with the anti-backsliding provisions of the Clean Air Act. The proposal categorically relaxes permitting requirements prior to redesignation as a maintenance area. This raises questions as to whether the proposal would weaken </w:t>
      </w:r>
      <w:r>
        <w:lastRenderedPageBreak/>
        <w:t>Oregon’s State Implementation Plan (SIP). DEQ has not provided any analysis of the program’s compliance with the Clean Air Act.</w:t>
      </w:r>
    </w:p>
    <w:p w:rsidR="001C0D3F" w:rsidRDefault="001C0D3F" w:rsidP="00D4383E"/>
    <w:p w:rsidR="00D4383E" w:rsidRDefault="00D4383E" w:rsidP="00FF610F"/>
    <w:p w:rsidR="00FF610F" w:rsidRDefault="00FF610F" w:rsidP="00FD31DD"/>
    <w:p w:rsidR="00FD31DD" w:rsidRPr="00FD31DD" w:rsidRDefault="00FD31DD" w:rsidP="00FD31DD"/>
    <w:p w:rsidR="00C2147C" w:rsidRDefault="00C2147C" w:rsidP="00C2147C">
      <w:pPr>
        <w:pStyle w:val="Heading1"/>
        <w:numPr>
          <w:ilvl w:val="0"/>
          <w:numId w:val="2"/>
        </w:numPr>
      </w:pPr>
      <w:r w:rsidRPr="00C2147C">
        <w:t>Designate Lakeview as a state sustainment area while retaining its federal attainment designation</w:t>
      </w:r>
    </w:p>
    <w:p w:rsidR="00FD31DD" w:rsidRDefault="00FD31DD" w:rsidP="00FD31DD"/>
    <w:p w:rsidR="00FD31DD" w:rsidRDefault="00FD31DD" w:rsidP="00FD31DD">
      <w:r>
        <w:t>Columbia Riverkeeper/NEDC/Neighbors for Clean Air:</w:t>
      </w:r>
    </w:p>
    <w:p w:rsidR="000A1335" w:rsidRDefault="000A1335" w:rsidP="00FD31DD"/>
    <w:p w:rsidR="000A1335" w:rsidRDefault="000A1335" w:rsidP="000A1335">
      <w:r>
        <w:t xml:space="preserve">Lakeview is not “near” the standard; it is clearly violating the standard and the solution that DEQ has proposed provides no guarantee to solve or even address the problem in a meaningful way. DEQ should either use a case-by-case approach or provide addition explanation as to the benefits of the new approach. The sustainment area designation should not be used in areas that are clearly violating the NAAQS, even if they have not yet been designated as nonattainment. 2013 data provided by DEQ shows that the proposed sustainment area in Lakeview is clearly in violation of the NAAQS. Air quality above the NAAQS causes significant health problems and DEQ should only designate “Sustainment areas” that are not clearly violating the NAAQS. </w:t>
      </w:r>
    </w:p>
    <w:p w:rsidR="00CD128D" w:rsidRDefault="00CD128D" w:rsidP="000A1335"/>
    <w:p w:rsidR="00CD128D" w:rsidRDefault="00CD128D" w:rsidP="00CD128D">
      <w:r>
        <w:t>DEQ must not designate Lakeview as a state sustainment area. Lakeview has consistently exceeded the 24-hour PM2.5 NAAQS in the past three years and should be re-designated as a nonattainment area. Designating Lakeview as a sustainment area will allow the county to shirk the express requirements of the CAA.</w:t>
      </w:r>
    </w:p>
    <w:p w:rsidR="00CD128D" w:rsidRDefault="00CD128D" w:rsidP="000A1335"/>
    <w:p w:rsidR="000A1335" w:rsidRDefault="000A1335" w:rsidP="00FD31DD"/>
    <w:p w:rsidR="00FD31DD" w:rsidRPr="00FD31DD" w:rsidRDefault="00FD31DD" w:rsidP="00FD31DD"/>
    <w:p w:rsidR="00C2147C" w:rsidRDefault="00C2147C" w:rsidP="00C2147C">
      <w:pPr>
        <w:pStyle w:val="Heading1"/>
        <w:numPr>
          <w:ilvl w:val="0"/>
          <w:numId w:val="2"/>
        </w:numPr>
      </w:pPr>
      <w:r w:rsidRPr="00C2147C">
        <w:t>Change the New Source Review preconstruction permitting program</w:t>
      </w:r>
    </w:p>
    <w:p w:rsidR="00FD31DD" w:rsidRDefault="00FD31DD" w:rsidP="00FD31DD"/>
    <w:p w:rsidR="00FD31DD" w:rsidRDefault="00FD31DD" w:rsidP="00FD31DD">
      <w:r>
        <w:t>Columbia Riverkeeper/NEDC/Neighbors for Clean Air:</w:t>
      </w:r>
    </w:p>
    <w:p w:rsidR="008F07D3" w:rsidRDefault="008F07D3" w:rsidP="00FD31DD"/>
    <w:p w:rsidR="008F07D3" w:rsidRDefault="008F07D3" w:rsidP="008F07D3">
      <w:r>
        <w:t>Proposed changes to the NSR requirements are insufficient to ensure air quality. Under DEQ’s proposal, sources subject to State NSR in sustainment areas are required to either conduct an Air Quality Analysis (modeling) or demonstrate a Net Air Quality Benefit (offsets). This is different than State NSR sources in attainment areas that only have the option of conducting an Air Quality Analysis. It is unclear whether this program would even work in areas that are above the NAAQS</w:t>
      </w:r>
      <w:r w:rsidR="0071271E">
        <w:t>.</w:t>
      </w:r>
      <w:r>
        <w:t xml:space="preserve"> A requirement of State NSR in sustainment areas (and attainment areas) is that the </w:t>
      </w:r>
      <w:r>
        <w:lastRenderedPageBreak/>
        <w:t xml:space="preserve">source demonstrates it will not cause or contribute to a new violation of the NAAQS even if their emissions model below the significant impact level (SIL). OAR 340-224-0245(4), OAR 340-224-0270(1)(d). This requirements does not appear to allow for a de minimus contribution. Unless the modeling shows zero impact, it is unclear whether, even under the sustainment designation, new sources and modifications can meet the requirements of State NSR. </w:t>
      </w:r>
    </w:p>
    <w:p w:rsidR="008F07D3" w:rsidRDefault="008F07D3" w:rsidP="008F07D3"/>
    <w:p w:rsidR="008F07D3" w:rsidRDefault="008F07D3" w:rsidP="008F07D3">
      <w:r>
        <w:t>The offset ratios chosen by DEQ are wholly insufficient to achieve the goals of the sustainment program. For sources choosing to demonstrate a Net Air Quality Benefit in a sustainment area, the offset ratio is only 0.1:1 and can drop as low as 0.05:1. The reduction that the sustainment program would offer is minimal. Given these extremely low requirements for offsets, it is entirely unclear whether reductions from the sustainment program would be able to achieve the goal of keeping an area under the NAAQS, let alone reducing emissions in an area violating the NAAQS enough to help the area get below dangerous levels. If DEQ insists on using the sustainment program, the DEQ should at least modify the offset ratios to a more modest level so that the program might actually have a chance of succeeding in stabilizing or reducing the ambient concentration of air pollutants.</w:t>
      </w:r>
    </w:p>
    <w:p w:rsidR="008F07D3" w:rsidRDefault="008F07D3" w:rsidP="008F07D3"/>
    <w:p w:rsidR="008F07D3" w:rsidRDefault="008F07D3" w:rsidP="008F07D3">
      <w:r>
        <w:t>It is unclear whether a source subject to Major NSR in reattainment area would need to meet both OAR 340-224-0050 (nonattainment) and OAR 340-224-0055 (reattainment) for a pollutant designated as reattainment. The regulations could potentially be read as only requiring a federal major new source of a reattainment pollutant to meet the requirements of the reattainment section, OAR 340-224-0055. This would be a clear violation of the Clean Air Act because the requirements of that division bear no semblance to the requirements of Nonattainment New Source Review in the Clean Air Act (which would still be required because the reattainment area is still federally designated nonattainment).</w:t>
      </w:r>
    </w:p>
    <w:p w:rsidR="00866F39" w:rsidRDefault="00866F39" w:rsidP="008F07D3">
      <w:pPr>
        <w:pBdr>
          <w:bottom w:val="single" w:sz="12" w:space="1" w:color="auto"/>
        </w:pBdr>
      </w:pPr>
    </w:p>
    <w:p w:rsidR="00866F39" w:rsidRDefault="00866F39" w:rsidP="008F07D3"/>
    <w:p w:rsidR="00866F39" w:rsidRDefault="00866F39" w:rsidP="00866F39">
      <w:r>
        <w:t>Columbia Riverkeeper/NEDC/Neighbors for Clean Air:</w:t>
      </w:r>
    </w:p>
    <w:p w:rsidR="00866F39" w:rsidRDefault="00866F39" w:rsidP="00866F39"/>
    <w:p w:rsidR="00866F39" w:rsidRDefault="00866F39" w:rsidP="00866F39">
      <w:r>
        <w:t xml:space="preserve">DEQ has not adequately demonstrated that existing federal requirements for new sources will be at least as stringent as the existing state regulations. </w:t>
      </w:r>
    </w:p>
    <w:p w:rsidR="00866F39" w:rsidRDefault="00866F39" w:rsidP="00866F39"/>
    <w:p w:rsidR="00866F39" w:rsidRDefault="00866F39" w:rsidP="00866F39">
      <w:r>
        <w:t xml:space="preserve">First, DEQ has failed to identify any specific requirements that would apply to new sources in these categories other than to say that, if they triggered NSR/PSD, they would have to show that they would not violate the National Ambient Air Quality Standards (NAAQS) or the PSD increment. However, this does not answer the question of whether the requirements of NSR/PSD, if triggered, would be at least as stringent as the current rules. The current rules regulate the level of pollution that comes out of the source, not the impact that the source has on the ambient air. Comparing compliance with the NAAQS and PSD increment to the current regulations to assess stringency is therefore comparing apples to oranges. A new source could comply with the NAAQS and PSD increment and emit pollutants at a </w:t>
      </w:r>
      <w:r>
        <w:lastRenderedPageBreak/>
        <w:t>level above the existing regulations because these two programs regulate different things.</w:t>
      </w:r>
    </w:p>
    <w:p w:rsidR="00866F39" w:rsidRDefault="00866F39" w:rsidP="00866F39"/>
    <w:p w:rsidR="00866F39" w:rsidRDefault="00866F39" w:rsidP="00866F39">
      <w:r>
        <w:t>Second, all of the regulations that DEQ is proposing to delete do not have thresholds and apply to all sources within their respective industrial categories. Both the triggering of NSR/PSD and the application of MACT to a source have threshold, triggering values; below those levels, these programs do not apply. It is therefore possible, or even likely, that new source in one of the industrial categories could be located in Oregon and not subject to these federal programs. To determine whether Oregon’s SIP will be as stringent as it currently is, and avoid violating the anti-backsliding clause of the Clean Air Act, DEQ should not rely on NSR/PSD or the application of MACT in its analysis.</w:t>
      </w:r>
    </w:p>
    <w:p w:rsidR="00866F39" w:rsidRDefault="00866F39" w:rsidP="00866F39"/>
    <w:p w:rsidR="00866F39" w:rsidRDefault="00866F39" w:rsidP="00866F39">
      <w:r>
        <w:t>Third, while NSPS regulations generally do not have thresholds on the size of the source, some of the industrial categories do not have NSPS regulations, or Oregon’s regulations appear to be more stringent than the federal NSPS standards. The repeal of the pulp mill regulations appears justified since these sources would likely be covered under 40 C.F.R. Part 60, Subpart BB. However, the Commenters believe that DEQ should hold off on repealing these rules until DEQ completes a full comparison of the applicability and stringency of the federal Subpart BB and state the rules DEQ is proposing to delete. Only when this analysis is done and subject to public scrutiny, should DEQ move forward with this change.</w:t>
      </w:r>
    </w:p>
    <w:p w:rsidR="00866F39" w:rsidRDefault="00866F39" w:rsidP="00866F39"/>
    <w:p w:rsidR="00866F39" w:rsidRDefault="00866F39" w:rsidP="00866F39">
      <w:r>
        <w:t>The only other applicable NSPS that the Commenters were able to find in reviewing the applicability of federal regulations as compared to Oregon’s existing rules was 40 C.F.R. Part 60, Subpart S, the regulation of Primary Aluminum Production Plants. The applicability of Subpart S appears to overlap with one of the regulations DEQ proposes deleting: OAR 340-236-0100.</w:t>
      </w:r>
    </w:p>
    <w:p w:rsidR="00866F39" w:rsidRDefault="00866F39" w:rsidP="00866F39"/>
    <w:p w:rsidR="00866F39" w:rsidRDefault="00866F39" w:rsidP="00866F39">
      <w:r>
        <w:t xml:space="preserve">However, it appears that Oregon’s regulation has more stringent emission control requirements for most if not all of the pollutants of concern. Oregon’s regulation sets a monthly limit of 1.2 lbs fluoride per ton and an annual limit of 1.0 lbs fluoride per ton. The comparable federal regulation is broken down by process type, with some limits as high as 2.0 lbs fluoride per ton. The federal standard also has a higher opacity limit for anode bake operations, 20%, than Oregon’s flat 10% requirement. Finally, Subpart S does not regulate particulate matter emissions while OAR 34-236-0120(1)(b) sets a monthly limit of 7.0 lbs per ton and an annual average of 5.0 lbs per ton. </w:t>
      </w:r>
    </w:p>
    <w:p w:rsidR="00866F39" w:rsidRDefault="00866F39" w:rsidP="00866F39"/>
    <w:p w:rsidR="00866F39" w:rsidRDefault="00866F39" w:rsidP="00866F39">
      <w:r>
        <w:t xml:space="preserve">The regulation that DEQ is proposing to delete appears more stringent than applicable federal standards. The Commenters are concerned that DEQ has not fully analyzed whether the existing backdrop of federal regulations is sufficiently stringent enough that these state regulations are superfluous. Until such time as DEQ has completed that analysis, the Commenters urge DEQ not to repeal these regulations as it could weaken Oregon’s program. Because these businesses are no </w:t>
      </w:r>
      <w:r>
        <w:lastRenderedPageBreak/>
        <w:t>longer located within the state, there is absolutely no reason to rush forward with repealing these regulations until a complete analysis is undertaken.</w:t>
      </w:r>
    </w:p>
    <w:p w:rsidR="00742C8C" w:rsidRDefault="00742C8C" w:rsidP="00866F39">
      <w:pPr>
        <w:pBdr>
          <w:bottom w:val="single" w:sz="12" w:space="1" w:color="auto"/>
        </w:pBdr>
      </w:pPr>
    </w:p>
    <w:p w:rsidR="00742C8C" w:rsidRDefault="00742C8C" w:rsidP="00866F39"/>
    <w:p w:rsidR="00742C8C" w:rsidRDefault="00742C8C" w:rsidP="00742C8C">
      <w:r>
        <w:t>Columbia Riverkeeper/NEDC/Neighbors for Clean Air:</w:t>
      </w:r>
    </w:p>
    <w:p w:rsidR="00742C8C" w:rsidRDefault="00742C8C" w:rsidP="00742C8C"/>
    <w:p w:rsidR="00742C8C" w:rsidRDefault="00742C8C" w:rsidP="00742C8C">
      <w:r>
        <w:t>DEQ should revise its rule requiring notification of EPA of permit applications subject to NSR to render it enforceable.</w:t>
      </w:r>
    </w:p>
    <w:p w:rsidR="00742C8C" w:rsidRDefault="00742C8C" w:rsidP="00742C8C"/>
    <w:p w:rsidR="00742C8C" w:rsidRDefault="00742C8C" w:rsidP="00742C8C">
      <w:r>
        <w:t>DEQ’s regulations require permit applicants subject to NSR requirements to submit a copy of the NSR permit application directly to EPA. OAR 340-216-0040(8). History has demonstrated that permit applicants fail to comply with this regulation, without consequence. For example, as part of an application to modify the air quality permit for the Lakeview Cogeneration facility in Lakeview, the applicant failed to send a copy of their air permit application to EPA. See February 7, 2013 Letter from Dennis McLerran, EPA Regional Administrator, to Chris Zinda (attached as Exhibit 9). Once notified of this omission, DEQ still issued the permit modification but committed to evaluate ways to ensure that the requirement is met by either (1) revising the application forms for NSR permit actions, or (2) changing this rule.</w:t>
      </w:r>
    </w:p>
    <w:p w:rsidR="00742C8C" w:rsidRDefault="00742C8C" w:rsidP="00742C8C"/>
    <w:p w:rsidR="00742C8C" w:rsidRDefault="00742C8C" w:rsidP="00742C8C">
      <w:r>
        <w:t>See January 28, 2013 Letter from Linda Hayes-Gorman, DEQ, to Chris Zinda (attached as Exhibit 10). DEQ also committed to notifying EPA by separate email or letter for future applications subject to NSR. Id. See also OAR 340-209-0060(4)(d) (requiring DEQ to give notice of NSR actions to EPA). This notification is essential for determining the requirements for sources in maintenance areas and for getting EPA review and comment. OAR 340-224-0060.</w:t>
      </w:r>
    </w:p>
    <w:p w:rsidR="00742C8C" w:rsidRDefault="00742C8C" w:rsidP="00742C8C"/>
    <w:p w:rsidR="00742C8C" w:rsidRDefault="00742C8C" w:rsidP="00742C8C">
      <w:r>
        <w:t>Yet DEQ’s proposed revisions merely reiterate the permit applicant’s individual responsibility to send NSR permit applications to EPA, with minor clarifications regarding the scope of information that must be submitted. DEQ Notice at 89. As shown by the example above, DEQ has no way of enforcing this regulation or ensuring whether permit applicants comply. As Albert Einstein said “nothing is more destructive of respect for the government and the law of the land than passing laws which cannot be enforced.” Commenters are unaware of any other action taken by DEQ to fulfill its 2013 commitment to ensure the requirement is met.</w:t>
      </w:r>
    </w:p>
    <w:p w:rsidR="00742C8C" w:rsidRDefault="00742C8C" w:rsidP="00742C8C"/>
    <w:p w:rsidR="00742C8C" w:rsidRDefault="00742C8C" w:rsidP="00742C8C">
      <w:r>
        <w:t>Now is the perfect time for DEQ to revise this regulation: DEQ has explained that many of the proposed rule revisions are meant to clarify, update, and reorganize the agency’s rules. DEQ should require the permit applicant to copy EPA as part of its permit application to DEQ, or vice versa. This would ensure that both agencies are receiving the same application package, provide for enforcement of the notification requirement to EPA, and avoid burdensome permit processing on the agencies’ side (such as sending separate emails or letters of future NSR permit applications).</w:t>
      </w:r>
    </w:p>
    <w:p w:rsidR="00742C8C" w:rsidRDefault="00742C8C" w:rsidP="00866F39"/>
    <w:p w:rsidR="00866F39" w:rsidRDefault="00866F39" w:rsidP="008F07D3"/>
    <w:p w:rsidR="008F07D3" w:rsidRDefault="008F07D3" w:rsidP="00FD31DD"/>
    <w:p w:rsidR="00FD31DD" w:rsidRPr="00FD31DD" w:rsidRDefault="00FD31DD" w:rsidP="00FD31DD"/>
    <w:p w:rsidR="00C2147C" w:rsidRDefault="00C2147C" w:rsidP="00C2147C">
      <w:pPr>
        <w:pStyle w:val="Heading1"/>
        <w:numPr>
          <w:ilvl w:val="0"/>
          <w:numId w:val="2"/>
        </w:numPr>
      </w:pPr>
      <w:r w:rsidRPr="00C2147C">
        <w:t>Modernize methods allowed for holding public hearings and meetings</w:t>
      </w:r>
    </w:p>
    <w:p w:rsidR="00FD31DD" w:rsidRDefault="00FD31DD" w:rsidP="00FD31DD"/>
    <w:p w:rsidR="00FD31DD" w:rsidRDefault="00FD31DD" w:rsidP="00FD31DD">
      <w:r>
        <w:t>Columbia Riverkeeper/NEDC/Neighbors for Clean Air:</w:t>
      </w:r>
    </w:p>
    <w:p w:rsidR="009C7ACE" w:rsidRDefault="009C7ACE" w:rsidP="00FD31DD"/>
    <w:p w:rsidR="009C7ACE" w:rsidRDefault="009C7ACE" w:rsidP="009C7ACE">
      <w:r>
        <w:t xml:space="preserve">DEQ should not completely delete its procedures for informational and public hearings contained in OAR 340-209-0070. </w:t>
      </w:r>
      <w:r w:rsidR="00AB614C">
        <w:t>The proposed regulations</w:t>
      </w:r>
      <w:r>
        <w:t xml:space="preserve"> provide no guidance on how </w:t>
      </w:r>
      <w:r w:rsidR="00AB614C">
        <w:t>informational meetings or public hearings</w:t>
      </w:r>
      <w:r>
        <w:t xml:space="preserve"> would be conducted. </w:t>
      </w:r>
    </w:p>
    <w:p w:rsidR="009C7ACE" w:rsidRDefault="009C7ACE" w:rsidP="009C7ACE">
      <w:r>
        <w:t>OAR 340-209-0070(1)(b) of 14 days notice before an informational hearing is not found elsewhere in DEQ’s regulations. DEQ should modify OAR 340-209-0030(3)(d)(B) to include a timing requirement for notice. DEQ should add a section to OAR 340-209-0040 that would include the minimum information to be contained in a notice regarding an informational hearing. DEQ should also alter OAR 340-209-0050 and OAR 340-209-0060 to provide requirements for who is notified about a scheduled informational hearing.</w:t>
      </w:r>
    </w:p>
    <w:p w:rsidR="009C7ACE" w:rsidRDefault="009C7ACE" w:rsidP="009C7ACE"/>
    <w:p w:rsidR="009C7ACE" w:rsidRDefault="009C7ACE" w:rsidP="009C7ACE">
      <w:r>
        <w:t xml:space="preserve">DEQ </w:t>
      </w:r>
      <w:r w:rsidR="00F7419D">
        <w:t xml:space="preserve">proposed </w:t>
      </w:r>
      <w:r w:rsidR="000C1D38">
        <w:t xml:space="preserve">regulations </w:t>
      </w:r>
      <w:r w:rsidR="00F7419D">
        <w:t>to</w:t>
      </w:r>
      <w:r>
        <w:t xml:space="preserve"> continue to have physical meetings for public hearings, there seems to be little in the proposed regulations that would require physical meeting space. Absent the “reasonable place and time” restriction in OAR 340-209-0070(2)(which could in theory be “the internet”), the only applicable reference is an oblique reference in the public notice requirements that the notice provide procedures for submitting comments “whether in writing or in person.” OAR 340-209-0040(1)(g), (2)(g).</w:t>
      </w:r>
    </w:p>
    <w:p w:rsidR="009C7ACE" w:rsidRDefault="009C7ACE" w:rsidP="009C7ACE"/>
    <w:p w:rsidR="009C7ACE" w:rsidRDefault="009C7ACE" w:rsidP="009C7ACE">
      <w:r>
        <w:t xml:space="preserve">DEQ should not allow modern technology to replace its public involvement process. Replacing hard copy and newspaper notification or physical public meetings poses a serious environmental justice concern. Many environmental justice communities that are most effected by air pollution are also least likely to have reliable access to the Internet. If DEQ shifts too much to the use of modern technology, it risks leaving many effected people unable to adequately participate. </w:t>
      </w:r>
    </w:p>
    <w:p w:rsidR="009C7ACE" w:rsidRDefault="009C7ACE" w:rsidP="009C7ACE"/>
    <w:p w:rsidR="009C7ACE" w:rsidRDefault="009C7ACE" w:rsidP="009C7ACE">
      <w:pPr>
        <w:pBdr>
          <w:bottom w:val="single" w:sz="12" w:space="1" w:color="auto"/>
        </w:pBdr>
      </w:pPr>
    </w:p>
    <w:p w:rsidR="009C7ACE" w:rsidRDefault="009C7ACE" w:rsidP="00FD31DD"/>
    <w:p w:rsidR="009C7ACE" w:rsidRDefault="009C7ACE" w:rsidP="00FD31DD"/>
    <w:p w:rsidR="00FD31DD" w:rsidRPr="00FD31DD" w:rsidRDefault="00FD31DD" w:rsidP="00FD31DD"/>
    <w:p w:rsidR="00C2147C" w:rsidRDefault="00C2147C" w:rsidP="00C2147C">
      <w:pPr>
        <w:pStyle w:val="Heading1"/>
        <w:numPr>
          <w:ilvl w:val="0"/>
          <w:numId w:val="2"/>
        </w:numPr>
      </w:pPr>
      <w:r w:rsidRPr="00C2147C">
        <w:lastRenderedPageBreak/>
        <w:t>Re-establish the Heat Smart woodstove replacement program exemption for small commercial solid fuel boilers regulated under the permitting program</w:t>
      </w:r>
    </w:p>
    <w:p w:rsidR="00FD31DD" w:rsidRDefault="00FD31DD" w:rsidP="00FD31DD"/>
    <w:p w:rsidR="00FD31DD" w:rsidRDefault="00FD31DD" w:rsidP="00FD31DD">
      <w:r>
        <w:t>Columbia Riverkeeper/NEDC/Neighbors for Clean Air:</w:t>
      </w:r>
    </w:p>
    <w:p w:rsidR="00FD31DD" w:rsidRPr="00FD31DD" w:rsidRDefault="00FD31DD" w:rsidP="00FD31DD"/>
    <w:p w:rsidR="00C2147C" w:rsidRDefault="00C2147C" w:rsidP="00C2147C">
      <w:pPr>
        <w:pStyle w:val="Heading1"/>
        <w:numPr>
          <w:ilvl w:val="0"/>
          <w:numId w:val="2"/>
        </w:numPr>
      </w:pPr>
      <w:r w:rsidRPr="00C2147C">
        <w:t>Remove annual reporting requirements for small gasoline dispensing facilities</w:t>
      </w:r>
    </w:p>
    <w:p w:rsidR="00FD31DD" w:rsidRDefault="00FD31DD" w:rsidP="00FD31DD"/>
    <w:p w:rsidR="00FD31DD" w:rsidRDefault="00FD31DD" w:rsidP="00FD31DD">
      <w:r>
        <w:t>Columbia Riverkeeper/NEDC/Neighbors for Clean Air:</w:t>
      </w:r>
    </w:p>
    <w:p w:rsidR="00FD31DD" w:rsidRPr="00FD31DD" w:rsidRDefault="00FD31DD" w:rsidP="00FD31DD"/>
    <w:p w:rsidR="00FD31DD" w:rsidRDefault="00FD31DD" w:rsidP="00FD31DD">
      <w:pPr>
        <w:pStyle w:val="Heading1"/>
        <w:numPr>
          <w:ilvl w:val="0"/>
          <w:numId w:val="2"/>
        </w:numPr>
      </w:pPr>
      <w:r>
        <w:t>Other Comments:</w:t>
      </w:r>
    </w:p>
    <w:p w:rsidR="00FD31DD" w:rsidRDefault="00FD31DD" w:rsidP="00FD31DD"/>
    <w:p w:rsidR="00FD31DD" w:rsidRPr="00FD31DD" w:rsidRDefault="00FD31DD" w:rsidP="00FD31DD"/>
    <w:p w:rsidR="002526A4" w:rsidRDefault="002526A4" w:rsidP="002526A4">
      <w:r>
        <w:t>Columbia Riverkeeper/NEDC/Neighbors for Clean Air</w:t>
      </w:r>
      <w:r w:rsidR="00A03B08">
        <w:t xml:space="preserve">; </w:t>
      </w:r>
      <w:r w:rsidR="00A03B08" w:rsidRPr="00071548">
        <w:t>Associated Oregon Industries</w:t>
      </w:r>
      <w:r w:rsidR="00A03B08">
        <w:t xml:space="preserve"> (2)</w:t>
      </w:r>
      <w:r>
        <w:t>:</w:t>
      </w:r>
    </w:p>
    <w:p w:rsidR="002526A4" w:rsidRDefault="002526A4"/>
    <w:p w:rsidR="002526A4" w:rsidRDefault="002526A4" w:rsidP="00506593">
      <w:r>
        <w:t xml:space="preserve">The revisions for the Oregon’s PSD and Title V permit requirements do not follow the ruling set in UARG v. EPA. </w:t>
      </w:r>
      <w:r w:rsidR="00506593">
        <w:t xml:space="preserve">Any decision other than immediate </w:t>
      </w:r>
      <w:r w:rsidR="00E04529">
        <w:t>i</w:t>
      </w:r>
      <w:r w:rsidR="00506593">
        <w:t xml:space="preserve">ncorporation of the Supreme Court’s mandate into the Oregon rules would </w:t>
      </w:r>
      <w:r w:rsidR="00E04529">
        <w:t>r</w:t>
      </w:r>
      <w:r w:rsidR="00506593">
        <w:t xml:space="preserve">equire that DEQ re-notice the rule package. </w:t>
      </w:r>
      <w:r>
        <w:t>DEQ’s notice fails to identify an intended action as required by ORS 183.335. Instead, the request broadly asks the public whether the Oregon rules should be left as is or changed. DEQ must issue a new notice and comment if DEQ w</w:t>
      </w:r>
      <w:r w:rsidR="006C1AD5">
        <w:t>ishes</w:t>
      </w:r>
      <w:r>
        <w:t xml:space="preserve"> to make rules not required by UARG v. EPA. </w:t>
      </w:r>
    </w:p>
    <w:p w:rsidR="002002CB" w:rsidRDefault="002002CB" w:rsidP="002526A4">
      <w:pPr>
        <w:pBdr>
          <w:bottom w:val="single" w:sz="12" w:space="1" w:color="auto"/>
        </w:pBdr>
      </w:pPr>
    </w:p>
    <w:p w:rsidR="003B1626" w:rsidRDefault="003B1626" w:rsidP="002526A4"/>
    <w:p w:rsidR="003B1626" w:rsidRDefault="003B1626" w:rsidP="002526A4">
      <w:r w:rsidRPr="003B1626">
        <w:t>Oregon Association of Clean Water Agencies</w:t>
      </w:r>
      <w:r>
        <w:t>:</w:t>
      </w:r>
    </w:p>
    <w:p w:rsidR="002002CB" w:rsidRDefault="002002CB" w:rsidP="002526A4"/>
    <w:p w:rsidR="002002CB" w:rsidRDefault="00031DF1" w:rsidP="00031DF1">
      <w:r>
        <w:t xml:space="preserve">ACWA members </w:t>
      </w:r>
      <w:r w:rsidR="003B1626">
        <w:t xml:space="preserve">would like </w:t>
      </w:r>
      <w:r>
        <w:t>to meet with the appropriate DEQ air quality staff</w:t>
      </w:r>
      <w:r w:rsidR="003B1626">
        <w:t xml:space="preserve"> </w:t>
      </w:r>
      <w:r>
        <w:t>to better understand the air quality concerns prompting the rule revisions that would affect wastewater treatment plant operations and stormwater management systems.</w:t>
      </w:r>
      <w:r w:rsidR="00BC31C9">
        <w:t xml:space="preserve"> They are mostly concerned with the proposed change in the definition oil/water </w:t>
      </w:r>
      <w:r w:rsidR="000071F6">
        <w:t>separators</w:t>
      </w:r>
      <w:r w:rsidR="0036562E">
        <w:t>, as there are thousands of such devices (‘lynch-style’ street drain)</w:t>
      </w:r>
      <w:r w:rsidR="000F5D09">
        <w:t xml:space="preserve"> that will fall under the new category; they are unaware of any air pollution concerns related to these devices.</w:t>
      </w:r>
    </w:p>
    <w:p w:rsidR="005C54AB" w:rsidRDefault="005C54AB" w:rsidP="005C54AB">
      <w:pPr>
        <w:pBdr>
          <w:bottom w:val="single" w:sz="12" w:space="1" w:color="auto"/>
        </w:pBdr>
      </w:pPr>
    </w:p>
    <w:p w:rsidR="00B87D08" w:rsidRDefault="00B87D08" w:rsidP="005C54AB"/>
    <w:p w:rsidR="00B87D08" w:rsidRDefault="00B87D08" w:rsidP="005C54AB">
      <w:r>
        <w:t>US</w:t>
      </w:r>
      <w:r w:rsidR="00C73823">
        <w:t xml:space="preserve"> </w:t>
      </w:r>
      <w:r>
        <w:t>F</w:t>
      </w:r>
      <w:r w:rsidR="00C73823">
        <w:t xml:space="preserve">orest </w:t>
      </w:r>
      <w:r>
        <w:t>S</w:t>
      </w:r>
      <w:r w:rsidR="00C73823">
        <w:t>ervice</w:t>
      </w:r>
      <w:r>
        <w:t>:</w:t>
      </w:r>
    </w:p>
    <w:p w:rsidR="00B87D08" w:rsidRDefault="00B87D08" w:rsidP="005C54AB"/>
    <w:p w:rsidR="00833C69" w:rsidRDefault="0098587A" w:rsidP="00833C69">
      <w:r>
        <w:lastRenderedPageBreak/>
        <w:t xml:space="preserve">On Aug. 27, 2014, USFS was made aware for the first time for DEQ’s proposed rule making. </w:t>
      </w:r>
      <w:r w:rsidR="00833C69">
        <w:t>The fact that the Forest Service was just made aware of this rule making reveals the weaknesses in the current method of communicating proposed rule changes which potentially affects lands which the Forest Service has jurisdictional responsibility. We request that DEQ work with the Forest Service on improvements in the current method of communicating proposed rule makings in the future to ensure adequate time</w:t>
      </w:r>
      <w:r w:rsidR="00815654">
        <w:t xml:space="preserve"> to review and provide comment… USFS</w:t>
      </w:r>
      <w:r w:rsidR="00833C69">
        <w:t xml:space="preserve"> formally requesting a </w:t>
      </w:r>
      <w:r w:rsidR="00B126A7">
        <w:t>two-week</w:t>
      </w:r>
      <w:r w:rsidR="00833C69">
        <w:t xml:space="preserve"> extension in the comment period to specific sections of this proposed </w:t>
      </w:r>
      <w:r>
        <w:t>rulemaking, which</w:t>
      </w:r>
      <w:r w:rsidR="00833C69">
        <w:t xml:space="preserve"> may affect lands managed by the USDA Forest Service.</w:t>
      </w:r>
    </w:p>
    <w:p w:rsidR="00833C69" w:rsidRDefault="00833C69" w:rsidP="00833C69"/>
    <w:p w:rsidR="00B87D08" w:rsidRDefault="00623133" w:rsidP="005C54AB">
      <w:r>
        <w:t>Concerned citizens</w:t>
      </w:r>
      <w:r w:rsidR="009D6B25">
        <w:t xml:space="preserve"> (</w:t>
      </w:r>
      <w:r w:rsidR="002D4C1A">
        <w:t>1</w:t>
      </w:r>
      <w:r w:rsidR="006A32C7">
        <w:t>2</w:t>
      </w:r>
      <w:r w:rsidR="009D6B25">
        <w:t>)</w:t>
      </w:r>
      <w:r>
        <w:t>:</w:t>
      </w:r>
    </w:p>
    <w:p w:rsidR="00623133" w:rsidRDefault="00623133" w:rsidP="005C54AB"/>
    <w:p w:rsidR="00D90882" w:rsidRDefault="00891F90" w:rsidP="00D90882">
      <w:r>
        <w:t xml:space="preserve">Add </w:t>
      </w:r>
      <w:r w:rsidR="00CF34D6">
        <w:t>“</w:t>
      </w:r>
      <w:r w:rsidR="0006465C">
        <w:t xml:space="preserve">Manufacturing - Semiconductor and </w:t>
      </w:r>
      <w:r w:rsidR="00CF34D6">
        <w:t>related devices (SIC Code 3674)”</w:t>
      </w:r>
      <w:r w:rsidR="0006465C">
        <w:t xml:space="preserve"> </w:t>
      </w:r>
      <w:r>
        <w:t>to Section (66) "Federal Major Source" part (e)</w:t>
      </w:r>
      <w:r w:rsidR="00CF34D6">
        <w:t xml:space="preserve"> so that Intel Corp. will be classified as a </w:t>
      </w:r>
      <w:r w:rsidR="00D90882">
        <w:t xml:space="preserve">Major Source and be required to adhere to more stringed air quality regulations. </w:t>
      </w:r>
      <w:r w:rsidR="00D90882" w:rsidRPr="00623133">
        <w:t>Intel and other semiconductor manufacturing plants should be made to use the highest, Best Available/Achievable Control Abatement Technology.</w:t>
      </w:r>
    </w:p>
    <w:p w:rsidR="00B87D08" w:rsidRDefault="00B87D08" w:rsidP="005C54AB"/>
    <w:p w:rsidR="00B87D08" w:rsidRDefault="00B87D08" w:rsidP="005C54AB"/>
    <w:p w:rsidR="00B87D08" w:rsidRDefault="00B87D08" w:rsidP="005C54AB"/>
    <w:p w:rsidR="00B87D08" w:rsidRDefault="00B87D08" w:rsidP="005C54AB"/>
    <w:p w:rsidR="002526A4" w:rsidRDefault="002526A4" w:rsidP="002526A4"/>
    <w:p w:rsidR="002002CB" w:rsidRDefault="002002CB">
      <w:pPr>
        <w:pBdr>
          <w:top w:val="single" w:sz="12" w:space="1" w:color="auto"/>
          <w:bottom w:val="single" w:sz="12" w:space="1" w:color="auto"/>
        </w:pBdr>
      </w:pPr>
    </w:p>
    <w:p w:rsidR="002002CB" w:rsidRDefault="002002CB">
      <w:pPr>
        <w:pBdr>
          <w:bottom w:val="single" w:sz="12" w:space="1" w:color="auto"/>
          <w:between w:val="single" w:sz="12" w:space="1" w:color="auto"/>
        </w:pBdr>
      </w:pPr>
    </w:p>
    <w:p w:rsidR="000B44BC" w:rsidRDefault="000B44BC">
      <w:r>
        <w:br w:type="page"/>
      </w:r>
    </w:p>
    <w:p w:rsidR="00C95C21" w:rsidRPr="00C73823" w:rsidRDefault="000B44BC" w:rsidP="00595B32">
      <w:pPr>
        <w:rPr>
          <w:color w:val="FF6600"/>
        </w:rPr>
      </w:pPr>
      <w:r w:rsidRPr="00C73823">
        <w:rPr>
          <w:color w:val="FF6600"/>
        </w:rPr>
        <w:lastRenderedPageBreak/>
        <w:t>Columbia Riverkeeper/</w:t>
      </w:r>
      <w:r w:rsidR="00A25888" w:rsidRPr="00C73823">
        <w:rPr>
          <w:color w:val="FF6600"/>
        </w:rPr>
        <w:t>NEDC/</w:t>
      </w:r>
      <w:r w:rsidRPr="00C73823">
        <w:rPr>
          <w:color w:val="FF6600"/>
        </w:rPr>
        <w:t>Neighbors for Clean Air:</w:t>
      </w:r>
    </w:p>
    <w:p w:rsidR="00590F0B" w:rsidRPr="00C73823" w:rsidRDefault="00590F0B" w:rsidP="0048080E">
      <w:pPr>
        <w:rPr>
          <w:color w:val="FF6600"/>
        </w:rPr>
      </w:pPr>
    </w:p>
    <w:p w:rsidR="008151AD" w:rsidRPr="00C73823" w:rsidRDefault="008151AD" w:rsidP="008151AD">
      <w:pPr>
        <w:rPr>
          <w:color w:val="FF6600"/>
        </w:rPr>
      </w:pPr>
      <w:r w:rsidRPr="00C73823">
        <w:rPr>
          <w:color w:val="FF6600"/>
        </w:rPr>
        <w:t>DEQ’s justification for designating Lakeview as a sustainment area is flawed.</w:t>
      </w:r>
      <w:r w:rsidR="00684571" w:rsidRPr="00C73823">
        <w:rPr>
          <w:color w:val="FF6600"/>
        </w:rPr>
        <w:t xml:space="preserve"> </w:t>
      </w:r>
      <w:r w:rsidRPr="00C73823">
        <w:rPr>
          <w:color w:val="FF6600"/>
        </w:rPr>
        <w:t>Designating Lakeview as a sustainment area will postpone the in-depth assessment of the air quality issues in the region required for nonattainment areas, and thereby exacerbate data problems. First, DEQ improperly focuses on residential woodstoves. Second, allowing intermediate sized industrial emission sources to establish or expand operations will exacerbate the data problem EPA has faced in the past. Allowing continued growth of industrial emissions, while focusing on residential woodstoves, is unlikely to move Lakeview away from a violation of the PM2.5 24-hour NAAQS.</w:t>
      </w:r>
      <w:r w:rsidR="00684571" w:rsidRPr="00C73823">
        <w:rPr>
          <w:color w:val="FF6600"/>
        </w:rPr>
        <w:t xml:space="preserve"> </w:t>
      </w:r>
      <w:r w:rsidRPr="00C73823">
        <w:rPr>
          <w:color w:val="FF6600"/>
        </w:rPr>
        <w:t xml:space="preserve">DEQ relied on estimates from Lake County and SE Oregon residential wood heating surveys and extrapolated those numbers based on assumed common usage of woodstoves in Lakeview to determine wood combustion in the Lakeview area. In contrast, under nonattainment designation Lakeview would be required to complete “a comprehensive, accurate, current inventory of actual emissions from all sources of the relevant pollutant or pollutants in such area, including such periodic revisions as [EPA] may determine necessary . . ..” 42 U.S.C. § 7502(c)(3). As of this proposal DEQ does not have the extent of data necessary to definitely show that uncertified wood stoves are the problem, making their designation as priority sources problematic. DEQ makes no attempt to quantify emissions coming in from outside of the air shed, such as forest fires. Prescribed silvicultural burning is common in the winter months, and emissions from this type of activity looks very similar to and is likely categorized with the emissions attributed to residential wood stoves. And yet under the sustainment designation, new industrial emission sources would in fact replace rather than reduce emissions based on the 0.1:1 offsets ratio. This is a lower offset ratio than is required in maintenance areas, which are actually in compliance with the air quality standards. DEQ should implement an offset ratio for sustainment areas that is at least 1:1.In fact, even at the 0.1:1 ratio may understate the effective ratio of offsets these industrial emissions will be required to obtain. DEQ provides no procedure for quantifying emission reductions from wood stove change replacements that would be used to offset industrial emissions. Indeed, it appears that because of the reference in OAR 340-224-0510(1) to OAR 340-240-0550, offsets from wood stoves would be limited to wood stove replacements in Klamath Falls nonattainment and maintenance areas. OAR 340-240-0550(1)(b). In addition, the provisions of OAR 340-240-0050(2) would seem to repeal the net air quality benefit determination required for offsets, though the citation is to a provision that does not reference net air quality benefit determinations. DEQ has a variety of procedures for quantifying industrial emissions to a relatively high degree of certainty. The same cannot be said for emissions from residential wood stoves. There is a high degree of variability in the use and emissions profiles of older wood stoves, greatly affecting the actual quantity of emission reduction that would come from replacement. DEQ cannot ensure that the addition of actual, quantifiable industrial emissions to the Lakeview airshed will be offset by actual, quantifiable emission decreases from wood stove replacements. </w:t>
      </w:r>
    </w:p>
    <w:p w:rsidR="008151AD" w:rsidRPr="00C73823" w:rsidRDefault="008151AD" w:rsidP="008151AD">
      <w:pPr>
        <w:rPr>
          <w:color w:val="FF6600"/>
        </w:rPr>
      </w:pPr>
    </w:p>
    <w:p w:rsidR="008151AD" w:rsidRPr="00C73823" w:rsidRDefault="008151AD" w:rsidP="002E4631">
      <w:pPr>
        <w:rPr>
          <w:color w:val="FF6600"/>
        </w:rPr>
      </w:pPr>
      <w:r w:rsidRPr="00C73823">
        <w:rPr>
          <w:color w:val="FF6600"/>
        </w:rPr>
        <w:lastRenderedPageBreak/>
        <w:t>DEQ likely underestimates emissions from the wood products industry. Industry emissions are not relatively constant year round; much like wood stoves, emissions from the wood products industry varies due to seasonal changes in fuel source. Utilization ma</w:t>
      </w:r>
      <w:r w:rsidR="001C21A1" w:rsidRPr="00C73823">
        <w:rPr>
          <w:color w:val="FF6600"/>
        </w:rPr>
        <w:t xml:space="preserve">y vary depending on the season. </w:t>
      </w:r>
      <w:r w:rsidRPr="00C73823">
        <w:rPr>
          <w:color w:val="FF6600"/>
        </w:rPr>
        <w:t>DEQ’s analysis also ignores the maintenance, start up and shut down times that are often necessary as a part of industrial processes and which leads to greater emissions. DEQ has</w:t>
      </w:r>
      <w:r w:rsidR="001C21A1" w:rsidRPr="00C73823">
        <w:rPr>
          <w:color w:val="FF6600"/>
        </w:rPr>
        <w:t xml:space="preserve"> </w:t>
      </w:r>
      <w:r w:rsidRPr="00C73823">
        <w:rPr>
          <w:color w:val="FF6600"/>
        </w:rPr>
        <w:t>also failed to demonstrate that industrial emissions (which would continue through the winter) will not also suffer from the inversion issues in the winter that the agency attributes to wood stoves. Thus industrial sources in fact may result in a greater adverse impact to the region. Industrial sources might generally be away from residential regions, but this will not always be true. The fact that industrial sources might be located away from ambient air quality monitors simply means that these harmful emissions will be harder to detect, not that they will no longer exist. DEQ ignores this fact when assessing “effective emissions” at the single ambient air quality monitor in Lakeview, located in a residential area, by using concentrations at the monitor to determine emissions by source category as a percentage. DEQ should get an accurate inventory by monitoring emissions in the region, and only then craft a program to address sources that have been demonstrated to be priority sources of PM2.5 emissions.</w:t>
      </w:r>
      <w:r w:rsidR="00DC2692" w:rsidRPr="00C73823">
        <w:rPr>
          <w:color w:val="FF6600"/>
        </w:rPr>
        <w:t xml:space="preserve"> </w:t>
      </w:r>
      <w:r w:rsidRPr="00C73823">
        <w:rPr>
          <w:color w:val="FF6600"/>
        </w:rPr>
        <w:t xml:space="preserve">What’s more, DEQ is seeking to redesignate Lakeview as a sustainment area in combination with Lakeview’s proposal to join EPA’s PM Advance program. Once instituted, EPA is likely to consider these “buffer” programs under section 107(d)(3)(A) in addition to any NAAQS violation when considering whether to redesignate Lakeview as nonattainment. 42 U.S.C. § 7407(d)(3)(A) (allowing EPA to consider “air quality data, planning and control considerations, or any other air quality related considerations [EPA] deems appropriate”). Thus the buffers themselves will become part of any redesignation decision by EPA. Not only that, but Lakeview’s request for redesignation from the Environmental Quality Commission cites to inaccurate data. </w:t>
      </w:r>
    </w:p>
    <w:p w:rsidR="008151AD" w:rsidRPr="00C73823" w:rsidRDefault="008151AD" w:rsidP="008151AD">
      <w:pPr>
        <w:rPr>
          <w:color w:val="FF6600"/>
        </w:rPr>
      </w:pPr>
    </w:p>
    <w:p w:rsidR="0010590E" w:rsidRPr="00C73823" w:rsidRDefault="008151AD" w:rsidP="0010590E">
      <w:pPr>
        <w:rPr>
          <w:color w:val="FF6600"/>
        </w:rPr>
      </w:pPr>
      <w:r w:rsidRPr="00C73823">
        <w:rPr>
          <w:color w:val="FF6600"/>
        </w:rPr>
        <w:t>DEQ explains that the rule is needed, inter alia, because “[d]esignating Lakeview as a nonattainment area would preclude the community’s active voluntary efforts to meet federal air quality standards under the PM Advance program.” DEQ Notice at 858. DEQ states that the proposed rule would address its claimed need because the “Lakeview community voluntarily participates in EPA’s ‘PM Advance’ program” and “DEQ has determined that the PM Advance plan and designation as a sustainment area would complement each other to address stationary sources within the</w:t>
      </w:r>
      <w:r w:rsidR="000E6624" w:rsidRPr="00C73823">
        <w:rPr>
          <w:color w:val="FF6600"/>
        </w:rPr>
        <w:t xml:space="preserve"> </w:t>
      </w:r>
      <w:r w:rsidR="0010590E" w:rsidRPr="00C73823">
        <w:rPr>
          <w:color w:val="FF6600"/>
        </w:rPr>
        <w:t>Lakeview area.” DEQ Notice at 858. Yet designation as sustainment is not necessary for Lakeview to participate in the PM Advance program.</w:t>
      </w:r>
      <w:r w:rsidR="000E6624" w:rsidRPr="00C73823">
        <w:rPr>
          <w:color w:val="FF6600"/>
        </w:rPr>
        <w:t xml:space="preserve"> </w:t>
      </w:r>
      <w:r w:rsidR="0010590E" w:rsidRPr="00C73823">
        <w:rPr>
          <w:color w:val="FF6600"/>
        </w:rPr>
        <w:t xml:space="preserve">In fact, because Lakeview should properly be designated as nonattainment, it is not eligible for the PM Advance program. EPA describes the PM Advance program as providing “a framework for local actions to reduce PM2.5 and its precursors in attainment and maintenance areas and thus maintain the PM2.5 NAAQS” but “it does not create or remove any statutory or regulatory requirements.” Memorandum from Stephen D. Page, Director of Office of Air Quality </w:t>
      </w:r>
      <w:r w:rsidR="00D17CBE" w:rsidRPr="00C73823">
        <w:rPr>
          <w:color w:val="FF6600"/>
        </w:rPr>
        <w:t xml:space="preserve"> </w:t>
      </w:r>
      <w:r w:rsidR="0010590E" w:rsidRPr="00C73823">
        <w:rPr>
          <w:color w:val="FF6600"/>
        </w:rPr>
        <w:t>Planning and Standards, to Regional Air Division Directors, Regions I-X, “PM Advance –</w:t>
      </w:r>
      <w:r w:rsidR="00D17CBE" w:rsidRPr="00C73823">
        <w:rPr>
          <w:color w:val="FF6600"/>
        </w:rPr>
        <w:t xml:space="preserve"> </w:t>
      </w:r>
      <w:r w:rsidR="0010590E" w:rsidRPr="00C73823">
        <w:rPr>
          <w:color w:val="FF6600"/>
        </w:rPr>
        <w:t>Supporting Local Efforts to Improve Air Quality,” Jan. 17, 2013 (attached as Exhibit 4), page 1.</w:t>
      </w:r>
      <w:r w:rsidR="00D17CBE" w:rsidRPr="00C73823">
        <w:rPr>
          <w:color w:val="FF6600"/>
        </w:rPr>
        <w:t xml:space="preserve"> </w:t>
      </w:r>
      <w:r w:rsidR="0010590E" w:rsidRPr="00C73823">
        <w:rPr>
          <w:color w:val="FF6600"/>
        </w:rPr>
        <w:t xml:space="preserve">The PM Advance program </w:t>
      </w:r>
      <w:r w:rsidR="0010590E" w:rsidRPr="00C73823">
        <w:rPr>
          <w:color w:val="FF6600"/>
        </w:rPr>
        <w:lastRenderedPageBreak/>
        <w:t>is intended to preserve or improve areas at risk of violating the PM2.5</w:t>
      </w:r>
      <w:r w:rsidR="00D17CBE" w:rsidRPr="00C73823">
        <w:rPr>
          <w:color w:val="FF6600"/>
        </w:rPr>
        <w:t xml:space="preserve"> </w:t>
      </w:r>
      <w:r w:rsidR="0010590E" w:rsidRPr="00C73823">
        <w:rPr>
          <w:color w:val="FF6600"/>
        </w:rPr>
        <w:t>NAAQS, not for areas that have and continue to violate the standard. Exhibit 4 at 5 (noting that “[t]he goals of the program are to (1) help attainment areas ensure continued health protection for their citizens, (2) better position areas to remain in attainment, and (3) efficiently direct available resources toward actions to address PM problems quickly”); see also id. at 13 (“It is important to note that signing up for PM Advance does not shield an area from being redesignated to nonattainment if the area eventually violates the PM2.5 NAAQS.”).</w:t>
      </w:r>
    </w:p>
    <w:p w:rsidR="0010590E" w:rsidRPr="00C73823" w:rsidRDefault="0010590E" w:rsidP="0010590E">
      <w:pPr>
        <w:rPr>
          <w:color w:val="FF6600"/>
        </w:rPr>
      </w:pPr>
    </w:p>
    <w:p w:rsidR="0010590E" w:rsidRPr="00C73823" w:rsidRDefault="0010590E" w:rsidP="0010590E">
      <w:pPr>
        <w:rPr>
          <w:color w:val="FF6600"/>
        </w:rPr>
      </w:pPr>
      <w:r w:rsidRPr="00C73823">
        <w:rPr>
          <w:color w:val="FF6600"/>
        </w:rPr>
        <w:t xml:space="preserve">Thus, by proposing to designate Lakeview as a sustainment area under the new state designations, DEQ is undercutting the express Congressional intent as set forth in the CAA. </w:t>
      </w:r>
    </w:p>
    <w:p w:rsidR="0010590E" w:rsidRPr="00C73823" w:rsidRDefault="0010590E" w:rsidP="0010590E">
      <w:pPr>
        <w:rPr>
          <w:color w:val="FF6600"/>
        </w:rPr>
      </w:pPr>
    </w:p>
    <w:p w:rsidR="002E4631" w:rsidRPr="00C73823" w:rsidRDefault="0010590E" w:rsidP="0010590E">
      <w:pPr>
        <w:rPr>
          <w:color w:val="FF6600"/>
        </w:rPr>
      </w:pPr>
      <w:r w:rsidRPr="00C73823">
        <w:rPr>
          <w:color w:val="FF6600"/>
        </w:rPr>
        <w:t>Instead of being designated nonattainment as it should, especially given the most recently available data, the Lakeview airshed will limp along as “sustainment” with absolutely no guarantee or likelihood that the sustainment designation will have any major impact on PM2.5</w:t>
      </w:r>
      <w:r w:rsidR="00D17CBE" w:rsidRPr="00C73823">
        <w:rPr>
          <w:color w:val="FF6600"/>
        </w:rPr>
        <w:t xml:space="preserve"> </w:t>
      </w:r>
      <w:r w:rsidRPr="00C73823">
        <w:rPr>
          <w:color w:val="FF6600"/>
        </w:rPr>
        <w:t xml:space="preserve">ambient concentrations. </w:t>
      </w:r>
    </w:p>
    <w:p w:rsidR="00E82DF1" w:rsidRPr="00C73823" w:rsidRDefault="00E82DF1" w:rsidP="0010590E">
      <w:pPr>
        <w:pBdr>
          <w:bottom w:val="single" w:sz="12" w:space="1" w:color="auto"/>
        </w:pBdr>
        <w:rPr>
          <w:color w:val="FF6600"/>
        </w:rPr>
      </w:pPr>
    </w:p>
    <w:p w:rsidR="00071548" w:rsidRPr="00C73823" w:rsidRDefault="00071548" w:rsidP="00D00E59">
      <w:pPr>
        <w:rPr>
          <w:color w:val="FF6600"/>
        </w:rPr>
      </w:pPr>
    </w:p>
    <w:p w:rsidR="00071548" w:rsidRPr="00C73823" w:rsidRDefault="00071548" w:rsidP="00D00E59">
      <w:pPr>
        <w:rPr>
          <w:color w:val="FF6600"/>
        </w:rPr>
      </w:pPr>
      <w:r w:rsidRPr="00C73823">
        <w:rPr>
          <w:color w:val="FF6600"/>
        </w:rPr>
        <w:t>Associated Oregon Industries:</w:t>
      </w:r>
    </w:p>
    <w:p w:rsidR="00071548" w:rsidRPr="00C73823" w:rsidRDefault="00071548" w:rsidP="00D00E59">
      <w:pPr>
        <w:rPr>
          <w:color w:val="FF6600"/>
        </w:rPr>
      </w:pPr>
    </w:p>
    <w:p w:rsidR="004058CE" w:rsidRPr="00C73823" w:rsidRDefault="004058CE" w:rsidP="004058CE">
      <w:pPr>
        <w:rPr>
          <w:color w:val="FF6600"/>
        </w:rPr>
      </w:pPr>
    </w:p>
    <w:p w:rsidR="004058CE" w:rsidRPr="00C73823" w:rsidRDefault="004058CE" w:rsidP="004058CE">
      <w:pPr>
        <w:rPr>
          <w:color w:val="FF6600"/>
        </w:rPr>
      </w:pPr>
      <w:r w:rsidRPr="00C73823">
        <w:rPr>
          <w:color w:val="FF6600"/>
        </w:rPr>
        <w:t xml:space="preserve">Categorically Insignificant Activities </w:t>
      </w:r>
    </w:p>
    <w:p w:rsidR="004058CE" w:rsidRPr="00C73823" w:rsidRDefault="004058CE" w:rsidP="004058CE">
      <w:pPr>
        <w:rPr>
          <w:color w:val="FF6600"/>
        </w:rPr>
      </w:pPr>
    </w:p>
    <w:p w:rsidR="004058CE" w:rsidRPr="00C73823" w:rsidRDefault="004058CE" w:rsidP="004058CE">
      <w:pPr>
        <w:rPr>
          <w:color w:val="FF6600"/>
        </w:rPr>
      </w:pPr>
      <w:r w:rsidRPr="00C73823">
        <w:rPr>
          <w:color w:val="FF6600"/>
        </w:rPr>
        <w:t xml:space="preserve">As part of the proposed rulemaking, DEQ has proposed significant changes to several of the Categorically Insignificant Activity definitions in OAR 340-200-0020. AOI has significant concerns that the changes impose substantial additional burdens on sources and the Department without any proportionate environmental benefit. We have outlined our concerns about each of these changes below. </w:t>
      </w:r>
    </w:p>
    <w:p w:rsidR="004058CE" w:rsidRPr="00C73823" w:rsidRDefault="004058CE" w:rsidP="004058CE">
      <w:pPr>
        <w:rPr>
          <w:color w:val="FF6600"/>
        </w:rPr>
      </w:pPr>
    </w:p>
    <w:p w:rsidR="004058CE" w:rsidRPr="00C73823" w:rsidRDefault="004058CE" w:rsidP="004058CE">
      <w:pPr>
        <w:rPr>
          <w:color w:val="FF6600"/>
        </w:rPr>
      </w:pPr>
      <w:r w:rsidRPr="00C73823">
        <w:rPr>
          <w:color w:val="FF6600"/>
        </w:rPr>
        <w:t xml:space="preserve"> Natural Gas/Propane Burning Equipment &lt; 2.0 MMBtu/hr </w:t>
      </w:r>
    </w:p>
    <w:p w:rsidR="004058CE" w:rsidRPr="00C73823" w:rsidRDefault="004058CE" w:rsidP="004058CE">
      <w:pPr>
        <w:rPr>
          <w:color w:val="FF6600"/>
        </w:rPr>
      </w:pPr>
    </w:p>
    <w:p w:rsidR="004058CE" w:rsidRPr="00C73823" w:rsidRDefault="004058CE" w:rsidP="004058CE">
      <w:pPr>
        <w:rPr>
          <w:color w:val="FF6600"/>
        </w:rPr>
      </w:pPr>
      <w:r w:rsidRPr="00C73823">
        <w:rPr>
          <w:color w:val="FF6600"/>
        </w:rPr>
        <w:t>The Department’s current definition of “categorically insignificant activity” includes “[n]atural gas and propane burning equipment rated at less than or equal to 2.0 million Btu/hr.” OAR 340-200-0020(20)(d). The current definition correctly appreciates the “insignificance” of emissions from such small natural gas and propane burning equipment. It also reflects the Department’s sound policy judgment that, because emissions from such equipment are insignificant, it would be inappropriately costly (to sources and of the Department’s limited resources) to subject this equipment to the full extent of regulation under the state’s air quality rules.</w:t>
      </w:r>
    </w:p>
    <w:p w:rsidR="004058CE" w:rsidRPr="00C73823" w:rsidRDefault="004058CE" w:rsidP="004058CE">
      <w:pPr>
        <w:rPr>
          <w:color w:val="FF6600"/>
        </w:rPr>
      </w:pPr>
    </w:p>
    <w:p w:rsidR="004058CE" w:rsidRPr="00C73823" w:rsidRDefault="004058CE" w:rsidP="004058CE">
      <w:pPr>
        <w:rPr>
          <w:color w:val="FF6600"/>
        </w:rPr>
      </w:pPr>
      <w:r w:rsidRPr="00C73823">
        <w:rPr>
          <w:color w:val="FF6600"/>
        </w:rPr>
        <w:t xml:space="preserve">The Department has proposed to limit the small natural gas and propane burning equipment qualifying as a categorically insignificant activity. Under the Department’s proposal, only the following equipment would qualify: </w:t>
      </w:r>
    </w:p>
    <w:p w:rsidR="004058CE" w:rsidRPr="00C73823" w:rsidRDefault="004058CE" w:rsidP="004058CE">
      <w:pPr>
        <w:rPr>
          <w:color w:val="FF6600"/>
        </w:rPr>
      </w:pPr>
    </w:p>
    <w:p w:rsidR="004058CE" w:rsidRPr="00C73823" w:rsidRDefault="004058CE" w:rsidP="004058CE">
      <w:pPr>
        <w:rPr>
          <w:color w:val="FF6600"/>
        </w:rPr>
      </w:pPr>
      <w:r w:rsidRPr="00C73823">
        <w:rPr>
          <w:color w:val="FF6600"/>
        </w:rPr>
        <w:t xml:space="preserve">“(d) Natural gas or propane burning equipment; unless one or both of the following conditions is met, then all of this equipment is no longer categorically insignificant; (A) The aggregate emissions are greater than the de minimis level for any regulated pollutant; or (B) Any individual equipment is rated at greater than 2.0 million Btu/hour.” </w:t>
      </w:r>
    </w:p>
    <w:p w:rsidR="004058CE" w:rsidRPr="00C73823" w:rsidRDefault="004058CE" w:rsidP="004058CE">
      <w:pPr>
        <w:rPr>
          <w:color w:val="FF6600"/>
        </w:rPr>
      </w:pPr>
      <w:r w:rsidRPr="00C73823">
        <w:rPr>
          <w:color w:val="FF6600"/>
        </w:rPr>
        <w:t xml:space="preserve">See OAR 340-200-0020(23)(d), as proposed. </w:t>
      </w:r>
    </w:p>
    <w:p w:rsidR="004058CE" w:rsidRPr="00C73823" w:rsidRDefault="004058CE" w:rsidP="004058CE">
      <w:pPr>
        <w:rPr>
          <w:color w:val="FF6600"/>
        </w:rPr>
      </w:pPr>
    </w:p>
    <w:p w:rsidR="004058CE" w:rsidRPr="00C73823" w:rsidRDefault="004058CE" w:rsidP="004058CE">
      <w:pPr>
        <w:rPr>
          <w:color w:val="FF6600"/>
        </w:rPr>
      </w:pPr>
      <w:r w:rsidRPr="00C73823">
        <w:rPr>
          <w:color w:val="FF6600"/>
        </w:rPr>
        <w:t xml:space="preserve">The proposed language would dramatically reduce the universe of small natural gas and propane burning equipment qualifying as categorically insignificant. The language would make all such equipment rated at less than or equal to 2.0 million Btu/hour at a single source subject to regulation (i.e., not categorically insignificant) if one of two triggering conditions is met: (1) that emissions of a regulated pollutant from all such equipment operated by the source exceeds the de minimis level; or (2) if any one piece of natural gas or propane burning equipment at a source exceeds the 2.0 million Btu/hour threshold. </w:t>
      </w:r>
    </w:p>
    <w:p w:rsidR="004058CE" w:rsidRPr="00C73823" w:rsidRDefault="004058CE" w:rsidP="004058CE">
      <w:pPr>
        <w:rPr>
          <w:color w:val="FF6600"/>
        </w:rPr>
      </w:pPr>
    </w:p>
    <w:p w:rsidR="004058CE" w:rsidRPr="00C73823" w:rsidRDefault="004058CE" w:rsidP="004058CE">
      <w:pPr>
        <w:rPr>
          <w:color w:val="FF6600"/>
        </w:rPr>
      </w:pPr>
      <w:r w:rsidRPr="00C73823">
        <w:rPr>
          <w:color w:val="FF6600"/>
        </w:rPr>
        <w:t xml:space="preserve">To illustrate the impact of the Department’s proposed language, consider a hypothetical source that relies upon a single natural-gas fired boiler with a rated design heat input of 40 million Btu/hour in its industrial processes, and also operates a dozen natural-gas fired hot water heaters rated at a fraction of the 2.0 million Btu/hour threshold to heat the dozen different buildings comprising its facility. Under the current definition of categorically insignificant activity, the source’s industrial boiler would not qualify, but the hot water heaters would. By contrast, under the Department’s proposed language, all of the hypothetical source’s hot water heaters would cease to qualify as categorically insignificant due solely to the fact that the source operates a single industrial boiler rated at greater than 2.0 million Btu/hour. As this hypothetical illustrates, the Department’s proposed language will subject (for the first time) a vast array of equipment with truly trivial emissions to regulation, with all attending costs and administrative burdens, but without any proportionate benefit to human health or the environment.The Department has proposed to limit the small natural gas and propane burning equipment qualifying as a categorically insignificant activity. Under the Department’s proposal, only the following equipment would qualify: </w:t>
      </w:r>
    </w:p>
    <w:p w:rsidR="004058CE" w:rsidRPr="00C73823" w:rsidRDefault="004058CE" w:rsidP="004058CE">
      <w:pPr>
        <w:rPr>
          <w:color w:val="FF6600"/>
        </w:rPr>
      </w:pPr>
    </w:p>
    <w:p w:rsidR="004058CE" w:rsidRPr="00C73823" w:rsidRDefault="004058CE" w:rsidP="004058CE">
      <w:pPr>
        <w:rPr>
          <w:color w:val="FF6600"/>
        </w:rPr>
      </w:pPr>
      <w:r w:rsidRPr="00C73823">
        <w:rPr>
          <w:color w:val="FF6600"/>
        </w:rPr>
        <w:t xml:space="preserve">“(d) Natural gas or propane burning equipment; unless one or both of the following conditions is met, then all of this equipment is no longer categorically insignificant; </w:t>
      </w:r>
    </w:p>
    <w:p w:rsidR="004058CE" w:rsidRPr="00C73823" w:rsidRDefault="004058CE" w:rsidP="004058CE">
      <w:pPr>
        <w:rPr>
          <w:color w:val="FF6600"/>
        </w:rPr>
      </w:pPr>
      <w:r w:rsidRPr="00C73823">
        <w:rPr>
          <w:color w:val="FF6600"/>
        </w:rPr>
        <w:t xml:space="preserve">(A) The aggregate emissions are greater than the de minimis level for any regulated pollutant; or (B) Any individual equipment is rated at greater than 2.0 million Btu/hour.” See OAR 340-200-0020(23)(d), as proposed. </w:t>
      </w:r>
    </w:p>
    <w:p w:rsidR="004058CE" w:rsidRPr="00C73823" w:rsidRDefault="004058CE" w:rsidP="004058CE">
      <w:pPr>
        <w:rPr>
          <w:color w:val="FF6600"/>
        </w:rPr>
      </w:pPr>
    </w:p>
    <w:p w:rsidR="004058CE" w:rsidRPr="00C73823" w:rsidRDefault="004058CE" w:rsidP="004058CE">
      <w:pPr>
        <w:rPr>
          <w:color w:val="FF6600"/>
        </w:rPr>
      </w:pPr>
      <w:r w:rsidRPr="00C73823">
        <w:rPr>
          <w:color w:val="FF6600"/>
        </w:rPr>
        <w:t xml:space="preserve">The proposed language would dramatically reduce the universe of small natural gas and propane burning equipment qualifying as categorically insignificant. The language would make all such equipment rated at less than or equal to 2.0 million Btu/hour at a single source subject to regulation (i.e., not categorically insignificant) if one of two triggering conditions is met: (1) that emissions of a regulated pollutant </w:t>
      </w:r>
      <w:r w:rsidRPr="00C73823">
        <w:rPr>
          <w:color w:val="FF6600"/>
        </w:rPr>
        <w:lastRenderedPageBreak/>
        <w:t xml:space="preserve">from all such equipment operated by the source exceeds the de minimis level; or (2) if any one piece of natural gas or propane burning equipment at a source exceeds the 2.0 million Btu/hour threshold. </w:t>
      </w:r>
    </w:p>
    <w:p w:rsidR="004058CE" w:rsidRPr="00C73823" w:rsidRDefault="004058CE" w:rsidP="004058CE">
      <w:pPr>
        <w:rPr>
          <w:color w:val="FF6600"/>
        </w:rPr>
      </w:pPr>
    </w:p>
    <w:p w:rsidR="005164EC" w:rsidRPr="00C73823" w:rsidRDefault="004058CE" w:rsidP="005164EC">
      <w:pPr>
        <w:rPr>
          <w:color w:val="FF6600"/>
        </w:rPr>
      </w:pPr>
      <w:r w:rsidRPr="00C73823">
        <w:rPr>
          <w:color w:val="FF6600"/>
        </w:rPr>
        <w:t>To illustrate the impact of the Department’s proposed language, consider a hypothetical source that relies upon a single natural-gas fired boiler with a rated design heat input of 40 million Btu/hour in its industrial processes, and also operates a dozen natural-gas fired hot water heaters rated at a fraction of the 2.0 million Btu/hour threshold to heat the dozen different buildings comprising its facility. Under the current definition of categorically insignificant activity, the source’s industrial boiler would not qualify, but the hot water heaters would. By contrast, under the Department’s proposed language, all of the hypothetical source’s hot water heaters would cease to qualify as categorically insignificant due solely to the fact that the source operates a single industrial boiler rated at greater than 2.0 million Btu/hour. As this hypothetical illustrates, the Department’s proposed language will subject (for the first time) a vast array of equipment with truly trivial emissions to regulation, with all attending costs and administrative burdens, but without any proportionate benefit to human health or the environment.</w:t>
      </w:r>
      <w:r w:rsidR="00501E4D" w:rsidRPr="00C73823">
        <w:rPr>
          <w:color w:val="FF6600"/>
        </w:rPr>
        <w:t xml:space="preserve"> </w:t>
      </w:r>
      <w:r w:rsidR="005164EC" w:rsidRPr="00C73823">
        <w:rPr>
          <w:color w:val="FF6600"/>
        </w:rPr>
        <w:t xml:space="preserve">stationary source statewide. For these reasons, we request that the Department either retract its revisions to this proposed categorically insignificant activity category or revise OAR 340-210-0205(2) to add a new subsection (f) which states: </w:t>
      </w:r>
    </w:p>
    <w:p w:rsidR="005164EC" w:rsidRPr="00C73823" w:rsidRDefault="005164EC" w:rsidP="005164EC">
      <w:pPr>
        <w:rPr>
          <w:color w:val="FF6600"/>
        </w:rPr>
      </w:pPr>
    </w:p>
    <w:p w:rsidR="005164EC" w:rsidRPr="00C73823" w:rsidRDefault="005164EC" w:rsidP="005164EC">
      <w:pPr>
        <w:rPr>
          <w:color w:val="FF6600"/>
        </w:rPr>
      </w:pPr>
      <w:r w:rsidRPr="00C73823">
        <w:rPr>
          <w:color w:val="FF6600"/>
        </w:rPr>
        <w:t xml:space="preserve"> “(2) OAR 340-210-0205 through 340-210-0250 do not apply to the following sources:” </w:t>
      </w:r>
    </w:p>
    <w:p w:rsidR="005164EC" w:rsidRPr="00C73823" w:rsidRDefault="005164EC" w:rsidP="005164EC">
      <w:pPr>
        <w:rPr>
          <w:color w:val="FF6600"/>
        </w:rPr>
      </w:pPr>
    </w:p>
    <w:p w:rsidR="005164EC" w:rsidRPr="00C73823" w:rsidRDefault="005164EC" w:rsidP="005164EC">
      <w:pPr>
        <w:rPr>
          <w:color w:val="FF6600"/>
        </w:rPr>
      </w:pPr>
      <w:r w:rsidRPr="00C73823">
        <w:rPr>
          <w:color w:val="FF6600"/>
        </w:rPr>
        <w:t xml:space="preserve">* * * </w:t>
      </w:r>
    </w:p>
    <w:p w:rsidR="005164EC" w:rsidRPr="00C73823" w:rsidRDefault="005164EC" w:rsidP="005164EC">
      <w:pPr>
        <w:rPr>
          <w:color w:val="FF6600"/>
        </w:rPr>
      </w:pPr>
    </w:p>
    <w:p w:rsidR="005164EC" w:rsidRPr="00C73823" w:rsidRDefault="005164EC" w:rsidP="005164EC">
      <w:pPr>
        <w:rPr>
          <w:color w:val="FF6600"/>
        </w:rPr>
      </w:pPr>
      <w:r w:rsidRPr="00C73823">
        <w:rPr>
          <w:color w:val="FF6600"/>
        </w:rPr>
        <w:t xml:space="preserve">“(f) Natural gas or propane burning equipment with a heat input less than or equal to 2.0 million Btu/hour.” </w:t>
      </w:r>
    </w:p>
    <w:p w:rsidR="005164EC" w:rsidRPr="00C73823" w:rsidRDefault="005164EC" w:rsidP="005164EC">
      <w:pPr>
        <w:rPr>
          <w:color w:val="FF6600"/>
        </w:rPr>
      </w:pPr>
    </w:p>
    <w:p w:rsidR="005164EC" w:rsidRPr="00C73823" w:rsidRDefault="005164EC" w:rsidP="005164EC">
      <w:pPr>
        <w:rPr>
          <w:color w:val="FF6600"/>
        </w:rPr>
      </w:pPr>
      <w:r w:rsidRPr="00C73823">
        <w:rPr>
          <w:color w:val="FF6600"/>
        </w:rPr>
        <w:t xml:space="preserve"> </w:t>
      </w:r>
    </w:p>
    <w:p w:rsidR="005164EC" w:rsidRPr="00C73823" w:rsidRDefault="005164EC" w:rsidP="005164EC">
      <w:pPr>
        <w:rPr>
          <w:color w:val="FF6600"/>
        </w:rPr>
      </w:pPr>
      <w:r w:rsidRPr="00C73823">
        <w:rPr>
          <w:color w:val="FF6600"/>
        </w:rPr>
        <w:t xml:space="preserve"> Oil/Kerosene/Gasoline Burning Equipment &lt;0.4 MMBtu/hr </w:t>
      </w:r>
    </w:p>
    <w:p w:rsidR="005164EC" w:rsidRPr="00C73823" w:rsidRDefault="005164EC" w:rsidP="005164EC">
      <w:pPr>
        <w:rPr>
          <w:color w:val="FF6600"/>
        </w:rPr>
      </w:pPr>
    </w:p>
    <w:p w:rsidR="005164EC" w:rsidRPr="00C73823" w:rsidRDefault="005164EC" w:rsidP="005164EC">
      <w:pPr>
        <w:rPr>
          <w:color w:val="FF6600"/>
        </w:rPr>
      </w:pPr>
      <w:r w:rsidRPr="00C73823">
        <w:rPr>
          <w:color w:val="FF6600"/>
        </w:rPr>
        <w:t xml:space="preserve">The Department’s changes to the definition of categorically insignificant distillate oil, kerosene or gasoline fuel burning equipment possess similar flaws and raise similar concerns. The Department would restrict the oil burning equipment categorically insignificant category to: </w:t>
      </w:r>
    </w:p>
    <w:p w:rsidR="005164EC" w:rsidRPr="00C73823" w:rsidRDefault="005164EC" w:rsidP="005164EC">
      <w:pPr>
        <w:rPr>
          <w:color w:val="FF6600"/>
        </w:rPr>
      </w:pPr>
    </w:p>
    <w:p w:rsidR="005164EC" w:rsidRPr="00C73823" w:rsidRDefault="005164EC" w:rsidP="005164EC">
      <w:pPr>
        <w:rPr>
          <w:color w:val="FF6600"/>
        </w:rPr>
      </w:pPr>
      <w:r w:rsidRPr="00C73823">
        <w:rPr>
          <w:color w:val="FF6600"/>
        </w:rPr>
        <w:t xml:space="preserve">“(d) Distillate oil, kerosene, or gasoline fuel burning equipment; unless one or </w:t>
      </w:r>
    </w:p>
    <w:p w:rsidR="005164EC" w:rsidRPr="00C73823" w:rsidRDefault="005164EC" w:rsidP="005164EC">
      <w:pPr>
        <w:rPr>
          <w:color w:val="FF6600"/>
        </w:rPr>
      </w:pPr>
      <w:r w:rsidRPr="00C73823">
        <w:rPr>
          <w:color w:val="FF6600"/>
        </w:rPr>
        <w:t xml:space="preserve">both of the following conditions is met, then all of this equipment is no longer categorically insignificant; (A) The aggregate emissions are greater than the de minimis level for any regulated pollutant; or </w:t>
      </w:r>
    </w:p>
    <w:p w:rsidR="005164EC" w:rsidRPr="00C73823" w:rsidRDefault="005164EC" w:rsidP="005164EC">
      <w:pPr>
        <w:rPr>
          <w:color w:val="FF6600"/>
        </w:rPr>
      </w:pPr>
      <w:r w:rsidRPr="00C73823">
        <w:rPr>
          <w:color w:val="FF6600"/>
        </w:rPr>
        <w:t xml:space="preserve">(B) Any individual equipment is rated at greater than 0.4 million Btu/hour.” See OAR 340-200-0020(23)(c), as proposed. </w:t>
      </w:r>
    </w:p>
    <w:p w:rsidR="005164EC" w:rsidRPr="00C73823" w:rsidRDefault="005164EC" w:rsidP="005164EC">
      <w:pPr>
        <w:rPr>
          <w:color w:val="FF6600"/>
        </w:rPr>
      </w:pPr>
    </w:p>
    <w:p w:rsidR="005164EC" w:rsidRPr="00C73823" w:rsidRDefault="005164EC" w:rsidP="005164EC">
      <w:pPr>
        <w:rPr>
          <w:color w:val="FF6600"/>
        </w:rPr>
      </w:pPr>
      <w:r w:rsidRPr="00C73823">
        <w:rPr>
          <w:color w:val="FF6600"/>
        </w:rPr>
        <w:lastRenderedPageBreak/>
        <w:t xml:space="preserve">These changes will have real impacts on regulated sources. For example, the fact that a source had even a single oil-fired unit rated at greater than 0.4 million Btu/hour would mean that none of the de minimis oil-fired comfort heaters (rated well below 0.4 million Btu/hour) that source may also operate would qualify as categorically insignificant. That same source would need to obtain construction approvals before installing or modifying any of its oil-fired combustion devices, irrespective of those units’ emissions. In short, these changes impose even more costs and administrative burdens on sources, again without any discernible benefit to human health or the environment. </w:t>
      </w:r>
    </w:p>
    <w:p w:rsidR="005164EC" w:rsidRPr="00C73823" w:rsidRDefault="005164EC" w:rsidP="005164EC">
      <w:pPr>
        <w:rPr>
          <w:color w:val="FF6600"/>
        </w:rPr>
      </w:pPr>
    </w:p>
    <w:p w:rsidR="005164EC" w:rsidRPr="00C73823" w:rsidRDefault="005164EC" w:rsidP="005164EC">
      <w:pPr>
        <w:rPr>
          <w:color w:val="FF6600"/>
        </w:rPr>
      </w:pPr>
      <w:r w:rsidRPr="00C73823">
        <w:rPr>
          <w:color w:val="FF6600"/>
        </w:rPr>
        <w:t xml:space="preserve">At the risk of seeming repetitive, AOI requests that the Department reconsider its approach to regulating emissions from distillate oil, kerosene or gasoline fuel-burning equipment rated at less than or equal to 0.4 million Btu/hour. Specifically, we request that the Department either remove its proposed revisions to this categorically insignificant activity category or, at the very least, revise OAR 340-210-0205(2) to make clear that construction approval is not required for insignificant distillate oil, kerosene or gasoline fuel-burning equipment. To that end, the Department could add a new subsection (g) which states: </w:t>
      </w:r>
    </w:p>
    <w:p w:rsidR="005164EC" w:rsidRPr="00C73823" w:rsidRDefault="005164EC" w:rsidP="005164EC">
      <w:pPr>
        <w:rPr>
          <w:color w:val="FF6600"/>
        </w:rPr>
      </w:pPr>
    </w:p>
    <w:p w:rsidR="005164EC" w:rsidRPr="00C73823" w:rsidRDefault="005164EC" w:rsidP="005164EC">
      <w:pPr>
        <w:rPr>
          <w:color w:val="FF6600"/>
        </w:rPr>
      </w:pPr>
      <w:r w:rsidRPr="00C73823">
        <w:rPr>
          <w:color w:val="FF6600"/>
        </w:rPr>
        <w:t>“(2) OAR 340-210-0205 through 340-210-0250 do not apply to the following sources:”</w:t>
      </w:r>
    </w:p>
    <w:p w:rsidR="005164EC" w:rsidRPr="00C73823" w:rsidRDefault="005164EC" w:rsidP="005164EC">
      <w:pPr>
        <w:rPr>
          <w:color w:val="FF6600"/>
        </w:rPr>
      </w:pPr>
    </w:p>
    <w:p w:rsidR="005164EC" w:rsidRPr="00C73823" w:rsidRDefault="005164EC" w:rsidP="005164EC">
      <w:pPr>
        <w:rPr>
          <w:color w:val="FF6600"/>
        </w:rPr>
      </w:pPr>
      <w:r w:rsidRPr="00C73823">
        <w:rPr>
          <w:color w:val="FF6600"/>
        </w:rPr>
        <w:t xml:space="preserve">* * * </w:t>
      </w:r>
    </w:p>
    <w:p w:rsidR="005164EC" w:rsidRPr="00C73823" w:rsidRDefault="005164EC" w:rsidP="005164EC">
      <w:pPr>
        <w:rPr>
          <w:color w:val="FF6600"/>
        </w:rPr>
      </w:pPr>
    </w:p>
    <w:p w:rsidR="005164EC" w:rsidRPr="00C73823" w:rsidRDefault="005164EC" w:rsidP="005164EC">
      <w:pPr>
        <w:rPr>
          <w:color w:val="FF6600"/>
        </w:rPr>
      </w:pPr>
      <w:r w:rsidRPr="00C73823">
        <w:rPr>
          <w:color w:val="FF6600"/>
        </w:rPr>
        <w:t xml:space="preserve">“(g) Distillate oil, kerosene, or gasoline fuel burning equipment rated at less than or equal to 0.4 million Btu/hour.” </w:t>
      </w:r>
    </w:p>
    <w:p w:rsidR="005164EC" w:rsidRPr="00C73823" w:rsidRDefault="005164EC" w:rsidP="005164EC">
      <w:pPr>
        <w:rPr>
          <w:color w:val="FF6600"/>
        </w:rPr>
      </w:pPr>
    </w:p>
    <w:p w:rsidR="008F0795" w:rsidRPr="00C73823" w:rsidRDefault="005164EC" w:rsidP="008F0795">
      <w:pPr>
        <w:rPr>
          <w:color w:val="FF6600"/>
        </w:rPr>
      </w:pPr>
      <w:r w:rsidRPr="00C73823">
        <w:rPr>
          <w:color w:val="FF6600"/>
        </w:rPr>
        <w:t xml:space="preserve"> </w:t>
      </w:r>
    </w:p>
    <w:p w:rsidR="00D81844" w:rsidRPr="00C73823" w:rsidRDefault="00D81844" w:rsidP="00D81844">
      <w:pPr>
        <w:rPr>
          <w:color w:val="FF6600"/>
        </w:rPr>
      </w:pPr>
    </w:p>
    <w:p w:rsidR="00D81844" w:rsidRPr="00C73823" w:rsidRDefault="00D81844" w:rsidP="00D81844">
      <w:pPr>
        <w:rPr>
          <w:color w:val="FF6600"/>
        </w:rPr>
      </w:pPr>
    </w:p>
    <w:p w:rsidR="00376688" w:rsidRPr="00C73823" w:rsidRDefault="00D81844" w:rsidP="00D81844">
      <w:pPr>
        <w:rPr>
          <w:color w:val="FF6600"/>
        </w:rPr>
      </w:pPr>
      <w:r w:rsidRPr="00C73823">
        <w:rPr>
          <w:color w:val="FF6600"/>
        </w:rPr>
        <w:t xml:space="preserve"> Oil/Water Separators Part of System Handling ≥400,000 Gallons/yr </w:t>
      </w:r>
    </w:p>
    <w:p w:rsidR="00376688" w:rsidRPr="00C73823" w:rsidRDefault="00376688" w:rsidP="00D81844">
      <w:pPr>
        <w:rPr>
          <w:color w:val="FF6600"/>
        </w:rPr>
      </w:pPr>
    </w:p>
    <w:p w:rsidR="00D81844" w:rsidRPr="00C73823" w:rsidRDefault="00D81844" w:rsidP="00D81844">
      <w:pPr>
        <w:rPr>
          <w:color w:val="FF6600"/>
        </w:rPr>
      </w:pPr>
      <w:r w:rsidRPr="00C73823">
        <w:rPr>
          <w:color w:val="FF6600"/>
        </w:rPr>
        <w:t>Without explanation, the Department has proposed to redefine the existing categorically insignificant activity category corresponding to “oil/water separators in effluent treatment systems” so as to limit that category to “[u]controlled oil/water separators in effluent treatment systems with a throughput of less than 400,000 gallons per year.” See OAR 340-200-0020(23)(bbb), as proposed.</w:t>
      </w:r>
    </w:p>
    <w:p w:rsidR="00D12D77" w:rsidRPr="00C73823" w:rsidRDefault="00D12D77" w:rsidP="00D81844">
      <w:pPr>
        <w:rPr>
          <w:color w:val="FF6600"/>
        </w:rPr>
      </w:pPr>
    </w:p>
    <w:p w:rsidR="00D12D77" w:rsidRPr="00C73823" w:rsidRDefault="00D12D77" w:rsidP="00D12D77">
      <w:pPr>
        <w:rPr>
          <w:color w:val="FF6600"/>
        </w:rPr>
      </w:pPr>
      <w:r w:rsidRPr="00C73823">
        <w:rPr>
          <w:color w:val="FF6600"/>
        </w:rPr>
        <w:t xml:space="preserve">The Department’s proposal would cause numerous oil/water separators used by sources to remove petroleum oils from stormwater or wastewater to lose their status as categorically insignificant units. The proposed threshold, of 400,000 gallons per year, would apply to effluent treatment systems treating less than 1 gallon per minute, irrespective of air emissions from such systems. These systems are typically designed to prevent oil and other volatile liquids from reaching stormwater or wastewater outfalls. These systems have the potential to emit volatile organic compounds (VOC), but at trivially low levels due to the low vapor </w:t>
      </w:r>
      <w:r w:rsidRPr="00C73823">
        <w:rPr>
          <w:color w:val="FF6600"/>
        </w:rPr>
        <w:lastRenderedPageBreak/>
        <w:t xml:space="preserve">pressure of oil. Under the Department’s proposal, sources with qualifying systems would -- despite the lack of VOC emissions from those units -- be required to account for any VOC emissions from those systems in their PSEL calculations and to seek construction approval before installing or modifying any qualifying oil/water separator. </w:t>
      </w:r>
    </w:p>
    <w:p w:rsidR="00D12D77" w:rsidRPr="00C73823" w:rsidRDefault="00D12D77" w:rsidP="00D12D77">
      <w:pPr>
        <w:rPr>
          <w:color w:val="FF6600"/>
        </w:rPr>
      </w:pPr>
    </w:p>
    <w:p w:rsidR="00D12D77" w:rsidRPr="00C73823" w:rsidRDefault="00D12D77" w:rsidP="00D12D77">
      <w:pPr>
        <w:rPr>
          <w:color w:val="FF6600"/>
        </w:rPr>
      </w:pPr>
      <w:r w:rsidRPr="00C73823">
        <w:rPr>
          <w:color w:val="FF6600"/>
        </w:rPr>
        <w:t>The Department did not intend these results. As indicated, air emissions from typical oil/water separator effluent treatment systems (e.g., those used in parking lots to treat stormwater or to separate floating oil from a facility’s wastewater prior to discharge) are negligible (far below the Department’s de minimis levels for all regulated air pollutants) and limited to the trace volatile organic compounds (VOC) that evaporate off the oil within the system at a given time to the ambient air. While it’s apparent this revision appears to lack any environmental benefit, it would impose significant cost and administrative burden.</w:t>
      </w:r>
    </w:p>
    <w:p w:rsidR="00D12D77" w:rsidRPr="00C73823" w:rsidRDefault="00D12D77" w:rsidP="00D12D77">
      <w:pPr>
        <w:rPr>
          <w:color w:val="FF6600"/>
        </w:rPr>
      </w:pPr>
    </w:p>
    <w:p w:rsidR="00D12D77" w:rsidRPr="00C73823" w:rsidRDefault="00D12D77" w:rsidP="00D12D77">
      <w:pPr>
        <w:rPr>
          <w:color w:val="FF6600"/>
        </w:rPr>
      </w:pPr>
      <w:r w:rsidRPr="00C73823">
        <w:rPr>
          <w:color w:val="FF6600"/>
        </w:rPr>
        <w:t xml:space="preserve">For these reasons, we request that the Department abandon its proposal to revise the oil/water separator categorically insignificant activity at OAR 340-200-0020(23)(bbb). To the extent the Department actually has identified a potential emissions problem related to oil/water separators, we would appreciate the opportunity to discuss that problem with the Department and to help it to identify pragmatic solutions. </w:t>
      </w:r>
    </w:p>
    <w:p w:rsidR="00D12D77" w:rsidRPr="00C73823" w:rsidRDefault="00D12D77" w:rsidP="00D12D77">
      <w:pPr>
        <w:rPr>
          <w:color w:val="FF6600"/>
        </w:rPr>
      </w:pPr>
    </w:p>
    <w:p w:rsidR="00D12D77" w:rsidRPr="00C73823" w:rsidRDefault="00D12D77" w:rsidP="00D12D77">
      <w:pPr>
        <w:rPr>
          <w:color w:val="FF6600"/>
        </w:rPr>
      </w:pPr>
      <w:r w:rsidRPr="00C73823">
        <w:rPr>
          <w:color w:val="FF6600"/>
        </w:rPr>
        <w:t xml:space="preserve">Revisions to Opacity/Grain Loading Requirements (Division 208) </w:t>
      </w:r>
    </w:p>
    <w:p w:rsidR="00D12D77" w:rsidRPr="00C73823" w:rsidRDefault="00D12D77" w:rsidP="00D12D77">
      <w:pPr>
        <w:rPr>
          <w:color w:val="FF6600"/>
        </w:rPr>
      </w:pPr>
    </w:p>
    <w:p w:rsidR="00D12D77" w:rsidRPr="00C73823" w:rsidRDefault="00D12D77" w:rsidP="00D12D77">
      <w:pPr>
        <w:rPr>
          <w:color w:val="FF6600"/>
        </w:rPr>
      </w:pPr>
      <w:r w:rsidRPr="00C73823">
        <w:rPr>
          <w:color w:val="FF6600"/>
        </w:rPr>
        <w:t xml:space="preserve">Elimination of 30 Second Opacity Rule (340-208-0600) </w:t>
      </w:r>
    </w:p>
    <w:p w:rsidR="00D12D77" w:rsidRPr="00C73823" w:rsidRDefault="00D12D77" w:rsidP="00D12D77">
      <w:pPr>
        <w:rPr>
          <w:color w:val="FF6600"/>
        </w:rPr>
      </w:pPr>
    </w:p>
    <w:p w:rsidR="00D12D77" w:rsidRPr="00C73823" w:rsidRDefault="00D12D77" w:rsidP="00D12D77">
      <w:pPr>
        <w:rPr>
          <w:color w:val="FF6600"/>
        </w:rPr>
      </w:pPr>
      <w:r w:rsidRPr="00C73823">
        <w:rPr>
          <w:color w:val="FF6600"/>
        </w:rPr>
        <w:t xml:space="preserve">AOI supports DEQ’s proposal to remove OAR 340-208-0600. The 30 second opacity rule applicable in the Portland Metropolitan area serves no health related function, is not part of the SIP and is a prime example of a regulation that should be deleted so as to streamline the Oregon program. AOI endorses DEQ’s proposal to remove this rule. </w:t>
      </w:r>
    </w:p>
    <w:p w:rsidR="00D12D77" w:rsidRPr="00C73823" w:rsidRDefault="00D12D77" w:rsidP="00D12D77">
      <w:pPr>
        <w:rPr>
          <w:color w:val="FF6600"/>
        </w:rPr>
      </w:pPr>
    </w:p>
    <w:p w:rsidR="00D12D77" w:rsidRPr="00C73823" w:rsidRDefault="00D12D77" w:rsidP="00D12D77">
      <w:pPr>
        <w:rPr>
          <w:color w:val="FF6600"/>
        </w:rPr>
      </w:pPr>
      <w:r w:rsidRPr="00C73823">
        <w:rPr>
          <w:color w:val="FF6600"/>
        </w:rPr>
        <w:t xml:space="preserve">Fugitive Dust Requirements (340-208-0210) </w:t>
      </w:r>
    </w:p>
    <w:p w:rsidR="00D12D77" w:rsidRPr="00C73823" w:rsidRDefault="00D12D77" w:rsidP="00D12D77">
      <w:pPr>
        <w:rPr>
          <w:color w:val="FF6600"/>
        </w:rPr>
      </w:pPr>
    </w:p>
    <w:p w:rsidR="00D12D77" w:rsidRPr="00C73823" w:rsidRDefault="00D12D77" w:rsidP="00D12D77">
      <w:pPr>
        <w:rPr>
          <w:color w:val="FF6600"/>
        </w:rPr>
      </w:pPr>
      <w:r w:rsidRPr="00C73823">
        <w:rPr>
          <w:color w:val="FF6600"/>
        </w:rPr>
        <w:t>AOI supports DEQ’s proposal to remove the 20% opacity limit currently applicable to fugitive dust. AOI believes that it is often impractical to obtain an accurate opacity reading on a fugitive dust plume. For this reason, it makes sense to eliminate opacity limits for fugitive dust.</w:t>
      </w:r>
    </w:p>
    <w:p w:rsidR="00D12D77" w:rsidRPr="00C73823" w:rsidRDefault="00D12D77" w:rsidP="00D12D77">
      <w:pPr>
        <w:rPr>
          <w:color w:val="FF6600"/>
        </w:rPr>
      </w:pPr>
    </w:p>
    <w:p w:rsidR="00F863B8" w:rsidRPr="00C73823" w:rsidRDefault="00D12D77" w:rsidP="00D12D77">
      <w:pPr>
        <w:rPr>
          <w:color w:val="FF6600"/>
        </w:rPr>
      </w:pPr>
      <w:r w:rsidRPr="00C73823">
        <w:rPr>
          <w:color w:val="FF6600"/>
        </w:rPr>
        <w:t xml:space="preserve">AOI is concerned about the expansion of the fugitive dust requirements in OAR 340-208-0210. </w:t>
      </w:r>
    </w:p>
    <w:p w:rsidR="00F863B8" w:rsidRPr="00C73823" w:rsidRDefault="00F863B8" w:rsidP="00D12D77">
      <w:pPr>
        <w:rPr>
          <w:color w:val="FF6600"/>
        </w:rPr>
      </w:pPr>
    </w:p>
    <w:p w:rsidR="00D12D77" w:rsidRPr="00C73823" w:rsidRDefault="00D12D77" w:rsidP="00D12D77">
      <w:pPr>
        <w:rPr>
          <w:color w:val="FF6600"/>
        </w:rPr>
      </w:pPr>
      <w:r w:rsidRPr="00C73823">
        <w:rPr>
          <w:color w:val="FF6600"/>
        </w:rPr>
        <w:t xml:space="preserve">The Department is proposing two substantial changes to this regulation. First, OAR 340-208-0210 currently only applies in Special Control Areas and areas where the Department has determined that a nuisance exists and that control measures are practicable. DEQ is proposing to expand the scope of this rule statewide. We </w:t>
      </w:r>
      <w:r w:rsidRPr="00C73823">
        <w:rPr>
          <w:color w:val="FF6600"/>
        </w:rPr>
        <w:lastRenderedPageBreak/>
        <w:t xml:space="preserve">recognize that the Department may be trying to balance the deletion of the opacity limits for fugitive emissions by expanding OAR 340-208-0210. However, we are concerned about how this is proposed to be done. First, the Department is proposing to essentially prohibit fugitive emissions that are visible (i.e., have an opacity of 5 percent or more) for more than 18 seconds in any 6-minute period. This aspect of the changes makes the new rules significantly more stringent than the current requirement that a source maintain opacity at less than 20 percent. Equally troublesome is the proposed language in OAR 340-208-0210(3) that would require sources where barely visible fugitive emissions existed for more than 18 seconds to develop a fugitive emissions control plan that “will prevent any visible emissions from leaving the property of the source for more than 18 seconds in a six-minute period…” (emphasis added). Thus a source currently could have an average of 19 percent opacity for its fugitive emissions and be in compliance with all requirements. However, under the new rules that same source would be required to eliminate any visible emissions and so would be required to reduce opacity to less than 5 percent that was effective 95 percent of the time. This is a significant tightening of the standard that may be convenient for some sources, but ruinous for others. For that reason we strongly object to the proposed revisions to OAR 340-208-0210. </w:t>
      </w:r>
    </w:p>
    <w:p w:rsidR="00D12D77" w:rsidRPr="00C73823" w:rsidRDefault="00D12D77" w:rsidP="00D12D77">
      <w:pPr>
        <w:rPr>
          <w:color w:val="FF6600"/>
        </w:rPr>
      </w:pPr>
    </w:p>
    <w:p w:rsidR="00D12D77" w:rsidRPr="00C73823" w:rsidRDefault="00D12D77" w:rsidP="00D12D77">
      <w:pPr>
        <w:rPr>
          <w:color w:val="FF6600"/>
        </w:rPr>
      </w:pPr>
      <w:r w:rsidRPr="00C73823">
        <w:rPr>
          <w:color w:val="FF6600"/>
        </w:rPr>
        <w:t xml:space="preserve">AOI recognizes that the Department wants to ensure that there is some means of addressing fugitive emissions if they prove to be a nuisance. We suggest that this is exactly what the nuisance rules are intended to achieve and that there is no need to essentially prohibit all fugitive emissions statewide in order to have an easier to implement program for the few problem sources that have arisen in the past few decades. If the Department insists on pursuing the approach proposed in OAR 340-208-0210(3) then, at the very least, a source should be allowed the option to demonstrate that it does not exceed 20 percent opacity as an alternative to having to reduce fugitive emissions to the sub-visible range for 95 percent of the time. This approach is consistent with that taken in many Title V permits currently and should be workable in the current rule. </w:t>
      </w:r>
    </w:p>
    <w:p w:rsidR="00D12D77" w:rsidRPr="00C73823" w:rsidRDefault="00D12D77" w:rsidP="00D12D77">
      <w:pPr>
        <w:rPr>
          <w:color w:val="FF6600"/>
        </w:rPr>
      </w:pPr>
    </w:p>
    <w:p w:rsidR="00D12D77" w:rsidRPr="00C73823" w:rsidRDefault="00D12D77" w:rsidP="00D12D77">
      <w:pPr>
        <w:rPr>
          <w:color w:val="FF6600"/>
        </w:rPr>
      </w:pPr>
      <w:r w:rsidRPr="00C73823">
        <w:rPr>
          <w:color w:val="FF6600"/>
        </w:rPr>
        <w:t xml:space="preserve">250 Micron Rule (OAR 340-208-0450) </w:t>
      </w:r>
    </w:p>
    <w:p w:rsidR="00D12D77" w:rsidRPr="00C73823" w:rsidRDefault="00D12D77" w:rsidP="00D12D77">
      <w:pPr>
        <w:rPr>
          <w:color w:val="FF6600"/>
        </w:rPr>
      </w:pPr>
    </w:p>
    <w:p w:rsidR="00D12D77" w:rsidRPr="00C73823" w:rsidRDefault="00D12D77" w:rsidP="00D12D77">
      <w:pPr>
        <w:rPr>
          <w:color w:val="FF6600"/>
        </w:rPr>
      </w:pPr>
      <w:r w:rsidRPr="00C73823">
        <w:rPr>
          <w:color w:val="FF6600"/>
        </w:rPr>
        <w:t xml:space="preserve">AOI is concerned that the Department is proposing to modify OAR 340-208-0450, the prohibition on depositing particulate larger than 250 microns on the property of another, in such a manner to undo the revisions that AOI and the Department worked so hard to develop a dozen years ago. First and foremost, we believe that the Department should simply eliminate OAR 340-208-0450. The rule is not part of the SIP and is purely and simply a nuisance rule for which there is no need. As rules focus on smaller and smaller particulate as the cause of all health concerns, we believe that it is archaic for the Department to cling to a rule that prohibits particulate of a size that is not respirable and poses no health threat. If this rule is purely aimed at nuisance particulate, then it is duplicative of OAR 340-208-0300. If the Department’s goal is to streamline the rules by eliminating out-of-date requirements that serve little purpose, then OAR 340-208-0450 should be </w:t>
      </w:r>
      <w:r w:rsidRPr="00C73823">
        <w:rPr>
          <w:color w:val="FF6600"/>
        </w:rPr>
        <w:lastRenderedPageBreak/>
        <w:t xml:space="preserve">eliminated. If OAR 340-208-0450 is retained, then it should not be changed. In 2001, the Department worked with AOI to address the issue of how Title V sources can certify compliance with OAR 340-208-0450. As the Department acknowledged, a single wood chip bouncing across a property line and onto a public road could cause a source to have to certify noncompliance. </w:t>
      </w:r>
    </w:p>
    <w:p w:rsidR="00D12D77" w:rsidRPr="00C73823" w:rsidRDefault="00D12D77" w:rsidP="00D12D77">
      <w:pPr>
        <w:rPr>
          <w:color w:val="FF6600"/>
        </w:rPr>
      </w:pPr>
    </w:p>
    <w:p w:rsidR="00D12D77" w:rsidRPr="00C73823" w:rsidRDefault="00D12D77" w:rsidP="00D12D77">
      <w:pPr>
        <w:rPr>
          <w:color w:val="FF6600"/>
        </w:rPr>
      </w:pPr>
      <w:r w:rsidRPr="00C73823">
        <w:rPr>
          <w:color w:val="FF6600"/>
        </w:rPr>
        <w:t>Even worse, that source might not even know that this single chip had sloughed off a pile or fallen off a roof and ended up on the road. In an effort to avoid the compliance issue associated with failing to accurately certify compliance, and in recognition that the sole purpose of the rule is to give DEQ one more tool in addition to OAR 340-208-0300 to combat nuisance, the Department agreed to change the rule to say that there was only noncompliance if the Department informed the source that a nuisance was being created. The proposed language completely reverses that agreed upon approach and returns the rule to its unworkable form of 12 years ago. In addition, the changes increase the stringency as the current language includes the concept of duration and quantity--language that the Department proposes to delete.</w:t>
      </w:r>
    </w:p>
    <w:p w:rsidR="006B1E70" w:rsidRPr="00C73823" w:rsidRDefault="006B1E70" w:rsidP="00D12D77">
      <w:pPr>
        <w:rPr>
          <w:color w:val="FF6600"/>
        </w:rPr>
      </w:pPr>
    </w:p>
    <w:p w:rsidR="006B1E70" w:rsidRPr="00C73823" w:rsidRDefault="006B1E70" w:rsidP="006B1E70">
      <w:pPr>
        <w:rPr>
          <w:color w:val="FF6600"/>
        </w:rPr>
      </w:pPr>
      <w:r w:rsidRPr="00C73823">
        <w:rPr>
          <w:color w:val="FF6600"/>
        </w:rPr>
        <w:t xml:space="preserve">The best course of action is for the Department to take this opportunity to delete the duplicative OAR 340-208-0450 in its entirety. If the rule is retained, we consider it to be bad faith on DEQ’s part to change this rule to eliminate the carefully negotiated improvements from 12 years ago. That sort of action indicates no respect for the issue identified and acknowledged by the Department in 2001 and no respect for the process in which AOI engaged constructively with the Department. </w:t>
      </w:r>
    </w:p>
    <w:p w:rsidR="006B1E70" w:rsidRPr="00C73823" w:rsidRDefault="006B1E70" w:rsidP="006B1E70">
      <w:pPr>
        <w:rPr>
          <w:color w:val="FF6600"/>
        </w:rPr>
      </w:pPr>
    </w:p>
    <w:p w:rsidR="006B1E70" w:rsidRPr="00C73823" w:rsidRDefault="006B1E70" w:rsidP="006B1E70">
      <w:pPr>
        <w:rPr>
          <w:color w:val="FF6600"/>
        </w:rPr>
      </w:pPr>
      <w:r w:rsidRPr="00C73823">
        <w:rPr>
          <w:color w:val="FF6600"/>
        </w:rPr>
        <w:t xml:space="preserve">Rebuttal to Public Comments (OAR 340-209-0080) </w:t>
      </w:r>
    </w:p>
    <w:p w:rsidR="006B1E70" w:rsidRPr="00C73823" w:rsidRDefault="006B1E70" w:rsidP="006B1E70">
      <w:pPr>
        <w:rPr>
          <w:color w:val="FF6600"/>
        </w:rPr>
      </w:pPr>
    </w:p>
    <w:p w:rsidR="006B1E70" w:rsidRPr="00C73823" w:rsidRDefault="006B1E70" w:rsidP="006B1E70">
      <w:pPr>
        <w:rPr>
          <w:color w:val="FF6600"/>
        </w:rPr>
      </w:pPr>
      <w:r w:rsidRPr="00C73823">
        <w:rPr>
          <w:color w:val="FF6600"/>
        </w:rPr>
        <w:t xml:space="preserve">AOI requests that the Department use this opportunity to make a necessary adjustment to OAR 340-209-0080(3). This rule currently provides the permittee 10 working days from the close of the public comment period in which to provide a written response to comments submitted by the public. However, the Department has repeatedly been unable to provide copies of the comments submitted for days and, in some cases, weeks after the close of the public comment period. This eliminates the permittee’s ability to meaningfully respond to comments submitted to the Department within a reasonable time. This rule should be revised to require that the permittee be provided a copy of all comments submitted at the hearing (if one is held) before the close of the comment period and provided copies of all written comments no later than 2 working days after the close of the comment period. Absent such a requirement, the Department will continue its practice on not considering it a priority to provide permittees copies of comments. In addition, the 10 working day response period should not commence until all comments are provided to the permittee. We want to stress how important both of these revisions are, and not just the latter one. Sources are typically in need of permits as soon as possible. By not providing copies of comments for weeks after the close of the public comment period, the Department forces the source to either forego its right of rebuttal or postpose issuance of its permit by several more weeks. Until specific </w:t>
      </w:r>
      <w:r w:rsidRPr="00C73823">
        <w:rPr>
          <w:color w:val="FF6600"/>
        </w:rPr>
        <w:lastRenderedPageBreak/>
        <w:t xml:space="preserve">requirements applicable to the Department are added to its rules, DEQ will continue to not make it a priority to provide written comments to a source in a timely manner. </w:t>
      </w:r>
    </w:p>
    <w:p w:rsidR="006B1E70" w:rsidRPr="00C73823" w:rsidRDefault="006B1E70" w:rsidP="006B1E70">
      <w:pPr>
        <w:rPr>
          <w:color w:val="FF6600"/>
        </w:rPr>
      </w:pPr>
    </w:p>
    <w:p w:rsidR="006B1E70" w:rsidRPr="00C73823" w:rsidRDefault="006B1E70" w:rsidP="006B1E70">
      <w:pPr>
        <w:rPr>
          <w:color w:val="FF6600"/>
        </w:rPr>
      </w:pPr>
      <w:r w:rsidRPr="00C73823">
        <w:rPr>
          <w:color w:val="FF6600"/>
        </w:rPr>
        <w:t xml:space="preserve">Clarification of Notice of Construction Requirements (Division 210) </w:t>
      </w:r>
    </w:p>
    <w:p w:rsidR="006B1E70" w:rsidRPr="00C73823" w:rsidRDefault="006B1E70" w:rsidP="006B1E70">
      <w:pPr>
        <w:rPr>
          <w:color w:val="FF6600"/>
        </w:rPr>
      </w:pPr>
    </w:p>
    <w:p w:rsidR="006B1E70" w:rsidRPr="00C73823" w:rsidRDefault="006B1E70" w:rsidP="006B1E70">
      <w:pPr>
        <w:rPr>
          <w:color w:val="FF6600"/>
        </w:rPr>
      </w:pPr>
      <w:r w:rsidRPr="00C73823">
        <w:rPr>
          <w:color w:val="FF6600"/>
        </w:rPr>
        <w:t xml:space="preserve">AOI requests that the Department revise OAR 340-210-0205 to clarify these requirements and not expand the program as proposed. AOI sees several changes as necessary for OAR 340-210-0205. First and foremost, the Notice of Construction (NOC) program has always applied to stationary sources. The Department does not have jurisdiction to require that nonroad engines, for example, obtain NOCs unless and until those nonroad engines remain stationary long enough to convert to being stationary sources. Therefore, we believe that it is inappropriate for the Department to remove the limitation in OAR 340-210-0205(1)(a) (as well as elsewhere within the division) that restricts the NOC program to stationary sources. </w:t>
      </w:r>
    </w:p>
    <w:p w:rsidR="006B1E70" w:rsidRPr="00C73823" w:rsidRDefault="006B1E70" w:rsidP="006B1E70">
      <w:pPr>
        <w:rPr>
          <w:color w:val="FF6600"/>
        </w:rPr>
      </w:pPr>
    </w:p>
    <w:p w:rsidR="006B1E70" w:rsidRPr="00C73823" w:rsidRDefault="006B1E70" w:rsidP="006B1E70">
      <w:pPr>
        <w:rPr>
          <w:color w:val="FF6600"/>
        </w:rPr>
      </w:pPr>
      <w:r w:rsidRPr="00C73823">
        <w:rPr>
          <w:color w:val="FF6600"/>
        </w:rPr>
        <w:t>AOI does not object to the inclusion of an exemption within OAR 340-210-0205(2) that excludes portable sources from the NOC requirements. However, we have been unable to locate a definition of “portable source” anywhere within DEQ’s regulations (existing or proposed). Consistent with our prior comment, portable, mobile and nonroad sources should all be excluded unless and until they cross over into being stationary sources.</w:t>
      </w:r>
    </w:p>
    <w:p w:rsidR="006B1E70" w:rsidRPr="00C73823" w:rsidRDefault="006B1E70" w:rsidP="006B1E70">
      <w:pPr>
        <w:rPr>
          <w:color w:val="FF6600"/>
        </w:rPr>
      </w:pPr>
    </w:p>
    <w:p w:rsidR="006B1E70" w:rsidRPr="00C73823" w:rsidRDefault="006B1E70" w:rsidP="006B1E70">
      <w:pPr>
        <w:rPr>
          <w:color w:val="FF6600"/>
        </w:rPr>
      </w:pPr>
      <w:r w:rsidRPr="00C73823">
        <w:rPr>
          <w:color w:val="FF6600"/>
        </w:rPr>
        <w:t>OAR 340-210-0205(2)(e) should also be revised. Currently it states that categorically insignificant activities are exempt from NOC requirements unless they are subject to NESHAP or NSPS requirements. First, we have suggested edits above to how this exemption should apply to small gas and liquid fuel fired activities. Second, language should be added clarifying that it is not just any NSPS or NESHAP that makes a categorically insignificant activity subject to the state NOC program, but only those NSPS and NESHAP that the Department has adopted into its regulations. If the Department has chosen not to adopt an NSPS or NESHAP, that NSPS or NESHAP should not force the otherwise categorically insignificant activity to obtain a state construction approval. That source will have to comply with the federal notice provisions under the NSPS and NESHAP program, but should not have to comply with Division 210.</w:t>
      </w:r>
    </w:p>
    <w:p w:rsidR="00103BCA" w:rsidRPr="00C73823" w:rsidRDefault="00103BCA" w:rsidP="006B1E70">
      <w:pPr>
        <w:rPr>
          <w:color w:val="FF6600"/>
        </w:rPr>
      </w:pPr>
    </w:p>
    <w:p w:rsidR="00103BCA" w:rsidRPr="00C73823" w:rsidRDefault="00103BCA" w:rsidP="00103BCA">
      <w:pPr>
        <w:rPr>
          <w:color w:val="FF6600"/>
        </w:rPr>
      </w:pPr>
      <w:r w:rsidRPr="00C73823">
        <w:rPr>
          <w:color w:val="FF6600"/>
        </w:rPr>
        <w:t xml:space="preserve">AOI is also concerned about the proposed revisions to OAR 340-210-0225 as they appear to alter the requirements applicable to the construction approval process. The current rules apply the 3rd criterion in OAR 340-210-0225(1)(c), and its equivalent for Type 2 and Type 3 approvals, so that a source assesses whether its emissions will increase from “any stationary source or combination of stationary sources.” The Department proposes to change this assessment to apply to “any new, modified, or replaced device, activity or process, or any combination of devices, activities or processes at the source.” AOI believes that this would substantially increase the stringency of the rules by eliminating the ability of a source to net any increase against any decreases associated with the project when assessing </w:t>
      </w:r>
      <w:r w:rsidRPr="00C73823">
        <w:rPr>
          <w:color w:val="FF6600"/>
        </w:rPr>
        <w:lastRenderedPageBreak/>
        <w:t xml:space="preserve">compliance with that criterion. A source replacing a flare with 50 ton/yr of CO emissions with another flare with 50 tons/yr of CO emissions should be able to net the increase with the decrease to conclude that the emissions increases from the combination of stationary sources (i.e., the two flares) is less than the 1 ton/yr de minimis rate. The proposed language would eliminate this flexibility. Such a substantial change should not be made to the rules without stakeholder discussion and a demonstration of need supported by evidence of environmental benefit. As none of that has been provided, we request that the Department not change the current language in OAR 340-210-0225(1)(c), OAR 340-210-0225(2)(c) and OAR 340-210-0225(3)(b). </w:t>
      </w:r>
    </w:p>
    <w:p w:rsidR="00103BCA" w:rsidRPr="00C73823" w:rsidRDefault="00103BCA" w:rsidP="00103BCA">
      <w:pPr>
        <w:rPr>
          <w:color w:val="FF6600"/>
        </w:rPr>
      </w:pPr>
    </w:p>
    <w:p w:rsidR="00103BCA" w:rsidRPr="00C73823" w:rsidRDefault="00103BCA" w:rsidP="00103BCA">
      <w:pPr>
        <w:rPr>
          <w:color w:val="FF6600"/>
        </w:rPr>
      </w:pPr>
      <w:r w:rsidRPr="00C73823">
        <w:rPr>
          <w:color w:val="FF6600"/>
        </w:rPr>
        <w:t xml:space="preserve">Stationary Source Reporting Requirements (Division 214) </w:t>
      </w:r>
    </w:p>
    <w:p w:rsidR="00103BCA" w:rsidRPr="00C73823" w:rsidRDefault="00103BCA" w:rsidP="00103BCA">
      <w:pPr>
        <w:rPr>
          <w:color w:val="FF6600"/>
        </w:rPr>
      </w:pPr>
    </w:p>
    <w:p w:rsidR="00103BCA" w:rsidRPr="00C73823" w:rsidRDefault="00103BCA" w:rsidP="00103BCA">
      <w:pPr>
        <w:rPr>
          <w:color w:val="FF6600"/>
        </w:rPr>
      </w:pPr>
      <w:r w:rsidRPr="00C73823">
        <w:rPr>
          <w:color w:val="FF6600"/>
        </w:rPr>
        <w:t>AOI is concerned about the Department’s proposed revisions to the stationary source recordkeeping requirements at OAR 340-214-0114(5). These revisions would require all sources (however small) requiring an air permit (however simple) to retain records of monitoring data and supporting information for five years. The revisions are inconsistent with the Department’s longstanding practice to only require Title V sources to maintain records for five years. Numerous smaller sources statewide are presently subject to, and operate in conformance with, air contaminant discharge permit (ACDP) conditions requiring a less onerous, two-year retention term. If finalized, the proposed revisions to OAR 340-214-0114(5) would leave each such source -- complying in good faith with its two-year retention condition -- vulnerable to non-compliance with the Department’s new five-year recordkeeping rule. The Department has offered no reason for saddling sources with permits specifying a two-year retention period to this compliance risk. Nor has it explained why every permitted source statewide should maintain records for the longer (more costly, more burdensome) five-year period. AOI is disappointed by the Department’s attempt to quietly impose a five-year record retention requirement on all permitted sources with this rulemaking package, which the Department has described as a straightforward, streamlining exercise. We request that the Department delete OAR 340-214-0114(5) from this rulemaking.</w:t>
      </w:r>
    </w:p>
    <w:p w:rsidR="006C2D6B" w:rsidRPr="00C73823" w:rsidRDefault="006C2D6B" w:rsidP="00103BCA">
      <w:pPr>
        <w:rPr>
          <w:color w:val="FF6600"/>
        </w:rPr>
      </w:pPr>
    </w:p>
    <w:p w:rsidR="006C2D6B" w:rsidRPr="00C73823" w:rsidRDefault="006C2D6B" w:rsidP="006C2D6B">
      <w:pPr>
        <w:rPr>
          <w:color w:val="FF6600"/>
        </w:rPr>
      </w:pPr>
      <w:r w:rsidRPr="00C73823">
        <w:rPr>
          <w:color w:val="FF6600"/>
        </w:rPr>
        <w:t xml:space="preserve">Emergency as an Affirmative Defense (Division 214) </w:t>
      </w:r>
    </w:p>
    <w:p w:rsidR="006C2D6B" w:rsidRPr="00C73823" w:rsidRDefault="006C2D6B" w:rsidP="006C2D6B">
      <w:pPr>
        <w:rPr>
          <w:color w:val="FF6600"/>
        </w:rPr>
      </w:pPr>
    </w:p>
    <w:p w:rsidR="006C2D6B" w:rsidRPr="00C73823" w:rsidRDefault="006C2D6B" w:rsidP="006C2D6B">
      <w:pPr>
        <w:rPr>
          <w:color w:val="FF6600"/>
        </w:rPr>
      </w:pPr>
      <w:r w:rsidRPr="00C73823">
        <w:rPr>
          <w:color w:val="FF6600"/>
        </w:rPr>
        <w:t xml:space="preserve">AOI is perplexed by the Department’s proposal at OAR 340-214-0360(1) to make the affirmative defense of emergency unavailable to non-Title V sources. The Department has not offered any reasons for this significant change to its regulatory scheme. It has not suggested, as would be preposterous, that an emergency condition would impact Title V sources differently than smaller sources with emission limits. An emergency could render any source, Title V or otherwise, unable to comply with its technology based emission limits. Likewise, the Department has not asserted, nor is there any basis to assume, that small sources abuse or overuse the affirmative defense of emergency, as compared to Title V sources. The current rules make abuse or overuse of this defense impossible. Every source -- irrespective of its size -- bears the burden of proving by a preponderance of the evidence that an </w:t>
      </w:r>
      <w:r w:rsidRPr="00C73823">
        <w:rPr>
          <w:color w:val="FF6600"/>
        </w:rPr>
        <w:lastRenderedPageBreak/>
        <w:t xml:space="preserve">emergency actually occurred. In the absence of any legitimate rationale, AOI is greatly disturbed that the Department would chose to leave non-Title V sources defenseless to enforcement actions for non-compliance with technology-based emission limits resulting from emergencies. The affirmative defense of emergency is equally applicable and important to all sources, not just large ones. AOI requests that the Department preserve the availability of this defense to all sources in the appropriate circumstances described in the current rules. As such, the proposed revisions to OAR 340-214-0360(1) should be deleted. </w:t>
      </w:r>
    </w:p>
    <w:p w:rsidR="006C2D6B" w:rsidRPr="00C73823" w:rsidRDefault="006C2D6B" w:rsidP="006C2D6B">
      <w:pPr>
        <w:rPr>
          <w:color w:val="FF6600"/>
        </w:rPr>
      </w:pPr>
    </w:p>
    <w:p w:rsidR="006C2D6B" w:rsidRPr="00C73823" w:rsidRDefault="006C2D6B" w:rsidP="006C2D6B">
      <w:pPr>
        <w:rPr>
          <w:color w:val="FF6600"/>
        </w:rPr>
      </w:pPr>
      <w:r w:rsidRPr="00C73823">
        <w:rPr>
          <w:color w:val="FF6600"/>
        </w:rPr>
        <w:t xml:space="preserve">Air Contaminant Discharge Permits (Division 216) </w:t>
      </w:r>
    </w:p>
    <w:p w:rsidR="006C2D6B" w:rsidRPr="00C73823" w:rsidRDefault="006C2D6B" w:rsidP="006C2D6B">
      <w:pPr>
        <w:rPr>
          <w:color w:val="FF6600"/>
        </w:rPr>
      </w:pPr>
    </w:p>
    <w:p w:rsidR="006C2D6B" w:rsidRPr="00C73823" w:rsidRDefault="006C2D6B" w:rsidP="006C2D6B">
      <w:pPr>
        <w:rPr>
          <w:color w:val="FF6600"/>
        </w:rPr>
      </w:pPr>
      <w:r w:rsidRPr="00C73823">
        <w:rPr>
          <w:color w:val="FF6600"/>
        </w:rPr>
        <w:t xml:space="preserve"> Application Requirements (OAR 340-216-0040(6) </w:t>
      </w:r>
    </w:p>
    <w:p w:rsidR="006C2D6B" w:rsidRPr="00C73823" w:rsidRDefault="006C2D6B" w:rsidP="006C2D6B">
      <w:pPr>
        <w:rPr>
          <w:color w:val="FF6600"/>
        </w:rPr>
      </w:pPr>
    </w:p>
    <w:p w:rsidR="006C2D6B" w:rsidRPr="00C73823" w:rsidRDefault="006C2D6B" w:rsidP="006C2D6B">
      <w:pPr>
        <w:rPr>
          <w:color w:val="FF6600"/>
        </w:rPr>
      </w:pPr>
      <w:r w:rsidRPr="00C73823">
        <w:rPr>
          <w:color w:val="FF6600"/>
        </w:rPr>
        <w:t>AOI believes that the Department has inadvertently and unintentionally expanded the requirements for sharing permit applications to include State NSR applications. OAR 340-216-0040(6) says that a copy of an NSR permit application under Division 224 must be submitted to EPA. With the proposed changes, “NSR permit application” will include State NSR applications. Our members experience is that EPA is typically unsure why major NSR applications are sent to them as they have no involvement with the implementation of Oregon’s SIP approved PSD, Maintenance and nonattainment NSR programs. Therefore, we recommend that the Department not just remove the proposed requirement to send State NSR permit applications to EPA, but also remove the requirement to send major NSR applications to EPA.</w:t>
      </w:r>
    </w:p>
    <w:p w:rsidR="006C2D6B" w:rsidRPr="00C73823" w:rsidRDefault="006C2D6B" w:rsidP="006C2D6B">
      <w:pPr>
        <w:rPr>
          <w:color w:val="FF6600"/>
        </w:rPr>
      </w:pPr>
    </w:p>
    <w:p w:rsidR="00A67588" w:rsidRPr="00C73823" w:rsidRDefault="00A964CC" w:rsidP="00A964CC">
      <w:pPr>
        <w:rPr>
          <w:color w:val="FF6600"/>
        </w:rPr>
      </w:pPr>
      <w:r w:rsidRPr="00C73823">
        <w:rPr>
          <w:color w:val="FF6600"/>
        </w:rPr>
        <w:t xml:space="preserve">Source Category Table (OAR 340-216-8010) </w:t>
      </w:r>
    </w:p>
    <w:p w:rsidR="00A67588" w:rsidRPr="00C73823" w:rsidRDefault="00A67588" w:rsidP="00A964CC">
      <w:pPr>
        <w:rPr>
          <w:color w:val="FF6600"/>
        </w:rPr>
      </w:pPr>
    </w:p>
    <w:p w:rsidR="00A964CC" w:rsidRPr="00C73823" w:rsidRDefault="00A964CC" w:rsidP="00A964CC">
      <w:pPr>
        <w:rPr>
          <w:color w:val="FF6600"/>
        </w:rPr>
      </w:pPr>
      <w:r w:rsidRPr="00C73823">
        <w:rPr>
          <w:color w:val="FF6600"/>
        </w:rPr>
        <w:t xml:space="preserve">The Department’s proposed list of source categories that require an ACDP, OAR 340-216-8010, repeats two problems noted in the comments above. </w:t>
      </w:r>
    </w:p>
    <w:p w:rsidR="00A964CC" w:rsidRPr="00C73823" w:rsidRDefault="00A964CC" w:rsidP="00A964CC">
      <w:pPr>
        <w:rPr>
          <w:color w:val="FF6600"/>
        </w:rPr>
      </w:pPr>
    </w:p>
    <w:p w:rsidR="00A964CC" w:rsidRPr="00C73823" w:rsidRDefault="00A964CC" w:rsidP="00A964CC">
      <w:pPr>
        <w:rPr>
          <w:color w:val="FF6600"/>
        </w:rPr>
      </w:pPr>
      <w:r w:rsidRPr="00C73823">
        <w:rPr>
          <w:color w:val="FF6600"/>
        </w:rPr>
        <w:t xml:space="preserve">First, source category number 87 on Part B of the list would apply to certain emergency generators and firewater pumps, i.e., those with “emissions, in aggregate, [] greater than 10 tons for any regulated pollutant based on 100 hours of operation or some other hours of operation specified in a permit.” Comparing emergency unit emissions to an artificially high 100 hours of operation threshold could needlessly subject many sources with inconsequential actual emissions from these units to permitting requirements. AOI thus requests that the Department change the permitting threshold for this source category such that permits would only be required for “emergency generators and firewater pumps, the actual emissions from which over a calendar year, in aggregate, are greater than 10 tons for any regulated pollutant.” Second, source category number 89 on Part B of the list would apply to any portable sources the Department determines present “an air quality concern,” “significant malodorous emissions,” or actual emissions over specified levels. The Department lacks jurisdiction to regulate portable, mobile or nonroad sources unless they are or are part of a stationary source. Accordingly, we request that the Department either delete proposed source category 89entirely or revise it to make </w:t>
      </w:r>
      <w:r w:rsidRPr="00C73823">
        <w:rPr>
          <w:color w:val="FF6600"/>
        </w:rPr>
        <w:lastRenderedPageBreak/>
        <w:t xml:space="preserve">clear that it only applies to portable sources that are or are part of a stationary source. </w:t>
      </w:r>
    </w:p>
    <w:p w:rsidR="00A964CC" w:rsidRPr="00C73823" w:rsidRDefault="00A964CC" w:rsidP="00A964CC">
      <w:pPr>
        <w:rPr>
          <w:color w:val="FF6600"/>
        </w:rPr>
      </w:pPr>
    </w:p>
    <w:p w:rsidR="00A964CC" w:rsidRPr="00C73823" w:rsidRDefault="00A964CC" w:rsidP="00A964CC">
      <w:pPr>
        <w:rPr>
          <w:color w:val="FF6600"/>
        </w:rPr>
      </w:pPr>
      <w:r w:rsidRPr="00C73823">
        <w:rPr>
          <w:color w:val="FF6600"/>
        </w:rPr>
        <w:t xml:space="preserve">Plant Site Emission Limits (Division 222) </w:t>
      </w:r>
    </w:p>
    <w:p w:rsidR="00A964CC" w:rsidRPr="00C73823" w:rsidRDefault="00A964CC" w:rsidP="00A964CC">
      <w:pPr>
        <w:rPr>
          <w:color w:val="FF6600"/>
        </w:rPr>
      </w:pPr>
    </w:p>
    <w:p w:rsidR="00A964CC" w:rsidRPr="00C73823" w:rsidRDefault="00A964CC" w:rsidP="00A964CC">
      <w:pPr>
        <w:rPr>
          <w:color w:val="FF6600"/>
        </w:rPr>
      </w:pPr>
      <w:r w:rsidRPr="00C73823">
        <w:rPr>
          <w:color w:val="FF6600"/>
        </w:rPr>
        <w:t xml:space="preserve"> PSEL Rule (OAR 340-222-0041) </w:t>
      </w:r>
    </w:p>
    <w:p w:rsidR="00A964CC" w:rsidRPr="00C73823" w:rsidRDefault="00A964CC" w:rsidP="00A964CC">
      <w:pPr>
        <w:rPr>
          <w:color w:val="FF6600"/>
        </w:rPr>
      </w:pPr>
    </w:p>
    <w:p w:rsidR="00A964CC" w:rsidRPr="00C73823" w:rsidRDefault="00A964CC" w:rsidP="00A964CC">
      <w:pPr>
        <w:rPr>
          <w:color w:val="FF6600"/>
        </w:rPr>
      </w:pPr>
      <w:r w:rsidRPr="00C73823">
        <w:rPr>
          <w:color w:val="FF6600"/>
        </w:rPr>
        <w:t xml:space="preserve">AOI is concerned about the deletion of the so-called PSEL Rule in OAR 340-222-0041 that for many years has been the basis for determining the applicable requirements where a PSEL increase was requested. AOI questions the basis for changing this rule and, as is explained in greater detail in relation to Division 224, is concerned that simply referencing Division 224 in the proposed OAR 340-222-0041(4) leaves tremendous confusion on the applicability of Division 224. </w:t>
      </w:r>
    </w:p>
    <w:p w:rsidR="00A964CC" w:rsidRPr="00C73823" w:rsidRDefault="00A964CC" w:rsidP="00A964CC">
      <w:pPr>
        <w:rPr>
          <w:color w:val="FF6600"/>
        </w:rPr>
      </w:pPr>
    </w:p>
    <w:p w:rsidR="00A964CC" w:rsidRPr="00C73823" w:rsidRDefault="00A964CC" w:rsidP="00A964CC">
      <w:pPr>
        <w:rPr>
          <w:color w:val="FF6600"/>
        </w:rPr>
      </w:pPr>
      <w:r w:rsidRPr="00C73823">
        <w:rPr>
          <w:color w:val="FF6600"/>
        </w:rPr>
        <w:t xml:space="preserve"> PSEL Compliance (OAR 340-222-0080) </w:t>
      </w:r>
    </w:p>
    <w:p w:rsidR="00A964CC" w:rsidRPr="00C73823" w:rsidRDefault="00A964CC" w:rsidP="00A964CC">
      <w:pPr>
        <w:rPr>
          <w:color w:val="FF6600"/>
        </w:rPr>
      </w:pPr>
    </w:p>
    <w:p w:rsidR="00A964CC" w:rsidRPr="00C73823" w:rsidRDefault="00A964CC" w:rsidP="00A964CC">
      <w:pPr>
        <w:rPr>
          <w:color w:val="FF6600"/>
        </w:rPr>
      </w:pPr>
      <w:r w:rsidRPr="00C73823">
        <w:rPr>
          <w:color w:val="FF6600"/>
        </w:rPr>
        <w:t xml:space="preserve">AOI believes that the Department is proposing a fundamental shift in PSEL compliance as part of the proposed rules. The Department is proposing new language in OAR 340-222-0080(6) saying that regardless of the PSEL compliance requirements specified in the permit, emissions may be calculated using other procedures. This proposed approach runs absolutely counter to decades of Department guidance saying that PSEL compliance will always be determined by the methodology stated in the permit. This proposed language guts that approach that has been a critical component of the PSEL program since its inception. Prior to the Department making such a change, it should very carefully vet the impacts of the change with the regulated sources. This has not occurred and so this provision should be removed from the final rule language proposed to the EQC. </w:t>
      </w:r>
    </w:p>
    <w:p w:rsidR="00A964CC" w:rsidRPr="00C73823" w:rsidRDefault="00A964CC" w:rsidP="00A964CC">
      <w:pPr>
        <w:rPr>
          <w:color w:val="FF6600"/>
        </w:rPr>
      </w:pPr>
    </w:p>
    <w:p w:rsidR="002D70D8" w:rsidRPr="00C73823" w:rsidRDefault="002D70D8" w:rsidP="002D70D8">
      <w:pPr>
        <w:rPr>
          <w:color w:val="FF6600"/>
        </w:rPr>
      </w:pPr>
      <w:r w:rsidRPr="00C73823">
        <w:rPr>
          <w:color w:val="FF6600"/>
        </w:rPr>
        <w:t xml:space="preserve">New Source Review Requirements (Division 224) </w:t>
      </w:r>
    </w:p>
    <w:p w:rsidR="002D70D8" w:rsidRPr="00C73823" w:rsidRDefault="002D70D8" w:rsidP="002D70D8">
      <w:pPr>
        <w:rPr>
          <w:color w:val="FF6600"/>
        </w:rPr>
      </w:pPr>
    </w:p>
    <w:p w:rsidR="002D70D8" w:rsidRPr="00C73823" w:rsidRDefault="002D70D8" w:rsidP="002D70D8">
      <w:pPr>
        <w:rPr>
          <w:color w:val="FF6600"/>
        </w:rPr>
      </w:pPr>
      <w:r w:rsidRPr="00C73823">
        <w:rPr>
          <w:color w:val="FF6600"/>
        </w:rPr>
        <w:t xml:space="preserve">AOI is generally concerned at the complexity that DEQ has added to the new source review process without any commensurate environmental benefit. Elements of the program have been discussed with stakeholders, but the majority of the changes were never discussed with the fiscal impacts advisory committee or otherwise. Therefore, AOI suggests that this part of the rule be separated from the remainder and undergo a public stakeholder discussion process prior to reproposal. </w:t>
      </w:r>
    </w:p>
    <w:p w:rsidR="002D70D8" w:rsidRPr="00C73823" w:rsidRDefault="002D70D8" w:rsidP="002D70D8">
      <w:pPr>
        <w:rPr>
          <w:color w:val="FF6600"/>
        </w:rPr>
      </w:pPr>
    </w:p>
    <w:p w:rsidR="002D70D8" w:rsidRPr="00C73823" w:rsidRDefault="002D70D8" w:rsidP="002D70D8">
      <w:pPr>
        <w:rPr>
          <w:color w:val="FF6600"/>
        </w:rPr>
      </w:pPr>
      <w:r w:rsidRPr="00C73823">
        <w:rPr>
          <w:color w:val="FF6600"/>
        </w:rPr>
        <w:t xml:space="preserve">Comments on particular elements of Division 224 follow. </w:t>
      </w:r>
    </w:p>
    <w:p w:rsidR="002D70D8" w:rsidRPr="00C73823" w:rsidRDefault="002D70D8" w:rsidP="002D70D8">
      <w:pPr>
        <w:rPr>
          <w:color w:val="FF6600"/>
        </w:rPr>
      </w:pPr>
    </w:p>
    <w:p w:rsidR="002D70D8" w:rsidRPr="00C73823" w:rsidRDefault="002D70D8" w:rsidP="002D70D8">
      <w:pPr>
        <w:rPr>
          <w:color w:val="FF6600"/>
        </w:rPr>
      </w:pPr>
      <w:r w:rsidRPr="00C73823">
        <w:rPr>
          <w:color w:val="FF6600"/>
        </w:rPr>
        <w:t xml:space="preserve"> Applicability of Minor v. Major New Source Review </w:t>
      </w:r>
    </w:p>
    <w:p w:rsidR="002D70D8" w:rsidRPr="00C73823" w:rsidRDefault="002D70D8" w:rsidP="002D70D8">
      <w:pPr>
        <w:rPr>
          <w:color w:val="FF6600"/>
        </w:rPr>
      </w:pPr>
    </w:p>
    <w:p w:rsidR="002D70D8" w:rsidRPr="00C73823" w:rsidRDefault="002D70D8" w:rsidP="002D70D8">
      <w:pPr>
        <w:rPr>
          <w:color w:val="FF6600"/>
        </w:rPr>
      </w:pPr>
      <w:r w:rsidRPr="00C73823">
        <w:rPr>
          <w:color w:val="FF6600"/>
        </w:rPr>
        <w:t xml:space="preserve">AOI is very concerned about the significant increase in stringency that has been proposed as part of the massive reworking of Division 224. For nearly two decades, the major new source review program has solely occupied Division 224. If a source triggered minor new source review, it was addressed through the so-called PSEL Rule. The existing OAR 340-222-0041 is the regulation that spells out what a source </w:t>
      </w:r>
      <w:r w:rsidRPr="00C73823">
        <w:rPr>
          <w:color w:val="FF6600"/>
        </w:rPr>
        <w:lastRenderedPageBreak/>
        <w:t>must do in order to increase a PSEL. Under the proposed rules, DEQ is suggesting to delete the minor NSR provisions and instead state in OAR 340-222-0041(4) that any PSEL exceeding the netting basis by a significant emission rate or more will be addressed through Major or State NSR (a new term of art) as specified in OAR 340-224-0010. We understand from conversations with the Department that this was intended to serve as the “gate keeper” provision and that the only way a source got to D</w:t>
      </w:r>
      <w:r w:rsidR="00C9204C" w:rsidRPr="00C73823">
        <w:rPr>
          <w:color w:val="FF6600"/>
        </w:rPr>
        <w:t xml:space="preserve">ivision 224 is if it is sent </w:t>
      </w:r>
      <w:r w:rsidRPr="00C73823">
        <w:rPr>
          <w:color w:val="FF6600"/>
        </w:rPr>
        <w:t xml:space="preserve">there by 340-222-0041(4). However, this is not at all clear from the rules and has caused tremendous confusion as AOI members have attempted to review the proposal. </w:t>
      </w:r>
    </w:p>
    <w:p w:rsidR="002D70D8" w:rsidRPr="00C73823" w:rsidRDefault="002D70D8" w:rsidP="002D70D8">
      <w:pPr>
        <w:rPr>
          <w:color w:val="FF6600"/>
        </w:rPr>
      </w:pPr>
    </w:p>
    <w:p w:rsidR="002D70D8" w:rsidRPr="00C73823" w:rsidRDefault="002D70D8" w:rsidP="002D70D8">
      <w:pPr>
        <w:rPr>
          <w:color w:val="FF6600"/>
        </w:rPr>
      </w:pPr>
      <w:r w:rsidRPr="00C73823">
        <w:rPr>
          <w:color w:val="FF6600"/>
        </w:rPr>
        <w:t xml:space="preserve">The confusion is further compounded in OAR 340-224-0010(2) where the proposed rules require sources not subject to major NSR and requesting any of the actions in OAR 340-222-0020(2)(a) - (c) to undergo State NSR. The second of the three actions triggering State NSR involves increasing a PSEL to an amount equal to or greater than the SER. As written, this means that by requesting to increase a NOx PSEL to 40 tpy or more in a nonattainment area--regardless of the source’s netting basis--that source will trigger nonattainment State NSR and be required to provide offsets and demonstrate a net air quality benefit. This is dramatically more stringent than the existing program where the analysis focuses on whether the requested PSEL exceeds the netting basis by an SER or more and not just whether the PSEL exceeds the SER. AOI hopes that this was unintended. However, if OAR 340-222-0041(4) is supposed to be the gatekeeper to State NSR, we fail to see what function OAR 340-224-0010(2) serves. </w:t>
      </w:r>
    </w:p>
    <w:p w:rsidR="002D70D8" w:rsidRPr="00C73823" w:rsidRDefault="002D70D8" w:rsidP="002D70D8">
      <w:pPr>
        <w:rPr>
          <w:color w:val="FF6600"/>
        </w:rPr>
      </w:pPr>
    </w:p>
    <w:p w:rsidR="002D70D8" w:rsidRPr="00C73823" w:rsidRDefault="002D70D8" w:rsidP="002D70D8">
      <w:pPr>
        <w:rPr>
          <w:color w:val="FF6600"/>
        </w:rPr>
      </w:pPr>
      <w:r w:rsidRPr="00C73823">
        <w:rPr>
          <w:color w:val="FF6600"/>
        </w:rPr>
        <w:t xml:space="preserve">If it is just duplication of OAR 340-222-0041(4), AOI believes that any court interpreting the rules will conclude that when an agency repeats itself in two different places the intent was that the two sections have different meanings. In addition, the two provisions (222-0041(4) and 224-0010(2)) say different things. Therefore, a very plausible reading of OAR 340-224-0010(2) is that it serves as a separate and perhaps supplementary gateway into State NSR. This reading is reinforced by the wording of OAR 340-224-0010(2) which reads as if it is the gatekeeper provision, not OAR 340-222-0041(4). </w:t>
      </w:r>
    </w:p>
    <w:p w:rsidR="002D70D8" w:rsidRPr="00C73823" w:rsidRDefault="002D70D8" w:rsidP="002D70D8">
      <w:pPr>
        <w:rPr>
          <w:color w:val="FF6600"/>
        </w:rPr>
      </w:pPr>
    </w:p>
    <w:p w:rsidR="00A964CC" w:rsidRPr="00C73823" w:rsidRDefault="002D70D8" w:rsidP="002D70D8">
      <w:pPr>
        <w:rPr>
          <w:color w:val="FF6600"/>
        </w:rPr>
      </w:pPr>
      <w:r w:rsidRPr="00C73823">
        <w:rPr>
          <w:color w:val="FF6600"/>
        </w:rPr>
        <w:t>In short, we believe that the Department’s language is very confusing and internally inconsistent. As such, we believe that the proposed changes to the division are not well enough developed to comment on, let alone go to final rule language. We encourage the Department to pull back the revisions to Division 224 and address them in a future rulemaking after additional opportunity for comment. IF the Department refuses this reasonable request, then we request that it be made very clear in the rules that a source does not consult Division 224 unless it is requesting a PSEL that exceeds the netting basis by a significant emission rate or more. We believe that this will require significant reworking of the rule.</w:t>
      </w:r>
    </w:p>
    <w:p w:rsidR="001A7916" w:rsidRPr="00C73823" w:rsidRDefault="001A7916" w:rsidP="002D70D8">
      <w:pPr>
        <w:rPr>
          <w:color w:val="FF6600"/>
        </w:rPr>
      </w:pPr>
    </w:p>
    <w:p w:rsidR="001A7916" w:rsidRPr="00C73823" w:rsidRDefault="001A7916" w:rsidP="001A7916">
      <w:pPr>
        <w:rPr>
          <w:color w:val="FF6600"/>
        </w:rPr>
      </w:pPr>
      <w:r w:rsidRPr="00C73823">
        <w:rPr>
          <w:color w:val="FF6600"/>
        </w:rPr>
        <w:t xml:space="preserve">Consideration of Categorically Insignificant Activities </w:t>
      </w:r>
    </w:p>
    <w:p w:rsidR="001A7916" w:rsidRPr="00C73823" w:rsidRDefault="001A7916" w:rsidP="001A7916">
      <w:pPr>
        <w:rPr>
          <w:color w:val="FF6600"/>
        </w:rPr>
      </w:pPr>
    </w:p>
    <w:p w:rsidR="001A7916" w:rsidRPr="00C73823" w:rsidRDefault="001A7916" w:rsidP="001A7916">
      <w:pPr>
        <w:rPr>
          <w:color w:val="FF6600"/>
        </w:rPr>
      </w:pPr>
      <w:r w:rsidRPr="00C73823">
        <w:rPr>
          <w:color w:val="FF6600"/>
        </w:rPr>
        <w:lastRenderedPageBreak/>
        <w:t>AOI suggest clarifying language be added to the language within the PSEL rules (Division 222) where the role of emissions from categorically insignificant activities is stated. OAR 340-222-0035(5) is proposed to be added to the rules stating that “emissions from categorically insignificant activities must be considered when determining NSR or PSD applicability under OAR 340 division 224.” However, Division 224 has been expanded to include minor NSR as well as major NSR. The proposed language would greatly expand the stringency of minor NSR in that emissions from categorically insignificant activities are not considered as part of the minor NSR program. Therefore, we suggest that DEQ revise OAR 340-222-0035(5) as indicated below:</w:t>
      </w:r>
    </w:p>
    <w:p w:rsidR="001A7916" w:rsidRPr="00C73823" w:rsidRDefault="001A7916" w:rsidP="001A7916">
      <w:pPr>
        <w:rPr>
          <w:color w:val="FF6600"/>
        </w:rPr>
      </w:pPr>
    </w:p>
    <w:p w:rsidR="006F4231" w:rsidRPr="00C73823" w:rsidRDefault="006F4231" w:rsidP="006F4231">
      <w:pPr>
        <w:rPr>
          <w:color w:val="FF6600"/>
        </w:rPr>
      </w:pPr>
      <w:r w:rsidRPr="00C73823">
        <w:rPr>
          <w:color w:val="FF6600"/>
        </w:rPr>
        <w:t xml:space="preserve">…emissions from categorically insignificant activities must be considered when determining major NSR or PSD applicability under OAR 340-224-0040 through 0070. division 224.” </w:t>
      </w:r>
    </w:p>
    <w:p w:rsidR="006F4231" w:rsidRPr="00C73823" w:rsidRDefault="006F4231" w:rsidP="006F4231">
      <w:pPr>
        <w:rPr>
          <w:color w:val="FF6600"/>
        </w:rPr>
      </w:pPr>
    </w:p>
    <w:p w:rsidR="006F4231" w:rsidRPr="00C73823" w:rsidRDefault="006F4231" w:rsidP="006F4231">
      <w:pPr>
        <w:rPr>
          <w:color w:val="FF6600"/>
        </w:rPr>
      </w:pPr>
      <w:r w:rsidRPr="00C73823">
        <w:rPr>
          <w:color w:val="FF6600"/>
        </w:rPr>
        <w:t xml:space="preserve"> Definition of “Major Modification” (OAR 340-224-0025) </w:t>
      </w:r>
    </w:p>
    <w:p w:rsidR="006F4231" w:rsidRPr="00C73823" w:rsidRDefault="006F4231" w:rsidP="006F4231">
      <w:pPr>
        <w:rPr>
          <w:color w:val="FF6600"/>
        </w:rPr>
      </w:pPr>
    </w:p>
    <w:p w:rsidR="006F4231" w:rsidRPr="00C73823" w:rsidRDefault="006F4231" w:rsidP="006F4231">
      <w:pPr>
        <w:rPr>
          <w:color w:val="FF6600"/>
        </w:rPr>
      </w:pPr>
      <w:r w:rsidRPr="00C73823">
        <w:rPr>
          <w:color w:val="FF6600"/>
        </w:rPr>
        <w:t xml:space="preserve">AOI has grave misgivings about the proposed changes to the definition of “major modification.” </w:t>
      </w:r>
    </w:p>
    <w:p w:rsidR="006F4231" w:rsidRPr="00C73823" w:rsidRDefault="006F4231" w:rsidP="006F4231">
      <w:pPr>
        <w:rPr>
          <w:color w:val="FF6600"/>
        </w:rPr>
      </w:pPr>
    </w:p>
    <w:p w:rsidR="006F4231" w:rsidRPr="00C73823" w:rsidRDefault="006F4231" w:rsidP="006F4231">
      <w:pPr>
        <w:rPr>
          <w:color w:val="FF6600"/>
        </w:rPr>
      </w:pPr>
      <w:r w:rsidRPr="00C73823">
        <w:rPr>
          <w:color w:val="FF6600"/>
        </w:rPr>
        <w:t xml:space="preserve">The definition of major modification has been the focus of extensive scrutiny and interpretation over the years. Given the tremendous history and nuance underlying this definition, we believe that the Department should not tinker with it absent a very strong compelling purpose. We do not see such a compelling purpose in this rulemaking. What we do see is a proposal to significantly change the manner in which modifications are assessed for whether they qualify as major modifications. </w:t>
      </w:r>
    </w:p>
    <w:p w:rsidR="006F4231" w:rsidRPr="00C73823" w:rsidRDefault="006F4231" w:rsidP="006F4231">
      <w:pPr>
        <w:rPr>
          <w:color w:val="FF6600"/>
        </w:rPr>
      </w:pPr>
    </w:p>
    <w:p w:rsidR="001A7916" w:rsidRPr="00C73823" w:rsidRDefault="006F4231" w:rsidP="006F4231">
      <w:pPr>
        <w:rPr>
          <w:color w:val="FF6600"/>
        </w:rPr>
      </w:pPr>
      <w:r w:rsidRPr="00C73823">
        <w:rPr>
          <w:color w:val="FF6600"/>
        </w:rPr>
        <w:t>There are two primary changes that cause us concern. The first is that DEQ is proposing to change the definition to require that sources perform a netting basis to potential to emit (PTE) comparison to determine the emissions increases due to physical changes and changes in method of operation. However, this significant change in the definition ignores the clear wording of the existing rule (and proposed rule) that the emissions increases must be “due to” the changes. By comparing netting basis to PTE the Department would be changing the evaluation such that it was adding in the difference between 1978 utilization and the 1978 potential to emit. The emissions increase due to any change that occurs post-baseline is the increase in PTE, not the difference between baseline and PTE. Second, the rule requires that a source be able to calculate each “unit’s portion of the netting basis.” Few sources will be able to calculate each unit’s portion of the netting basis. Third, the definition specifies that in making this set of calculations, the categorically insignificant emissions must be included in the calculations. However, by their very nature categorically insignificant activities do not have a netting basis. Therefore, this requirement to subtract each emission unit’s netting basis from the categorically insignificant activity’s PTE does not make sense. For these reasons we strongly suggest that the Department not adopt the proposed changes to this critical and historic definition.</w:t>
      </w:r>
    </w:p>
    <w:p w:rsidR="002822E0" w:rsidRPr="00C73823" w:rsidRDefault="002822E0" w:rsidP="006F4231">
      <w:pPr>
        <w:rPr>
          <w:color w:val="FF6600"/>
        </w:rPr>
      </w:pPr>
    </w:p>
    <w:p w:rsidR="002822E0" w:rsidRPr="00C73823" w:rsidRDefault="002822E0" w:rsidP="002822E0">
      <w:pPr>
        <w:rPr>
          <w:color w:val="FF6600"/>
        </w:rPr>
      </w:pPr>
      <w:r w:rsidRPr="00C73823">
        <w:rPr>
          <w:color w:val="FF6600"/>
        </w:rPr>
        <w:t xml:space="preserve">Commencement of Construction Deadline (OAR 340-224-0030(3)) </w:t>
      </w:r>
    </w:p>
    <w:p w:rsidR="002822E0" w:rsidRPr="00C73823" w:rsidRDefault="002822E0" w:rsidP="002822E0">
      <w:pPr>
        <w:rPr>
          <w:color w:val="FF6600"/>
        </w:rPr>
      </w:pPr>
    </w:p>
    <w:p w:rsidR="002822E0" w:rsidRPr="00C73823" w:rsidRDefault="002822E0" w:rsidP="002822E0">
      <w:pPr>
        <w:rPr>
          <w:color w:val="FF6600"/>
        </w:rPr>
      </w:pPr>
      <w:r w:rsidRPr="00C73823">
        <w:rPr>
          <w:color w:val="FF6600"/>
        </w:rPr>
        <w:t xml:space="preserve">AOI objects to the Department’s increase in stringency for minor NSR construction approvals. Under the current Oregon rules, major NSR construction approvals are subject to the requirement that construction commence within 18 months of approval, not stop for 18 months or more and that construction be completed within 18 months of the scheduled time. This onerous requirement does not apply to any permits other than major NSR permits. However, the proposed rules expand this requirement to State NSR permits as well. OAR 340-224-0010(2) says that State NSR permits must comply with the requirements of OAR 340-224-0010 through 340-224-0038. Therefore, OAR 340-224-0030 applies to State NSR permits. OAR 340-224-0030(3) specifies the 18 month construction deadline. Adding this construction deadline to permits other than major NSR permits is a significant expansion of the program and an increase in stringency that will needlessly discourage business in Oregon. DEQ has repeatedly said that this rulemaking is not intended to increase the regulatory burdens on Oregon sources. As proposed, this requirement clearly increases regulatory stringency with no explanation of a corollary environmental benefit. We urge DEQ not to proceed with this proposed change and to retain the current approach where the 18 month clock in OAR 340-224-0030(3) is limited to sources permitted under major NSR. </w:t>
      </w:r>
    </w:p>
    <w:p w:rsidR="002822E0" w:rsidRPr="00C73823" w:rsidRDefault="002822E0" w:rsidP="002822E0">
      <w:pPr>
        <w:rPr>
          <w:color w:val="FF6600"/>
        </w:rPr>
      </w:pPr>
    </w:p>
    <w:p w:rsidR="002822E0" w:rsidRPr="00C73823" w:rsidRDefault="002822E0" w:rsidP="002822E0">
      <w:pPr>
        <w:rPr>
          <w:color w:val="FF6600"/>
        </w:rPr>
      </w:pPr>
      <w:r w:rsidRPr="00C73823">
        <w:rPr>
          <w:color w:val="FF6600"/>
        </w:rPr>
        <w:t xml:space="preserve"> Impact of Changes on Construction Approval (OAR 340-224-0030(4)) </w:t>
      </w:r>
    </w:p>
    <w:p w:rsidR="002822E0" w:rsidRPr="00C73823" w:rsidRDefault="002822E0" w:rsidP="002822E0">
      <w:pPr>
        <w:rPr>
          <w:color w:val="FF6600"/>
        </w:rPr>
      </w:pPr>
    </w:p>
    <w:p w:rsidR="002822E0" w:rsidRPr="00C73823" w:rsidRDefault="002822E0" w:rsidP="002822E0">
      <w:pPr>
        <w:rPr>
          <w:color w:val="FF6600"/>
        </w:rPr>
      </w:pPr>
      <w:r w:rsidRPr="00C73823">
        <w:rPr>
          <w:color w:val="FF6600"/>
        </w:rPr>
        <w:t xml:space="preserve">AOI is concerned about the proposed new regulatory language specifying when changes in a project require that the permittee halt construction. The proposed rules state that the permittee must halt construction if it has received a construction permit but something about the project changes. Construction cannot commence again until a new/revised permit is issued. AOI recognizes that if there is a substantial change to a project after its permit is issued, that it may under certain circumstances be appropriate for the source to have to amend its permit. However, AOI also recognizes that there are always differences between the construction drawings and the as-builts. Any change, no matter how slight, theoretically could affect the air quality analysis as the air quality analysis is based on specific locations, heights, diameters, etc. Therefore, the regulations should not specify, as proposed, that any change that would affect the air quality analysis requires that the project be halted as such a requirement is impractical. In order for a project to need to halt construction, the effect on the air quality analysis should have to be significant and it should have to be deleterious (some changes might decrease air quality impacts and so should be encouraged). Therefore, we request that the Department revise the language in OAR 340-224-0030(4)(c) to read “A change that would significantly affect the air quality analysis such that impacts are materially increased at more than a de minimis number of receptors.” </w:t>
      </w:r>
    </w:p>
    <w:p w:rsidR="002822E0" w:rsidRPr="00C73823" w:rsidRDefault="002822E0" w:rsidP="002822E0">
      <w:pPr>
        <w:rPr>
          <w:color w:val="FF6600"/>
        </w:rPr>
      </w:pPr>
    </w:p>
    <w:p w:rsidR="002822E0" w:rsidRPr="00C73823" w:rsidRDefault="002822E0" w:rsidP="002822E0">
      <w:pPr>
        <w:rPr>
          <w:color w:val="FF6600"/>
        </w:rPr>
      </w:pPr>
      <w:r w:rsidRPr="00C73823">
        <w:rPr>
          <w:color w:val="FF6600"/>
        </w:rPr>
        <w:t xml:space="preserve"> Major NSR Construction Approval Extensions (OAR 340-224-0030(5)) </w:t>
      </w:r>
    </w:p>
    <w:p w:rsidR="002822E0" w:rsidRPr="00C73823" w:rsidRDefault="002822E0" w:rsidP="002822E0">
      <w:pPr>
        <w:rPr>
          <w:color w:val="FF6600"/>
        </w:rPr>
      </w:pPr>
    </w:p>
    <w:p w:rsidR="002822E0" w:rsidRPr="00C73823" w:rsidRDefault="002822E0" w:rsidP="002822E0">
      <w:pPr>
        <w:rPr>
          <w:color w:val="FF6600"/>
        </w:rPr>
      </w:pPr>
      <w:r w:rsidRPr="00C73823">
        <w:rPr>
          <w:color w:val="FF6600"/>
        </w:rPr>
        <w:lastRenderedPageBreak/>
        <w:t>AOI requests that DEQ not deviate from federal guidance on the granting of extensions of major NSR permits. The Department proposes to revise its rules to add significant detail to what is required in order to obtain an extension of a major NSR construction approval. DEQ developed this language prior to EPA issuing its guidance on this subject. On January 31, 2014, EPA (OAQPS) issued a memorandum specifically addressing what is appropriate for a permitting authority to require before granting an extension from the 18 month “commence construction” deadline. In direct contrast to what DEQ has proposed, EPA states:</w:t>
      </w:r>
    </w:p>
    <w:p w:rsidR="00C50E3C" w:rsidRPr="00C73823" w:rsidRDefault="00C50E3C" w:rsidP="002822E0">
      <w:pPr>
        <w:rPr>
          <w:color w:val="FF6600"/>
        </w:rPr>
      </w:pPr>
    </w:p>
    <w:p w:rsidR="00C50E3C" w:rsidRPr="00C73823" w:rsidRDefault="00C50E3C" w:rsidP="00C50E3C">
      <w:pPr>
        <w:rPr>
          <w:color w:val="FF6600"/>
        </w:rPr>
      </w:pPr>
      <w:r w:rsidRPr="00C73823">
        <w:rPr>
          <w:color w:val="FF6600"/>
        </w:rPr>
        <w:t xml:space="preserve">“Furthermore, the EPA believes that in order to give meaning to the extension provisions in 40 CFR 52.21(r)(2), review or redo of substantive permit analyses such as BACT, air quality impacts analysis (AQIA) or PSD increment consumption analyses should generally not be necessary for a first permit extension request.” </w:t>
      </w:r>
    </w:p>
    <w:p w:rsidR="00C50E3C" w:rsidRPr="00C73823" w:rsidRDefault="00C50E3C" w:rsidP="00C50E3C">
      <w:pPr>
        <w:rPr>
          <w:color w:val="FF6600"/>
        </w:rPr>
      </w:pPr>
    </w:p>
    <w:p w:rsidR="00C50E3C" w:rsidRPr="00C73823" w:rsidRDefault="00C50E3C" w:rsidP="00C50E3C">
      <w:pPr>
        <w:rPr>
          <w:color w:val="FF6600"/>
        </w:rPr>
      </w:pPr>
      <w:r w:rsidRPr="00C73823">
        <w:rPr>
          <w:color w:val="FF6600"/>
        </w:rPr>
        <w:t>AOI is not aware of any reason why DEQ should be more stringent than EPA in regards to legitimate permit extension requests. Therefore, we urge the Department to delete the proposed requirement in OAR 340-224-0030(5)(a)(A) which specifies that a source seeking a first extension must update its control technology analysis. The 18 month construction period is so short that, as EPA expressly acknowledged, this is not a meaningful requirement and it imposes a significant burden on the source and agency alike.</w:t>
      </w:r>
    </w:p>
    <w:p w:rsidR="00183CB6" w:rsidRPr="00C73823" w:rsidRDefault="00183CB6" w:rsidP="00C50E3C">
      <w:pPr>
        <w:rPr>
          <w:color w:val="FF6600"/>
        </w:rPr>
      </w:pPr>
    </w:p>
    <w:p w:rsidR="00183CB6" w:rsidRPr="00C73823" w:rsidRDefault="00183CB6" w:rsidP="00183CB6">
      <w:pPr>
        <w:rPr>
          <w:color w:val="FF6600"/>
        </w:rPr>
      </w:pPr>
      <w:r w:rsidRPr="00C73823">
        <w:rPr>
          <w:color w:val="FF6600"/>
        </w:rPr>
        <w:t xml:space="preserve">Imposition of 340-224-0038 on State NSR Sources AOI objects to the Department’s increase in stringency for minor NSR construction approvals under OAR 340-224-0038. OAR 340-224-0010(2) says that State NSR permits must comply with the requirements of OAR 340-224-0010 through 340-224-0038. Therefore, OAR 340-224-0038 applies to State NSR permits. OAR 340-224-0038 requires that a source subject to NSR assess secondary emissions. This requirement has never been imposed on minor NSR permittees before and it is a significant increase in stringency to do so through this rulemaking. </w:t>
      </w:r>
    </w:p>
    <w:p w:rsidR="00183CB6" w:rsidRPr="00C73823" w:rsidRDefault="00183CB6" w:rsidP="00183CB6">
      <w:pPr>
        <w:rPr>
          <w:color w:val="FF6600"/>
        </w:rPr>
      </w:pPr>
    </w:p>
    <w:p w:rsidR="00183CB6" w:rsidRPr="00C73823" w:rsidRDefault="00183CB6" w:rsidP="00183CB6">
      <w:pPr>
        <w:rPr>
          <w:color w:val="FF6600"/>
        </w:rPr>
      </w:pPr>
      <w:r w:rsidRPr="00C73823">
        <w:rPr>
          <w:color w:val="FF6600"/>
        </w:rPr>
        <w:t xml:space="preserve">AOI requests that DEQ revise OAR 340-224-0010(2) so that it does not require that State NSR sources have to comply with OAR 340-224-0038. This is a significant additional regulatory burden which the Department has not acknowledged and that will garner no environmental benefit. </w:t>
      </w:r>
    </w:p>
    <w:p w:rsidR="00183CB6" w:rsidRPr="00C73823" w:rsidRDefault="00183CB6" w:rsidP="00183CB6">
      <w:pPr>
        <w:rPr>
          <w:color w:val="FF6600"/>
        </w:rPr>
      </w:pPr>
    </w:p>
    <w:p w:rsidR="00183CB6" w:rsidRPr="00C73823" w:rsidRDefault="00183CB6" w:rsidP="00183CB6">
      <w:pPr>
        <w:rPr>
          <w:color w:val="FF6600"/>
        </w:rPr>
      </w:pPr>
      <w:r w:rsidRPr="00C73823">
        <w:rPr>
          <w:color w:val="FF6600"/>
        </w:rPr>
        <w:t xml:space="preserve">Maintenance NSR No-Impact Thresholds (OAR 340-224-0060 and 304-202-0225) </w:t>
      </w:r>
    </w:p>
    <w:p w:rsidR="00183CB6" w:rsidRPr="00C73823" w:rsidRDefault="00183CB6" w:rsidP="00183CB6">
      <w:pPr>
        <w:rPr>
          <w:color w:val="FF6600"/>
        </w:rPr>
      </w:pPr>
    </w:p>
    <w:p w:rsidR="00183CB6" w:rsidRPr="00C73823" w:rsidRDefault="00183CB6" w:rsidP="00183CB6">
      <w:pPr>
        <w:rPr>
          <w:color w:val="FF6600"/>
        </w:rPr>
      </w:pPr>
      <w:r w:rsidRPr="00C73823">
        <w:rPr>
          <w:color w:val="FF6600"/>
        </w:rPr>
        <w:t xml:space="preserve">The Maintenance NSR provisions in OAR 340-224-0060 contain several alternatives to providing offsets and having to demonstrate a net air quality benefit. Under the current rules, a source proposing a modification in a CO maintenance area is exempt from the requirement to obtain offsets and demonstrate a net air quality benefit if the source can demonstrate through modeling that it will not cause or contribute to an air quality impact equal to or greater than 0.5 mg/m3 (8 hour average) and 2 mg/m3 (1-hour average). Similar provisions exist for PM10 maintenance areas. The Department has proposed to remove those provisions from OAR 340-224-0060, </w:t>
      </w:r>
      <w:r w:rsidRPr="00C73823">
        <w:rPr>
          <w:color w:val="FF6600"/>
        </w:rPr>
        <w:lastRenderedPageBreak/>
        <w:t>move the modeling thresholds to OAR 340-202-0225 and to recharacterize them as “limits” for maintenance areas. Addressing modeling thresholds as limits does not make sense. These are not values that a source demonstrates ongoing compliance with--doing so would be impossible as one cannot measure the source’s concentrations in the environment in isolation. Instead, a source makes the modeling demonstration at the time of permitting and then is done. Requiring, as the proposed rules do, that the source “comply with the limits in OAR 340-202-0225” strongly suggests that there is an ongoing periodic monitoring component. We fail to see the benefit in moving these thresholds to Division 202 and we strongly object to characterizing them as limits.</w:t>
      </w:r>
    </w:p>
    <w:p w:rsidR="00183CB6" w:rsidRPr="00C73823" w:rsidRDefault="00183CB6" w:rsidP="00183CB6">
      <w:pPr>
        <w:rPr>
          <w:color w:val="FF6600"/>
        </w:rPr>
      </w:pPr>
    </w:p>
    <w:p w:rsidR="00183CB6" w:rsidRPr="00C73823" w:rsidRDefault="00183CB6" w:rsidP="00183CB6">
      <w:pPr>
        <w:rPr>
          <w:color w:val="FF6600"/>
        </w:rPr>
      </w:pPr>
      <w:r w:rsidRPr="00C73823">
        <w:rPr>
          <w:color w:val="FF6600"/>
        </w:rPr>
        <w:t xml:space="preserve">Pre-Construction Monitoring (OAR 340-224-0070(1)) </w:t>
      </w:r>
    </w:p>
    <w:p w:rsidR="00183CB6" w:rsidRPr="00C73823" w:rsidRDefault="00183CB6" w:rsidP="00183CB6">
      <w:pPr>
        <w:rPr>
          <w:color w:val="FF6600"/>
        </w:rPr>
      </w:pPr>
    </w:p>
    <w:p w:rsidR="00183CB6" w:rsidRPr="00C73823" w:rsidRDefault="00183CB6" w:rsidP="00183CB6">
      <w:pPr>
        <w:rPr>
          <w:color w:val="FF6600"/>
        </w:rPr>
      </w:pPr>
      <w:r w:rsidRPr="00C73823">
        <w:rPr>
          <w:color w:val="FF6600"/>
        </w:rPr>
        <w:t xml:space="preserve">The pre-construction monitoring requirements in OAR 340-224-0070(1)(a) contain an internal inconsistency. OAR 340-224-0070(1)(a)(A) requires that a source submit ambient monitoring data for each regulated pollutant subject to this rule. However, OAR 340-224-0070(1)(a)(A)(i) says that the analysis must contain continuous monitoring data “for any regulated pollutant that may be emitted by the source.” Applying this literally, a source could trigger PSD for PM10 and be required to perform ambient monitoring for GHGs or NOx. The intent of the rule is to say that a source can be required to conduct ambient monitoring for any regulated air pollutant subject to the rule. We suggest that OAR 340-224-0070(1)(a)(A)(i) be revised to state this. </w:t>
      </w:r>
    </w:p>
    <w:p w:rsidR="00183CB6" w:rsidRPr="00C73823" w:rsidRDefault="00183CB6" w:rsidP="00183CB6">
      <w:pPr>
        <w:rPr>
          <w:color w:val="FF6600"/>
        </w:rPr>
      </w:pPr>
    </w:p>
    <w:p w:rsidR="00183CB6" w:rsidRPr="00C73823" w:rsidRDefault="00183CB6" w:rsidP="00183CB6">
      <w:pPr>
        <w:rPr>
          <w:color w:val="FF6600"/>
        </w:rPr>
      </w:pPr>
      <w:r w:rsidRPr="00C73823">
        <w:rPr>
          <w:color w:val="FF6600"/>
        </w:rPr>
        <w:t xml:space="preserve"> Use of Priority Source Offsets (OAR 340-224-0510 and -0530) </w:t>
      </w:r>
    </w:p>
    <w:p w:rsidR="00183CB6" w:rsidRPr="00C73823" w:rsidRDefault="00183CB6" w:rsidP="00183CB6">
      <w:pPr>
        <w:rPr>
          <w:color w:val="FF6600"/>
        </w:rPr>
      </w:pPr>
    </w:p>
    <w:p w:rsidR="00183CB6" w:rsidRPr="00C73823" w:rsidRDefault="00183CB6" w:rsidP="00183CB6">
      <w:pPr>
        <w:rPr>
          <w:color w:val="FF6600"/>
        </w:rPr>
      </w:pPr>
      <w:r w:rsidRPr="00C73823">
        <w:rPr>
          <w:color w:val="FF6600"/>
        </w:rPr>
        <w:t xml:space="preserve">The proposed revisions to the rules appear to be missing language related to the use of priority offsets. OAR 340-224-0530 discusses the use of priority offsets. OAR 340-224-0530(1) states that “priority sources are sources identified in OAR 340-204-0320 for the designated area.” </w:t>
      </w:r>
    </w:p>
    <w:p w:rsidR="00183CB6" w:rsidRPr="00C73823" w:rsidRDefault="00183CB6" w:rsidP="00183CB6">
      <w:pPr>
        <w:rPr>
          <w:color w:val="FF6600"/>
        </w:rPr>
      </w:pPr>
    </w:p>
    <w:p w:rsidR="00183CB6" w:rsidRPr="00C73823" w:rsidRDefault="00183CB6" w:rsidP="00183CB6">
      <w:pPr>
        <w:rPr>
          <w:color w:val="FF6600"/>
        </w:rPr>
      </w:pPr>
      <w:r w:rsidRPr="00C73823">
        <w:rPr>
          <w:color w:val="FF6600"/>
        </w:rPr>
        <w:t xml:space="preserve">However, OAR 340-204-0320 only identifies priority offsets for the Lakeview Sustainment Area. Nonetheless, OAR 340-240-0550 and OAR 340-268-0030(1)(f) discuss the use of Klamath Falls PM10 and PM2.5 priority offsets. It appears that Klamath Falls priority offsets should be identified in OAR 340-204-0320 in order to given meaning to these provisions. Given the laudable goal of trying to enhance the use of offsets generated from wood stove replacements, AOI suggests that DEQ clarify that this is actually consistent with the rules. OAR 340-224-0510(4) requires that emission reductions used as offsets be equivalent to the emissions being offset in terms of short term, seasonal, and yearly time periods to mitigate the effects of the proposed emissions. Because woodstoves are only operated seasonally, offsets generated from their retirement arguably would not meet this requirement for an industrial source operating year round. We suggest that DEQ revise the rules to clarify that this is not an impediment to the use of wood stove derived offsets. </w:t>
      </w:r>
    </w:p>
    <w:p w:rsidR="00183CB6" w:rsidRPr="00C73823" w:rsidRDefault="00183CB6" w:rsidP="00183CB6">
      <w:pPr>
        <w:rPr>
          <w:color w:val="FF6600"/>
        </w:rPr>
      </w:pPr>
    </w:p>
    <w:p w:rsidR="00183CB6" w:rsidRPr="00C73823" w:rsidRDefault="00183CB6" w:rsidP="00183CB6">
      <w:pPr>
        <w:rPr>
          <w:color w:val="FF6600"/>
        </w:rPr>
      </w:pPr>
      <w:r w:rsidRPr="00C73823">
        <w:rPr>
          <w:color w:val="FF6600"/>
        </w:rPr>
        <w:t xml:space="preserve"> Impacts on Designated Areas </w:t>
      </w:r>
    </w:p>
    <w:p w:rsidR="00183CB6" w:rsidRPr="00C73823" w:rsidRDefault="00183CB6" w:rsidP="00183CB6">
      <w:pPr>
        <w:rPr>
          <w:color w:val="FF6600"/>
        </w:rPr>
      </w:pPr>
    </w:p>
    <w:p w:rsidR="00183CB6" w:rsidRPr="00C73823" w:rsidRDefault="00183CB6" w:rsidP="00183CB6">
      <w:pPr>
        <w:rPr>
          <w:color w:val="FF6600"/>
        </w:rPr>
      </w:pPr>
      <w:r w:rsidRPr="00C73823">
        <w:rPr>
          <w:color w:val="FF6600"/>
        </w:rPr>
        <w:t xml:space="preserve">There are a number of places in OAR 340-224 where the Department has proposed to revise the rules to make references to “designated areas.” DEQ also proposes to add a definition to OAR 340-200-0020 that would define a designated area as “an area that has been designated as an attainment, unclassified, sustainment, nonattainment, reattainment or maintenance area…” In other words, any place on land in the State of Oregon is a designated area. Based on that definition, Division 224 has significant drafting issues. For example, OAR 340-224-0070(4)(b) requires that a source having a significant impact in any designated area must demonstrate a net air quality benefit. In this place in Division 224, as well as many other places within the division, the term “designated area” is used as if to mean designated nonattainment or maintenance. That clearly was the intent in OAR 340-224-0070(4)(b). </w:t>
      </w:r>
    </w:p>
    <w:p w:rsidR="00183CB6" w:rsidRPr="00C73823" w:rsidRDefault="00183CB6" w:rsidP="00183CB6">
      <w:pPr>
        <w:rPr>
          <w:color w:val="FF6600"/>
        </w:rPr>
      </w:pPr>
    </w:p>
    <w:p w:rsidR="00183CB6" w:rsidRPr="00C73823" w:rsidRDefault="00183CB6" w:rsidP="00183CB6">
      <w:pPr>
        <w:rPr>
          <w:color w:val="FF6600"/>
        </w:rPr>
      </w:pPr>
      <w:r w:rsidRPr="00C73823">
        <w:rPr>
          <w:color w:val="FF6600"/>
        </w:rPr>
        <w:t>However, that is not how the term is defined in OAR 340-200-0020. It would make no sense for a source impacting an attainment area (i.e., one type of designated area), to have to comply with the net air quality benefit requirements. We believe that correcting issues like this would be one of the benefits of additional public involvement with the revisions to Division 224. At the very least, AOI suggests that the Department carefully scrutinize its use of the term “designated area.” Finally, if the Department really intends to extend net air quality benefit requirements to attainment or unclassified areas, AOI strongly objects as this is an extreme increase in rule stringency.</w:t>
      </w:r>
    </w:p>
    <w:p w:rsidR="00DF4D77" w:rsidRPr="00C73823" w:rsidRDefault="00DF4D77" w:rsidP="00183CB6">
      <w:pPr>
        <w:rPr>
          <w:color w:val="FF6600"/>
        </w:rPr>
      </w:pPr>
    </w:p>
    <w:p w:rsidR="00DF4D77" w:rsidRPr="00C73823" w:rsidRDefault="00DF4D77" w:rsidP="00DF4D77">
      <w:pPr>
        <w:rPr>
          <w:color w:val="FF6600"/>
        </w:rPr>
      </w:pPr>
      <w:r w:rsidRPr="00C73823">
        <w:rPr>
          <w:color w:val="FF6600"/>
        </w:rPr>
        <w:t xml:space="preserve">Air Quality Analysis (Division 225) </w:t>
      </w:r>
    </w:p>
    <w:p w:rsidR="00DF4D77" w:rsidRPr="00C73823" w:rsidRDefault="00DF4D77" w:rsidP="00DF4D77">
      <w:pPr>
        <w:rPr>
          <w:color w:val="FF6600"/>
        </w:rPr>
      </w:pPr>
    </w:p>
    <w:p w:rsidR="00DF4D77" w:rsidRPr="00C73823" w:rsidRDefault="00DF4D77" w:rsidP="00DF4D77">
      <w:pPr>
        <w:rPr>
          <w:color w:val="FF6600"/>
        </w:rPr>
      </w:pPr>
      <w:r w:rsidRPr="00C73823">
        <w:rPr>
          <w:color w:val="FF6600"/>
        </w:rPr>
        <w:t xml:space="preserve">Class II Competing Source Modeling (OAR 340-225-0050) </w:t>
      </w:r>
    </w:p>
    <w:p w:rsidR="00DF4D77" w:rsidRPr="00C73823" w:rsidRDefault="00DF4D77" w:rsidP="00DF4D77">
      <w:pPr>
        <w:rPr>
          <w:color w:val="FF6600"/>
        </w:rPr>
      </w:pPr>
    </w:p>
    <w:p w:rsidR="00E41077" w:rsidRPr="00C73823" w:rsidRDefault="00DF4D77" w:rsidP="00E41077">
      <w:pPr>
        <w:rPr>
          <w:color w:val="FF6600"/>
        </w:rPr>
      </w:pPr>
      <w:r w:rsidRPr="00C73823">
        <w:rPr>
          <w:color w:val="FF6600"/>
        </w:rPr>
        <w:t>AOI is concerned that the wording in OAR 340-225-0050(3) creates an unintentional conflict with OAR 340-225-0050(1). We understand that the intent of OAR 340-225-0050 is to state that a source triggering the modeling requirements in this section must demonstrate that its impacts are below the SILs and also demonstrate that those SILs are adequately protective. If this showing cannot be made, then the source must perform a competing source analysis as specified in OAR 340-225-0050(2). However, OAR 340-225-0050(3) then states that the source must demonstrate that it will not cause or contribute to an AAQS or increment</w:t>
      </w:r>
      <w:r w:rsidR="00E41077" w:rsidRPr="00C73823">
        <w:rPr>
          <w:color w:val="FF6600"/>
        </w:rPr>
        <w:t xml:space="preserve"> exceedance. Either -0050(3) duplicates what is stated in -0050(1) or it is imposing an entirely different requirement. As a basic canon of judicial regulatory review is that agencies do not repeat themselves, -0050(3) must be read to require an additional evaluation beyond the evaluation in -0050(1) which ensures protection of the AAQS and increment. That strongly suggests a competing source analysis. Because we do not believe that this is necessary where a source meets its obligations under -0050(1), we encourage the Department to delete the proposed language -0050(3). </w:t>
      </w:r>
    </w:p>
    <w:p w:rsidR="00E41077" w:rsidRPr="00C73823" w:rsidRDefault="00E41077" w:rsidP="00E41077">
      <w:pPr>
        <w:rPr>
          <w:color w:val="FF6600"/>
        </w:rPr>
      </w:pPr>
    </w:p>
    <w:p w:rsidR="00E41077" w:rsidRPr="00C73823" w:rsidRDefault="00E41077" w:rsidP="00E41077">
      <w:pPr>
        <w:rPr>
          <w:color w:val="FF6600"/>
        </w:rPr>
      </w:pPr>
      <w:r w:rsidRPr="00C73823">
        <w:rPr>
          <w:color w:val="FF6600"/>
        </w:rPr>
        <w:t xml:space="preserve">Air Quality Related Values in the Columbia River Gorge National Scenic Area (OAR </w:t>
      </w:r>
    </w:p>
    <w:p w:rsidR="00E41077" w:rsidRPr="00C73823" w:rsidRDefault="00E41077" w:rsidP="00E41077">
      <w:pPr>
        <w:rPr>
          <w:color w:val="FF6600"/>
        </w:rPr>
      </w:pPr>
    </w:p>
    <w:p w:rsidR="00E41077" w:rsidRPr="00C73823" w:rsidRDefault="00E41077" w:rsidP="00E41077">
      <w:pPr>
        <w:rPr>
          <w:color w:val="FF6600"/>
        </w:rPr>
      </w:pPr>
      <w:r w:rsidRPr="00C73823">
        <w:rPr>
          <w:color w:val="FF6600"/>
        </w:rPr>
        <w:t xml:space="preserve">340-225-0070(4)(b) and -0070(7)) </w:t>
      </w:r>
    </w:p>
    <w:p w:rsidR="00E41077" w:rsidRPr="00C73823" w:rsidRDefault="00E41077" w:rsidP="00E41077">
      <w:pPr>
        <w:rPr>
          <w:color w:val="FF6600"/>
        </w:rPr>
      </w:pPr>
    </w:p>
    <w:p w:rsidR="00E41077" w:rsidRPr="00C73823" w:rsidRDefault="00E41077" w:rsidP="00E41077">
      <w:pPr>
        <w:rPr>
          <w:color w:val="FF6600"/>
        </w:rPr>
      </w:pPr>
      <w:r w:rsidRPr="00C73823">
        <w:rPr>
          <w:color w:val="FF6600"/>
        </w:rPr>
        <w:t xml:space="preserve">AOI objects to the Department’s proposal to treat the Columbia River Gorge National Scenic Area (Scenic Area) as a federal Class I area by requiring (for the first time) sources to assess potential visibility and deposition impacts on the Scenic Area. This proposal runs contrary to the Department’s intent for this rulemaking to streamline the state’s air permitting program. </w:t>
      </w:r>
    </w:p>
    <w:p w:rsidR="00E41077" w:rsidRPr="00C73823" w:rsidRDefault="00E41077" w:rsidP="00E41077">
      <w:pPr>
        <w:rPr>
          <w:color w:val="FF6600"/>
        </w:rPr>
      </w:pPr>
    </w:p>
    <w:p w:rsidR="00E41077" w:rsidRPr="00C73823" w:rsidRDefault="00E41077" w:rsidP="00E41077">
      <w:pPr>
        <w:rPr>
          <w:color w:val="FF6600"/>
        </w:rPr>
      </w:pPr>
      <w:r w:rsidRPr="00C73823">
        <w:rPr>
          <w:color w:val="FF6600"/>
        </w:rPr>
        <w:t xml:space="preserve">This proposal is unworkable, would inject inappropriate uncertainty into permitting of federal major sources, and is unnecessary. We thus urge the Department to retract its proposed changes to OAR 340-225-0070(4)(b) and -0070(7). The Department should retain its current approach of encouraging, rather than mandating, applicants to evaluate visibility and deposition impacts to the Scenic Area. </w:t>
      </w:r>
    </w:p>
    <w:p w:rsidR="00E41077" w:rsidRPr="00C73823" w:rsidRDefault="00E41077" w:rsidP="00E41077">
      <w:pPr>
        <w:rPr>
          <w:color w:val="FF6600"/>
        </w:rPr>
      </w:pPr>
    </w:p>
    <w:p w:rsidR="00DF4D77" w:rsidRPr="00C73823" w:rsidRDefault="00E41077" w:rsidP="00E41077">
      <w:pPr>
        <w:rPr>
          <w:color w:val="FF6600"/>
        </w:rPr>
      </w:pPr>
      <w:r w:rsidRPr="00C73823">
        <w:rPr>
          <w:color w:val="FF6600"/>
        </w:rPr>
        <w:t>The proposal to mandate Scenic Area visibility and deposition analyses appears to be based on the faulty premise that a source can complete these analyses using the same approach prescribed for federal Class I areas. The approach for federal Class I areas is provided in the Federal Land Managers’ Air Quality Related Values Work Group (FLAG) guidance. FLAG establishes standards against which to evaluate visibility and deposition impacts to Class I areas. However, neither the FLAG guidance nor the Department’s rules establish standards applicable to the Scenic Area. In the absence of such standards, the Department’s proposal to mandate Class I-style visibility and deposition analyses for the Scenic Area is unworkable.</w:t>
      </w:r>
    </w:p>
    <w:p w:rsidR="00E41077" w:rsidRPr="00C73823" w:rsidRDefault="00E41077" w:rsidP="00E41077">
      <w:pPr>
        <w:rPr>
          <w:color w:val="FF6600"/>
        </w:rPr>
      </w:pPr>
    </w:p>
    <w:p w:rsidR="00E41077" w:rsidRPr="00C73823" w:rsidRDefault="00E41077" w:rsidP="00E41077">
      <w:pPr>
        <w:rPr>
          <w:color w:val="FF6600"/>
        </w:rPr>
      </w:pPr>
      <w:r w:rsidRPr="00C73823">
        <w:rPr>
          <w:color w:val="FF6600"/>
        </w:rPr>
        <w:t xml:space="preserve">The Department’s proposal would erode the important distinction for air permitting purposes between Class I areas and the Scenic Area. The Scenic Area is not a Class I area and, therefore, it is properly not subject to Class I visibility and deposition standards. Class I areas consist of pristine areas managed toward Congress’s goal of returning them to “natural conditions” devoid of any impairment attributable to humans. In stark contrast, the Scenic Area has significant residential, industrial, and transportation development, and is deliberately managed for economic development, among other goals. The Department specifically recognizes the fundamental difference between the Scenic Area and Class I areas; this distinction is a core principle underlying the Department’s Columbia River Gorge Air Study and Strategy. In the context of recent permitting actions, the Department has consistently and publicly concluded that the Class I evaluation criteria do not and cannot apply within the Scenic Area. </w:t>
      </w:r>
    </w:p>
    <w:p w:rsidR="00E41077" w:rsidRPr="00C73823" w:rsidRDefault="00E41077" w:rsidP="00E41077">
      <w:pPr>
        <w:rPr>
          <w:color w:val="FF6600"/>
        </w:rPr>
      </w:pPr>
    </w:p>
    <w:p w:rsidR="00E41077" w:rsidRPr="00C73823" w:rsidRDefault="00E41077" w:rsidP="00E41077">
      <w:pPr>
        <w:rPr>
          <w:color w:val="FF6600"/>
        </w:rPr>
      </w:pPr>
      <w:r w:rsidRPr="00C73823">
        <w:rPr>
          <w:color w:val="FF6600"/>
        </w:rPr>
        <w:t xml:space="preserve">The Department’s proposal would call this regulatory structure into question, casting a shadow of uncertainty on all federal major source permitting actions with any potential visibility and deposition impacts on the Scenic Area. If the Department’s proposal is finalized, sources will be required to complete, at significant expense, a Class I-style evaluation of impacts to the Scenic Area knowing the Department could deny the air permit upon a finding of “significant impairment” </w:t>
      </w:r>
      <w:r w:rsidRPr="00C73823">
        <w:rPr>
          <w:color w:val="FF6600"/>
        </w:rPr>
        <w:lastRenderedPageBreak/>
        <w:t xml:space="preserve">but without knowing the standards the Department would apply to evaluate impacts and lacking any assurance that Class I criteria would not be used. </w:t>
      </w:r>
    </w:p>
    <w:p w:rsidR="00E41077" w:rsidRPr="00C73823" w:rsidRDefault="00E41077" w:rsidP="00E41077">
      <w:pPr>
        <w:rPr>
          <w:color w:val="FF6600"/>
        </w:rPr>
      </w:pPr>
    </w:p>
    <w:p w:rsidR="00E41077" w:rsidRPr="00C73823" w:rsidRDefault="00E41077" w:rsidP="00E41077">
      <w:pPr>
        <w:rPr>
          <w:color w:val="FF6600"/>
        </w:rPr>
      </w:pPr>
      <w:r w:rsidRPr="00C73823">
        <w:rPr>
          <w:color w:val="FF6600"/>
        </w:rPr>
        <w:t xml:space="preserve">Beyond these flaws, the Department’s proposal changes are unnecessary. The current rules, which encourage rather than require federal major sources to assess Scenic Area impacts, strike the correct balance between the public’s legitimate interest in understanding potential impacts to the Scenic Area and ensuring that evaluation remains distinct from the air permitting requirements applicable to Class I areas. We are unaware of any situation where a source declined to perform the voluntary modeling. Therefore, the proposed language appears to be a solution in search of a problem. </w:t>
      </w:r>
    </w:p>
    <w:p w:rsidR="00E41077" w:rsidRPr="00C73823" w:rsidRDefault="00E41077" w:rsidP="00E41077">
      <w:pPr>
        <w:rPr>
          <w:color w:val="FF6600"/>
        </w:rPr>
      </w:pPr>
    </w:p>
    <w:p w:rsidR="00E41077" w:rsidRPr="00C73823" w:rsidRDefault="00E41077" w:rsidP="00E41077">
      <w:pPr>
        <w:rPr>
          <w:color w:val="FF6600"/>
        </w:rPr>
      </w:pPr>
      <w:r w:rsidRPr="00C73823">
        <w:rPr>
          <w:color w:val="FF6600"/>
        </w:rPr>
        <w:t xml:space="preserve">For all these reasons, we request that the Department eliminate its proposed revisions to OAR 340-225-0070(4)(b) and -0070(7). </w:t>
      </w:r>
    </w:p>
    <w:p w:rsidR="00E41077" w:rsidRPr="00C73823" w:rsidRDefault="00E41077" w:rsidP="00E41077">
      <w:pPr>
        <w:rPr>
          <w:color w:val="FF6600"/>
        </w:rPr>
      </w:pPr>
    </w:p>
    <w:p w:rsidR="00E41077" w:rsidRPr="00C73823" w:rsidRDefault="00E41077" w:rsidP="00E41077">
      <w:pPr>
        <w:rPr>
          <w:color w:val="FF6600"/>
        </w:rPr>
      </w:pPr>
      <w:r w:rsidRPr="00C73823">
        <w:rPr>
          <w:color w:val="FF6600"/>
        </w:rPr>
        <w:t xml:space="preserve">Fuel Burning Equipment (Division 228) </w:t>
      </w:r>
    </w:p>
    <w:p w:rsidR="00E41077" w:rsidRPr="00C73823" w:rsidRDefault="00E41077" w:rsidP="00E41077">
      <w:pPr>
        <w:rPr>
          <w:color w:val="FF6600"/>
        </w:rPr>
      </w:pPr>
    </w:p>
    <w:p w:rsidR="00E41077" w:rsidRPr="00C73823" w:rsidRDefault="00E41077" w:rsidP="00E41077">
      <w:pPr>
        <w:rPr>
          <w:color w:val="FF6600"/>
        </w:rPr>
      </w:pPr>
      <w:r w:rsidRPr="00C73823">
        <w:rPr>
          <w:color w:val="FF6600"/>
        </w:rPr>
        <w:t xml:space="preserve"> Definition of Fuel Burning Equipment (OAR 340-200-0020(69) and OAR 340-228-</w:t>
      </w:r>
    </w:p>
    <w:p w:rsidR="00E41077" w:rsidRPr="00C73823" w:rsidRDefault="00E41077" w:rsidP="00E41077">
      <w:pPr>
        <w:rPr>
          <w:color w:val="FF6600"/>
        </w:rPr>
      </w:pPr>
    </w:p>
    <w:p w:rsidR="00E41077" w:rsidRPr="00C73823" w:rsidRDefault="00E41077" w:rsidP="00E41077">
      <w:pPr>
        <w:rPr>
          <w:color w:val="FF6600"/>
        </w:rPr>
      </w:pPr>
      <w:r w:rsidRPr="00C73823">
        <w:rPr>
          <w:color w:val="FF6600"/>
        </w:rPr>
        <w:t xml:space="preserve">0020(4) </w:t>
      </w:r>
    </w:p>
    <w:p w:rsidR="00E41077" w:rsidRPr="00C73823" w:rsidRDefault="00E41077" w:rsidP="00E41077">
      <w:pPr>
        <w:rPr>
          <w:color w:val="FF6600"/>
        </w:rPr>
      </w:pPr>
    </w:p>
    <w:p w:rsidR="00E41077" w:rsidRPr="00C73823" w:rsidRDefault="00E41077" w:rsidP="00E41077">
      <w:pPr>
        <w:rPr>
          <w:color w:val="FF6600"/>
        </w:rPr>
      </w:pPr>
      <w:r w:rsidRPr="00C73823">
        <w:rPr>
          <w:color w:val="FF6600"/>
        </w:rPr>
        <w:t>The Department proposes to change the definition of “fuel burning equipment” from the definition on the books for decades to something much more expansive. “Fuel Burning equipment” has long been defined, somewhat counter-intuitively, as exclusively fuel burning equipment producing heat or power by indirect heat transfer. In other words, fuel burning equipment was essentially limited to boilers. DEQ proposes to change that definition to include dryers and process heaters. This will result in the SO2 standards becoming applicable requirements for these newly covered units. Because we do not believe that the Department intended to change the applicable requirements, we request that OAR 340-228-0200 be revised to specify that it only applies to fuel burning equipment producing heat or power by indirect heat transfer, i.e., limit that rule to the equipment covered by the definition of fuel burning equipment for which the rule was written.</w:t>
      </w:r>
    </w:p>
    <w:p w:rsidR="00E41077" w:rsidRPr="00C73823" w:rsidRDefault="00E41077" w:rsidP="00E41077">
      <w:pPr>
        <w:rPr>
          <w:color w:val="FF6600"/>
        </w:rPr>
      </w:pPr>
    </w:p>
    <w:p w:rsidR="00E41077" w:rsidRPr="00C73823" w:rsidRDefault="00E41077" w:rsidP="00E41077">
      <w:pPr>
        <w:rPr>
          <w:color w:val="FF6600"/>
        </w:rPr>
      </w:pPr>
      <w:r w:rsidRPr="00C73823">
        <w:rPr>
          <w:color w:val="FF6600"/>
        </w:rPr>
        <w:t xml:space="preserve">Limitation on Coal Sulfur (OAR 340-228-0120) </w:t>
      </w:r>
    </w:p>
    <w:p w:rsidR="00E41077" w:rsidRPr="00C73823" w:rsidRDefault="00E41077" w:rsidP="00E41077">
      <w:pPr>
        <w:rPr>
          <w:color w:val="FF6600"/>
        </w:rPr>
      </w:pPr>
    </w:p>
    <w:p w:rsidR="00E41077" w:rsidRPr="00C73823" w:rsidRDefault="00E41077" w:rsidP="00E41077">
      <w:pPr>
        <w:rPr>
          <w:color w:val="FF6600"/>
        </w:rPr>
      </w:pPr>
      <w:r w:rsidRPr="00C73823">
        <w:rPr>
          <w:color w:val="FF6600"/>
        </w:rPr>
        <w:t xml:space="preserve">AOI believes that there is a typographical error as the result of a “search and replace” function. DEQ has attempted to all uses of the term “shall” to “must.” As a result, this rule says that no person must sell coal greater than 1.0 percent sulfur by weight (OAR 340-228-0120(1)) or 0.3 percent sulfur (OAR 340-228-0120(2)). While we certainly hope that this statement is true, we do not believe that it was what was intended by the change. </w:t>
      </w:r>
    </w:p>
    <w:p w:rsidR="00E41077" w:rsidRPr="00C73823" w:rsidRDefault="00E41077" w:rsidP="00E41077">
      <w:pPr>
        <w:rPr>
          <w:color w:val="FF6600"/>
        </w:rPr>
      </w:pPr>
    </w:p>
    <w:p w:rsidR="00E41077" w:rsidRPr="00C73823" w:rsidRDefault="00E41077" w:rsidP="00E41077">
      <w:pPr>
        <w:rPr>
          <w:color w:val="FF6600"/>
        </w:rPr>
      </w:pPr>
      <w:r w:rsidRPr="00C73823">
        <w:rPr>
          <w:color w:val="FF6600"/>
        </w:rPr>
        <w:t xml:space="preserve">Expansion of Gasoline Marine Loading Rules to Other Materials (OAR 340-232-0110) </w:t>
      </w:r>
    </w:p>
    <w:p w:rsidR="00E41077" w:rsidRPr="00C73823" w:rsidRDefault="00E41077" w:rsidP="00E41077">
      <w:pPr>
        <w:rPr>
          <w:color w:val="FF6600"/>
        </w:rPr>
      </w:pPr>
    </w:p>
    <w:p w:rsidR="00E41077" w:rsidRPr="00C73823" w:rsidRDefault="00E41077" w:rsidP="00E41077">
      <w:pPr>
        <w:rPr>
          <w:color w:val="FF6600"/>
        </w:rPr>
      </w:pPr>
      <w:r w:rsidRPr="00C73823">
        <w:rPr>
          <w:color w:val="FF6600"/>
        </w:rPr>
        <w:lastRenderedPageBreak/>
        <w:t xml:space="preserve">The Department proposes to expand the requirements applicable to marine loading of gasoline to include the marine loading of any VOC liquid with a true vapor pressure greater than 10.5 kPa (1.52 psia) that occurs in the Portland Air Quality Maintenance Area. The Department provides no basis for this change and it is not clear why it is being included as part of this rulemaking. No basis has been provided for the change and the change has not been discussed in any of DEQ’s public meetings about the rules. There also does not appear to be any basis for removing the flexibility in the current rules that allows a loading facility to request written approval from the Department to use an alternative monitoring method from the one identified in the rule. Given the ever expanding world of acceptable test methods, removing this flexibility from the rule seems self-defeating. </w:t>
      </w:r>
    </w:p>
    <w:p w:rsidR="00E41077" w:rsidRPr="00C73823" w:rsidRDefault="00E41077" w:rsidP="00E41077">
      <w:pPr>
        <w:rPr>
          <w:color w:val="FF6600"/>
        </w:rPr>
      </w:pPr>
    </w:p>
    <w:p w:rsidR="00E41077" w:rsidRPr="00C73823" w:rsidRDefault="00E41077" w:rsidP="00E41077">
      <w:pPr>
        <w:rPr>
          <w:color w:val="FF6600"/>
        </w:rPr>
      </w:pPr>
      <w:r w:rsidRPr="00C73823">
        <w:rPr>
          <w:color w:val="FF6600"/>
        </w:rPr>
        <w:t xml:space="preserve">For these reasons, AOI requests that the Department address this rule through a separate rulemaking that identifies the basis for expanding the coverage of this rule rather than including it in this already unduly complex rulemaking. </w:t>
      </w:r>
    </w:p>
    <w:p w:rsidR="00E41077" w:rsidRPr="00C73823" w:rsidRDefault="00E41077" w:rsidP="00E41077">
      <w:pPr>
        <w:rPr>
          <w:color w:val="FF6600"/>
        </w:rPr>
      </w:pPr>
    </w:p>
    <w:p w:rsidR="00E41077" w:rsidRPr="00C73823" w:rsidRDefault="00E41077" w:rsidP="00E41077">
      <w:pPr>
        <w:rPr>
          <w:color w:val="FF6600"/>
        </w:rPr>
      </w:pPr>
      <w:r w:rsidRPr="00C73823">
        <w:rPr>
          <w:color w:val="FF6600"/>
        </w:rPr>
        <w:t xml:space="preserve">Hardboard Rule Revisions (OAR 340-234-0530) </w:t>
      </w:r>
    </w:p>
    <w:p w:rsidR="00E41077" w:rsidRPr="00C73823" w:rsidRDefault="00E41077" w:rsidP="00E41077">
      <w:pPr>
        <w:rPr>
          <w:color w:val="FF6600"/>
        </w:rPr>
      </w:pPr>
    </w:p>
    <w:p w:rsidR="00E41077" w:rsidRPr="00C73823" w:rsidRDefault="00E41077" w:rsidP="00E41077">
      <w:pPr>
        <w:rPr>
          <w:color w:val="FF6600"/>
        </w:rPr>
      </w:pPr>
      <w:r w:rsidRPr="00C73823">
        <w:rPr>
          <w:color w:val="FF6600"/>
        </w:rPr>
        <w:t xml:space="preserve">AOI notes that in OAR 340-234-0530(3)(b), the language needs some work. The proposed revision reads “Specific operating temperatures lower than 1500° F. may be approved by DEQ using 40 CFR Part 63, Subpart DDDD, NESHAP for Plywood and Composite Wood Products.” </w:t>
      </w:r>
    </w:p>
    <w:p w:rsidR="00E41077" w:rsidRPr="00C73823" w:rsidRDefault="00E41077" w:rsidP="00E41077">
      <w:pPr>
        <w:rPr>
          <w:color w:val="FF6600"/>
        </w:rPr>
      </w:pPr>
    </w:p>
    <w:p w:rsidR="00E41077" w:rsidRPr="00C73823" w:rsidRDefault="00E41077" w:rsidP="00E41077">
      <w:pPr>
        <w:rPr>
          <w:color w:val="FF6600"/>
        </w:rPr>
      </w:pPr>
      <w:r w:rsidRPr="00C73823">
        <w:rPr>
          <w:color w:val="FF6600"/>
        </w:rPr>
        <w:t xml:space="preserve">This language does not make sense. If the intent is to require the procedures of 40 CFR 63.2262, then we recommend that the rule be revised to say that. </w:t>
      </w:r>
    </w:p>
    <w:p w:rsidR="00E41077" w:rsidRPr="00C73823" w:rsidRDefault="00E41077" w:rsidP="00E41077">
      <w:pPr>
        <w:rPr>
          <w:color w:val="FF6600"/>
        </w:rPr>
      </w:pPr>
    </w:p>
    <w:p w:rsidR="00E41077" w:rsidRPr="00C73823" w:rsidRDefault="00E41077" w:rsidP="00E41077">
      <w:pPr>
        <w:rPr>
          <w:color w:val="FF6600"/>
        </w:rPr>
      </w:pPr>
      <w:r w:rsidRPr="00C73823">
        <w:rPr>
          <w:color w:val="FF6600"/>
        </w:rPr>
        <w:t xml:space="preserve">Compliance Testing Requirements (OAR 340-240-0050) </w:t>
      </w:r>
    </w:p>
    <w:p w:rsidR="00E41077" w:rsidRPr="00C73823" w:rsidRDefault="00E41077" w:rsidP="00E41077">
      <w:pPr>
        <w:rPr>
          <w:color w:val="FF6600"/>
        </w:rPr>
      </w:pPr>
    </w:p>
    <w:p w:rsidR="00E41077" w:rsidRPr="00C73823" w:rsidRDefault="00E41077" w:rsidP="00E41077">
      <w:pPr>
        <w:rPr>
          <w:color w:val="FF6600"/>
        </w:rPr>
      </w:pPr>
      <w:r w:rsidRPr="00C73823">
        <w:rPr>
          <w:color w:val="FF6600"/>
        </w:rPr>
        <w:t>DEQ is proposing that particulate compliance testing on biomass boilers be performed using only DEQ Method 5. AOI is concerned that specifying only this test method may be too limiting and not allow the use of an alternative test method, if needed and as appropriate. Recent testing of an Oregon biomass boiler identified substantial test interference where ammonia was injected as a control. This required the use of an EPA Conditional Test Method in order to obtain accurate emission results. This recent example exemplifies the need for flexibility in identifying test methods. Mandating the test method in the rules eliminates such flexibility. AOI requests that DEQ add language to the rule that would allow a source to use an alternative test method if the alternative test method is approved by DEQ prior to conducting the test.</w:t>
      </w:r>
    </w:p>
    <w:p w:rsidR="00E41077" w:rsidRPr="00C73823" w:rsidRDefault="00E41077" w:rsidP="00E41077">
      <w:pPr>
        <w:rPr>
          <w:color w:val="FF6600"/>
        </w:rPr>
      </w:pPr>
    </w:p>
    <w:p w:rsidR="00C91953" w:rsidRPr="00C73823" w:rsidRDefault="00C91953" w:rsidP="00C91953">
      <w:pPr>
        <w:rPr>
          <w:color w:val="FF6600"/>
        </w:rPr>
      </w:pPr>
      <w:r w:rsidRPr="00C73823">
        <w:rPr>
          <w:color w:val="FF6600"/>
        </w:rPr>
        <w:t xml:space="preserve">Emission Standards for Gasoline Dispensing Facilities (340-244) </w:t>
      </w:r>
    </w:p>
    <w:p w:rsidR="00C91953" w:rsidRPr="00C73823" w:rsidRDefault="00C91953" w:rsidP="00C91953">
      <w:pPr>
        <w:rPr>
          <w:color w:val="FF6600"/>
        </w:rPr>
      </w:pPr>
    </w:p>
    <w:p w:rsidR="00C91953" w:rsidRPr="00C73823" w:rsidRDefault="00C91953" w:rsidP="00C91953">
      <w:pPr>
        <w:rPr>
          <w:color w:val="FF6600"/>
        </w:rPr>
      </w:pPr>
      <w:r w:rsidRPr="00C73823">
        <w:rPr>
          <w:color w:val="FF6600"/>
        </w:rPr>
        <w:t xml:space="preserve">AOI supports the revision to the Gasoline Dispensing Facility (GDF) NESHAP reducing the reporting burden for sources with low throughputs. However, we question why the Department retains the state-only provisions of this rule at all. The state-only provisions are burdensome to industry and have provided little benefit to </w:t>
      </w:r>
      <w:r w:rsidRPr="00C73823">
        <w:rPr>
          <w:color w:val="FF6600"/>
        </w:rPr>
        <w:lastRenderedPageBreak/>
        <w:t xml:space="preserve">the environment. AOI encourages DEQ to remove the state-only provisions of this rule and not just limit the changes to decreasing the annual reporting obligations for facilities with a monthly throughput of 10,000 gallons of gasoline or more. </w:t>
      </w:r>
    </w:p>
    <w:p w:rsidR="00C91953" w:rsidRPr="00C73823" w:rsidRDefault="00C91953" w:rsidP="00C91953">
      <w:pPr>
        <w:rPr>
          <w:color w:val="FF6600"/>
        </w:rPr>
      </w:pPr>
    </w:p>
    <w:p w:rsidR="00C91953" w:rsidRPr="00C73823" w:rsidRDefault="00C91953" w:rsidP="00C91953">
      <w:pPr>
        <w:rPr>
          <w:color w:val="FF6600"/>
        </w:rPr>
      </w:pPr>
      <w:r w:rsidRPr="00C73823">
        <w:rPr>
          <w:color w:val="FF6600"/>
        </w:rPr>
        <w:t>Continuous Monitoring Manual</w:t>
      </w:r>
    </w:p>
    <w:p w:rsidR="00C91953" w:rsidRPr="00C73823" w:rsidRDefault="00C91953" w:rsidP="00C91953">
      <w:pPr>
        <w:rPr>
          <w:color w:val="FF6600"/>
        </w:rPr>
      </w:pPr>
    </w:p>
    <w:p w:rsidR="00C91953" w:rsidRPr="00C73823" w:rsidRDefault="00C91953" w:rsidP="00C91953">
      <w:pPr>
        <w:rPr>
          <w:color w:val="FF6600"/>
        </w:rPr>
      </w:pPr>
      <w:r w:rsidRPr="00C73823">
        <w:rPr>
          <w:color w:val="FF6600"/>
        </w:rPr>
        <w:t xml:space="preserve"> Submittal Requirements </w:t>
      </w:r>
    </w:p>
    <w:p w:rsidR="00C91953" w:rsidRPr="00C73823" w:rsidRDefault="00C91953" w:rsidP="00C91953">
      <w:pPr>
        <w:rPr>
          <w:color w:val="FF6600"/>
        </w:rPr>
      </w:pPr>
    </w:p>
    <w:p w:rsidR="00C91953" w:rsidRPr="00C73823" w:rsidRDefault="00C91953" w:rsidP="00C91953">
      <w:pPr>
        <w:rPr>
          <w:color w:val="FF6600"/>
        </w:rPr>
      </w:pPr>
      <w:r w:rsidRPr="00C73823">
        <w:rPr>
          <w:color w:val="FF6600"/>
        </w:rPr>
        <w:t xml:space="preserve">The proposed revised Continuous Monitoring Manual is not clear as to whether quarterly performance audits must be submitted to the Department. We read Section B.2.1.b to require that quarterly audits be performed, but to no longer require that these quarterly audits be submitted to the Department. We suggest that this be clarified in the Manual. </w:t>
      </w:r>
    </w:p>
    <w:p w:rsidR="00C91953" w:rsidRPr="00C73823" w:rsidRDefault="00C91953" w:rsidP="00C91953">
      <w:pPr>
        <w:rPr>
          <w:color w:val="FF6600"/>
        </w:rPr>
      </w:pPr>
    </w:p>
    <w:p w:rsidR="00C91953" w:rsidRPr="00C73823" w:rsidRDefault="00C91953" w:rsidP="00C91953">
      <w:pPr>
        <w:rPr>
          <w:color w:val="FF6600"/>
        </w:rPr>
      </w:pPr>
      <w:r w:rsidRPr="00C73823">
        <w:rPr>
          <w:color w:val="FF6600"/>
        </w:rPr>
        <w:t xml:space="preserve"> Continuous Opacity Monitor Requirements </w:t>
      </w:r>
    </w:p>
    <w:p w:rsidR="00C91953" w:rsidRPr="00C73823" w:rsidRDefault="00C91953" w:rsidP="00C91953">
      <w:pPr>
        <w:rPr>
          <w:color w:val="FF6600"/>
        </w:rPr>
      </w:pPr>
    </w:p>
    <w:p w:rsidR="00C91953" w:rsidRPr="00C73823" w:rsidRDefault="00C91953" w:rsidP="00C91953">
      <w:pPr>
        <w:rPr>
          <w:color w:val="FF6600"/>
        </w:rPr>
      </w:pPr>
      <w:r w:rsidRPr="00C73823">
        <w:rPr>
          <w:color w:val="FF6600"/>
        </w:rPr>
        <w:t xml:space="preserve">Section C.2.3.a.iii of the proposed Continuous Monitoring Manual requires generating an average where the aggregate number of opacity readings over the limit exceeds 3 minutes. This reference is to the opacity monitoring approach that DEQ is proposing to delete and replace with a federal-style 6 minute average. Therefore, we believe that Section C.2.3.a.iii should be deleted. </w:t>
      </w:r>
    </w:p>
    <w:p w:rsidR="00C91953" w:rsidRPr="00C73823" w:rsidRDefault="00C91953" w:rsidP="00C91953">
      <w:pPr>
        <w:rPr>
          <w:color w:val="FF6600"/>
        </w:rPr>
      </w:pPr>
    </w:p>
    <w:p w:rsidR="00C91953" w:rsidRPr="00C73823" w:rsidRDefault="00C91953" w:rsidP="00C91953">
      <w:pPr>
        <w:rPr>
          <w:color w:val="FF6600"/>
        </w:rPr>
      </w:pPr>
      <w:r w:rsidRPr="00C73823">
        <w:rPr>
          <w:color w:val="FF6600"/>
        </w:rPr>
        <w:t xml:space="preserve"> Records Related to SSM Events </w:t>
      </w:r>
    </w:p>
    <w:p w:rsidR="00C91953" w:rsidRPr="00C73823" w:rsidRDefault="00C91953" w:rsidP="00C91953">
      <w:pPr>
        <w:rPr>
          <w:color w:val="FF6600"/>
        </w:rPr>
      </w:pPr>
    </w:p>
    <w:p w:rsidR="00C91953" w:rsidRPr="00C73823" w:rsidRDefault="00C91953" w:rsidP="00C91953">
      <w:pPr>
        <w:rPr>
          <w:color w:val="FF6600"/>
        </w:rPr>
      </w:pPr>
      <w:r w:rsidRPr="00C73823">
        <w:rPr>
          <w:color w:val="FF6600"/>
        </w:rPr>
        <w:t>Section C.2.6 requires “specific identification of each period of excess emissions that occurs during startups, shutdowns, and malfunctions of the affected source.” The language goes on to require that the nature and causes of any malfunction. The corrective action taken and the preventative measures adopted must be recorded as part of the continuous monitoring program. This proposed requirement exceeds what is required by EPA in 40 CFR 60.7(b) and is not appropriate to be imposed via the Continuo</w:t>
      </w:r>
      <w:bookmarkStart w:id="0" w:name="_GoBack"/>
      <w:bookmarkEnd w:id="0"/>
      <w:r w:rsidRPr="00C73823">
        <w:rPr>
          <w:color w:val="FF6600"/>
        </w:rPr>
        <w:t xml:space="preserve">us Monitoring Manual. To the extent that such information is required, it is addressed in the excess emissions reporting requirements in Division 214. The Manual is not an appropriate place to establish additional substantive requirements. </w:t>
      </w:r>
    </w:p>
    <w:p w:rsidR="00C91953" w:rsidRPr="00C73823" w:rsidRDefault="00C91953" w:rsidP="00C91953">
      <w:pPr>
        <w:rPr>
          <w:color w:val="FF6600"/>
        </w:rPr>
      </w:pPr>
    </w:p>
    <w:p w:rsidR="00E41077" w:rsidRPr="00C73823" w:rsidRDefault="00C91953" w:rsidP="00C91953">
      <w:pPr>
        <w:rPr>
          <w:color w:val="FF6600"/>
        </w:rPr>
      </w:pPr>
      <w:r w:rsidRPr="00C73823">
        <w:rPr>
          <w:color w:val="FF6600"/>
        </w:rPr>
        <w:t>AOI thanks the Department for the opportunity to comment on these important rules. We also thank the Department for granting the time extension, allowing all parties to prepare comments that will be as useful as possible for the agency. Finally, AOI has enjoyed a long and very productive association with the Department, one we highly value. These comments are offered with the spirit and intent of maintaining that relationship and producing the best possible product for Oregon.</w:t>
      </w:r>
    </w:p>
    <w:p w:rsidR="00C23B8C" w:rsidRPr="00C73823" w:rsidRDefault="00C23B8C" w:rsidP="00C91953">
      <w:pPr>
        <w:pBdr>
          <w:bottom w:val="single" w:sz="12" w:space="1" w:color="auto"/>
        </w:pBdr>
        <w:rPr>
          <w:color w:val="FF6600"/>
        </w:rPr>
      </w:pPr>
    </w:p>
    <w:p w:rsidR="00C23B8C" w:rsidRPr="00C73823" w:rsidRDefault="00C23B8C" w:rsidP="00C91953">
      <w:pPr>
        <w:rPr>
          <w:color w:val="FF6600"/>
        </w:rPr>
      </w:pPr>
    </w:p>
    <w:p w:rsidR="00C23B8C" w:rsidRPr="00C73823" w:rsidRDefault="00C23B8C" w:rsidP="00C91953">
      <w:pPr>
        <w:rPr>
          <w:color w:val="FF6600"/>
        </w:rPr>
      </w:pPr>
    </w:p>
    <w:p w:rsidR="006C2D6B" w:rsidRPr="00C73823" w:rsidRDefault="006C2D6B" w:rsidP="006C2D6B">
      <w:pPr>
        <w:rPr>
          <w:color w:val="FF6600"/>
        </w:rPr>
      </w:pPr>
    </w:p>
    <w:p w:rsidR="00592DEB" w:rsidRPr="00C73823" w:rsidRDefault="00592DEB" w:rsidP="00592DEB">
      <w:pPr>
        <w:rPr>
          <w:color w:val="FF6600"/>
        </w:rPr>
      </w:pPr>
    </w:p>
    <w:p w:rsidR="00A01032" w:rsidRPr="00C73823" w:rsidRDefault="00A01032" w:rsidP="00A01032">
      <w:pPr>
        <w:rPr>
          <w:color w:val="FF6600"/>
        </w:rPr>
      </w:pPr>
    </w:p>
    <w:sectPr w:rsidR="00A01032" w:rsidRPr="00C73823" w:rsidSect="008F755B">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823" w:rsidRDefault="00C73823" w:rsidP="00BD1C10">
      <w:r>
        <w:separator/>
      </w:r>
    </w:p>
  </w:endnote>
  <w:endnote w:type="continuationSeparator" w:id="0">
    <w:p w:rsidR="00C73823" w:rsidRDefault="00C73823" w:rsidP="00BD1C10">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823" w:rsidRDefault="0063697A" w:rsidP="00BD1C10">
    <w:pPr>
      <w:pStyle w:val="Footer"/>
      <w:framePr w:wrap="around" w:vAnchor="text" w:hAnchor="margin" w:xAlign="right" w:y="1"/>
      <w:rPr>
        <w:rStyle w:val="PageNumber"/>
      </w:rPr>
    </w:pPr>
    <w:r>
      <w:rPr>
        <w:rStyle w:val="PageNumber"/>
      </w:rPr>
      <w:fldChar w:fldCharType="begin"/>
    </w:r>
    <w:r w:rsidR="00C73823">
      <w:rPr>
        <w:rStyle w:val="PageNumber"/>
      </w:rPr>
      <w:instrText xml:space="preserve">PAGE  </w:instrText>
    </w:r>
    <w:r>
      <w:rPr>
        <w:rStyle w:val="PageNumber"/>
      </w:rPr>
      <w:fldChar w:fldCharType="end"/>
    </w:r>
  </w:p>
  <w:p w:rsidR="00C73823" w:rsidRDefault="00C73823" w:rsidP="00BD1C1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823" w:rsidRDefault="0063697A" w:rsidP="00BD1C10">
    <w:pPr>
      <w:pStyle w:val="Footer"/>
      <w:framePr w:wrap="around" w:vAnchor="text" w:hAnchor="margin" w:xAlign="right" w:y="1"/>
      <w:rPr>
        <w:rStyle w:val="PageNumber"/>
      </w:rPr>
    </w:pPr>
    <w:r>
      <w:rPr>
        <w:rStyle w:val="PageNumber"/>
      </w:rPr>
      <w:fldChar w:fldCharType="begin"/>
    </w:r>
    <w:r w:rsidR="00C73823">
      <w:rPr>
        <w:rStyle w:val="PageNumber"/>
      </w:rPr>
      <w:instrText xml:space="preserve">PAGE  </w:instrText>
    </w:r>
    <w:r>
      <w:rPr>
        <w:rStyle w:val="PageNumber"/>
      </w:rPr>
      <w:fldChar w:fldCharType="separate"/>
    </w:r>
    <w:r w:rsidR="00290ED3">
      <w:rPr>
        <w:rStyle w:val="PageNumber"/>
        <w:noProof/>
      </w:rPr>
      <w:t>38</w:t>
    </w:r>
    <w:r>
      <w:rPr>
        <w:rStyle w:val="PageNumber"/>
      </w:rPr>
      <w:fldChar w:fldCharType="end"/>
    </w:r>
  </w:p>
  <w:p w:rsidR="00C73823" w:rsidRDefault="00C73823" w:rsidP="00BD1C1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823" w:rsidRDefault="00C73823" w:rsidP="00BD1C10">
      <w:r>
        <w:separator/>
      </w:r>
    </w:p>
  </w:footnote>
  <w:footnote w:type="continuationSeparator" w:id="0">
    <w:p w:rsidR="00C73823" w:rsidRDefault="00C73823" w:rsidP="00BD1C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D409E"/>
    <w:multiLevelType w:val="hybridMultilevel"/>
    <w:tmpl w:val="A9A6B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DD3CA3"/>
    <w:multiLevelType w:val="hybridMultilevel"/>
    <w:tmpl w:val="FA5C5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8908AF"/>
    <w:multiLevelType w:val="hybridMultilevel"/>
    <w:tmpl w:val="599E8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characterSpacingControl w:val="doNotCompress"/>
  <w:footnotePr>
    <w:footnote w:id="-1"/>
    <w:footnote w:id="0"/>
  </w:footnotePr>
  <w:endnotePr>
    <w:endnote w:id="-1"/>
    <w:endnote w:id="0"/>
  </w:endnotePr>
  <w:compat>
    <w:useFELayout/>
  </w:compat>
  <w:rsids>
    <w:rsidRoot w:val="004521AE"/>
    <w:rsid w:val="0000337A"/>
    <w:rsid w:val="000071F6"/>
    <w:rsid w:val="00007D9C"/>
    <w:rsid w:val="00010169"/>
    <w:rsid w:val="00016525"/>
    <w:rsid w:val="0002145D"/>
    <w:rsid w:val="00030063"/>
    <w:rsid w:val="00031DF1"/>
    <w:rsid w:val="000378FF"/>
    <w:rsid w:val="00042646"/>
    <w:rsid w:val="00061977"/>
    <w:rsid w:val="0006465C"/>
    <w:rsid w:val="000653F0"/>
    <w:rsid w:val="00071548"/>
    <w:rsid w:val="000745DF"/>
    <w:rsid w:val="00085670"/>
    <w:rsid w:val="000A1335"/>
    <w:rsid w:val="000B2B7A"/>
    <w:rsid w:val="000B44BC"/>
    <w:rsid w:val="000B78A7"/>
    <w:rsid w:val="000C1D38"/>
    <w:rsid w:val="000D29C4"/>
    <w:rsid w:val="000E6624"/>
    <w:rsid w:val="000F5D09"/>
    <w:rsid w:val="00103BCA"/>
    <w:rsid w:val="0010590E"/>
    <w:rsid w:val="00106036"/>
    <w:rsid w:val="001106B7"/>
    <w:rsid w:val="001122B8"/>
    <w:rsid w:val="0012520F"/>
    <w:rsid w:val="0013117F"/>
    <w:rsid w:val="0017253C"/>
    <w:rsid w:val="0017689E"/>
    <w:rsid w:val="001771FF"/>
    <w:rsid w:val="00183CB6"/>
    <w:rsid w:val="0018778A"/>
    <w:rsid w:val="0019474E"/>
    <w:rsid w:val="001A7916"/>
    <w:rsid w:val="001B338D"/>
    <w:rsid w:val="001B5AC2"/>
    <w:rsid w:val="001C0D3F"/>
    <w:rsid w:val="001C21A1"/>
    <w:rsid w:val="001E628B"/>
    <w:rsid w:val="001E64E7"/>
    <w:rsid w:val="001E7D15"/>
    <w:rsid w:val="002002CB"/>
    <w:rsid w:val="002077CC"/>
    <w:rsid w:val="00222276"/>
    <w:rsid w:val="00227F41"/>
    <w:rsid w:val="002526A4"/>
    <w:rsid w:val="00255286"/>
    <w:rsid w:val="00256B0A"/>
    <w:rsid w:val="00266C9A"/>
    <w:rsid w:val="00281CF7"/>
    <w:rsid w:val="002822E0"/>
    <w:rsid w:val="00290ED3"/>
    <w:rsid w:val="002A28F4"/>
    <w:rsid w:val="002A73D6"/>
    <w:rsid w:val="002B451F"/>
    <w:rsid w:val="002B54B9"/>
    <w:rsid w:val="002D4C1A"/>
    <w:rsid w:val="002D70D8"/>
    <w:rsid w:val="002E4631"/>
    <w:rsid w:val="002F6020"/>
    <w:rsid w:val="003037DD"/>
    <w:rsid w:val="00312E5B"/>
    <w:rsid w:val="00316AFE"/>
    <w:rsid w:val="003325E0"/>
    <w:rsid w:val="003333CE"/>
    <w:rsid w:val="00337271"/>
    <w:rsid w:val="00343E39"/>
    <w:rsid w:val="00346F31"/>
    <w:rsid w:val="003578FB"/>
    <w:rsid w:val="003608E5"/>
    <w:rsid w:val="0036562E"/>
    <w:rsid w:val="003736D7"/>
    <w:rsid w:val="00376688"/>
    <w:rsid w:val="0038283D"/>
    <w:rsid w:val="00397A21"/>
    <w:rsid w:val="003B1626"/>
    <w:rsid w:val="003B2548"/>
    <w:rsid w:val="003B2C71"/>
    <w:rsid w:val="003F0A3A"/>
    <w:rsid w:val="004058CE"/>
    <w:rsid w:val="004521AE"/>
    <w:rsid w:val="00461D95"/>
    <w:rsid w:val="0048080E"/>
    <w:rsid w:val="00480E79"/>
    <w:rsid w:val="00492C53"/>
    <w:rsid w:val="004B10BE"/>
    <w:rsid w:val="004D240E"/>
    <w:rsid w:val="004D3CE4"/>
    <w:rsid w:val="004D66C3"/>
    <w:rsid w:val="004F32ED"/>
    <w:rsid w:val="004F5950"/>
    <w:rsid w:val="00501E4D"/>
    <w:rsid w:val="00502412"/>
    <w:rsid w:val="00506593"/>
    <w:rsid w:val="005164EC"/>
    <w:rsid w:val="00516938"/>
    <w:rsid w:val="00525C7F"/>
    <w:rsid w:val="00530BEC"/>
    <w:rsid w:val="00537334"/>
    <w:rsid w:val="005414A2"/>
    <w:rsid w:val="00544C10"/>
    <w:rsid w:val="0055545E"/>
    <w:rsid w:val="00590F0B"/>
    <w:rsid w:val="005922D4"/>
    <w:rsid w:val="00592DEB"/>
    <w:rsid w:val="00593E37"/>
    <w:rsid w:val="00595B32"/>
    <w:rsid w:val="00596557"/>
    <w:rsid w:val="005A1EDD"/>
    <w:rsid w:val="005C3BCA"/>
    <w:rsid w:val="005C54AB"/>
    <w:rsid w:val="005D466D"/>
    <w:rsid w:val="005D4A82"/>
    <w:rsid w:val="005E18EC"/>
    <w:rsid w:val="005E5732"/>
    <w:rsid w:val="005F3976"/>
    <w:rsid w:val="00603124"/>
    <w:rsid w:val="00613B95"/>
    <w:rsid w:val="00623133"/>
    <w:rsid w:val="006349CE"/>
    <w:rsid w:val="0063697A"/>
    <w:rsid w:val="0064562C"/>
    <w:rsid w:val="00662467"/>
    <w:rsid w:val="0067077A"/>
    <w:rsid w:val="00684571"/>
    <w:rsid w:val="006855AF"/>
    <w:rsid w:val="006A32C7"/>
    <w:rsid w:val="006B1E70"/>
    <w:rsid w:val="006C1AD5"/>
    <w:rsid w:val="006C2D6B"/>
    <w:rsid w:val="006C5B02"/>
    <w:rsid w:val="006E13FC"/>
    <w:rsid w:val="006E78A1"/>
    <w:rsid w:val="006F022F"/>
    <w:rsid w:val="006F4231"/>
    <w:rsid w:val="006F65E6"/>
    <w:rsid w:val="006F6683"/>
    <w:rsid w:val="0071271E"/>
    <w:rsid w:val="00742C8C"/>
    <w:rsid w:val="007468AC"/>
    <w:rsid w:val="00764340"/>
    <w:rsid w:val="00780E9F"/>
    <w:rsid w:val="00793FB8"/>
    <w:rsid w:val="007B0206"/>
    <w:rsid w:val="007C33F5"/>
    <w:rsid w:val="007C44CE"/>
    <w:rsid w:val="007C6A3A"/>
    <w:rsid w:val="007D5C17"/>
    <w:rsid w:val="007E0A38"/>
    <w:rsid w:val="007E7322"/>
    <w:rsid w:val="00802353"/>
    <w:rsid w:val="00812CBB"/>
    <w:rsid w:val="008151AD"/>
    <w:rsid w:val="00815654"/>
    <w:rsid w:val="00833C69"/>
    <w:rsid w:val="00844D67"/>
    <w:rsid w:val="00846C4C"/>
    <w:rsid w:val="00866F39"/>
    <w:rsid w:val="00867B68"/>
    <w:rsid w:val="00875559"/>
    <w:rsid w:val="00891F90"/>
    <w:rsid w:val="00896C5B"/>
    <w:rsid w:val="008B407D"/>
    <w:rsid w:val="008E044B"/>
    <w:rsid w:val="008E2EE6"/>
    <w:rsid w:val="008E4909"/>
    <w:rsid w:val="008E62EC"/>
    <w:rsid w:val="008F0795"/>
    <w:rsid w:val="008F07D3"/>
    <w:rsid w:val="008F755B"/>
    <w:rsid w:val="00903D77"/>
    <w:rsid w:val="009142E3"/>
    <w:rsid w:val="009258B0"/>
    <w:rsid w:val="00926E7D"/>
    <w:rsid w:val="00934E60"/>
    <w:rsid w:val="00963B9B"/>
    <w:rsid w:val="00967C46"/>
    <w:rsid w:val="00973B4B"/>
    <w:rsid w:val="0098062C"/>
    <w:rsid w:val="00982893"/>
    <w:rsid w:val="00983E24"/>
    <w:rsid w:val="0098587A"/>
    <w:rsid w:val="00993C49"/>
    <w:rsid w:val="00995E28"/>
    <w:rsid w:val="009B11A6"/>
    <w:rsid w:val="009B5874"/>
    <w:rsid w:val="009C59FE"/>
    <w:rsid w:val="009C7ACE"/>
    <w:rsid w:val="009D139A"/>
    <w:rsid w:val="009D6B25"/>
    <w:rsid w:val="009E4921"/>
    <w:rsid w:val="009F4F70"/>
    <w:rsid w:val="009F5FCF"/>
    <w:rsid w:val="00A00899"/>
    <w:rsid w:val="00A01032"/>
    <w:rsid w:val="00A03B08"/>
    <w:rsid w:val="00A05F25"/>
    <w:rsid w:val="00A13BC1"/>
    <w:rsid w:val="00A25888"/>
    <w:rsid w:val="00A31B6D"/>
    <w:rsid w:val="00A44B46"/>
    <w:rsid w:val="00A5352B"/>
    <w:rsid w:val="00A67588"/>
    <w:rsid w:val="00A675DF"/>
    <w:rsid w:val="00A964CC"/>
    <w:rsid w:val="00AA57A1"/>
    <w:rsid w:val="00AB614C"/>
    <w:rsid w:val="00B04D22"/>
    <w:rsid w:val="00B125EC"/>
    <w:rsid w:val="00B126A7"/>
    <w:rsid w:val="00B232E7"/>
    <w:rsid w:val="00B27F90"/>
    <w:rsid w:val="00B31CD9"/>
    <w:rsid w:val="00B57E45"/>
    <w:rsid w:val="00B73AED"/>
    <w:rsid w:val="00B87D08"/>
    <w:rsid w:val="00BB769E"/>
    <w:rsid w:val="00BC31C9"/>
    <w:rsid w:val="00BD1C10"/>
    <w:rsid w:val="00BD4C5F"/>
    <w:rsid w:val="00BD7962"/>
    <w:rsid w:val="00BE06A9"/>
    <w:rsid w:val="00C2147C"/>
    <w:rsid w:val="00C23B8C"/>
    <w:rsid w:val="00C37718"/>
    <w:rsid w:val="00C43FD2"/>
    <w:rsid w:val="00C50E3C"/>
    <w:rsid w:val="00C62FD2"/>
    <w:rsid w:val="00C73823"/>
    <w:rsid w:val="00C758BD"/>
    <w:rsid w:val="00C8611C"/>
    <w:rsid w:val="00C87189"/>
    <w:rsid w:val="00C91953"/>
    <w:rsid w:val="00C9204C"/>
    <w:rsid w:val="00C95C21"/>
    <w:rsid w:val="00CA78BE"/>
    <w:rsid w:val="00CB69A6"/>
    <w:rsid w:val="00CB6D8D"/>
    <w:rsid w:val="00CD128D"/>
    <w:rsid w:val="00CD3F6C"/>
    <w:rsid w:val="00CF1F78"/>
    <w:rsid w:val="00CF34D6"/>
    <w:rsid w:val="00D00E59"/>
    <w:rsid w:val="00D12D77"/>
    <w:rsid w:val="00D160B5"/>
    <w:rsid w:val="00D17CBE"/>
    <w:rsid w:val="00D433FA"/>
    <w:rsid w:val="00D436FA"/>
    <w:rsid w:val="00D4383E"/>
    <w:rsid w:val="00D6017A"/>
    <w:rsid w:val="00D61A02"/>
    <w:rsid w:val="00D7497E"/>
    <w:rsid w:val="00D81844"/>
    <w:rsid w:val="00D86E54"/>
    <w:rsid w:val="00D90882"/>
    <w:rsid w:val="00DA2CB9"/>
    <w:rsid w:val="00DA3644"/>
    <w:rsid w:val="00DA6336"/>
    <w:rsid w:val="00DC2692"/>
    <w:rsid w:val="00DE4040"/>
    <w:rsid w:val="00DF3378"/>
    <w:rsid w:val="00DF4D77"/>
    <w:rsid w:val="00DF6293"/>
    <w:rsid w:val="00E01AAD"/>
    <w:rsid w:val="00E04529"/>
    <w:rsid w:val="00E14CB8"/>
    <w:rsid w:val="00E20510"/>
    <w:rsid w:val="00E32693"/>
    <w:rsid w:val="00E40E46"/>
    <w:rsid w:val="00E41077"/>
    <w:rsid w:val="00E4351F"/>
    <w:rsid w:val="00E46221"/>
    <w:rsid w:val="00E54D0E"/>
    <w:rsid w:val="00E60C18"/>
    <w:rsid w:val="00E71C6D"/>
    <w:rsid w:val="00E82DF1"/>
    <w:rsid w:val="00EA691A"/>
    <w:rsid w:val="00ED1119"/>
    <w:rsid w:val="00EE7C1D"/>
    <w:rsid w:val="00EF0ADD"/>
    <w:rsid w:val="00F02945"/>
    <w:rsid w:val="00F05EFD"/>
    <w:rsid w:val="00F7419D"/>
    <w:rsid w:val="00F74CD5"/>
    <w:rsid w:val="00F81033"/>
    <w:rsid w:val="00F863B8"/>
    <w:rsid w:val="00FB698B"/>
    <w:rsid w:val="00FD31DD"/>
    <w:rsid w:val="00FE1093"/>
    <w:rsid w:val="00FE394C"/>
    <w:rsid w:val="00FF610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97A"/>
  </w:style>
  <w:style w:type="paragraph" w:styleId="Heading1">
    <w:name w:val="heading 1"/>
    <w:basedOn w:val="Normal"/>
    <w:next w:val="Normal"/>
    <w:link w:val="Heading1Char"/>
    <w:uiPriority w:val="9"/>
    <w:qFormat/>
    <w:rsid w:val="00C2147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2147C"/>
  </w:style>
  <w:style w:type="character" w:customStyle="1" w:styleId="Heading1Char">
    <w:name w:val="Heading 1 Char"/>
    <w:basedOn w:val="DefaultParagraphFont"/>
    <w:link w:val="Heading1"/>
    <w:uiPriority w:val="9"/>
    <w:rsid w:val="00C2147C"/>
    <w:rPr>
      <w:rFonts w:asciiTheme="majorHAnsi" w:eastAsiaTheme="majorEastAsia" w:hAnsiTheme="majorHAnsi" w:cstheme="majorBidi"/>
      <w:b/>
      <w:bCs/>
      <w:color w:val="345A8A" w:themeColor="accent1" w:themeShade="B5"/>
      <w:sz w:val="32"/>
      <w:szCs w:val="32"/>
    </w:rPr>
  </w:style>
  <w:style w:type="paragraph" w:styleId="Footer">
    <w:name w:val="footer"/>
    <w:basedOn w:val="Normal"/>
    <w:link w:val="FooterChar"/>
    <w:uiPriority w:val="99"/>
    <w:unhideWhenUsed/>
    <w:rsid w:val="00BD1C10"/>
    <w:pPr>
      <w:tabs>
        <w:tab w:val="center" w:pos="4320"/>
        <w:tab w:val="right" w:pos="8640"/>
      </w:tabs>
    </w:pPr>
  </w:style>
  <w:style w:type="character" w:customStyle="1" w:styleId="FooterChar">
    <w:name w:val="Footer Char"/>
    <w:basedOn w:val="DefaultParagraphFont"/>
    <w:link w:val="Footer"/>
    <w:uiPriority w:val="99"/>
    <w:rsid w:val="00BD1C10"/>
  </w:style>
  <w:style w:type="character" w:styleId="PageNumber">
    <w:name w:val="page number"/>
    <w:basedOn w:val="DefaultParagraphFont"/>
    <w:uiPriority w:val="99"/>
    <w:semiHidden/>
    <w:unhideWhenUsed/>
    <w:rsid w:val="00BD1C10"/>
  </w:style>
  <w:style w:type="paragraph" w:styleId="ListParagraph">
    <w:name w:val="List Paragraph"/>
    <w:basedOn w:val="Normal"/>
    <w:uiPriority w:val="34"/>
    <w:qFormat/>
    <w:rsid w:val="00FD31D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2147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2147C"/>
  </w:style>
  <w:style w:type="character" w:customStyle="1" w:styleId="Heading1Char">
    <w:name w:val="Heading 1 Char"/>
    <w:basedOn w:val="DefaultParagraphFont"/>
    <w:link w:val="Heading1"/>
    <w:uiPriority w:val="9"/>
    <w:rsid w:val="00C2147C"/>
    <w:rPr>
      <w:rFonts w:asciiTheme="majorHAnsi" w:eastAsiaTheme="majorEastAsia" w:hAnsiTheme="majorHAnsi" w:cstheme="majorBidi"/>
      <w:b/>
      <w:bCs/>
      <w:color w:val="345A8A" w:themeColor="accent1" w:themeShade="B5"/>
      <w:sz w:val="32"/>
      <w:szCs w:val="32"/>
    </w:rPr>
  </w:style>
  <w:style w:type="paragraph" w:styleId="Footer">
    <w:name w:val="footer"/>
    <w:basedOn w:val="Normal"/>
    <w:link w:val="FooterChar"/>
    <w:uiPriority w:val="99"/>
    <w:unhideWhenUsed/>
    <w:rsid w:val="00BD1C10"/>
    <w:pPr>
      <w:tabs>
        <w:tab w:val="center" w:pos="4320"/>
        <w:tab w:val="right" w:pos="8640"/>
      </w:tabs>
    </w:pPr>
  </w:style>
  <w:style w:type="character" w:customStyle="1" w:styleId="FooterChar">
    <w:name w:val="Footer Char"/>
    <w:basedOn w:val="DefaultParagraphFont"/>
    <w:link w:val="Footer"/>
    <w:uiPriority w:val="99"/>
    <w:rsid w:val="00BD1C10"/>
  </w:style>
  <w:style w:type="character" w:styleId="PageNumber">
    <w:name w:val="page number"/>
    <w:basedOn w:val="DefaultParagraphFont"/>
    <w:uiPriority w:val="99"/>
    <w:semiHidden/>
    <w:unhideWhenUsed/>
    <w:rsid w:val="00BD1C10"/>
  </w:style>
  <w:style w:type="paragraph" w:styleId="ListParagraph">
    <w:name w:val="List Paragraph"/>
    <w:basedOn w:val="Normal"/>
    <w:uiPriority w:val="34"/>
    <w:qFormat/>
    <w:rsid w:val="00FD31DD"/>
    <w:pPr>
      <w:ind w:left="720"/>
      <w:contextualSpacing/>
    </w:pPr>
  </w:style>
</w:styles>
</file>

<file path=word/webSettings.xml><?xml version="1.0" encoding="utf-8"?>
<w:webSettings xmlns:r="http://schemas.openxmlformats.org/officeDocument/2006/relationships" xmlns:w="http://schemas.openxmlformats.org/wordprocessingml/2006/main">
  <w:divs>
    <w:div w:id="184905607">
      <w:bodyDiv w:val="1"/>
      <w:marLeft w:val="0"/>
      <w:marRight w:val="0"/>
      <w:marTop w:val="0"/>
      <w:marBottom w:val="0"/>
      <w:divBdr>
        <w:top w:val="none" w:sz="0" w:space="0" w:color="auto"/>
        <w:left w:val="none" w:sz="0" w:space="0" w:color="auto"/>
        <w:bottom w:val="none" w:sz="0" w:space="0" w:color="auto"/>
        <w:right w:val="none" w:sz="0" w:space="0" w:color="auto"/>
      </w:divBdr>
    </w:div>
    <w:div w:id="371618899">
      <w:bodyDiv w:val="1"/>
      <w:marLeft w:val="0"/>
      <w:marRight w:val="0"/>
      <w:marTop w:val="0"/>
      <w:marBottom w:val="0"/>
      <w:divBdr>
        <w:top w:val="none" w:sz="0" w:space="0" w:color="auto"/>
        <w:left w:val="none" w:sz="0" w:space="0" w:color="auto"/>
        <w:bottom w:val="none" w:sz="0" w:space="0" w:color="auto"/>
        <w:right w:val="none" w:sz="0" w:space="0" w:color="auto"/>
      </w:divBdr>
    </w:div>
    <w:div w:id="2113237294">
      <w:bodyDiv w:val="1"/>
      <w:marLeft w:val="0"/>
      <w:marRight w:val="0"/>
      <w:marTop w:val="0"/>
      <w:marBottom w:val="0"/>
      <w:divBdr>
        <w:top w:val="none" w:sz="0" w:space="0" w:color="auto"/>
        <w:left w:val="none" w:sz="0" w:space="0" w:color="auto"/>
        <w:bottom w:val="none" w:sz="0" w:space="0" w:color="auto"/>
        <w:right w:val="none" w:sz="0" w:space="0" w:color="auto"/>
      </w:divBdr>
    </w:div>
    <w:div w:id="21192581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15140</Words>
  <Characters>86298</Characters>
  <Application>Microsoft Office Word</Application>
  <DocSecurity>0</DocSecurity>
  <Lines>719</Lines>
  <Paragraphs>202</Paragraphs>
  <ScaleCrop>false</ScaleCrop>
  <Company>State of Oregon Department of Environmental Quality</Company>
  <LinksUpToDate>false</LinksUpToDate>
  <CharactersWithSpaces>101236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Liberman</dc:creator>
  <cp:lastModifiedBy>jinahar</cp:lastModifiedBy>
  <cp:revision>2</cp:revision>
  <dcterms:created xsi:type="dcterms:W3CDTF">2014-09-02T21:57:00Z</dcterms:created>
  <dcterms:modified xsi:type="dcterms:W3CDTF">2014-09-02T21:57:00Z</dcterms:modified>
</cp:coreProperties>
</file>