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RDefault="000D5EFC" w:rsidP="00E06CC2">
      <w:pPr>
        <w:ind w:firstLine="720"/>
        <w:jc w:val="center"/>
        <w:rPr>
          <w:b/>
          <w:spacing w:val="-3"/>
          <w:sz w:val="22"/>
          <w:szCs w:val="22"/>
        </w:rPr>
      </w:pPr>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A0049B"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797F73" w:rsidRPr="00797F73">
        <w:rPr>
          <w:rFonts w:ascii="Times New Roman" w:hAnsi="Times New Roman"/>
          <w:b w:val="0"/>
          <w:spacing w:val="-3"/>
          <w:sz w:val="22"/>
          <w:szCs w:val="22"/>
        </w:rPr>
        <w:t>Air quality permitting, Heat Smart, and gasoline dispensing facility updates</w:t>
      </w: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0" w:name="MEMO"/>
      <w:bookmarkEnd w:id="0"/>
      <w:r w:rsidR="00987442" w:rsidRPr="002D0FE2">
        <w:rPr>
          <w:rFonts w:ascii="Times New Roman" w:hAnsi="Times New Roman"/>
          <w:b w:val="0"/>
          <w:spacing w:val="-3"/>
          <w:sz w:val="22"/>
          <w:szCs w:val="22"/>
        </w:rPr>
        <w:t xml:space="preserve">  Jill Inahara</w:t>
      </w:r>
      <w:r w:rsidRPr="002D0FE2">
        <w:rPr>
          <w:rFonts w:ascii="Times New Roman" w:hAnsi="Times New Roman"/>
          <w:b w:val="0"/>
          <w:spacing w:val="-3"/>
          <w:sz w:val="22"/>
          <w:szCs w:val="22"/>
        </w:rPr>
        <w:tab/>
      </w:r>
      <w:r w:rsidR="00E9619A">
        <w:rPr>
          <w:rFonts w:ascii="Times New Roman" w:hAnsi="Times New Roman"/>
          <w:b w:val="0"/>
          <w:spacing w:val="-3"/>
          <w:sz w:val="22"/>
          <w:szCs w:val="22"/>
        </w:rPr>
        <w:t xml:space="preserve"> and </w:t>
      </w:r>
      <w:r w:rsidR="00797F73">
        <w:rPr>
          <w:rFonts w:ascii="Times New Roman" w:hAnsi="Times New Roman"/>
          <w:b w:val="0"/>
          <w:spacing w:val="-3"/>
          <w:sz w:val="22"/>
          <w:szCs w:val="22"/>
        </w:rPr>
        <w:t>George Davis</w:t>
      </w:r>
      <w:r w:rsidR="00093816" w:rsidRPr="002D0FE2">
        <w:rPr>
          <w:rFonts w:ascii="Times New Roman" w:hAnsi="Times New Roman"/>
          <w:b w:val="0"/>
          <w:spacing w:val="-3"/>
          <w:sz w:val="22"/>
          <w:szCs w:val="22"/>
        </w:rPr>
        <w:tab/>
      </w:r>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797F73">
        <w:rPr>
          <w:rFonts w:ascii="Times New Roman" w:hAnsi="Times New Roman"/>
          <w:b w:val="0"/>
          <w:spacing w:val="-3"/>
          <w:sz w:val="22"/>
          <w:szCs w:val="22"/>
        </w:rPr>
        <w:t>January 15, 2015</w:t>
      </w:r>
    </w:p>
    <w:p w:rsidR="00275BCF" w:rsidRPr="002D0FE2" w:rsidRDefault="00275BCF" w:rsidP="003D1E29">
      <w:pPr>
        <w:tabs>
          <w:tab w:val="left" w:pos="1080"/>
          <w:tab w:val="right" w:pos="7200"/>
          <w:tab w:val="right" w:pos="9360"/>
        </w:tabs>
        <w:rPr>
          <w:rFonts w:ascii="Arial" w:hAnsi="Arial" w:cs="Arial"/>
          <w:sz w:val="22"/>
          <w:szCs w:val="22"/>
        </w:rPr>
      </w:pPr>
    </w:p>
    <w:tbl>
      <w:tblPr>
        <w:tblW w:w="10432"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697"/>
      </w:tblGrid>
      <w:tr w:rsidR="000D5EFC" w:rsidRPr="002D0FE2" w:rsidTr="009F02AD">
        <w:trPr>
          <w:cantSplit/>
        </w:trPr>
        <w:tc>
          <w:tcPr>
            <w:tcW w:w="1735" w:type="dxa"/>
          </w:tcPr>
          <w:p w:rsidR="000D5EFC" w:rsidRPr="002D0FE2" w:rsidRDefault="001331A2" w:rsidP="00760A52">
            <w:pPr>
              <w:pStyle w:val="Heading5"/>
              <w:spacing w:before="0"/>
              <w:rPr>
                <w:b w:val="0"/>
                <w:i w:val="0"/>
                <w:sz w:val="22"/>
                <w:szCs w:val="22"/>
              </w:rPr>
            </w:pPr>
            <w:r w:rsidRPr="002D0FE2">
              <w:rPr>
                <w:b w:val="0"/>
                <w:i w:val="0"/>
                <w:sz w:val="22"/>
                <w:szCs w:val="22"/>
              </w:rPr>
              <w:t>Comment period</w:t>
            </w:r>
          </w:p>
        </w:tc>
        <w:tc>
          <w:tcPr>
            <w:tcW w:w="8697" w:type="dxa"/>
          </w:tcPr>
          <w:p w:rsidR="000D5EFC" w:rsidRPr="002D0FE2" w:rsidRDefault="001331A2" w:rsidP="000E044F">
            <w:pPr>
              <w:pStyle w:val="BlockText"/>
              <w:rPr>
                <w:sz w:val="22"/>
                <w:szCs w:val="22"/>
              </w:rPr>
            </w:pPr>
            <w:r w:rsidRPr="002D0FE2">
              <w:rPr>
                <w:sz w:val="22"/>
                <w:szCs w:val="22"/>
              </w:rPr>
              <w:t xml:space="preserve">The </w:t>
            </w:r>
            <w:r w:rsidR="005C1A6D">
              <w:rPr>
                <w:sz w:val="22"/>
                <w:szCs w:val="22"/>
              </w:rPr>
              <w:t xml:space="preserve">first </w:t>
            </w:r>
            <w:r w:rsidRPr="002D0FE2">
              <w:rPr>
                <w:sz w:val="22"/>
                <w:szCs w:val="22"/>
              </w:rPr>
              <w:t xml:space="preserve">public comment period opened </w:t>
            </w:r>
            <w:r w:rsidR="00797F73">
              <w:rPr>
                <w:sz w:val="22"/>
                <w:szCs w:val="22"/>
              </w:rPr>
              <w:t>June 16, 2014</w:t>
            </w:r>
            <w:r w:rsidR="00156389" w:rsidRPr="002D0FE2">
              <w:rPr>
                <w:sz w:val="22"/>
                <w:szCs w:val="22"/>
              </w:rPr>
              <w:t xml:space="preserve"> and </w:t>
            </w:r>
            <w:r w:rsidR="00156389">
              <w:rPr>
                <w:sz w:val="22"/>
                <w:szCs w:val="22"/>
              </w:rPr>
              <w:t>was scheduled to close</w:t>
            </w:r>
            <w:r w:rsidR="00156389" w:rsidRPr="002D0FE2">
              <w:rPr>
                <w:sz w:val="22"/>
                <w:szCs w:val="22"/>
              </w:rPr>
              <w:t xml:space="preserve"> </w:t>
            </w:r>
            <w:r w:rsidR="00156389">
              <w:rPr>
                <w:sz w:val="22"/>
                <w:szCs w:val="22"/>
              </w:rPr>
              <w:t xml:space="preserve">on July 31, </w:t>
            </w:r>
            <w:r w:rsidR="00156389" w:rsidRPr="002D0FE2">
              <w:rPr>
                <w:sz w:val="22"/>
                <w:szCs w:val="22"/>
              </w:rPr>
              <w:t>201</w:t>
            </w:r>
            <w:r w:rsidR="00156389">
              <w:rPr>
                <w:sz w:val="22"/>
                <w:szCs w:val="22"/>
              </w:rPr>
              <w:t>4.  DEQ received and granted three requests to extend the public notice period until September 15, 2015</w:t>
            </w:r>
            <w:r w:rsidR="004A0EA4">
              <w:rPr>
                <w:sz w:val="22"/>
                <w:szCs w:val="22"/>
              </w:rPr>
              <w:t xml:space="preserve">. </w:t>
            </w:r>
            <w:r w:rsidR="00156389">
              <w:rPr>
                <w:sz w:val="22"/>
                <w:szCs w:val="22"/>
              </w:rPr>
              <w:t>____________</w:t>
            </w:r>
            <w:r w:rsidR="00576CFD" w:rsidRPr="002D0FE2">
              <w:rPr>
                <w:sz w:val="22"/>
                <w:szCs w:val="22"/>
              </w:rPr>
              <w:t xml:space="preserve"> </w:t>
            </w:r>
            <w:proofErr w:type="gramStart"/>
            <w:r w:rsidR="009E05BC">
              <w:rPr>
                <w:sz w:val="22"/>
                <w:szCs w:val="22"/>
              </w:rPr>
              <w:t>organizations</w:t>
            </w:r>
            <w:proofErr w:type="gramEnd"/>
            <w:r w:rsidR="00576CFD" w:rsidRPr="002D0FE2">
              <w:rPr>
                <w:sz w:val="22"/>
                <w:szCs w:val="22"/>
              </w:rPr>
              <w:t xml:space="preserve"> submitted </w:t>
            </w:r>
            <w:r w:rsidR="00D6241A">
              <w:rPr>
                <w:sz w:val="22"/>
                <w:szCs w:val="22"/>
              </w:rPr>
              <w:t xml:space="preserve">written </w:t>
            </w:r>
            <w:r w:rsidR="00576CFD" w:rsidRPr="002D0FE2">
              <w:rPr>
                <w:sz w:val="22"/>
                <w:szCs w:val="22"/>
              </w:rPr>
              <w:t xml:space="preserve">comments on the proposed rules. </w:t>
            </w:r>
            <w:r w:rsidRPr="002D0FE2">
              <w:rPr>
                <w:sz w:val="22"/>
                <w:szCs w:val="22"/>
              </w:rPr>
              <w:t xml:space="preserve">DEQ held </w:t>
            </w:r>
            <w:r w:rsidR="00797F73">
              <w:rPr>
                <w:sz w:val="22"/>
                <w:szCs w:val="22"/>
              </w:rPr>
              <w:t>one public hearing in Portland with regional offices calling in</w:t>
            </w:r>
            <w:r w:rsidRPr="002D0FE2">
              <w:rPr>
                <w:sz w:val="22"/>
                <w:szCs w:val="22"/>
              </w:rPr>
              <w:t>:</w:t>
            </w:r>
          </w:p>
          <w:p w:rsidR="00DA3374" w:rsidRPr="002D0FE2" w:rsidRDefault="00DA3374" w:rsidP="000E044F">
            <w:pPr>
              <w:pStyle w:val="BlockText"/>
              <w:rPr>
                <w:sz w:val="22"/>
                <w:szCs w:val="22"/>
              </w:rPr>
            </w:pPr>
          </w:p>
          <w:p w:rsidR="00DA3374" w:rsidRPr="002D0FE2" w:rsidRDefault="00797F73" w:rsidP="00C459A0">
            <w:pPr>
              <w:pStyle w:val="DEQTEXTforFACTSHEET"/>
              <w:numPr>
                <w:ilvl w:val="0"/>
                <w:numId w:val="1"/>
              </w:numPr>
              <w:rPr>
                <w:sz w:val="22"/>
                <w:szCs w:val="22"/>
              </w:rPr>
            </w:pPr>
            <w:bookmarkStart w:id="1" w:name="_Ref278987469"/>
            <w:r>
              <w:rPr>
                <w:sz w:val="22"/>
                <w:szCs w:val="22"/>
              </w:rPr>
              <w:t>July</w:t>
            </w:r>
            <w:r w:rsidR="00987442" w:rsidRPr="002D0FE2">
              <w:rPr>
                <w:sz w:val="22"/>
                <w:szCs w:val="22"/>
              </w:rPr>
              <w:t xml:space="preserve"> 16</w:t>
            </w:r>
            <w:r w:rsidR="00DA3374" w:rsidRPr="002D0FE2">
              <w:rPr>
                <w:sz w:val="22"/>
                <w:szCs w:val="22"/>
              </w:rPr>
              <w:t>, 201</w:t>
            </w:r>
            <w:r>
              <w:rPr>
                <w:sz w:val="22"/>
                <w:szCs w:val="22"/>
              </w:rPr>
              <w:t>4</w:t>
            </w:r>
            <w:r w:rsidR="00DA3374" w:rsidRPr="002D0FE2">
              <w:rPr>
                <w:sz w:val="22"/>
                <w:szCs w:val="22"/>
              </w:rPr>
              <w:t>, 6:00 pm</w:t>
            </w:r>
            <w:bookmarkEnd w:id="1"/>
          </w:p>
          <w:p w:rsidR="00797F73" w:rsidRPr="00797F73" w:rsidRDefault="00797F73" w:rsidP="00797F73">
            <w:pPr>
              <w:pStyle w:val="DEQTEXTforFACTSHEET"/>
              <w:ind w:left="720"/>
              <w:rPr>
                <w:sz w:val="22"/>
                <w:szCs w:val="22"/>
              </w:rPr>
            </w:pPr>
            <w:r w:rsidRPr="00797F73">
              <w:rPr>
                <w:sz w:val="22"/>
                <w:szCs w:val="22"/>
              </w:rPr>
              <w:t>DEQ - Headquarters Office, Room EQC-A</w:t>
            </w:r>
          </w:p>
          <w:p w:rsidR="00797F73" w:rsidRPr="00797F73" w:rsidRDefault="00797F73" w:rsidP="00797F73">
            <w:pPr>
              <w:pStyle w:val="DEQTEXTforFACTSHEET"/>
              <w:ind w:left="720"/>
              <w:rPr>
                <w:sz w:val="22"/>
                <w:szCs w:val="22"/>
              </w:rPr>
            </w:pPr>
            <w:r w:rsidRPr="00797F73">
              <w:rPr>
                <w:sz w:val="22"/>
                <w:szCs w:val="22"/>
              </w:rPr>
              <w:t>811 SW Sixth Avenue, Portland</w:t>
            </w:r>
          </w:p>
          <w:p w:rsidR="00797F73" w:rsidRPr="00797F73" w:rsidRDefault="00156389" w:rsidP="00797F73">
            <w:pPr>
              <w:pStyle w:val="DEQTEXTforFACTSHEET"/>
              <w:ind w:left="720"/>
              <w:rPr>
                <w:sz w:val="22"/>
                <w:szCs w:val="22"/>
              </w:rPr>
            </w:pPr>
            <w:r>
              <w:rPr>
                <w:sz w:val="22"/>
                <w:szCs w:val="22"/>
              </w:rPr>
              <w:t>XX</w:t>
            </w:r>
            <w:r w:rsidR="00797F73" w:rsidRPr="00797F73">
              <w:rPr>
                <w:sz w:val="22"/>
                <w:szCs w:val="22"/>
              </w:rPr>
              <w:t xml:space="preserve"> attended and 0 testified.</w:t>
            </w:r>
          </w:p>
          <w:p w:rsidR="00DA3374" w:rsidRPr="002D0FE2" w:rsidRDefault="00DA3374" w:rsidP="00DA3374">
            <w:pPr>
              <w:pStyle w:val="DEQTEXTforFACTSHEET"/>
              <w:ind w:left="155"/>
              <w:rPr>
                <w:sz w:val="22"/>
                <w:szCs w:val="22"/>
              </w:rPr>
            </w:pPr>
          </w:p>
          <w:p w:rsidR="00797F73" w:rsidRPr="002D0FE2" w:rsidRDefault="00797F73" w:rsidP="00797F73">
            <w:pPr>
              <w:pStyle w:val="DEQTEXTforFACTSHEET"/>
              <w:numPr>
                <w:ilvl w:val="0"/>
                <w:numId w:val="1"/>
              </w:numPr>
              <w:rPr>
                <w:sz w:val="22"/>
                <w:szCs w:val="22"/>
              </w:rPr>
            </w:pPr>
            <w:r>
              <w:rPr>
                <w:sz w:val="22"/>
                <w:szCs w:val="22"/>
              </w:rPr>
              <w:t>July</w:t>
            </w:r>
            <w:r w:rsidRPr="002D0FE2">
              <w:rPr>
                <w:sz w:val="22"/>
                <w:szCs w:val="22"/>
              </w:rPr>
              <w:t xml:space="preserve"> 16, 201</w:t>
            </w:r>
            <w:r>
              <w:rPr>
                <w:sz w:val="22"/>
                <w:szCs w:val="22"/>
              </w:rPr>
              <w:t>4</w:t>
            </w:r>
            <w:r w:rsidRPr="002D0FE2">
              <w:rPr>
                <w:sz w:val="22"/>
                <w:szCs w:val="22"/>
              </w:rPr>
              <w:t>, 6:00 pm</w:t>
            </w:r>
          </w:p>
          <w:p w:rsidR="00DA3374" w:rsidRPr="002D0FE2" w:rsidRDefault="00DA3374" w:rsidP="00DA3374">
            <w:pPr>
              <w:pStyle w:val="DEQTEXTforFACTSHEET"/>
              <w:ind w:left="720"/>
              <w:rPr>
                <w:sz w:val="22"/>
                <w:szCs w:val="22"/>
              </w:rPr>
            </w:pPr>
            <w:r w:rsidRPr="002D0FE2">
              <w:rPr>
                <w:sz w:val="22"/>
                <w:szCs w:val="22"/>
              </w:rPr>
              <w:t>DEQ - Bend Regional Office</w:t>
            </w:r>
          </w:p>
          <w:p w:rsidR="00DA3374" w:rsidRPr="002D0FE2" w:rsidRDefault="00DA3374" w:rsidP="00DA3374">
            <w:pPr>
              <w:pStyle w:val="DEQTEXTforFACTSHEET"/>
              <w:ind w:left="720"/>
              <w:rPr>
                <w:sz w:val="22"/>
                <w:szCs w:val="22"/>
              </w:rPr>
            </w:pPr>
            <w:r w:rsidRPr="002D0FE2">
              <w:rPr>
                <w:sz w:val="22"/>
                <w:szCs w:val="22"/>
              </w:rPr>
              <w:t>475 NE Bellevue Drive, Suite 110, Bend</w:t>
            </w:r>
          </w:p>
          <w:p w:rsidR="00DA3374" w:rsidRPr="002D0FE2" w:rsidRDefault="00156389" w:rsidP="00DA3374">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Pr>
                <w:snapToGrid w:val="0"/>
                <w:sz w:val="22"/>
                <w:szCs w:val="22"/>
              </w:rPr>
              <w:t>XX</w:t>
            </w:r>
            <w:r w:rsidR="00DA3374" w:rsidRPr="002D0FE2">
              <w:rPr>
                <w:snapToGrid w:val="0"/>
                <w:sz w:val="22"/>
                <w:szCs w:val="22"/>
              </w:rPr>
              <w:t xml:space="preserve"> attended</w:t>
            </w:r>
            <w:r>
              <w:rPr>
                <w:snapToGrid w:val="0"/>
                <w:sz w:val="22"/>
                <w:szCs w:val="22"/>
              </w:rPr>
              <w:t xml:space="preserve"> </w:t>
            </w:r>
            <w:r w:rsidRPr="00156389">
              <w:rPr>
                <w:snapToGrid w:val="0"/>
                <w:sz w:val="22"/>
                <w:szCs w:val="22"/>
              </w:rPr>
              <w:t>and 0 testified</w:t>
            </w:r>
            <w:r w:rsidR="00DA3374" w:rsidRPr="002D0FE2">
              <w:rPr>
                <w:snapToGrid w:val="0"/>
                <w:sz w:val="22"/>
                <w:szCs w:val="22"/>
              </w:rPr>
              <w:t>.</w:t>
            </w:r>
          </w:p>
          <w:p w:rsidR="00DA3374" w:rsidRPr="002D0FE2" w:rsidRDefault="00DA3374" w:rsidP="00DA3374">
            <w:pPr>
              <w:pStyle w:val="DEQTEXTforFACTSHEET"/>
              <w:ind w:left="155"/>
              <w:rPr>
                <w:sz w:val="22"/>
                <w:szCs w:val="22"/>
              </w:rPr>
            </w:pPr>
          </w:p>
          <w:p w:rsidR="00797F73" w:rsidRPr="002D0FE2" w:rsidRDefault="00797F73" w:rsidP="00797F73">
            <w:pPr>
              <w:pStyle w:val="DEQTEXTforFACTSHEET"/>
              <w:numPr>
                <w:ilvl w:val="0"/>
                <w:numId w:val="1"/>
              </w:numPr>
              <w:rPr>
                <w:sz w:val="22"/>
                <w:szCs w:val="22"/>
              </w:rPr>
            </w:pPr>
            <w:r>
              <w:rPr>
                <w:sz w:val="22"/>
                <w:szCs w:val="22"/>
              </w:rPr>
              <w:t>July</w:t>
            </w:r>
            <w:r w:rsidRPr="002D0FE2">
              <w:rPr>
                <w:sz w:val="22"/>
                <w:szCs w:val="22"/>
              </w:rPr>
              <w:t xml:space="preserve"> 16, 201</w:t>
            </w:r>
            <w:r>
              <w:rPr>
                <w:sz w:val="22"/>
                <w:szCs w:val="22"/>
              </w:rPr>
              <w:t>4</w:t>
            </w:r>
            <w:r w:rsidRPr="002D0FE2">
              <w:rPr>
                <w:sz w:val="22"/>
                <w:szCs w:val="22"/>
              </w:rPr>
              <w:t>, 6:00 pm</w:t>
            </w:r>
          </w:p>
          <w:p w:rsidR="00797F73" w:rsidRPr="00797F73" w:rsidRDefault="00797F73" w:rsidP="00797F73">
            <w:pPr>
              <w:pStyle w:val="DEQTEXTforFACTSHEET"/>
              <w:ind w:left="720"/>
              <w:rPr>
                <w:sz w:val="22"/>
                <w:szCs w:val="22"/>
              </w:rPr>
            </w:pPr>
            <w:r w:rsidRPr="00797F73">
              <w:rPr>
                <w:sz w:val="22"/>
                <w:szCs w:val="22"/>
              </w:rPr>
              <w:t>DEQ - Medford Regional Office</w:t>
            </w:r>
          </w:p>
          <w:p w:rsidR="00797F73" w:rsidRPr="00797F73" w:rsidRDefault="00797F73" w:rsidP="00797F73">
            <w:pPr>
              <w:pStyle w:val="DEQTEXTforFACTSHEET"/>
              <w:ind w:left="720"/>
              <w:rPr>
                <w:sz w:val="22"/>
                <w:szCs w:val="22"/>
              </w:rPr>
            </w:pPr>
            <w:r w:rsidRPr="00797F73">
              <w:rPr>
                <w:sz w:val="22"/>
                <w:szCs w:val="22"/>
              </w:rPr>
              <w:t>221 Stewart Avenue, Suite 201, Medford</w:t>
            </w:r>
          </w:p>
          <w:p w:rsidR="00797F73" w:rsidRPr="00797F73" w:rsidRDefault="00156389" w:rsidP="00797F73">
            <w:pPr>
              <w:pStyle w:val="DEQTEXTforFACTSHEET"/>
              <w:ind w:left="720"/>
              <w:rPr>
                <w:sz w:val="22"/>
                <w:szCs w:val="22"/>
              </w:rPr>
            </w:pPr>
            <w:r>
              <w:rPr>
                <w:sz w:val="22"/>
                <w:szCs w:val="22"/>
              </w:rPr>
              <w:t>XX</w:t>
            </w:r>
            <w:r w:rsidR="00797F73" w:rsidRPr="00797F73">
              <w:rPr>
                <w:sz w:val="22"/>
                <w:szCs w:val="22"/>
              </w:rPr>
              <w:t xml:space="preserve"> attended and 0 testified.</w:t>
            </w:r>
          </w:p>
          <w:p w:rsidR="00987442" w:rsidRPr="002D0FE2" w:rsidRDefault="00987442" w:rsidP="00576CFD">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p>
          <w:p w:rsidR="00797F73" w:rsidRPr="002D0FE2" w:rsidRDefault="00797F73" w:rsidP="00797F73">
            <w:pPr>
              <w:pStyle w:val="DEQTEXTforFACTSHEET"/>
              <w:numPr>
                <w:ilvl w:val="0"/>
                <w:numId w:val="1"/>
              </w:numPr>
              <w:rPr>
                <w:sz w:val="22"/>
                <w:szCs w:val="22"/>
              </w:rPr>
            </w:pPr>
            <w:r>
              <w:rPr>
                <w:sz w:val="22"/>
                <w:szCs w:val="22"/>
              </w:rPr>
              <w:t>July</w:t>
            </w:r>
            <w:r w:rsidRPr="002D0FE2">
              <w:rPr>
                <w:sz w:val="22"/>
                <w:szCs w:val="22"/>
              </w:rPr>
              <w:t xml:space="preserve"> 16, 201</w:t>
            </w:r>
            <w:r>
              <w:rPr>
                <w:sz w:val="22"/>
                <w:szCs w:val="22"/>
              </w:rPr>
              <w:t>4</w:t>
            </w:r>
            <w:r w:rsidRPr="002D0FE2">
              <w:rPr>
                <w:sz w:val="22"/>
                <w:szCs w:val="22"/>
              </w:rPr>
              <w:t>, 6:00 pm</w:t>
            </w:r>
          </w:p>
          <w:p w:rsidR="00987442" w:rsidRPr="002D0FE2" w:rsidRDefault="007F6359" w:rsidP="00987442">
            <w:pPr>
              <w:tabs>
                <w:tab w:val="left" w:pos="252"/>
                <w:tab w:val="left" w:pos="720"/>
                <w:tab w:val="left" w:pos="1440"/>
                <w:tab w:val="left" w:pos="2160"/>
                <w:tab w:val="left" w:pos="2880"/>
                <w:tab w:val="left" w:pos="3600"/>
                <w:tab w:val="left" w:pos="4320"/>
              </w:tabs>
              <w:suppressAutoHyphens/>
              <w:ind w:left="720"/>
              <w:rPr>
                <w:sz w:val="22"/>
                <w:szCs w:val="22"/>
              </w:rPr>
            </w:pPr>
            <w:r w:rsidRPr="002D0FE2">
              <w:rPr>
                <w:sz w:val="22"/>
                <w:szCs w:val="22"/>
              </w:rPr>
              <w:t>DEQ -</w:t>
            </w:r>
            <w:r w:rsidR="00987442" w:rsidRPr="002D0FE2">
              <w:rPr>
                <w:sz w:val="22"/>
                <w:szCs w:val="22"/>
              </w:rPr>
              <w:t xml:space="preserve"> </w:t>
            </w:r>
            <w:r w:rsidR="00797F73">
              <w:rPr>
                <w:sz w:val="22"/>
                <w:szCs w:val="22"/>
              </w:rPr>
              <w:t>Pendleton</w:t>
            </w:r>
            <w:r w:rsidR="00987442" w:rsidRPr="002D0FE2">
              <w:rPr>
                <w:sz w:val="22"/>
                <w:szCs w:val="22"/>
              </w:rPr>
              <w:t xml:space="preserve"> Regional Office</w:t>
            </w:r>
          </w:p>
          <w:p w:rsidR="008854F4" w:rsidRPr="008854F4" w:rsidRDefault="00A45311" w:rsidP="00156389">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sidRPr="00A45311">
              <w:rPr>
                <w:color w:val="000000"/>
                <w:sz w:val="22"/>
                <w:szCs w:val="22"/>
              </w:rPr>
              <w:t>800 SE Emigrant, #330</w:t>
            </w:r>
            <w:r w:rsidRPr="00A45311">
              <w:rPr>
                <w:color w:val="000000"/>
                <w:sz w:val="22"/>
                <w:szCs w:val="22"/>
              </w:rPr>
              <w:br/>
            </w:r>
            <w:r w:rsidR="00156389">
              <w:rPr>
                <w:snapToGrid w:val="0"/>
                <w:sz w:val="22"/>
                <w:szCs w:val="22"/>
              </w:rPr>
              <w:t>XX</w:t>
            </w:r>
            <w:r w:rsidR="00987442" w:rsidRPr="002D0FE2">
              <w:rPr>
                <w:snapToGrid w:val="0"/>
                <w:sz w:val="22"/>
                <w:szCs w:val="22"/>
              </w:rPr>
              <w:t xml:space="preserve"> attended and </w:t>
            </w:r>
            <w:r w:rsidR="00DA1A53" w:rsidRPr="002D0FE2">
              <w:rPr>
                <w:snapToGrid w:val="0"/>
                <w:sz w:val="22"/>
                <w:szCs w:val="22"/>
              </w:rPr>
              <w:t>0</w:t>
            </w:r>
            <w:r w:rsidR="00987442" w:rsidRPr="002D0FE2">
              <w:rPr>
                <w:snapToGrid w:val="0"/>
                <w:sz w:val="22"/>
                <w:szCs w:val="22"/>
              </w:rPr>
              <w:t xml:space="preserve"> testified.</w:t>
            </w:r>
          </w:p>
        </w:tc>
      </w:tr>
      <w:tr w:rsidR="000D5EFC" w:rsidRPr="002D0FE2" w:rsidTr="009F02AD">
        <w:trPr>
          <w:cantSplit/>
        </w:trPr>
        <w:tc>
          <w:tcPr>
            <w:tcW w:w="1735" w:type="dxa"/>
          </w:tcPr>
          <w:p w:rsidR="000D5EFC" w:rsidRPr="002D0FE2" w:rsidRDefault="001331A2" w:rsidP="00760A52">
            <w:pPr>
              <w:pStyle w:val="Heading5"/>
              <w:spacing w:before="0"/>
              <w:rPr>
                <w:b w:val="0"/>
                <w:i w:val="0"/>
                <w:sz w:val="22"/>
                <w:szCs w:val="22"/>
              </w:rPr>
            </w:pPr>
            <w:r w:rsidRPr="002D0FE2">
              <w:rPr>
                <w:b w:val="0"/>
                <w:i w:val="0"/>
                <w:sz w:val="22"/>
                <w:szCs w:val="22"/>
              </w:rPr>
              <w:t>Organization of comments and responses</w:t>
            </w:r>
          </w:p>
        </w:tc>
        <w:tc>
          <w:tcPr>
            <w:tcW w:w="8697" w:type="dxa"/>
          </w:tcPr>
          <w:p w:rsidR="000D5EFC" w:rsidRPr="002D0FE2" w:rsidRDefault="001331A2" w:rsidP="008D7A69">
            <w:pPr>
              <w:pStyle w:val="BlockText"/>
              <w:rPr>
                <w:sz w:val="22"/>
                <w:szCs w:val="22"/>
              </w:rPr>
            </w:pPr>
            <w:r w:rsidRPr="002D0FE2">
              <w:rPr>
                <w:sz w:val="22"/>
                <w:szCs w:val="22"/>
              </w:rPr>
              <w:t>Summaries of individual comments and DEQ’s responses are provided below.</w:t>
            </w:r>
            <w:r w:rsidR="00275BCF" w:rsidRPr="002D0FE2">
              <w:rPr>
                <w:sz w:val="22"/>
                <w:szCs w:val="22"/>
              </w:rPr>
              <w:t xml:space="preserve"> </w:t>
            </w:r>
            <w:r w:rsidRPr="002D0FE2">
              <w:rPr>
                <w:sz w:val="22"/>
                <w:szCs w:val="22"/>
              </w:rPr>
              <w:t>Comments are summarized in categories.</w:t>
            </w:r>
            <w:r w:rsidR="00275BCF" w:rsidRPr="002D0FE2">
              <w:rPr>
                <w:sz w:val="22"/>
                <w:szCs w:val="22"/>
              </w:rPr>
              <w:t xml:space="preserve"> </w:t>
            </w:r>
            <w:r w:rsidR="008D7A69" w:rsidRPr="002D0FE2">
              <w:rPr>
                <w:sz w:val="22"/>
                <w:szCs w:val="22"/>
              </w:rPr>
              <w:t xml:space="preserve">The persons who provided </w:t>
            </w:r>
            <w:r w:rsidRPr="002D0FE2">
              <w:rPr>
                <w:sz w:val="22"/>
                <w:szCs w:val="22"/>
              </w:rPr>
              <w:t>comment</w:t>
            </w:r>
            <w:r w:rsidR="008D7A69" w:rsidRPr="002D0FE2">
              <w:rPr>
                <w:sz w:val="22"/>
                <w:szCs w:val="22"/>
              </w:rPr>
              <w:t>s</w:t>
            </w:r>
            <w:r w:rsidRPr="002D0FE2">
              <w:rPr>
                <w:sz w:val="22"/>
                <w:szCs w:val="22"/>
              </w:rPr>
              <w:t xml:space="preserve"> are referenced by number.</w:t>
            </w:r>
            <w:r w:rsidR="00275BCF" w:rsidRPr="002D0FE2">
              <w:rPr>
                <w:sz w:val="22"/>
                <w:szCs w:val="22"/>
              </w:rPr>
              <w:t xml:space="preserve"> </w:t>
            </w:r>
            <w:r w:rsidRPr="002D0FE2">
              <w:rPr>
                <w:sz w:val="22"/>
                <w:szCs w:val="22"/>
              </w:rPr>
              <w:t xml:space="preserve">A list of commenters and their reference numbers follows the summary of comments and responses. </w:t>
            </w:r>
            <w:r w:rsidR="004E42F0" w:rsidRPr="002D0FE2">
              <w:rPr>
                <w:sz w:val="22"/>
                <w:szCs w:val="22"/>
              </w:rPr>
              <w:t xml:space="preserve">DEQ responses are shown in </w:t>
            </w:r>
            <w:r w:rsidR="004E42F0" w:rsidRPr="002D0FE2">
              <w:rPr>
                <w:i/>
                <w:sz w:val="22"/>
                <w:szCs w:val="22"/>
              </w:rPr>
              <w:t>italics</w:t>
            </w:r>
            <w:r w:rsidR="004E42F0" w:rsidRPr="002D0FE2">
              <w:rPr>
                <w:sz w:val="22"/>
                <w:szCs w:val="22"/>
              </w:rPr>
              <w:t>.</w:t>
            </w:r>
          </w:p>
        </w:tc>
      </w:tr>
      <w:tr w:rsidR="007B23ED" w:rsidRPr="002D0FE2" w:rsidTr="009F02AD">
        <w:tc>
          <w:tcPr>
            <w:tcW w:w="1735" w:type="dxa"/>
          </w:tcPr>
          <w:p w:rsidR="007B23ED" w:rsidRPr="002D0FE2" w:rsidRDefault="007B23ED" w:rsidP="00760A52">
            <w:pPr>
              <w:pStyle w:val="Heading5"/>
              <w:spacing w:before="0"/>
              <w:rPr>
                <w:b w:val="0"/>
                <w:i w:val="0"/>
                <w:sz w:val="22"/>
                <w:szCs w:val="22"/>
              </w:rPr>
            </w:pPr>
            <w:r w:rsidRPr="002D0FE2">
              <w:rPr>
                <w:b w:val="0"/>
                <w:i w:val="0"/>
                <w:sz w:val="22"/>
                <w:szCs w:val="22"/>
              </w:rPr>
              <w:t>Acronyms used in this document</w:t>
            </w:r>
          </w:p>
        </w:tc>
        <w:tc>
          <w:tcPr>
            <w:tcW w:w="8697" w:type="dxa"/>
          </w:tcPr>
          <w:p w:rsidR="007B23ED" w:rsidRPr="0024494A" w:rsidRDefault="007B23ED" w:rsidP="0030007F">
            <w:pPr>
              <w:rPr>
                <w:sz w:val="22"/>
                <w:szCs w:val="22"/>
              </w:rPr>
            </w:pPr>
            <w:r w:rsidRPr="0024494A">
              <w:rPr>
                <w:sz w:val="22"/>
                <w:szCs w:val="22"/>
              </w:rPr>
              <w:t>ACDP = Air Contaminant Discharge Permit</w:t>
            </w:r>
          </w:p>
          <w:p w:rsidR="007B23ED" w:rsidRPr="0024494A" w:rsidRDefault="007B23ED" w:rsidP="0030007F">
            <w:pPr>
              <w:rPr>
                <w:sz w:val="22"/>
                <w:szCs w:val="22"/>
              </w:rPr>
            </w:pPr>
            <w:r w:rsidRPr="0024494A">
              <w:rPr>
                <w:sz w:val="22"/>
                <w:szCs w:val="22"/>
              </w:rPr>
              <w:t>BACT = Best Available Control Technology</w:t>
            </w:r>
          </w:p>
          <w:p w:rsidR="007B23ED" w:rsidRPr="0024494A" w:rsidRDefault="007B23ED" w:rsidP="0030007F">
            <w:pPr>
              <w:rPr>
                <w:sz w:val="22"/>
                <w:szCs w:val="22"/>
              </w:rPr>
            </w:pPr>
            <w:r w:rsidRPr="0024494A">
              <w:rPr>
                <w:sz w:val="22"/>
                <w:szCs w:val="22"/>
              </w:rPr>
              <w:t>DEQ = Oregon Department of Environmental Quality</w:t>
            </w:r>
          </w:p>
          <w:p w:rsidR="007B23ED" w:rsidRPr="0024494A" w:rsidRDefault="007B23ED" w:rsidP="0030007F">
            <w:pPr>
              <w:rPr>
                <w:sz w:val="22"/>
                <w:szCs w:val="22"/>
              </w:rPr>
            </w:pPr>
            <w:r w:rsidRPr="0024494A">
              <w:rPr>
                <w:sz w:val="22"/>
                <w:szCs w:val="22"/>
              </w:rPr>
              <w:t xml:space="preserve">EPA = United States Environmental Protection Agency </w:t>
            </w:r>
          </w:p>
          <w:p w:rsidR="007B23ED" w:rsidRPr="0024494A" w:rsidRDefault="007B23ED" w:rsidP="0030007F">
            <w:pPr>
              <w:rPr>
                <w:sz w:val="22"/>
                <w:szCs w:val="22"/>
              </w:rPr>
            </w:pPr>
            <w:r w:rsidRPr="0024494A">
              <w:rPr>
                <w:sz w:val="22"/>
                <w:szCs w:val="22"/>
              </w:rPr>
              <w:t>EQC = Oregon Environmental Quality Commission</w:t>
            </w:r>
          </w:p>
          <w:p w:rsidR="00166802" w:rsidRPr="0024494A" w:rsidRDefault="00166802" w:rsidP="0030007F">
            <w:pPr>
              <w:rPr>
                <w:sz w:val="22"/>
                <w:szCs w:val="22"/>
              </w:rPr>
            </w:pPr>
            <w:r w:rsidRPr="0024494A">
              <w:rPr>
                <w:sz w:val="22"/>
                <w:szCs w:val="22"/>
              </w:rPr>
              <w:t>NAA = nonattainment area</w:t>
            </w:r>
          </w:p>
          <w:p w:rsidR="009E0761" w:rsidRPr="0024494A" w:rsidRDefault="009E0761" w:rsidP="0030007F">
            <w:pPr>
              <w:rPr>
                <w:sz w:val="22"/>
                <w:szCs w:val="22"/>
              </w:rPr>
            </w:pPr>
            <w:r w:rsidRPr="0024494A">
              <w:rPr>
                <w:sz w:val="22"/>
                <w:szCs w:val="22"/>
              </w:rPr>
              <w:t>NAAQS = National Ambient Air Quality Standards</w:t>
            </w:r>
          </w:p>
          <w:p w:rsidR="007B23ED" w:rsidRPr="0024494A" w:rsidRDefault="007B23ED" w:rsidP="0030007F">
            <w:pPr>
              <w:rPr>
                <w:sz w:val="22"/>
                <w:szCs w:val="22"/>
              </w:rPr>
            </w:pPr>
            <w:r w:rsidRPr="0024494A">
              <w:rPr>
                <w:sz w:val="22"/>
                <w:szCs w:val="22"/>
              </w:rPr>
              <w:t>NO</w:t>
            </w:r>
            <w:r w:rsidRPr="0024494A">
              <w:rPr>
                <w:sz w:val="22"/>
                <w:szCs w:val="22"/>
                <w:vertAlign w:val="subscript"/>
              </w:rPr>
              <w:t>x</w:t>
            </w:r>
            <w:r w:rsidR="00BA2256" w:rsidRPr="0024494A">
              <w:rPr>
                <w:sz w:val="22"/>
                <w:szCs w:val="22"/>
              </w:rPr>
              <w:t xml:space="preserve"> = n</w:t>
            </w:r>
            <w:r w:rsidRPr="0024494A">
              <w:rPr>
                <w:sz w:val="22"/>
                <w:szCs w:val="22"/>
              </w:rPr>
              <w:t xml:space="preserve">itrogen </w:t>
            </w:r>
            <w:r w:rsidR="00BA2256" w:rsidRPr="0024494A">
              <w:rPr>
                <w:sz w:val="22"/>
                <w:szCs w:val="22"/>
              </w:rPr>
              <w:t>o</w:t>
            </w:r>
            <w:r w:rsidRPr="0024494A">
              <w:rPr>
                <w:sz w:val="22"/>
                <w:szCs w:val="22"/>
              </w:rPr>
              <w:t>xides</w:t>
            </w:r>
          </w:p>
          <w:p w:rsidR="007B23ED" w:rsidRPr="0024494A" w:rsidRDefault="007B23ED" w:rsidP="0030007F">
            <w:pPr>
              <w:rPr>
                <w:sz w:val="22"/>
                <w:szCs w:val="22"/>
              </w:rPr>
            </w:pPr>
            <w:r w:rsidRPr="0024494A">
              <w:rPr>
                <w:sz w:val="22"/>
                <w:szCs w:val="22"/>
              </w:rPr>
              <w:t>NSR = New Source Review</w:t>
            </w:r>
          </w:p>
          <w:p w:rsidR="0024494A" w:rsidRPr="0024494A" w:rsidRDefault="0024494A" w:rsidP="0030007F">
            <w:pPr>
              <w:rPr>
                <w:sz w:val="22"/>
                <w:szCs w:val="22"/>
              </w:rPr>
            </w:pPr>
            <w:r w:rsidRPr="0024494A">
              <w:rPr>
                <w:sz w:val="22"/>
                <w:szCs w:val="22"/>
              </w:rPr>
              <w:t xml:space="preserve">PAL = </w:t>
            </w:r>
            <w:r w:rsidRPr="0024494A">
              <w:rPr>
                <w:rStyle w:val="FontStyle16"/>
                <w:rFonts w:ascii="Times New Roman" w:hAnsi="Times New Roman" w:cs="Times New Roman"/>
                <w:sz w:val="22"/>
                <w:szCs w:val="22"/>
              </w:rPr>
              <w:t xml:space="preserve">Plantwide Applicability Limit </w:t>
            </w:r>
          </w:p>
          <w:p w:rsidR="007B23ED" w:rsidRPr="0024494A" w:rsidRDefault="007B23ED" w:rsidP="0030007F">
            <w:pPr>
              <w:rPr>
                <w:sz w:val="22"/>
                <w:szCs w:val="22"/>
              </w:rPr>
            </w:pPr>
            <w:r w:rsidRPr="0024494A">
              <w:rPr>
                <w:sz w:val="22"/>
                <w:szCs w:val="22"/>
              </w:rPr>
              <w:t>PM</w:t>
            </w:r>
            <w:r w:rsidRPr="0024494A">
              <w:rPr>
                <w:sz w:val="22"/>
                <w:szCs w:val="22"/>
                <w:vertAlign w:val="subscript"/>
              </w:rPr>
              <w:t>10</w:t>
            </w:r>
            <w:r w:rsidRPr="0024494A">
              <w:rPr>
                <w:sz w:val="22"/>
                <w:szCs w:val="22"/>
              </w:rPr>
              <w:t xml:space="preserve"> = </w:t>
            </w:r>
            <w:r w:rsidR="00EF78B7">
              <w:rPr>
                <w:sz w:val="22"/>
                <w:szCs w:val="22"/>
              </w:rPr>
              <w:t>p</w:t>
            </w:r>
            <w:r w:rsidRPr="0024494A">
              <w:rPr>
                <w:sz w:val="22"/>
                <w:szCs w:val="22"/>
              </w:rPr>
              <w:t>articulate matter less than 10 microns in diameter</w:t>
            </w:r>
          </w:p>
          <w:p w:rsidR="007B23ED" w:rsidRPr="0024494A" w:rsidRDefault="007B23ED" w:rsidP="0030007F">
            <w:pPr>
              <w:rPr>
                <w:sz w:val="22"/>
                <w:szCs w:val="22"/>
              </w:rPr>
            </w:pPr>
            <w:r w:rsidRPr="0024494A">
              <w:rPr>
                <w:sz w:val="22"/>
                <w:szCs w:val="22"/>
              </w:rPr>
              <w:t>PM</w:t>
            </w:r>
            <w:r w:rsidRPr="0024494A">
              <w:rPr>
                <w:sz w:val="22"/>
                <w:szCs w:val="22"/>
                <w:vertAlign w:val="subscript"/>
              </w:rPr>
              <w:t>2.5</w:t>
            </w:r>
            <w:r w:rsidR="00EF78B7">
              <w:rPr>
                <w:sz w:val="22"/>
                <w:szCs w:val="22"/>
              </w:rPr>
              <w:t xml:space="preserve"> = p</w:t>
            </w:r>
            <w:r w:rsidRPr="0024494A">
              <w:rPr>
                <w:sz w:val="22"/>
                <w:szCs w:val="22"/>
              </w:rPr>
              <w:t>articulate matter less than 2.5 microns in diameter</w:t>
            </w:r>
          </w:p>
          <w:p w:rsidR="007B23ED" w:rsidRPr="0024494A" w:rsidRDefault="007B23ED" w:rsidP="0030007F">
            <w:pPr>
              <w:rPr>
                <w:sz w:val="22"/>
                <w:szCs w:val="22"/>
              </w:rPr>
            </w:pPr>
            <w:r w:rsidRPr="0024494A">
              <w:rPr>
                <w:sz w:val="22"/>
                <w:szCs w:val="22"/>
              </w:rPr>
              <w:lastRenderedPageBreak/>
              <w:t>PSD = Prevention of Significant Deterioration</w:t>
            </w:r>
          </w:p>
          <w:p w:rsidR="007B23ED" w:rsidRDefault="007B23ED" w:rsidP="0030007F">
            <w:pPr>
              <w:rPr>
                <w:sz w:val="22"/>
                <w:szCs w:val="22"/>
              </w:rPr>
            </w:pPr>
            <w:r w:rsidRPr="0024494A">
              <w:rPr>
                <w:sz w:val="22"/>
                <w:szCs w:val="22"/>
              </w:rPr>
              <w:t>PSEL = Plant Site Emission Limit</w:t>
            </w:r>
          </w:p>
          <w:p w:rsidR="00EF78B7" w:rsidRPr="0024494A" w:rsidRDefault="00EF78B7" w:rsidP="0030007F">
            <w:pPr>
              <w:rPr>
                <w:sz w:val="22"/>
                <w:szCs w:val="22"/>
              </w:rPr>
            </w:pPr>
            <w:r>
              <w:rPr>
                <w:sz w:val="22"/>
                <w:szCs w:val="22"/>
              </w:rPr>
              <w:t>PTE = potential to emit</w:t>
            </w:r>
          </w:p>
          <w:p w:rsidR="007B23ED" w:rsidRPr="0024494A" w:rsidRDefault="00BA2256" w:rsidP="0030007F">
            <w:pPr>
              <w:rPr>
                <w:sz w:val="22"/>
                <w:szCs w:val="22"/>
              </w:rPr>
            </w:pPr>
            <w:r w:rsidRPr="0024494A">
              <w:rPr>
                <w:sz w:val="22"/>
                <w:szCs w:val="22"/>
              </w:rPr>
              <w:t>SILs = s</w:t>
            </w:r>
            <w:r w:rsidR="007B23ED" w:rsidRPr="0024494A">
              <w:rPr>
                <w:sz w:val="22"/>
                <w:szCs w:val="22"/>
              </w:rPr>
              <w:t xml:space="preserve">ignificant </w:t>
            </w:r>
            <w:r w:rsidRPr="0024494A">
              <w:rPr>
                <w:sz w:val="22"/>
                <w:szCs w:val="22"/>
              </w:rPr>
              <w:t>i</w:t>
            </w:r>
            <w:r w:rsidR="007B23ED" w:rsidRPr="0024494A">
              <w:rPr>
                <w:sz w:val="22"/>
                <w:szCs w:val="22"/>
              </w:rPr>
              <w:t xml:space="preserve">mpact </w:t>
            </w:r>
            <w:r w:rsidRPr="0024494A">
              <w:rPr>
                <w:sz w:val="22"/>
                <w:szCs w:val="22"/>
              </w:rPr>
              <w:t>l</w:t>
            </w:r>
            <w:r w:rsidR="007B23ED" w:rsidRPr="0024494A">
              <w:rPr>
                <w:sz w:val="22"/>
                <w:szCs w:val="22"/>
              </w:rPr>
              <w:t>evels</w:t>
            </w:r>
          </w:p>
          <w:p w:rsidR="00687A2B" w:rsidRPr="0024494A" w:rsidRDefault="00687A2B" w:rsidP="0030007F">
            <w:pPr>
              <w:rPr>
                <w:sz w:val="22"/>
                <w:szCs w:val="22"/>
              </w:rPr>
            </w:pPr>
            <w:r w:rsidRPr="0024494A">
              <w:rPr>
                <w:sz w:val="22"/>
                <w:szCs w:val="22"/>
              </w:rPr>
              <w:t xml:space="preserve">SMC = </w:t>
            </w:r>
            <w:r w:rsidR="00BA2256" w:rsidRPr="0024494A">
              <w:rPr>
                <w:sz w:val="22"/>
                <w:szCs w:val="22"/>
              </w:rPr>
              <w:t>s</w:t>
            </w:r>
            <w:r w:rsidRPr="0024494A">
              <w:rPr>
                <w:sz w:val="22"/>
                <w:szCs w:val="22"/>
              </w:rPr>
              <w:t xml:space="preserve">ignificant </w:t>
            </w:r>
            <w:r w:rsidR="00BA2256" w:rsidRPr="0024494A">
              <w:rPr>
                <w:sz w:val="22"/>
                <w:szCs w:val="22"/>
              </w:rPr>
              <w:t>m</w:t>
            </w:r>
            <w:r w:rsidRPr="0024494A">
              <w:rPr>
                <w:sz w:val="22"/>
                <w:szCs w:val="22"/>
              </w:rPr>
              <w:t xml:space="preserve">onitoring </w:t>
            </w:r>
            <w:r w:rsidR="00BA2256" w:rsidRPr="0024494A">
              <w:rPr>
                <w:sz w:val="22"/>
                <w:szCs w:val="22"/>
              </w:rPr>
              <w:t>c</w:t>
            </w:r>
            <w:r w:rsidRPr="0024494A">
              <w:rPr>
                <w:sz w:val="22"/>
                <w:szCs w:val="22"/>
              </w:rPr>
              <w:t>oncentration</w:t>
            </w:r>
          </w:p>
          <w:p w:rsidR="007B23ED" w:rsidRDefault="007B23ED" w:rsidP="0030007F">
            <w:pPr>
              <w:rPr>
                <w:sz w:val="22"/>
                <w:szCs w:val="22"/>
              </w:rPr>
            </w:pPr>
            <w:r w:rsidRPr="0024494A">
              <w:rPr>
                <w:sz w:val="22"/>
                <w:szCs w:val="22"/>
              </w:rPr>
              <w:t>SO</w:t>
            </w:r>
            <w:r w:rsidRPr="0024494A">
              <w:rPr>
                <w:sz w:val="22"/>
                <w:szCs w:val="22"/>
                <w:vertAlign w:val="subscript"/>
              </w:rPr>
              <w:t>2</w:t>
            </w:r>
            <w:r w:rsidRPr="0024494A">
              <w:rPr>
                <w:sz w:val="22"/>
                <w:szCs w:val="22"/>
              </w:rPr>
              <w:t xml:space="preserve"> = </w:t>
            </w:r>
            <w:r w:rsidR="00BA2256" w:rsidRPr="0024494A">
              <w:rPr>
                <w:sz w:val="22"/>
                <w:szCs w:val="22"/>
              </w:rPr>
              <w:t>s</w:t>
            </w:r>
            <w:r w:rsidRPr="0024494A">
              <w:rPr>
                <w:sz w:val="22"/>
                <w:szCs w:val="22"/>
              </w:rPr>
              <w:t xml:space="preserve">ulfur </w:t>
            </w:r>
            <w:r w:rsidR="00BA2256" w:rsidRPr="0024494A">
              <w:rPr>
                <w:sz w:val="22"/>
                <w:szCs w:val="22"/>
              </w:rPr>
              <w:t>d</w:t>
            </w:r>
            <w:r w:rsidRPr="0024494A">
              <w:rPr>
                <w:sz w:val="22"/>
                <w:szCs w:val="22"/>
              </w:rPr>
              <w:t>ioxide</w:t>
            </w:r>
          </w:p>
          <w:p w:rsidR="00D971C0" w:rsidRPr="0024494A" w:rsidRDefault="00D971C0" w:rsidP="0030007F">
            <w:pPr>
              <w:rPr>
                <w:sz w:val="22"/>
                <w:szCs w:val="22"/>
              </w:rPr>
            </w:pPr>
            <w:r>
              <w:rPr>
                <w:sz w:val="22"/>
                <w:szCs w:val="22"/>
              </w:rPr>
              <w:t>tpy = tons per year</w:t>
            </w:r>
          </w:p>
          <w:p w:rsidR="00BA2256" w:rsidRPr="0024494A" w:rsidRDefault="00BA2256" w:rsidP="0030007F">
            <w:pPr>
              <w:rPr>
                <w:sz w:val="22"/>
                <w:szCs w:val="22"/>
              </w:rPr>
            </w:pPr>
            <w:r w:rsidRPr="0024494A">
              <w:rPr>
                <w:sz w:val="22"/>
                <w:szCs w:val="22"/>
              </w:rPr>
              <w:t>VOC = volatile organic compounds</w:t>
            </w:r>
          </w:p>
        </w:tc>
      </w:tr>
    </w:tbl>
    <w:p w:rsidR="00361055" w:rsidRPr="002D0FE2" w:rsidRDefault="00361055">
      <w:pPr>
        <w:rPr>
          <w:sz w:val="22"/>
          <w:szCs w:val="22"/>
        </w:rPr>
      </w:pPr>
    </w:p>
    <w:tbl>
      <w:tblPr>
        <w:tblW w:w="0" w:type="auto"/>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90"/>
        <w:gridCol w:w="8640"/>
      </w:tblGrid>
      <w:tr w:rsidR="00C75AA1" w:rsidRPr="002D0FE2" w:rsidTr="002D0FE2">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2D0FE2" w:rsidRDefault="0080706C" w:rsidP="00261641">
            <w:pPr>
              <w:spacing w:after="80"/>
              <w:jc w:val="center"/>
              <w:rPr>
                <w:b/>
                <w:sz w:val="22"/>
                <w:szCs w:val="22"/>
              </w:rPr>
            </w:pPr>
            <w:r w:rsidRPr="002D0FE2">
              <w:rPr>
                <w:b/>
                <w:sz w:val="22"/>
                <w:szCs w:val="22"/>
              </w:rPr>
              <w:t xml:space="preserve">Summary of Comments and DEQ </w:t>
            </w:r>
            <w:r w:rsidR="00C75AA1" w:rsidRPr="002D0FE2">
              <w:rPr>
                <w:b/>
                <w:sz w:val="22"/>
                <w:szCs w:val="22"/>
              </w:rPr>
              <w:t>Responses</w:t>
            </w:r>
          </w:p>
        </w:tc>
      </w:tr>
      <w:tr w:rsidR="00FC68CA" w:rsidRPr="002D0FE2" w:rsidTr="002D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FC68CA" w:rsidRPr="00AE7C8B" w:rsidRDefault="00FC68CA" w:rsidP="00A278D4">
            <w:pPr>
              <w:ind w:right="-115"/>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16EAD" w:rsidRPr="00D16EAD" w:rsidRDefault="00D16EAD" w:rsidP="00D16EAD">
            <w:pPr>
              <w:autoSpaceDE w:val="0"/>
              <w:autoSpaceDN w:val="0"/>
              <w:adjustRightInd w:val="0"/>
              <w:spacing w:after="120"/>
              <w:ind w:right="487"/>
              <w:rPr>
                <w:sz w:val="22"/>
                <w:szCs w:val="22"/>
              </w:rPr>
            </w:pPr>
            <w:r w:rsidRPr="00D16EAD">
              <w:rPr>
                <w:sz w:val="22"/>
                <w:szCs w:val="22"/>
              </w:rPr>
              <w:t>I called Jess and chatted with him about the Sustainment Area Rule and why it was critically important for Lakeview and Lake County to continue with the Sustainment Area Designation.  He listened then stated he was just responding to how his attorney responded when asked about the rule.  Additionally, Collins has no plans to implement provisions of this rule and therefore won’t really help out Collins.  I asked him to consider the rule in relationship to how the Town and County might perceive it and that it was important to them to have a pathway or avenue for industrial sources who may like to establish themselves or expand in Lakeview to be able to do so.</w:t>
            </w:r>
          </w:p>
          <w:p w:rsidR="00D16EAD" w:rsidRPr="00D16EAD" w:rsidRDefault="00D16EAD" w:rsidP="00D16EAD">
            <w:pPr>
              <w:autoSpaceDE w:val="0"/>
              <w:autoSpaceDN w:val="0"/>
              <w:adjustRightInd w:val="0"/>
              <w:spacing w:after="120"/>
              <w:ind w:right="487"/>
              <w:rPr>
                <w:sz w:val="22"/>
                <w:szCs w:val="22"/>
              </w:rPr>
            </w:pPr>
            <w:r w:rsidRPr="00D16EAD">
              <w:rPr>
                <w:sz w:val="22"/>
                <w:szCs w:val="22"/>
              </w:rPr>
              <w:t xml:space="preserve">Currently, there are no provisions in our current rules to allow new or expanding industry </w:t>
            </w:r>
            <w:proofErr w:type="gramStart"/>
            <w:r w:rsidRPr="00D16EAD">
              <w:rPr>
                <w:sz w:val="22"/>
                <w:szCs w:val="22"/>
              </w:rPr>
              <w:t>be</w:t>
            </w:r>
            <w:proofErr w:type="gramEnd"/>
            <w:r w:rsidRPr="00D16EAD">
              <w:rPr>
                <w:sz w:val="22"/>
                <w:szCs w:val="22"/>
              </w:rPr>
              <w:t xml:space="preserve"> able to establish or expand in Lakeview.   Lakeview’s ambient air quality data shows Lakeview at above the standard.  Because Lakeview’s PM2.5 concentration is above the standard, that concentration becomes the background when a new source is required to model.  A proposed new source then must add their emissions on top of background and then model showing they can be in compliance with the standard.  There are no offset provisions. That new source could not model to show compliance with the standard.  These Sustainment Area rules would allow offsets and allow not only offsets from other industrial sources in the community, but allow offsets from other sources of emissions such as woodstoves (the main source of the pollution problem in Lakeview).  The Sustainment Area rules do two things; 1) allow for economic development in Lakeview, where there currently is none allowed; and 2) help solve the long term pollution problem in the community where currently industry is not the problem.  DEQ thinks it is a </w:t>
            </w:r>
            <w:proofErr w:type="spellStart"/>
            <w:r w:rsidRPr="00D16EAD">
              <w:rPr>
                <w:sz w:val="22"/>
                <w:szCs w:val="22"/>
              </w:rPr>
              <w:t>win</w:t>
            </w:r>
            <w:proofErr w:type="gramStart"/>
            <w:r w:rsidRPr="00D16EAD">
              <w:rPr>
                <w:sz w:val="22"/>
                <w:szCs w:val="22"/>
              </w:rPr>
              <w:t>:win</w:t>
            </w:r>
            <w:proofErr w:type="spellEnd"/>
            <w:proofErr w:type="gramEnd"/>
            <w:r w:rsidRPr="00D16EAD">
              <w:rPr>
                <w:sz w:val="22"/>
                <w:szCs w:val="22"/>
              </w:rPr>
              <w:t xml:space="preserve"> situation.  Although Collins states they will not use the benefits of a Sustainment area, other industry like Cornerstone or Red Rock Biofuels may.  It may not be a panacea, but at least there is an option for some economic development in the community, rather than none.  With the Sustainment designation, Lakeview can retain its economic quests without being designated “Nonattainment”. Other communities in Oregon have a similar problem, namely Prineville and Burns.</w:t>
            </w:r>
          </w:p>
          <w:p w:rsidR="00D16EAD" w:rsidRPr="00D16EAD" w:rsidRDefault="00D16EAD" w:rsidP="00D16EAD">
            <w:pPr>
              <w:autoSpaceDE w:val="0"/>
              <w:autoSpaceDN w:val="0"/>
              <w:adjustRightInd w:val="0"/>
              <w:spacing w:after="120"/>
              <w:ind w:right="487"/>
              <w:rPr>
                <w:sz w:val="22"/>
                <w:szCs w:val="22"/>
              </w:rPr>
            </w:pPr>
            <w:r w:rsidRPr="00D16EAD">
              <w:rPr>
                <w:sz w:val="22"/>
                <w:szCs w:val="22"/>
              </w:rPr>
              <w:t xml:space="preserve">I think that Jess is misinterpreting the rule’s intent.  While it is true that a federal major source would need to meet PSD and Net Air Quality Benefit, the nonfederal sources still need to meet the standard with background.  Most sources interested in coming to Lakeview would not be Federal Major Sources.  Most would be about the size of Cornerstone, Collins, Red Rock Biofuels and yes even </w:t>
            </w:r>
            <w:proofErr w:type="spellStart"/>
            <w:r w:rsidRPr="00D16EAD">
              <w:rPr>
                <w:sz w:val="22"/>
                <w:szCs w:val="22"/>
              </w:rPr>
              <w:t>Ibedrola</w:t>
            </w:r>
            <w:proofErr w:type="spellEnd"/>
            <w:r w:rsidRPr="00D16EAD">
              <w:rPr>
                <w:sz w:val="22"/>
                <w:szCs w:val="22"/>
              </w:rPr>
              <w:t xml:space="preserve">.  It is unlikely a large coal fired power plant or other similar source that emits large amounts of pollution (a federal major) would want to establish </w:t>
            </w:r>
            <w:proofErr w:type="gramStart"/>
            <w:r w:rsidRPr="00D16EAD">
              <w:rPr>
                <w:sz w:val="22"/>
                <w:szCs w:val="22"/>
              </w:rPr>
              <w:t>themselves</w:t>
            </w:r>
            <w:proofErr w:type="gramEnd"/>
            <w:r w:rsidRPr="00D16EAD">
              <w:rPr>
                <w:sz w:val="22"/>
                <w:szCs w:val="22"/>
              </w:rPr>
              <w:t xml:space="preserve"> in Lakeview (as nice as that may be from an economic standpoint).</w:t>
            </w:r>
          </w:p>
          <w:p w:rsidR="00076541" w:rsidRPr="00D16EAD" w:rsidRDefault="00D16EAD" w:rsidP="00076541">
            <w:pPr>
              <w:autoSpaceDE w:val="0"/>
              <w:autoSpaceDN w:val="0"/>
              <w:adjustRightInd w:val="0"/>
              <w:spacing w:after="120"/>
              <w:ind w:right="487"/>
              <w:rPr>
                <w:sz w:val="22"/>
                <w:szCs w:val="22"/>
              </w:rPr>
            </w:pPr>
            <w:r w:rsidRPr="00D16EAD">
              <w:rPr>
                <w:sz w:val="22"/>
                <w:szCs w:val="22"/>
              </w:rPr>
              <w:t>It is true that the best source of control for pollution in Lakeview will be from the activities and ordinances identified in the PM Advance Plan and that it is nearly complete.  DEQ feels this is the most direct and best use of resources at the community level.  We are also pleased that SCOEDD received Legislative money to change out non-certified woodstoves and that will help substantially.  These should be the first line offensive against poor air quality in Lakeview.  But, there is another tool in the toolbox that can be used to help.  That tool is a “Sustainment Area” designation.  We think you made the right decision and believe you should continue your quest for all tools to improve air quality in Lakeview.</w:t>
            </w:r>
          </w:p>
        </w:tc>
      </w:tr>
      <w:tr w:rsidR="00652855" w:rsidRPr="002D0FE2" w:rsidTr="00A04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E7C8B" w:rsidRDefault="00A278D4" w:rsidP="00A278D4">
            <w:pPr>
              <w:pStyle w:val="ListParagraph"/>
              <w:numPr>
                <w:ilvl w:val="0"/>
                <w:numId w:val="13"/>
              </w:numPr>
              <w:ind w:right="-115"/>
              <w:rPr>
                <w:sz w:val="22"/>
                <w:szCs w:val="22"/>
              </w:rPr>
            </w:pPr>
          </w:p>
          <w:p w:rsidR="00652855" w:rsidRPr="00AE7C8B" w:rsidRDefault="00912176" w:rsidP="00A278D4">
            <w:pPr>
              <w:ind w:right="-115"/>
              <w:rPr>
                <w:sz w:val="22"/>
                <w:szCs w:val="22"/>
              </w:rPr>
            </w:pPr>
            <w:r w:rsidRPr="00AE7C8B">
              <w:rPr>
                <w:sz w:val="22"/>
                <w:szCs w:val="22"/>
              </w:rPr>
              <w:t>A</w:t>
            </w:r>
            <w:r w:rsidR="00DC3DE0" w:rsidRPr="00AE7C8B">
              <w:rPr>
                <w:sz w:val="22"/>
                <w:szCs w:val="22"/>
              </w:rPr>
              <w:t>ctual emissions and</w:t>
            </w:r>
            <w:r w:rsidR="00523680" w:rsidRPr="00AE7C8B">
              <w:rPr>
                <w:sz w:val="22"/>
                <w:szCs w:val="22"/>
              </w:rPr>
              <w:t xml:space="preserve"> </w:t>
            </w:r>
            <w:r w:rsidR="00652855" w:rsidRPr="00AE7C8B">
              <w:rPr>
                <w:sz w:val="22"/>
                <w:szCs w:val="22"/>
              </w:rPr>
              <w:t>PTE</w:t>
            </w:r>
            <w:r w:rsidRPr="00AE7C8B">
              <w:rPr>
                <w:sz w:val="22"/>
                <w:szCs w:val="22"/>
              </w:rPr>
              <w:t xml:space="preserve"> establishment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78B7" w:rsidRDefault="00652855" w:rsidP="00A04D17">
            <w:pPr>
              <w:spacing w:after="120"/>
              <w:rPr>
                <w:sz w:val="22"/>
                <w:szCs w:val="22"/>
              </w:rPr>
            </w:pPr>
            <w:r w:rsidRPr="009F34CF">
              <w:rPr>
                <w:sz w:val="22"/>
                <w:szCs w:val="22"/>
              </w:rPr>
              <w:t>DEQ should ensure that its rule would allow using the most appropriate formula (as prescribed by EPA), or continuous emissions monitors to establish actual emissions and PTE. (12)</w:t>
            </w:r>
          </w:p>
          <w:p w:rsidR="00EF78B7" w:rsidRDefault="00EF78B7" w:rsidP="00A04D17">
            <w:pPr>
              <w:spacing w:after="120"/>
              <w:rPr>
                <w:i/>
                <w:sz w:val="22"/>
                <w:szCs w:val="22"/>
              </w:rPr>
            </w:pPr>
            <w:r>
              <w:rPr>
                <w:i/>
                <w:sz w:val="22"/>
                <w:szCs w:val="22"/>
              </w:rPr>
              <w:t>Response:</w:t>
            </w:r>
          </w:p>
          <w:p w:rsidR="00EF78B7" w:rsidRPr="00EF78B7" w:rsidRDefault="00EF78B7" w:rsidP="00A04D17">
            <w:pPr>
              <w:spacing w:after="120"/>
              <w:rPr>
                <w:i/>
                <w:sz w:val="22"/>
                <w:szCs w:val="22"/>
              </w:rPr>
            </w:pPr>
            <w:r>
              <w:rPr>
                <w:i/>
                <w:sz w:val="22"/>
                <w:szCs w:val="22"/>
              </w:rPr>
              <w:t xml:space="preserve">The rule allows for the use of both of these methods to calculate actual emissions and potential to emit. </w:t>
            </w:r>
          </w:p>
          <w:p w:rsidR="00652855" w:rsidRPr="009F34CF" w:rsidRDefault="00A04EFF" w:rsidP="00A04D17">
            <w:pPr>
              <w:pStyle w:val="NormalWeb"/>
              <w:spacing w:before="0" w:beforeAutospacing="0" w:after="0" w:afterAutospacing="0"/>
              <w:rPr>
                <w:i/>
                <w:sz w:val="22"/>
                <w:szCs w:val="22"/>
              </w:rPr>
            </w:pPr>
            <w:r>
              <w:rPr>
                <w:bCs/>
                <w:i/>
                <w:sz w:val="22"/>
                <w:szCs w:val="22"/>
              </w:rPr>
              <w:t xml:space="preserve">Actual emissions are the foundation for </w:t>
            </w:r>
            <w:r w:rsidR="00B61870">
              <w:rPr>
                <w:bCs/>
                <w:i/>
                <w:sz w:val="22"/>
                <w:szCs w:val="22"/>
              </w:rPr>
              <w:t xml:space="preserve">the baseline emission rate </w:t>
            </w:r>
            <w:r>
              <w:rPr>
                <w:bCs/>
                <w:i/>
                <w:sz w:val="22"/>
                <w:szCs w:val="22"/>
              </w:rPr>
              <w:t xml:space="preserve">in most cases, which in turn establishes the </w:t>
            </w:r>
            <w:r w:rsidR="00B61870">
              <w:rPr>
                <w:bCs/>
                <w:i/>
                <w:sz w:val="22"/>
                <w:szCs w:val="22"/>
              </w:rPr>
              <w:t>netting basis and the P</w:t>
            </w:r>
            <w:r w:rsidR="0080767A">
              <w:rPr>
                <w:bCs/>
                <w:i/>
                <w:sz w:val="22"/>
                <w:szCs w:val="22"/>
              </w:rPr>
              <w:t xml:space="preserve">lant </w:t>
            </w:r>
            <w:r w:rsidR="00B61870">
              <w:rPr>
                <w:bCs/>
                <w:i/>
                <w:sz w:val="22"/>
                <w:szCs w:val="22"/>
              </w:rPr>
              <w:t>S</w:t>
            </w:r>
            <w:r w:rsidR="0080767A">
              <w:rPr>
                <w:bCs/>
                <w:i/>
                <w:sz w:val="22"/>
                <w:szCs w:val="22"/>
              </w:rPr>
              <w:t xml:space="preserve">ite </w:t>
            </w:r>
            <w:r w:rsidR="00B61870">
              <w:rPr>
                <w:bCs/>
                <w:i/>
                <w:sz w:val="22"/>
                <w:szCs w:val="22"/>
              </w:rPr>
              <w:t>E</w:t>
            </w:r>
            <w:r w:rsidR="0080767A">
              <w:rPr>
                <w:bCs/>
                <w:i/>
                <w:sz w:val="22"/>
                <w:szCs w:val="22"/>
              </w:rPr>
              <w:t xml:space="preserve">mission </w:t>
            </w:r>
            <w:r w:rsidR="00B61870">
              <w:rPr>
                <w:bCs/>
                <w:i/>
                <w:sz w:val="22"/>
                <w:szCs w:val="22"/>
              </w:rPr>
              <w:t>L</w:t>
            </w:r>
            <w:r w:rsidR="0080767A">
              <w:rPr>
                <w:bCs/>
                <w:i/>
                <w:sz w:val="22"/>
                <w:szCs w:val="22"/>
              </w:rPr>
              <w:t>imit (PSEL</w:t>
            </w:r>
            <w:r w:rsidR="00EF78B7">
              <w:rPr>
                <w:bCs/>
                <w:i/>
                <w:sz w:val="22"/>
                <w:szCs w:val="22"/>
              </w:rPr>
              <w:t xml:space="preserve"> or potential to emit</w:t>
            </w:r>
            <w:r w:rsidR="0080767A">
              <w:rPr>
                <w:bCs/>
                <w:i/>
                <w:sz w:val="22"/>
                <w:szCs w:val="22"/>
              </w:rPr>
              <w:t>)</w:t>
            </w:r>
            <w:r w:rsidR="004A0EA4">
              <w:rPr>
                <w:bCs/>
                <w:i/>
                <w:sz w:val="22"/>
                <w:szCs w:val="22"/>
              </w:rPr>
              <w:t xml:space="preserve">. </w:t>
            </w:r>
            <w:r w:rsidR="00652855" w:rsidRPr="009F34CF">
              <w:rPr>
                <w:bCs/>
                <w:i/>
                <w:sz w:val="22"/>
                <w:szCs w:val="22"/>
              </w:rPr>
              <w:t>DEQ rules state that</w:t>
            </w:r>
            <w:r w:rsidR="00652855" w:rsidRPr="009F34CF">
              <w:rPr>
                <w:i/>
                <w:sz w:val="22"/>
                <w:szCs w:val="22"/>
              </w:rPr>
              <w:t xml:space="preserve"> PSELs</w:t>
            </w:r>
            <w:r w:rsidR="00EF78B7">
              <w:rPr>
                <w:i/>
                <w:sz w:val="22"/>
                <w:szCs w:val="22"/>
              </w:rPr>
              <w:t xml:space="preserve"> </w:t>
            </w:r>
            <w:r w:rsidR="00652855" w:rsidRPr="009F34CF">
              <w:rPr>
                <w:i/>
                <w:sz w:val="22"/>
                <w:szCs w:val="22"/>
              </w:rPr>
              <w:t>may be changed when errors are found or better data is available for calculating PSELs</w:t>
            </w:r>
            <w:r w:rsidR="004A0EA4">
              <w:rPr>
                <w:i/>
                <w:sz w:val="22"/>
                <w:szCs w:val="22"/>
              </w:rPr>
              <w:t xml:space="preserve">. </w:t>
            </w:r>
            <w:r w:rsidR="00652855" w:rsidRPr="009F34CF">
              <w:rPr>
                <w:i/>
                <w:sz w:val="22"/>
                <w:szCs w:val="22"/>
              </w:rPr>
              <w:t xml:space="preserve">To determine compliance with the PSELs, </w:t>
            </w:r>
            <w:r w:rsidR="00B61870">
              <w:rPr>
                <w:i/>
                <w:sz w:val="22"/>
                <w:szCs w:val="22"/>
              </w:rPr>
              <w:t xml:space="preserve">the </w:t>
            </w:r>
            <w:r w:rsidR="00652855" w:rsidRPr="009F34CF">
              <w:rPr>
                <w:i/>
                <w:sz w:val="22"/>
                <w:szCs w:val="22"/>
              </w:rPr>
              <w:t>rule state</w:t>
            </w:r>
            <w:r w:rsidR="00B61870">
              <w:rPr>
                <w:i/>
                <w:sz w:val="22"/>
                <w:szCs w:val="22"/>
              </w:rPr>
              <w:t>s</w:t>
            </w:r>
            <w:r w:rsidR="00652855" w:rsidRPr="009F34CF">
              <w:rPr>
                <w:i/>
                <w:sz w:val="22"/>
                <w:szCs w:val="22"/>
              </w:rPr>
              <w:t xml:space="preserve"> that one or more of the following methods may be acceptable: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Continuous emissions monitors;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Material balance calculations;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Emissions calculations using approved emission factors and process information;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Alternative production or process limits; and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Other methods approved by the Department. </w:t>
            </w:r>
          </w:p>
          <w:p w:rsidR="00652855" w:rsidRPr="002D0FE2" w:rsidRDefault="00652855" w:rsidP="00E40F62">
            <w:pPr>
              <w:spacing w:after="120"/>
              <w:ind w:right="-180"/>
              <w:rPr>
                <w:sz w:val="22"/>
                <w:szCs w:val="22"/>
              </w:rPr>
            </w:pPr>
            <w:r w:rsidRPr="009F34CF">
              <w:rPr>
                <w:i/>
                <w:sz w:val="22"/>
                <w:szCs w:val="22"/>
              </w:rPr>
              <w:t xml:space="preserve">DEQ is currently updating guidance on how </w:t>
            </w:r>
            <w:r w:rsidR="00E40F62">
              <w:rPr>
                <w:i/>
                <w:sz w:val="22"/>
                <w:szCs w:val="22"/>
              </w:rPr>
              <w:t>emissions</w:t>
            </w:r>
            <w:r w:rsidRPr="009F34CF">
              <w:rPr>
                <w:i/>
                <w:sz w:val="22"/>
                <w:szCs w:val="22"/>
              </w:rPr>
              <w:t xml:space="preserve"> should be calculated to ensure that the best data available is used. </w:t>
            </w:r>
            <w:r w:rsidR="00A21C65">
              <w:rPr>
                <w:i/>
                <w:sz w:val="22"/>
                <w:szCs w:val="22"/>
              </w:rPr>
              <w:t>No change to the rule is proposed in response to this comment.</w:t>
            </w:r>
            <w:r w:rsidR="004A0EA4">
              <w:rPr>
                <w:i/>
                <w:sz w:val="22"/>
                <w:szCs w:val="22"/>
              </w:rPr>
              <w:t xml:space="preserve"> </w:t>
            </w:r>
          </w:p>
        </w:tc>
      </w:tr>
    </w:tbl>
    <w:p w:rsidR="00B070FC" w:rsidRDefault="00B070FC">
      <w:bookmarkStart w:id="2" w:name="_Ref283934552"/>
      <w:r>
        <w:br w:type="page"/>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890"/>
        <w:gridCol w:w="8640"/>
      </w:tblGrid>
      <w:tr w:rsidR="00523680" w:rsidRPr="008F79B7"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07371B" w:rsidRDefault="00581227" w:rsidP="00581227">
            <w:pPr>
              <w:pStyle w:val="ListParagraph"/>
              <w:numPr>
                <w:ilvl w:val="0"/>
                <w:numId w:val="13"/>
              </w:numPr>
              <w:ind w:right="-115"/>
              <w:rPr>
                <w:bCs/>
                <w:sz w:val="22"/>
                <w:szCs w:val="22"/>
              </w:rPr>
            </w:pPr>
            <w:r w:rsidRPr="0007371B">
              <w:rPr>
                <w:bCs/>
                <w:sz w:val="22"/>
                <w:szCs w:val="22"/>
              </w:rPr>
              <w:lastRenderedPageBreak/>
              <w:t>a.</w:t>
            </w:r>
          </w:p>
          <w:bookmarkEnd w:id="2"/>
          <w:p w:rsidR="00523680" w:rsidRPr="0007371B" w:rsidRDefault="00523680" w:rsidP="00A278D4">
            <w:pPr>
              <w:ind w:right="-115"/>
              <w:rPr>
                <w:bCs/>
                <w:sz w:val="22"/>
                <w:szCs w:val="22"/>
              </w:rPr>
            </w:pPr>
            <w:r w:rsidRPr="0007371B">
              <w:rPr>
                <w:sz w:val="22"/>
                <w:szCs w:val="22"/>
              </w:rPr>
              <w:t xml:space="preserve">Actual emissions as </w:t>
            </w:r>
            <w:r w:rsidR="00DF1066" w:rsidRPr="0007371B">
              <w:rPr>
                <w:sz w:val="22"/>
                <w:szCs w:val="22"/>
              </w:rPr>
              <w:t xml:space="preserve">PTE used </w:t>
            </w:r>
            <w:r w:rsidRPr="0007371B">
              <w:rPr>
                <w:sz w:val="22"/>
                <w:szCs w:val="22"/>
              </w:rPr>
              <w:t>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C10EA0" w:rsidRPr="0029251B" w:rsidRDefault="00A233B2" w:rsidP="00C10EA0">
            <w:pPr>
              <w:rPr>
                <w:sz w:val="22"/>
                <w:szCs w:val="22"/>
              </w:rPr>
            </w:pPr>
            <w:r w:rsidRPr="0029251B">
              <w:rPr>
                <w:sz w:val="22"/>
                <w:szCs w:val="22"/>
              </w:rPr>
              <w:t xml:space="preserve">DEQ clarifies that a source that has a PSEL set based on PTE cannot use the resulting netting basis to net out of PSD for changes that increase emissions elsewhere at the plant. </w:t>
            </w:r>
            <w:r w:rsidR="00C10EA0" w:rsidRPr="0029251B">
              <w:rPr>
                <w:sz w:val="22"/>
                <w:szCs w:val="22"/>
              </w:rPr>
              <w:t>This is a necessary part of DEQ’s proposal to give sources that were “permitted but not yet operating during the baseline period” an “actual emissions” amount equal to its PTE</w:t>
            </w:r>
            <w:r w:rsidR="008D538C">
              <w:rPr>
                <w:sz w:val="22"/>
                <w:szCs w:val="22"/>
              </w:rPr>
              <w:t xml:space="preserve">. </w:t>
            </w:r>
            <w:r w:rsidR="00B070FC" w:rsidRPr="0029251B">
              <w:rPr>
                <w:sz w:val="22"/>
                <w:szCs w:val="22"/>
              </w:rPr>
              <w:t>T</w:t>
            </w:r>
            <w:r w:rsidR="00C10EA0" w:rsidRPr="0029251B">
              <w:rPr>
                <w:sz w:val="22"/>
                <w:szCs w:val="22"/>
              </w:rPr>
              <w:t>hat proposal is under protective and difficult to implement</w:t>
            </w:r>
            <w:r w:rsidR="008D538C">
              <w:rPr>
                <w:sz w:val="22"/>
                <w:szCs w:val="22"/>
              </w:rPr>
              <w:t xml:space="preserve">. </w:t>
            </w:r>
            <w:r w:rsidR="00C10EA0" w:rsidRPr="0029251B">
              <w:rPr>
                <w:sz w:val="22"/>
                <w:szCs w:val="22"/>
              </w:rPr>
              <w:t>To the extent that DEQ moves forward that program, however, this exclusion is absolutely essential to preventing sources from illegally expanding emissions from existing sources.</w:t>
            </w:r>
          </w:p>
          <w:p w:rsidR="00A233B2" w:rsidRPr="0029251B" w:rsidRDefault="00C10EA0" w:rsidP="00C10EA0">
            <w:pPr>
              <w:spacing w:after="120"/>
              <w:rPr>
                <w:sz w:val="22"/>
                <w:szCs w:val="22"/>
              </w:rPr>
            </w:pPr>
            <w:r w:rsidRPr="0029251B">
              <w:rPr>
                <w:sz w:val="22"/>
                <w:szCs w:val="22"/>
              </w:rPr>
              <w:t xml:space="preserve"> </w:t>
            </w:r>
            <w:r w:rsidR="00A233B2" w:rsidRPr="0029251B">
              <w:rPr>
                <w:sz w:val="22"/>
                <w:szCs w:val="22"/>
              </w:rPr>
              <w:t>(12)</w:t>
            </w:r>
          </w:p>
          <w:p w:rsidR="00523680" w:rsidRPr="0029251B" w:rsidRDefault="00523680" w:rsidP="00EE0BFF">
            <w:pPr>
              <w:spacing w:after="120"/>
              <w:rPr>
                <w:i/>
                <w:sz w:val="22"/>
                <w:szCs w:val="22"/>
              </w:rPr>
            </w:pPr>
            <w:r w:rsidRPr="0029251B">
              <w:rPr>
                <w:i/>
                <w:sz w:val="22"/>
                <w:szCs w:val="22"/>
              </w:rPr>
              <w:t>Response:</w:t>
            </w:r>
          </w:p>
          <w:p w:rsidR="00B070FC" w:rsidRPr="0029251B" w:rsidRDefault="00A233B2" w:rsidP="00A233B2">
            <w:pPr>
              <w:spacing w:after="120"/>
              <w:rPr>
                <w:i/>
                <w:sz w:val="22"/>
                <w:szCs w:val="22"/>
              </w:rPr>
            </w:pPr>
            <w:r w:rsidRPr="0029251B">
              <w:rPr>
                <w:i/>
                <w:sz w:val="22"/>
                <w:szCs w:val="22"/>
              </w:rPr>
              <w:t xml:space="preserve">The commenter is correct that the </w:t>
            </w:r>
            <w:r w:rsidR="00B070FC" w:rsidRPr="0029251B">
              <w:rPr>
                <w:i/>
                <w:sz w:val="22"/>
                <w:szCs w:val="22"/>
              </w:rPr>
              <w:t xml:space="preserve">proposed </w:t>
            </w:r>
            <w:r w:rsidRPr="0029251B">
              <w:rPr>
                <w:i/>
                <w:sz w:val="22"/>
                <w:szCs w:val="22"/>
              </w:rPr>
              <w:t>rule would allow DEQ to reduce the netting basis</w:t>
            </w:r>
            <w:r w:rsidR="00ED37ED">
              <w:rPr>
                <w:i/>
                <w:sz w:val="22"/>
                <w:szCs w:val="22"/>
              </w:rPr>
              <w:t xml:space="preserve"> -</w:t>
            </w:r>
            <w:r w:rsidRPr="0029251B">
              <w:rPr>
                <w:i/>
                <w:sz w:val="22"/>
                <w:szCs w:val="22"/>
              </w:rPr>
              <w:t xml:space="preserve"> if it is based on PTE</w:t>
            </w:r>
            <w:r w:rsidR="00ED37ED">
              <w:rPr>
                <w:i/>
                <w:sz w:val="22"/>
                <w:szCs w:val="22"/>
              </w:rPr>
              <w:t xml:space="preserve"> -</w:t>
            </w:r>
            <w:r w:rsidRPr="0029251B">
              <w:rPr>
                <w:i/>
                <w:sz w:val="22"/>
                <w:szCs w:val="22"/>
              </w:rPr>
              <w:t xml:space="preserve"> to the highest actual emissions in the 10 years after </w:t>
            </w:r>
            <w:r w:rsidR="001D119E">
              <w:rPr>
                <w:i/>
                <w:sz w:val="22"/>
                <w:szCs w:val="22"/>
              </w:rPr>
              <w:t>the end of the baseline period or after permit issuance</w:t>
            </w:r>
            <w:r w:rsidR="008D538C">
              <w:rPr>
                <w:i/>
                <w:sz w:val="22"/>
                <w:szCs w:val="22"/>
              </w:rPr>
              <w:t xml:space="preserve">. </w:t>
            </w:r>
            <w:r w:rsidR="00977F51">
              <w:rPr>
                <w:i/>
                <w:sz w:val="22"/>
                <w:szCs w:val="22"/>
              </w:rPr>
              <w:t>This applies to sources</w:t>
            </w:r>
            <w:r w:rsidRPr="0029251B">
              <w:rPr>
                <w:i/>
                <w:sz w:val="22"/>
                <w:szCs w:val="22"/>
              </w:rPr>
              <w:t xml:space="preserve"> that were permitted during the baseline period but did not begin operation and for sources that will go through New Source Review/Prevention of Significant Deterioration after this rule adoption</w:t>
            </w:r>
            <w:r w:rsidR="008D538C">
              <w:rPr>
                <w:i/>
                <w:sz w:val="22"/>
                <w:szCs w:val="22"/>
              </w:rPr>
              <w:t xml:space="preserve">. </w:t>
            </w:r>
            <w:r w:rsidRPr="0029251B">
              <w:rPr>
                <w:i/>
                <w:sz w:val="22"/>
                <w:szCs w:val="22"/>
              </w:rPr>
              <w:t>In addition, it will restrict a source’s ability to do a netting action until the baseline is reset based on actual emissions</w:t>
            </w:r>
            <w:r w:rsidR="008D538C">
              <w:rPr>
                <w:i/>
                <w:sz w:val="22"/>
                <w:szCs w:val="22"/>
              </w:rPr>
              <w:t xml:space="preserve">. </w:t>
            </w:r>
          </w:p>
          <w:p w:rsidR="005317CA" w:rsidRPr="0029251B" w:rsidRDefault="00ED37ED" w:rsidP="005317CA">
            <w:pPr>
              <w:spacing w:after="120"/>
              <w:rPr>
                <w:i/>
                <w:sz w:val="22"/>
                <w:szCs w:val="22"/>
              </w:rPr>
            </w:pPr>
            <w:r>
              <w:rPr>
                <w:i/>
                <w:sz w:val="22"/>
                <w:szCs w:val="22"/>
              </w:rPr>
              <w:t xml:space="preserve">For </w:t>
            </w:r>
            <w:r w:rsidR="00B070FC" w:rsidRPr="0029251B">
              <w:rPr>
                <w:i/>
                <w:sz w:val="22"/>
                <w:szCs w:val="22"/>
              </w:rPr>
              <w:t>sources that were permitted or approved to construct and operate but had not yet begun normal operation during the baseline period</w:t>
            </w:r>
            <w:r>
              <w:rPr>
                <w:i/>
                <w:sz w:val="22"/>
                <w:szCs w:val="22"/>
              </w:rPr>
              <w:t>, existing rules use the</w:t>
            </w:r>
            <w:r w:rsidR="00B070FC" w:rsidRPr="0029251B">
              <w:rPr>
                <w:i/>
                <w:sz w:val="22"/>
                <w:szCs w:val="22"/>
              </w:rPr>
              <w:t xml:space="preserve"> PTE as their actual emissions</w:t>
            </w:r>
            <w:r w:rsidR="008D538C">
              <w:rPr>
                <w:i/>
                <w:sz w:val="22"/>
                <w:szCs w:val="22"/>
              </w:rPr>
              <w:t xml:space="preserve">. </w:t>
            </w:r>
            <w:r w:rsidR="005317CA" w:rsidRPr="0029251B">
              <w:rPr>
                <w:i/>
                <w:sz w:val="22"/>
                <w:szCs w:val="22"/>
              </w:rPr>
              <w:t xml:space="preserve">This provision has been in place since </w:t>
            </w:r>
            <w:r w:rsidR="00E141FD">
              <w:rPr>
                <w:i/>
                <w:sz w:val="22"/>
                <w:szCs w:val="22"/>
              </w:rPr>
              <w:t>the Oregon program was initially approved by EPA</w:t>
            </w:r>
            <w:r w:rsidR="005317CA" w:rsidRPr="0029251B">
              <w:rPr>
                <w:i/>
                <w:sz w:val="22"/>
                <w:szCs w:val="22"/>
              </w:rPr>
              <w:t xml:space="preserve"> and </w:t>
            </w:r>
            <w:r w:rsidR="00977F51">
              <w:rPr>
                <w:i/>
                <w:sz w:val="22"/>
                <w:szCs w:val="22"/>
              </w:rPr>
              <w:t>has</w:t>
            </w:r>
            <w:r w:rsidR="005317CA" w:rsidRPr="0029251B">
              <w:rPr>
                <w:i/>
                <w:sz w:val="22"/>
                <w:szCs w:val="22"/>
              </w:rPr>
              <w:t xml:space="preserve"> not </w:t>
            </w:r>
            <w:r w:rsidR="00977F51">
              <w:rPr>
                <w:i/>
                <w:sz w:val="22"/>
                <w:szCs w:val="22"/>
              </w:rPr>
              <w:t xml:space="preserve">been </w:t>
            </w:r>
            <w:r w:rsidR="005317CA" w:rsidRPr="0029251B">
              <w:rPr>
                <w:i/>
                <w:sz w:val="22"/>
                <w:szCs w:val="22"/>
              </w:rPr>
              <w:t xml:space="preserve">difficult to implement. </w:t>
            </w:r>
            <w:r>
              <w:rPr>
                <w:i/>
                <w:sz w:val="22"/>
                <w:szCs w:val="22"/>
              </w:rPr>
              <w:t>The provision ensures that permit applicants evaluate the air quality impacts of the maximum level of emissions that the new or modified source is capable of emitting.</w:t>
            </w:r>
            <w:r w:rsidR="005317CA" w:rsidRPr="0029251B">
              <w:rPr>
                <w:i/>
                <w:sz w:val="22"/>
                <w:szCs w:val="22"/>
              </w:rPr>
              <w:t xml:space="preserve"> </w:t>
            </w:r>
          </w:p>
          <w:p w:rsidR="00012675" w:rsidRDefault="005317CA">
            <w:pPr>
              <w:spacing w:after="120"/>
              <w:rPr>
                <w:i/>
                <w:sz w:val="22"/>
                <w:szCs w:val="22"/>
              </w:rPr>
            </w:pPr>
            <w:r w:rsidRPr="0029251B">
              <w:rPr>
                <w:i/>
                <w:sz w:val="22"/>
                <w:szCs w:val="22"/>
              </w:rPr>
              <w:t xml:space="preserve">DEQ agrees with the commenter that </w:t>
            </w:r>
            <w:r w:rsidR="009F3FC6">
              <w:rPr>
                <w:i/>
                <w:sz w:val="22"/>
                <w:szCs w:val="22"/>
              </w:rPr>
              <w:t xml:space="preserve">reducing the netting </w:t>
            </w:r>
            <w:r w:rsidR="003D316B">
              <w:rPr>
                <w:i/>
                <w:sz w:val="22"/>
                <w:szCs w:val="22"/>
              </w:rPr>
              <w:t xml:space="preserve">basis </w:t>
            </w:r>
            <w:r w:rsidR="009F3FC6">
              <w:rPr>
                <w:i/>
                <w:sz w:val="22"/>
                <w:szCs w:val="22"/>
              </w:rPr>
              <w:t>before it may be used in netting is</w:t>
            </w:r>
            <w:r w:rsidRPr="0029251B">
              <w:rPr>
                <w:i/>
                <w:sz w:val="22"/>
                <w:szCs w:val="22"/>
              </w:rPr>
              <w:t xml:space="preserve"> more protective and is therefore proposing the reduction in netting basis from PTE to actual emission</w:t>
            </w:r>
            <w:r w:rsidR="008D538C">
              <w:rPr>
                <w:i/>
                <w:sz w:val="22"/>
                <w:szCs w:val="22"/>
              </w:rPr>
              <w:t xml:space="preserve">. </w:t>
            </w:r>
          </w:p>
        </w:tc>
      </w:tr>
      <w:tr w:rsidR="00A233B2"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Default="00A233B2" w:rsidP="00A233B2">
            <w:pPr>
              <w:pStyle w:val="ListParagraph"/>
              <w:ind w:left="0" w:right="-108"/>
              <w:rPr>
                <w:sz w:val="22"/>
                <w:szCs w:val="22"/>
              </w:rPr>
            </w:pPr>
            <w:r>
              <w:rPr>
                <w:bCs/>
                <w:sz w:val="22"/>
                <w:szCs w:val="22"/>
              </w:rPr>
              <w:t>3b.</w:t>
            </w:r>
            <w:r w:rsidRPr="004A55ED">
              <w:rPr>
                <w:sz w:val="22"/>
                <w:szCs w:val="22"/>
              </w:rPr>
              <w:t xml:space="preserve"> </w:t>
            </w:r>
          </w:p>
          <w:p w:rsidR="00A233B2" w:rsidRPr="00AE7C8B" w:rsidRDefault="00A233B2" w:rsidP="00A233B2">
            <w:pPr>
              <w:pStyle w:val="ListParagraph"/>
              <w:ind w:left="0" w:right="-108"/>
              <w:rPr>
                <w:bCs/>
                <w:sz w:val="22"/>
                <w:szCs w:val="22"/>
              </w:rPr>
            </w:pPr>
            <w:r w:rsidRPr="004A55ED">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A233B2" w:rsidRDefault="00A233B2" w:rsidP="00A233B2">
            <w:pPr>
              <w:spacing w:after="120"/>
              <w:rPr>
                <w:sz w:val="22"/>
                <w:szCs w:val="22"/>
              </w:rPr>
            </w:pPr>
            <w:r w:rsidRPr="00A233B2">
              <w:rPr>
                <w:sz w:val="22"/>
                <w:szCs w:val="22"/>
              </w:rPr>
              <w:t>Under DEQ’s proposal to reduce PTE to actual emissions for sources that were permitted but not operating in the baseline period, if a source makes a physical or operational change, it must ask for its “actual emissions” to be reset before it makes the change. This is essentially an up to 10-year look back period for actual emissions for a source “permitted but not yet operating.”  This policy seems to insure that any facility making a physical or operational change would have at least 10 years of history to look back to in determining whether the change would significantly increase emissions</w:t>
            </w:r>
            <w:r w:rsidR="008D538C">
              <w:rPr>
                <w:sz w:val="22"/>
                <w:szCs w:val="22"/>
              </w:rPr>
              <w:t xml:space="preserve">. </w:t>
            </w:r>
            <w:r w:rsidRPr="00A233B2">
              <w:rPr>
                <w:sz w:val="22"/>
                <w:szCs w:val="22"/>
              </w:rPr>
              <w:t>(12)</w:t>
            </w:r>
          </w:p>
          <w:p w:rsidR="00A233B2" w:rsidRDefault="00A233B2" w:rsidP="00076541">
            <w:pPr>
              <w:autoSpaceDE w:val="0"/>
              <w:autoSpaceDN w:val="0"/>
              <w:adjustRightInd w:val="0"/>
              <w:spacing w:after="120"/>
              <w:rPr>
                <w:bCs/>
                <w:i/>
                <w:sz w:val="22"/>
                <w:szCs w:val="22"/>
              </w:rPr>
            </w:pPr>
            <w:r>
              <w:rPr>
                <w:bCs/>
                <w:i/>
                <w:sz w:val="22"/>
                <w:szCs w:val="22"/>
              </w:rPr>
              <w:t>Response:</w:t>
            </w:r>
          </w:p>
          <w:p w:rsidR="00012675" w:rsidRDefault="00A233B2" w:rsidP="007C7416">
            <w:pPr>
              <w:spacing w:after="120"/>
              <w:rPr>
                <w:rFonts w:ascii="Tahoma" w:hAnsi="Tahoma" w:cs="Tahoma"/>
                <w:i/>
                <w:sz w:val="22"/>
                <w:szCs w:val="22"/>
              </w:rPr>
            </w:pPr>
            <w:r>
              <w:rPr>
                <w:i/>
                <w:sz w:val="22"/>
                <w:szCs w:val="22"/>
              </w:rPr>
              <w:t xml:space="preserve">The 10 year look back period is to establish actual emissions for a </w:t>
            </w:r>
            <w:r w:rsidRPr="002E244C">
              <w:rPr>
                <w:i/>
                <w:sz w:val="22"/>
                <w:szCs w:val="22"/>
                <w:u w:val="single"/>
              </w:rPr>
              <w:t>previously approved</w:t>
            </w:r>
            <w:r>
              <w:rPr>
                <w:i/>
                <w:sz w:val="22"/>
                <w:szCs w:val="22"/>
              </w:rPr>
              <w:t xml:space="preserve"> increase to PTE</w:t>
            </w:r>
            <w:r w:rsidR="00B84790">
              <w:rPr>
                <w:i/>
                <w:sz w:val="22"/>
                <w:szCs w:val="22"/>
              </w:rPr>
              <w:t>, not to determine if a previous increase triggers NSR/PSD</w:t>
            </w:r>
            <w:r w:rsidR="008D538C">
              <w:rPr>
                <w:i/>
                <w:sz w:val="22"/>
                <w:szCs w:val="22"/>
              </w:rPr>
              <w:t xml:space="preserve">. </w:t>
            </w:r>
            <w:r w:rsidR="00B84790">
              <w:rPr>
                <w:i/>
                <w:sz w:val="22"/>
                <w:szCs w:val="22"/>
              </w:rPr>
              <w:t>T</w:t>
            </w:r>
            <w:r w:rsidRPr="00421A80">
              <w:rPr>
                <w:i/>
                <w:sz w:val="22"/>
                <w:szCs w:val="22"/>
              </w:rPr>
              <w:t xml:space="preserve">he reset is to reduce the netting basis already approved in an earlier modification </w:t>
            </w:r>
            <w:r w:rsidRPr="002E244C">
              <w:rPr>
                <w:i/>
                <w:sz w:val="22"/>
                <w:szCs w:val="22"/>
                <w:u w:val="single"/>
              </w:rPr>
              <w:t>before</w:t>
            </w:r>
            <w:r w:rsidRPr="00421A80">
              <w:rPr>
                <w:i/>
                <w:sz w:val="22"/>
                <w:szCs w:val="22"/>
              </w:rPr>
              <w:t xml:space="preserve"> a source makes any future physical modifications</w:t>
            </w:r>
            <w:r w:rsidR="008D538C">
              <w:rPr>
                <w:i/>
                <w:sz w:val="22"/>
                <w:szCs w:val="22"/>
              </w:rPr>
              <w:t xml:space="preserve">. </w:t>
            </w:r>
            <w:r w:rsidRPr="00421A80">
              <w:rPr>
                <w:i/>
                <w:sz w:val="22"/>
                <w:szCs w:val="22"/>
              </w:rPr>
              <w:t xml:space="preserve">This reduction in netting basis will </w:t>
            </w:r>
            <w:r w:rsidR="00DD36F0">
              <w:rPr>
                <w:i/>
                <w:sz w:val="22"/>
                <w:szCs w:val="22"/>
              </w:rPr>
              <w:t>enable</w:t>
            </w:r>
            <w:r w:rsidR="00B84790">
              <w:rPr>
                <w:i/>
                <w:sz w:val="22"/>
                <w:szCs w:val="22"/>
              </w:rPr>
              <w:t xml:space="preserve"> </w:t>
            </w:r>
            <w:r w:rsidR="00464179">
              <w:rPr>
                <w:i/>
                <w:sz w:val="22"/>
                <w:szCs w:val="22"/>
              </w:rPr>
              <w:t xml:space="preserve">DEQ </w:t>
            </w:r>
            <w:r w:rsidR="00DD36F0">
              <w:rPr>
                <w:i/>
                <w:sz w:val="22"/>
                <w:szCs w:val="22"/>
              </w:rPr>
              <w:t xml:space="preserve">to </w:t>
            </w:r>
            <w:r w:rsidR="00464179">
              <w:rPr>
                <w:i/>
                <w:sz w:val="22"/>
                <w:szCs w:val="22"/>
              </w:rPr>
              <w:t xml:space="preserve">initially permit a facility using a protective assumption that it could emit at its capacity, but ensure that only the emission level actually achieved </w:t>
            </w:r>
            <w:r w:rsidR="00464179" w:rsidRPr="00DD36F0">
              <w:rPr>
                <w:i/>
                <w:sz w:val="22"/>
                <w:szCs w:val="22"/>
              </w:rPr>
              <w:t xml:space="preserve">during the first </w:t>
            </w:r>
            <w:r w:rsidR="007C7416">
              <w:rPr>
                <w:i/>
                <w:sz w:val="22"/>
                <w:szCs w:val="22"/>
              </w:rPr>
              <w:t>y</w:t>
            </w:r>
            <w:r w:rsidR="00464179" w:rsidRPr="00DD36F0">
              <w:rPr>
                <w:i/>
                <w:sz w:val="22"/>
                <w:szCs w:val="22"/>
              </w:rPr>
              <w:t>ears of operation</w:t>
            </w:r>
            <w:r w:rsidR="00464179">
              <w:rPr>
                <w:i/>
                <w:sz w:val="22"/>
                <w:szCs w:val="22"/>
              </w:rPr>
              <w:t xml:space="preserve"> can be used</w:t>
            </w:r>
            <w:r w:rsidRPr="00421A80">
              <w:rPr>
                <w:i/>
                <w:sz w:val="22"/>
                <w:szCs w:val="22"/>
              </w:rPr>
              <w:t xml:space="preserve"> to net </w:t>
            </w:r>
            <w:r w:rsidR="00464179">
              <w:rPr>
                <w:i/>
                <w:sz w:val="22"/>
                <w:szCs w:val="22"/>
              </w:rPr>
              <w:t xml:space="preserve">a future increase </w:t>
            </w:r>
            <w:r w:rsidRPr="00421A80">
              <w:rPr>
                <w:i/>
                <w:sz w:val="22"/>
                <w:szCs w:val="22"/>
              </w:rPr>
              <w:t>out of NSR/PSD</w:t>
            </w:r>
            <w:r w:rsidR="008D538C">
              <w:rPr>
                <w:i/>
                <w:sz w:val="22"/>
                <w:szCs w:val="22"/>
              </w:rPr>
              <w:t xml:space="preserve">. </w:t>
            </w:r>
            <w:r w:rsidRPr="00421A80">
              <w:rPr>
                <w:i/>
                <w:sz w:val="22"/>
                <w:szCs w:val="22"/>
              </w:rPr>
              <w:t xml:space="preserve">This change </w:t>
            </w:r>
            <w:r>
              <w:rPr>
                <w:i/>
                <w:sz w:val="22"/>
                <w:szCs w:val="22"/>
              </w:rPr>
              <w:t>aligns</w:t>
            </w:r>
            <w:r w:rsidRPr="00421A80">
              <w:rPr>
                <w:i/>
                <w:sz w:val="22"/>
                <w:szCs w:val="22"/>
              </w:rPr>
              <w:t xml:space="preserve"> the netting basis closer to actual emissions</w:t>
            </w:r>
            <w:r w:rsidR="008D538C">
              <w:rPr>
                <w:i/>
                <w:sz w:val="22"/>
                <w:szCs w:val="22"/>
              </w:rPr>
              <w:t xml:space="preserve">. </w:t>
            </w:r>
            <w:r w:rsidRPr="00421A80">
              <w:rPr>
                <w:i/>
                <w:sz w:val="22"/>
                <w:szCs w:val="22"/>
              </w:rPr>
              <w:t xml:space="preserve"> </w:t>
            </w:r>
            <w:r>
              <w:rPr>
                <w:i/>
                <w:sz w:val="22"/>
                <w:szCs w:val="22"/>
              </w:rPr>
              <w:t>No change to the rule is proposed in response to this comment.</w:t>
            </w:r>
          </w:p>
        </w:tc>
      </w:tr>
      <w:tr w:rsidR="00A233B2"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Default="00A233B2" w:rsidP="00A233B2">
            <w:pPr>
              <w:ind w:right="-108"/>
              <w:rPr>
                <w:bCs/>
                <w:sz w:val="22"/>
                <w:szCs w:val="22"/>
              </w:rPr>
            </w:pPr>
            <w:r>
              <w:rPr>
                <w:bCs/>
                <w:sz w:val="22"/>
                <w:szCs w:val="22"/>
              </w:rPr>
              <w:t>3c.</w:t>
            </w:r>
          </w:p>
          <w:p w:rsidR="00A233B2" w:rsidRPr="00A233B2" w:rsidRDefault="00A233B2" w:rsidP="00A233B2">
            <w:pPr>
              <w:ind w:right="-108"/>
              <w:rPr>
                <w:bCs/>
                <w:sz w:val="22"/>
                <w:szCs w:val="22"/>
              </w:rPr>
            </w:pPr>
            <w:r w:rsidRPr="004A55ED">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A233B2" w:rsidRDefault="00A233B2" w:rsidP="00A233B2">
            <w:pPr>
              <w:spacing w:after="120"/>
              <w:rPr>
                <w:sz w:val="22"/>
                <w:szCs w:val="22"/>
              </w:rPr>
            </w:pPr>
            <w:r w:rsidRPr="00A233B2">
              <w:rPr>
                <w:sz w:val="22"/>
                <w:szCs w:val="22"/>
              </w:rPr>
              <w:t xml:space="preserve">For example, under DEQ’s formulation, a source that has a 2000 – 2010 baseline (either a reset PTE or actual emissions) that decides to make a physical or operational change in 2030 could be exempt from permitting and control requirements if they remained under that 2000 – 2010 baseline, even if they had not actually emitted that much for many years, and even if </w:t>
            </w:r>
            <w:r w:rsidRPr="00A233B2">
              <w:rPr>
                <w:sz w:val="22"/>
                <w:szCs w:val="22"/>
              </w:rPr>
              <w:lastRenderedPageBreak/>
              <w:t>a large number of smaller sources (and cars, residential emissions, etc.) increased the burden of the pollutant in the air shed. (12)</w:t>
            </w:r>
          </w:p>
          <w:p w:rsidR="00A233B2" w:rsidRDefault="00A233B2" w:rsidP="00A233B2">
            <w:pPr>
              <w:spacing w:after="120"/>
              <w:rPr>
                <w:i/>
                <w:sz w:val="22"/>
                <w:szCs w:val="22"/>
              </w:rPr>
            </w:pPr>
            <w:r>
              <w:rPr>
                <w:i/>
                <w:sz w:val="22"/>
                <w:szCs w:val="22"/>
              </w:rPr>
              <w:t>Response:</w:t>
            </w:r>
          </w:p>
          <w:p w:rsidR="00012675" w:rsidRDefault="006A5BAE">
            <w:pPr>
              <w:spacing w:after="120"/>
              <w:rPr>
                <w:rFonts w:ascii="Tahoma" w:hAnsi="Tahoma" w:cs="Tahoma"/>
                <w:i/>
                <w:sz w:val="22"/>
                <w:szCs w:val="22"/>
              </w:rPr>
            </w:pPr>
            <w:r>
              <w:rPr>
                <w:i/>
                <w:sz w:val="22"/>
                <w:szCs w:val="22"/>
              </w:rPr>
              <w:t xml:space="preserve">Assuming that the reduction in emissions since the baseline period was voluntary, </w:t>
            </w:r>
            <w:r w:rsidR="00A233B2" w:rsidRPr="00A233B2">
              <w:rPr>
                <w:i/>
                <w:sz w:val="22"/>
                <w:szCs w:val="22"/>
              </w:rPr>
              <w:t xml:space="preserve">NSR/PSD </w:t>
            </w:r>
            <w:r>
              <w:rPr>
                <w:i/>
                <w:sz w:val="22"/>
                <w:szCs w:val="22"/>
              </w:rPr>
              <w:t>would</w:t>
            </w:r>
            <w:r w:rsidR="00A233B2" w:rsidRPr="00A233B2">
              <w:rPr>
                <w:i/>
                <w:sz w:val="22"/>
                <w:szCs w:val="22"/>
              </w:rPr>
              <w:t xml:space="preserve"> not be triggered for that source</w:t>
            </w:r>
            <w:r w:rsidR="00977F51">
              <w:rPr>
                <w:i/>
                <w:sz w:val="22"/>
                <w:szCs w:val="22"/>
              </w:rPr>
              <w:t xml:space="preserve"> in the commenter’s example</w:t>
            </w:r>
            <w:r w:rsidR="008D538C">
              <w:rPr>
                <w:i/>
                <w:sz w:val="22"/>
                <w:szCs w:val="22"/>
              </w:rPr>
              <w:t xml:space="preserve">. </w:t>
            </w:r>
            <w:r>
              <w:rPr>
                <w:i/>
                <w:sz w:val="22"/>
                <w:szCs w:val="22"/>
              </w:rPr>
              <w:t>One of the benefits of a fixed baseline period is that it creates an incentive for sources to make early voluntary reductions</w:t>
            </w:r>
            <w:r w:rsidR="008D538C">
              <w:rPr>
                <w:i/>
                <w:sz w:val="22"/>
                <w:szCs w:val="22"/>
              </w:rPr>
              <w:t xml:space="preserve">. </w:t>
            </w:r>
            <w:r>
              <w:rPr>
                <w:i/>
                <w:sz w:val="22"/>
                <w:szCs w:val="22"/>
              </w:rPr>
              <w:t>With a floating baseline period used in other states, sources have an incentive to delay voluntary reductions until just before planned increases</w:t>
            </w:r>
            <w:r w:rsidR="008D538C">
              <w:rPr>
                <w:i/>
                <w:sz w:val="22"/>
                <w:szCs w:val="22"/>
              </w:rPr>
              <w:t xml:space="preserve">. </w:t>
            </w:r>
            <w:r w:rsidR="00A233B2" w:rsidRPr="00A233B2">
              <w:rPr>
                <w:i/>
                <w:sz w:val="22"/>
                <w:szCs w:val="22"/>
              </w:rPr>
              <w:t xml:space="preserve">If the decrease in actual emissions </w:t>
            </w:r>
            <w:r w:rsidR="0098653E">
              <w:rPr>
                <w:i/>
                <w:sz w:val="22"/>
                <w:szCs w:val="22"/>
              </w:rPr>
              <w:t>was</w:t>
            </w:r>
            <w:r w:rsidR="00A233B2" w:rsidRPr="00A233B2">
              <w:rPr>
                <w:i/>
                <w:sz w:val="22"/>
                <w:szCs w:val="22"/>
              </w:rPr>
              <w:t xml:space="preserve"> due to </w:t>
            </w:r>
            <w:r w:rsidR="008F5C2C">
              <w:rPr>
                <w:i/>
                <w:sz w:val="22"/>
                <w:szCs w:val="22"/>
              </w:rPr>
              <w:t xml:space="preserve">the </w:t>
            </w:r>
            <w:r>
              <w:rPr>
                <w:i/>
                <w:sz w:val="22"/>
                <w:szCs w:val="22"/>
              </w:rPr>
              <w:t>adoption of</w:t>
            </w:r>
            <w:r w:rsidR="00A233B2" w:rsidRPr="00A233B2">
              <w:rPr>
                <w:i/>
                <w:sz w:val="22"/>
                <w:szCs w:val="22"/>
              </w:rPr>
              <w:t xml:space="preserve"> emission</w:t>
            </w:r>
            <w:r>
              <w:rPr>
                <w:i/>
                <w:sz w:val="22"/>
                <w:szCs w:val="22"/>
              </w:rPr>
              <w:t xml:space="preserve"> standards</w:t>
            </w:r>
            <w:r w:rsidR="00A233B2" w:rsidRPr="00A233B2">
              <w:rPr>
                <w:i/>
                <w:sz w:val="22"/>
                <w:szCs w:val="22"/>
              </w:rPr>
              <w:t xml:space="preserve">, </w:t>
            </w:r>
            <w:r w:rsidR="0098653E">
              <w:rPr>
                <w:i/>
                <w:sz w:val="22"/>
                <w:szCs w:val="22"/>
              </w:rPr>
              <w:t>the netting basis would be reduced by the amount of reduction required by rule</w:t>
            </w:r>
            <w:r w:rsidR="008D538C">
              <w:rPr>
                <w:i/>
                <w:sz w:val="22"/>
                <w:szCs w:val="22"/>
              </w:rPr>
              <w:t xml:space="preserve">. </w:t>
            </w:r>
            <w:r w:rsidR="0098653E">
              <w:rPr>
                <w:i/>
                <w:sz w:val="22"/>
                <w:szCs w:val="22"/>
              </w:rPr>
              <w:t xml:space="preserve">If the reduction </w:t>
            </w:r>
            <w:r>
              <w:rPr>
                <w:i/>
                <w:sz w:val="22"/>
                <w:szCs w:val="22"/>
              </w:rPr>
              <w:t xml:space="preserve">was due to the shutdown of an emission unit, </w:t>
            </w:r>
            <w:r w:rsidR="00A233B2" w:rsidRPr="00A233B2">
              <w:rPr>
                <w:i/>
                <w:sz w:val="22"/>
                <w:szCs w:val="22"/>
              </w:rPr>
              <w:t xml:space="preserve">the unassigned emission rule (OAR 340-222-0045) </w:t>
            </w:r>
            <w:r w:rsidR="008F5C2C">
              <w:rPr>
                <w:i/>
                <w:sz w:val="22"/>
                <w:szCs w:val="22"/>
              </w:rPr>
              <w:t>would</w:t>
            </w:r>
            <w:r w:rsidR="00A233B2" w:rsidRPr="00A233B2">
              <w:rPr>
                <w:i/>
                <w:sz w:val="22"/>
                <w:szCs w:val="22"/>
              </w:rPr>
              <w:t xml:space="preserve"> reduce </w:t>
            </w:r>
            <w:r w:rsidR="00977F51">
              <w:rPr>
                <w:i/>
                <w:sz w:val="22"/>
                <w:szCs w:val="22"/>
              </w:rPr>
              <w:t xml:space="preserve">the </w:t>
            </w:r>
            <w:r w:rsidR="00A233B2" w:rsidRPr="00A233B2">
              <w:rPr>
                <w:i/>
                <w:sz w:val="22"/>
                <w:szCs w:val="22"/>
              </w:rPr>
              <w:t>netting basis if it is greater than a source’s PTE</w:t>
            </w:r>
            <w:r w:rsidR="008D538C">
              <w:rPr>
                <w:i/>
                <w:sz w:val="22"/>
                <w:szCs w:val="22"/>
              </w:rPr>
              <w:t xml:space="preserve">. </w:t>
            </w:r>
            <w:r w:rsidR="00A233B2" w:rsidRPr="00A233B2">
              <w:rPr>
                <w:i/>
                <w:sz w:val="22"/>
                <w:szCs w:val="22"/>
              </w:rPr>
              <w:t>If a large number of smaller sources increased the burden of the pollutant in the air shed and the area becomes a nonattainment area, DEQ will create an attainment plan that will require air quality controls</w:t>
            </w:r>
            <w:r w:rsidR="008D538C">
              <w:rPr>
                <w:i/>
                <w:sz w:val="22"/>
                <w:szCs w:val="22"/>
              </w:rPr>
              <w:t xml:space="preserve">. </w:t>
            </w:r>
            <w:r w:rsidR="00A233B2">
              <w:rPr>
                <w:i/>
                <w:sz w:val="22"/>
                <w:szCs w:val="22"/>
              </w:rPr>
              <w:t>No change to the rule is proposed in response to this comment.</w:t>
            </w:r>
          </w:p>
        </w:tc>
      </w:tr>
      <w:tr w:rsidR="00A233B2"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Default="00A233B2" w:rsidP="00A233B2">
            <w:pPr>
              <w:ind w:right="-108"/>
              <w:rPr>
                <w:sz w:val="22"/>
                <w:szCs w:val="22"/>
              </w:rPr>
            </w:pPr>
            <w:r>
              <w:rPr>
                <w:bCs/>
                <w:sz w:val="22"/>
                <w:szCs w:val="22"/>
              </w:rPr>
              <w:lastRenderedPageBreak/>
              <w:t>3d.</w:t>
            </w:r>
            <w:r w:rsidRPr="004A55ED">
              <w:rPr>
                <w:sz w:val="22"/>
                <w:szCs w:val="22"/>
              </w:rPr>
              <w:t xml:space="preserve"> </w:t>
            </w:r>
          </w:p>
          <w:p w:rsidR="00A233B2" w:rsidRPr="00A233B2" w:rsidRDefault="00A233B2" w:rsidP="00A233B2">
            <w:pPr>
              <w:ind w:right="-108"/>
              <w:rPr>
                <w:bCs/>
                <w:sz w:val="22"/>
                <w:szCs w:val="22"/>
              </w:rPr>
            </w:pPr>
            <w:r w:rsidRPr="004A55ED">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A233B2" w:rsidRDefault="00A233B2" w:rsidP="00A233B2">
            <w:pPr>
              <w:spacing w:after="120"/>
              <w:rPr>
                <w:sz w:val="22"/>
                <w:szCs w:val="22"/>
              </w:rPr>
            </w:pPr>
            <w:r w:rsidRPr="00A233B2">
              <w:rPr>
                <w:sz w:val="22"/>
                <w:szCs w:val="22"/>
              </w:rPr>
              <w:t>We do not support the proposed language that would require resetting of actual emissions if the source did not achieve its full emissions capacity within 10 years after commencing construction. This approach is bad public policy in that it encourages sources to emit at their maximum permitted level in order to preserve baseline. This also creates serious issues for sources that take a long time to complete construction as they will not have necessarily reached normal operations in enough time to establish a reasonable baseline emission rate. (9)</w:t>
            </w:r>
          </w:p>
          <w:p w:rsidR="00A233B2" w:rsidRDefault="00A233B2" w:rsidP="00076541">
            <w:pPr>
              <w:autoSpaceDE w:val="0"/>
              <w:autoSpaceDN w:val="0"/>
              <w:adjustRightInd w:val="0"/>
              <w:spacing w:after="120"/>
              <w:rPr>
                <w:i/>
                <w:sz w:val="22"/>
                <w:szCs w:val="22"/>
              </w:rPr>
            </w:pPr>
            <w:r>
              <w:rPr>
                <w:i/>
                <w:sz w:val="22"/>
                <w:szCs w:val="22"/>
              </w:rPr>
              <w:t>Response:</w:t>
            </w:r>
          </w:p>
          <w:p w:rsidR="00A07FC6" w:rsidRDefault="00A233B2" w:rsidP="00DD36F0">
            <w:pPr>
              <w:autoSpaceDE w:val="0"/>
              <w:autoSpaceDN w:val="0"/>
              <w:adjustRightInd w:val="0"/>
              <w:spacing w:after="120"/>
              <w:rPr>
                <w:rFonts w:asciiTheme="majorHAnsi" w:eastAsiaTheme="majorEastAsia" w:hAnsiTheme="majorHAnsi" w:cstheme="majorBidi"/>
                <w:b/>
                <w:bCs/>
                <w:color w:val="4F81BD" w:themeColor="accent1"/>
                <w:sz w:val="22"/>
                <w:szCs w:val="22"/>
              </w:rPr>
            </w:pPr>
            <w:r w:rsidRPr="00C30013">
              <w:rPr>
                <w:i/>
                <w:sz w:val="22"/>
                <w:szCs w:val="22"/>
              </w:rPr>
              <w:t>DEQ is aware that this change may be a disincentive for sources to voluntarily implement early reductions</w:t>
            </w:r>
            <w:r w:rsidR="008D538C">
              <w:rPr>
                <w:i/>
                <w:sz w:val="22"/>
                <w:szCs w:val="22"/>
              </w:rPr>
              <w:t xml:space="preserve">. </w:t>
            </w:r>
            <w:r w:rsidRPr="00C30013">
              <w:rPr>
                <w:i/>
                <w:sz w:val="22"/>
                <w:szCs w:val="22"/>
              </w:rPr>
              <w:t xml:space="preserve">Therefore, the proposed rules have been revised for sources that voluntarily implement pollution prevention practices or operational, maintenance and work practice requirements in accordance with OAR 340-226-0110 and 0120. Emissions reductions required </w:t>
            </w:r>
            <w:r>
              <w:rPr>
                <w:i/>
                <w:sz w:val="22"/>
                <w:szCs w:val="22"/>
              </w:rPr>
              <w:t xml:space="preserve">to reduce </w:t>
            </w:r>
            <w:r w:rsidRPr="00C30013">
              <w:rPr>
                <w:i/>
                <w:sz w:val="22"/>
                <w:szCs w:val="22"/>
              </w:rPr>
              <w:t xml:space="preserve">PTE to actual emissions will not include reductions achieved through these mechanisms. This provision will </w:t>
            </w:r>
            <w:r w:rsidR="00AD1ACA">
              <w:rPr>
                <w:i/>
                <w:sz w:val="22"/>
                <w:szCs w:val="22"/>
              </w:rPr>
              <w:t xml:space="preserve">continue </w:t>
            </w:r>
            <w:r w:rsidR="00027F3F">
              <w:rPr>
                <w:i/>
                <w:sz w:val="22"/>
                <w:szCs w:val="22"/>
              </w:rPr>
              <w:t xml:space="preserve">the program’s incentive for </w:t>
            </w:r>
            <w:r w:rsidRPr="00C30013">
              <w:rPr>
                <w:i/>
                <w:sz w:val="22"/>
                <w:szCs w:val="22"/>
              </w:rPr>
              <w:t>voluntary early reductions</w:t>
            </w:r>
            <w:r w:rsidR="00027F3F">
              <w:rPr>
                <w:i/>
                <w:sz w:val="22"/>
                <w:szCs w:val="22"/>
              </w:rPr>
              <w:t xml:space="preserve"> and remove the disincentive for maintaining maximum emissions</w:t>
            </w:r>
            <w:r w:rsidR="00AD1ACA">
              <w:rPr>
                <w:i/>
                <w:sz w:val="22"/>
                <w:szCs w:val="22"/>
              </w:rPr>
              <w:t xml:space="preserve"> to preserve baseline</w:t>
            </w:r>
            <w:r w:rsidRPr="00C30013">
              <w:rPr>
                <w:i/>
                <w:sz w:val="22"/>
                <w:szCs w:val="22"/>
              </w:rPr>
              <w:t xml:space="preserve">. </w:t>
            </w:r>
            <w:r>
              <w:rPr>
                <w:i/>
                <w:sz w:val="22"/>
                <w:szCs w:val="22"/>
              </w:rPr>
              <w:t xml:space="preserve">In addition, </w:t>
            </w:r>
            <w:r w:rsidR="00FC7539">
              <w:rPr>
                <w:i/>
                <w:sz w:val="22"/>
                <w:szCs w:val="22"/>
              </w:rPr>
              <w:t>the ten-year reset period may be extended to 15 years upon demonstration that construction is still underway</w:t>
            </w:r>
            <w:r w:rsidR="00DD36F0">
              <w:rPr>
                <w:i/>
                <w:sz w:val="22"/>
                <w:szCs w:val="22"/>
              </w:rPr>
              <w:t xml:space="preserve"> or normal operation has not been achieved</w:t>
            </w:r>
            <w:r w:rsidR="008D538C">
              <w:rPr>
                <w:i/>
                <w:sz w:val="22"/>
                <w:szCs w:val="22"/>
              </w:rPr>
              <w:t xml:space="preserve">. </w:t>
            </w:r>
            <w:r w:rsidR="00FC7539">
              <w:rPr>
                <w:i/>
                <w:sz w:val="22"/>
                <w:szCs w:val="22"/>
              </w:rPr>
              <w:t xml:space="preserve">Further, </w:t>
            </w:r>
            <w:r>
              <w:rPr>
                <w:i/>
                <w:sz w:val="22"/>
                <w:szCs w:val="22"/>
              </w:rPr>
              <w:t>o</w:t>
            </w:r>
            <w:r w:rsidRPr="00C30013">
              <w:rPr>
                <w:i/>
                <w:sz w:val="22"/>
                <w:szCs w:val="22"/>
              </w:rPr>
              <w:t>nly the netting basis will be reduced</w:t>
            </w:r>
            <w:r w:rsidR="00FC7539">
              <w:rPr>
                <w:i/>
                <w:sz w:val="22"/>
                <w:szCs w:val="22"/>
              </w:rPr>
              <w:t>, so only future modifications will be affected</w:t>
            </w:r>
            <w:r w:rsidRPr="00C30013">
              <w:rPr>
                <w:i/>
                <w:sz w:val="22"/>
                <w:szCs w:val="22"/>
              </w:rPr>
              <w:t>. The PSEL will not be reduced</w:t>
            </w:r>
            <w:r w:rsidR="008F5C2C">
              <w:rPr>
                <w:i/>
                <w:sz w:val="22"/>
                <w:szCs w:val="22"/>
              </w:rPr>
              <w:t>,</w:t>
            </w:r>
            <w:r w:rsidRPr="00C30013">
              <w:rPr>
                <w:i/>
                <w:sz w:val="22"/>
                <w:szCs w:val="22"/>
              </w:rPr>
              <w:t xml:space="preserve"> so a source will still be able to utilize the full capacity of a unit that went through PSD without triggering PSD again.</w:t>
            </w:r>
          </w:p>
        </w:tc>
      </w:tr>
      <w:tr w:rsidR="00E75780"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E7C8B" w:rsidRDefault="00A278D4" w:rsidP="00A278D4">
            <w:pPr>
              <w:pStyle w:val="ListParagraph"/>
              <w:numPr>
                <w:ilvl w:val="0"/>
                <w:numId w:val="13"/>
              </w:numPr>
              <w:ind w:right="-108"/>
              <w:rPr>
                <w:bCs/>
                <w:sz w:val="22"/>
                <w:szCs w:val="22"/>
              </w:rPr>
            </w:pPr>
          </w:p>
          <w:p w:rsidR="00E75780" w:rsidRPr="00AE7C8B" w:rsidRDefault="00157565" w:rsidP="00A278D4">
            <w:pPr>
              <w:ind w:right="-108"/>
              <w:rPr>
                <w:bCs/>
                <w:sz w:val="22"/>
                <w:szCs w:val="22"/>
              </w:rPr>
            </w:pPr>
            <w:r w:rsidRPr="00AE7C8B">
              <w:rPr>
                <w:bCs/>
                <w:sz w:val="22"/>
                <w:szCs w:val="22"/>
              </w:rPr>
              <w:t>Aggregate insignificant emissions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75780" w:rsidRPr="002D0FE2" w:rsidRDefault="00E75780" w:rsidP="00076541">
            <w:pPr>
              <w:autoSpaceDE w:val="0"/>
              <w:autoSpaceDN w:val="0"/>
              <w:adjustRightInd w:val="0"/>
              <w:spacing w:after="120"/>
              <w:rPr>
                <w:sz w:val="22"/>
                <w:szCs w:val="22"/>
              </w:rPr>
            </w:pPr>
            <w:r w:rsidRPr="002D0FE2">
              <w:rPr>
                <w:bCs/>
                <w:sz w:val="22"/>
                <w:szCs w:val="22"/>
              </w:rPr>
              <w:t xml:space="preserve">OAR </w:t>
            </w:r>
            <w:r w:rsidRPr="002D0FE2">
              <w:rPr>
                <w:sz w:val="22"/>
                <w:szCs w:val="22"/>
              </w:rPr>
              <w:t>340-200-0020(7)(h): The revision to the definition of "Aggregate insignificant emissions" adding a threshold for greenhouse gases needs to include language indicating that the 1</w:t>
            </w:r>
            <w:r w:rsidR="00DD36F0">
              <w:rPr>
                <w:sz w:val="22"/>
                <w:szCs w:val="22"/>
              </w:rPr>
              <w:t>,</w:t>
            </w:r>
            <w:r w:rsidRPr="002D0FE2">
              <w:rPr>
                <w:sz w:val="22"/>
                <w:szCs w:val="22"/>
              </w:rPr>
              <w:t>000 short tons value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sidRPr="002D0FE2">
              <w:rPr>
                <w:sz w:val="22"/>
                <w:szCs w:val="22"/>
              </w:rPr>
              <w:t>e).</w:t>
            </w:r>
            <w:r w:rsidRPr="002D0FE2">
              <w:rPr>
                <w:rFonts w:ascii="HiddenHorzOCl" w:hAnsi="HiddenHorzOCl" w:cs="HiddenHorzOCl"/>
                <w:sz w:val="22"/>
                <w:szCs w:val="22"/>
              </w:rPr>
              <w:t xml:space="preserve"> </w:t>
            </w:r>
            <w:r w:rsidR="00D60D5D" w:rsidRPr="00EC1288">
              <w:rPr>
                <w:sz w:val="22"/>
                <w:szCs w:val="22"/>
              </w:rPr>
              <w:t>(7</w:t>
            </w:r>
            <w:r w:rsidRPr="00EC1288">
              <w:rPr>
                <w:sz w:val="22"/>
                <w:szCs w:val="22"/>
              </w:rPr>
              <w:t>)</w:t>
            </w:r>
          </w:p>
          <w:p w:rsidR="00E75780" w:rsidRDefault="00E75780" w:rsidP="00076541">
            <w:pPr>
              <w:autoSpaceDE w:val="0"/>
              <w:autoSpaceDN w:val="0"/>
              <w:adjustRightInd w:val="0"/>
              <w:spacing w:after="120"/>
              <w:rPr>
                <w:i/>
                <w:sz w:val="22"/>
                <w:szCs w:val="22"/>
              </w:rPr>
            </w:pPr>
            <w:r w:rsidRPr="002D0FE2">
              <w:rPr>
                <w:i/>
                <w:sz w:val="22"/>
                <w:szCs w:val="22"/>
              </w:rPr>
              <w:t>Response:</w:t>
            </w:r>
          </w:p>
          <w:p w:rsidR="00157565" w:rsidRPr="002D0FE2" w:rsidRDefault="00BC7D0E" w:rsidP="00BC7D0E">
            <w:pPr>
              <w:autoSpaceDE w:val="0"/>
              <w:autoSpaceDN w:val="0"/>
              <w:adjustRightInd w:val="0"/>
              <w:spacing w:after="120"/>
              <w:rPr>
                <w:i/>
                <w:sz w:val="22"/>
                <w:szCs w:val="22"/>
              </w:rPr>
            </w:pPr>
            <w:r>
              <w:rPr>
                <w:i/>
                <w:sz w:val="22"/>
                <w:szCs w:val="22"/>
              </w:rPr>
              <w:t xml:space="preserve">The change was made to the proposed rule as suggested. Upon further consideration, DEQ has concluded that the aggregate insignificant emissions threshold for greenhouse gases should be </w:t>
            </w:r>
            <w:r w:rsidRPr="007C7416">
              <w:rPr>
                <w:i/>
                <w:sz w:val="22"/>
                <w:szCs w:val="22"/>
              </w:rPr>
              <w:t>the same as the GHG reporting</w:t>
            </w:r>
            <w:r>
              <w:rPr>
                <w:i/>
                <w:sz w:val="22"/>
                <w:szCs w:val="22"/>
              </w:rPr>
              <w:t xml:space="preserve"> threshold of 2,500</w:t>
            </w:r>
            <w:r w:rsidR="007C7416">
              <w:rPr>
                <w:i/>
                <w:sz w:val="22"/>
                <w:szCs w:val="22"/>
              </w:rPr>
              <w:t xml:space="preserve"> metric</w:t>
            </w:r>
            <w:r>
              <w:rPr>
                <w:i/>
                <w:sz w:val="22"/>
                <w:szCs w:val="22"/>
              </w:rPr>
              <w:t xml:space="preserve"> tons/year</w:t>
            </w:r>
            <w:r w:rsidR="007C7416">
              <w:rPr>
                <w:i/>
                <w:sz w:val="22"/>
                <w:szCs w:val="22"/>
              </w:rPr>
              <w:t xml:space="preserve"> or </w:t>
            </w:r>
            <w:r w:rsidR="007C7416" w:rsidRPr="006036A3">
              <w:rPr>
                <w:i/>
                <w:sz w:val="22"/>
                <w:szCs w:val="22"/>
              </w:rPr>
              <w:t>2,756 short tons/year</w:t>
            </w:r>
            <w:r w:rsidRPr="006036A3">
              <w:rPr>
                <w:i/>
                <w:sz w:val="22"/>
                <w:szCs w:val="22"/>
              </w:rPr>
              <w:t>.</w:t>
            </w:r>
            <w:r>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4A55ED" w:rsidRDefault="00A278D4" w:rsidP="00A278D4">
            <w:pPr>
              <w:pStyle w:val="ListParagraph"/>
              <w:numPr>
                <w:ilvl w:val="0"/>
                <w:numId w:val="13"/>
              </w:numPr>
              <w:rPr>
                <w:sz w:val="22"/>
                <w:szCs w:val="22"/>
              </w:rPr>
            </w:pPr>
          </w:p>
          <w:p w:rsidR="0051452D" w:rsidRPr="004A55ED" w:rsidRDefault="0051452D" w:rsidP="00A278D4">
            <w:pPr>
              <w:rPr>
                <w:sz w:val="22"/>
                <w:szCs w:val="22"/>
              </w:rPr>
            </w:pPr>
            <w:r w:rsidRPr="004A55ED">
              <w:rPr>
                <w:sz w:val="22"/>
                <w:szCs w:val="22"/>
              </w:rPr>
              <w:lastRenderedPageBreak/>
              <w:t>PM</w:t>
            </w:r>
            <w:r w:rsidRPr="004A55ED">
              <w:rPr>
                <w:sz w:val="22"/>
                <w:szCs w:val="22"/>
                <w:vertAlign w:val="subscript"/>
              </w:rPr>
              <w:t>2.5</w:t>
            </w:r>
            <w:r w:rsidR="001B19BA" w:rsidRPr="004A55ED">
              <w:rPr>
                <w:sz w:val="22"/>
                <w:szCs w:val="22"/>
              </w:rPr>
              <w:t xml:space="preserve"> b</w:t>
            </w:r>
            <w:r w:rsidRPr="004A55ED">
              <w:rPr>
                <w:sz w:val="22"/>
                <w:szCs w:val="22"/>
              </w:rPr>
              <w:t xml:space="preserve">aseline </w:t>
            </w:r>
            <w:r w:rsidR="001B19BA" w:rsidRPr="004A55ED">
              <w:rPr>
                <w:sz w:val="22"/>
                <w:szCs w:val="22"/>
              </w:rPr>
              <w:t>e</w:t>
            </w:r>
            <w:r w:rsidRPr="004A55ED">
              <w:rPr>
                <w:sz w:val="22"/>
                <w:szCs w:val="22"/>
              </w:rPr>
              <w:t xml:space="preserve">mission </w:t>
            </w:r>
            <w:r w:rsidR="001B19BA" w:rsidRPr="004A55ED">
              <w:rPr>
                <w:sz w:val="22"/>
                <w:szCs w:val="22"/>
              </w:rPr>
              <w:t>r</w:t>
            </w:r>
            <w:r w:rsidRPr="004A55ED">
              <w:rPr>
                <w:sz w:val="22"/>
                <w:szCs w:val="22"/>
              </w:rPr>
              <w:t>ate</w:t>
            </w:r>
            <w:r w:rsidR="007B04FE" w:rsidRPr="004A55ED">
              <w:rPr>
                <w:sz w:val="22"/>
                <w:szCs w:val="22"/>
              </w:rPr>
              <w:t xml:space="preserve"> and netting basis</w:t>
            </w:r>
          </w:p>
          <w:p w:rsidR="0051452D" w:rsidRPr="004A55ED" w:rsidRDefault="0051452D" w:rsidP="00A278D4">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613B28" w:rsidRPr="00DF1D81" w:rsidRDefault="002A48D3" w:rsidP="00DF1D81">
            <w:pPr>
              <w:spacing w:after="120"/>
              <w:rPr>
                <w:sz w:val="22"/>
                <w:szCs w:val="22"/>
              </w:rPr>
            </w:pPr>
            <w:r w:rsidRPr="00A006B1">
              <w:rPr>
                <w:sz w:val="22"/>
                <w:szCs w:val="22"/>
              </w:rPr>
              <w:lastRenderedPageBreak/>
              <w:t>A</w:t>
            </w:r>
            <w:r w:rsidR="0051452D" w:rsidRPr="00A006B1">
              <w:rPr>
                <w:sz w:val="22"/>
                <w:szCs w:val="22"/>
              </w:rPr>
              <w:t xml:space="preserve"> source should have the option of either taking the </w:t>
            </w:r>
            <w:r w:rsidR="006847C7">
              <w:rPr>
                <w:sz w:val="22"/>
                <w:szCs w:val="22"/>
              </w:rPr>
              <w:t>PM</w:t>
            </w:r>
            <w:r w:rsidR="006847C7">
              <w:rPr>
                <w:sz w:val="22"/>
                <w:szCs w:val="22"/>
                <w:vertAlign w:val="subscript"/>
              </w:rPr>
              <w:t>2.5</w:t>
            </w:r>
            <w:r w:rsidR="006847C7">
              <w:rPr>
                <w:sz w:val="22"/>
                <w:szCs w:val="22"/>
              </w:rPr>
              <w:t xml:space="preserve"> </w:t>
            </w:r>
            <w:r w:rsidR="0051452D" w:rsidRPr="00A006B1">
              <w:rPr>
                <w:sz w:val="22"/>
                <w:szCs w:val="22"/>
              </w:rPr>
              <w:t>proportionate share of its PM</w:t>
            </w:r>
            <w:r w:rsidR="0051452D" w:rsidRPr="00A006B1">
              <w:rPr>
                <w:sz w:val="22"/>
                <w:szCs w:val="22"/>
                <w:vertAlign w:val="subscript"/>
              </w:rPr>
              <w:t>10</w:t>
            </w:r>
            <w:r w:rsidR="0051452D" w:rsidRPr="00A006B1">
              <w:rPr>
                <w:sz w:val="22"/>
                <w:szCs w:val="22"/>
              </w:rPr>
              <w:t xml:space="preserve"> </w:t>
            </w:r>
            <w:r w:rsidR="0051452D" w:rsidRPr="00A006B1">
              <w:rPr>
                <w:sz w:val="22"/>
                <w:szCs w:val="22"/>
              </w:rPr>
              <w:lastRenderedPageBreak/>
              <w:t xml:space="preserve">netting basis </w:t>
            </w:r>
            <w:r w:rsidR="0051452D" w:rsidRPr="00A006B1">
              <w:rPr>
                <w:sz w:val="22"/>
                <w:szCs w:val="22"/>
                <w:u w:val="single"/>
              </w:rPr>
              <w:t>or</w:t>
            </w:r>
            <w:r w:rsidR="0051452D" w:rsidRPr="00A006B1">
              <w:rPr>
                <w:sz w:val="22"/>
                <w:szCs w:val="22"/>
              </w:rPr>
              <w:t xml:space="preserve"> the actual PM</w:t>
            </w:r>
            <w:r w:rsidR="0051452D" w:rsidRPr="00A006B1">
              <w:rPr>
                <w:sz w:val="22"/>
                <w:szCs w:val="22"/>
                <w:vertAlign w:val="subscript"/>
              </w:rPr>
              <w:t>2.5</w:t>
            </w:r>
            <w:r w:rsidR="0051452D" w:rsidRPr="00A006B1">
              <w:rPr>
                <w:sz w:val="22"/>
                <w:szCs w:val="22"/>
              </w:rPr>
              <w:t xml:space="preserve"> emissions from the baseline period</w:t>
            </w:r>
            <w:r w:rsidR="004A0EA4">
              <w:rPr>
                <w:sz w:val="22"/>
                <w:szCs w:val="22"/>
              </w:rPr>
              <w:t xml:space="preserve">. </w:t>
            </w:r>
            <w:r w:rsidR="0064466D" w:rsidRPr="00A006B1">
              <w:rPr>
                <w:sz w:val="22"/>
                <w:szCs w:val="22"/>
              </w:rPr>
              <w:t xml:space="preserve">(1, </w:t>
            </w:r>
            <w:r w:rsidR="009A4BCD" w:rsidRPr="00A006B1">
              <w:rPr>
                <w:sz w:val="22"/>
                <w:szCs w:val="22"/>
              </w:rPr>
              <w:t xml:space="preserve">2, </w:t>
            </w:r>
            <w:r w:rsidR="00162CCA" w:rsidRPr="00A006B1">
              <w:rPr>
                <w:sz w:val="22"/>
                <w:szCs w:val="22"/>
              </w:rPr>
              <w:t>4</w:t>
            </w:r>
            <w:r w:rsidR="009A4BCD" w:rsidRPr="00A006B1">
              <w:rPr>
                <w:sz w:val="22"/>
                <w:szCs w:val="22"/>
              </w:rPr>
              <w:t>,</w:t>
            </w:r>
            <w:r w:rsidR="00DF1D81">
              <w:rPr>
                <w:sz w:val="22"/>
                <w:szCs w:val="22"/>
              </w:rPr>
              <w:t xml:space="preserve"> 6,</w:t>
            </w:r>
            <w:r w:rsidR="009A4BCD" w:rsidRPr="00A006B1">
              <w:rPr>
                <w:sz w:val="22"/>
                <w:szCs w:val="22"/>
              </w:rPr>
              <w:t xml:space="preserve"> 9, 11, 13, </w:t>
            </w:r>
            <w:r w:rsidR="00F51667" w:rsidRPr="00A006B1">
              <w:rPr>
                <w:sz w:val="22"/>
                <w:szCs w:val="22"/>
              </w:rPr>
              <w:t xml:space="preserve">14, </w:t>
            </w:r>
            <w:r w:rsidR="009A4BCD" w:rsidRPr="00A006B1">
              <w:rPr>
                <w:sz w:val="22"/>
                <w:szCs w:val="22"/>
              </w:rPr>
              <w:t>15, 16, 17)</w:t>
            </w:r>
          </w:p>
          <w:p w:rsidR="00E17CCC" w:rsidRDefault="00E17CCC" w:rsidP="00A006B1">
            <w:pPr>
              <w:spacing w:after="120"/>
              <w:rPr>
                <w:sz w:val="22"/>
                <w:szCs w:val="22"/>
              </w:rPr>
            </w:pPr>
            <w:r w:rsidRPr="00A006B1">
              <w:rPr>
                <w:sz w:val="22"/>
                <w:szCs w:val="22"/>
              </w:rPr>
              <w:t>We would prefer that the baseline values for new pollutants (PM2.5 &amp; GHG) be set in proportion to pollutants that have already gone through the PSD process</w:t>
            </w:r>
            <w:r w:rsidR="008D538C">
              <w:rPr>
                <w:sz w:val="22"/>
                <w:szCs w:val="22"/>
              </w:rPr>
              <w:t xml:space="preserve">. </w:t>
            </w:r>
            <w:r w:rsidR="000351E6">
              <w:rPr>
                <w:sz w:val="22"/>
                <w:szCs w:val="22"/>
              </w:rPr>
              <w:t>(20</w:t>
            </w:r>
            <w:r w:rsidR="009A4BCD" w:rsidRPr="00CA2A13">
              <w:rPr>
                <w:sz w:val="22"/>
                <w:szCs w:val="22"/>
              </w:rPr>
              <w:t>)</w:t>
            </w:r>
          </w:p>
          <w:p w:rsidR="007B04FE" w:rsidRDefault="007B04FE" w:rsidP="007B04FE">
            <w:pPr>
              <w:spacing w:after="120"/>
              <w:rPr>
                <w:sz w:val="22"/>
                <w:szCs w:val="22"/>
              </w:rPr>
            </w:pPr>
            <w:r>
              <w:rPr>
                <w:sz w:val="22"/>
                <w:szCs w:val="22"/>
              </w:rPr>
              <w:t>We support</w:t>
            </w:r>
            <w:r w:rsidRPr="00BD5BD3">
              <w:rPr>
                <w:sz w:val="22"/>
                <w:szCs w:val="22"/>
              </w:rPr>
              <w:t xml:space="preserve"> </w:t>
            </w:r>
            <w:r w:rsidR="00A2706F">
              <w:rPr>
                <w:sz w:val="22"/>
                <w:szCs w:val="22"/>
              </w:rPr>
              <w:t xml:space="preserve">setting a </w:t>
            </w:r>
            <w:r w:rsidRPr="00BD5BD3">
              <w:rPr>
                <w:sz w:val="22"/>
                <w:szCs w:val="22"/>
              </w:rPr>
              <w:t>netting basis</w:t>
            </w:r>
            <w:r w:rsidR="00A2706F">
              <w:rPr>
                <w:sz w:val="22"/>
                <w:szCs w:val="22"/>
              </w:rPr>
              <w:t xml:space="preserve"> for PM</w:t>
            </w:r>
            <w:r w:rsidR="00A2706F">
              <w:rPr>
                <w:sz w:val="22"/>
                <w:szCs w:val="22"/>
                <w:vertAlign w:val="subscript"/>
              </w:rPr>
              <w:t>2.5</w:t>
            </w:r>
            <w:r w:rsidRPr="00BD5BD3">
              <w:rPr>
                <w:sz w:val="22"/>
                <w:szCs w:val="22"/>
              </w:rPr>
              <w:t xml:space="preserve"> based on the PM</w:t>
            </w:r>
            <w:r w:rsidRPr="00BD5BD3">
              <w:rPr>
                <w:sz w:val="22"/>
                <w:szCs w:val="22"/>
                <w:vertAlign w:val="subscript"/>
              </w:rPr>
              <w:t>2.5</w:t>
            </w:r>
            <w:r w:rsidRPr="00BD5BD3">
              <w:rPr>
                <w:sz w:val="22"/>
                <w:szCs w:val="22"/>
              </w:rPr>
              <w:t xml:space="preserve"> fraction of the PM</w:t>
            </w:r>
            <w:r w:rsidRPr="00BD5BD3">
              <w:rPr>
                <w:sz w:val="22"/>
                <w:szCs w:val="22"/>
                <w:vertAlign w:val="subscript"/>
              </w:rPr>
              <w:t>10</w:t>
            </w:r>
            <w:r w:rsidRPr="00BD5BD3">
              <w:rPr>
                <w:sz w:val="22"/>
                <w:szCs w:val="22"/>
              </w:rPr>
              <w:t xml:space="preserve"> netting basis </w:t>
            </w:r>
            <w:r w:rsidR="00A2706F">
              <w:rPr>
                <w:sz w:val="22"/>
                <w:szCs w:val="22"/>
              </w:rPr>
              <w:t xml:space="preserve">with two caveats:  1) </w:t>
            </w:r>
            <w:r w:rsidR="0080767A">
              <w:rPr>
                <w:sz w:val="22"/>
                <w:szCs w:val="22"/>
              </w:rPr>
              <w:t>DEQ</w:t>
            </w:r>
            <w:r w:rsidRPr="00BD5BD3">
              <w:rPr>
                <w:sz w:val="22"/>
                <w:szCs w:val="22"/>
              </w:rPr>
              <w:t xml:space="preserve"> </w:t>
            </w:r>
            <w:r w:rsidR="00965FFE">
              <w:rPr>
                <w:sz w:val="22"/>
                <w:szCs w:val="22"/>
              </w:rPr>
              <w:t>will</w:t>
            </w:r>
            <w:r w:rsidRPr="00BD5BD3">
              <w:rPr>
                <w:sz w:val="22"/>
                <w:szCs w:val="22"/>
              </w:rPr>
              <w:t xml:space="preserve"> increase the PM</w:t>
            </w:r>
            <w:r w:rsidRPr="00BD5BD3">
              <w:rPr>
                <w:sz w:val="22"/>
                <w:szCs w:val="22"/>
                <w:vertAlign w:val="subscript"/>
              </w:rPr>
              <w:t>2.5</w:t>
            </w:r>
            <w:r w:rsidRPr="00BD5BD3">
              <w:rPr>
                <w:sz w:val="22"/>
                <w:szCs w:val="22"/>
              </w:rPr>
              <w:t xml:space="preserve"> netting basis by up to 5 tons/yr to allow for sources that made changes in reliance on their PM</w:t>
            </w:r>
            <w:r w:rsidRPr="00BD5BD3">
              <w:rPr>
                <w:sz w:val="22"/>
                <w:szCs w:val="22"/>
                <w:vertAlign w:val="subscript"/>
              </w:rPr>
              <w:t>10</w:t>
            </w:r>
            <w:r w:rsidRPr="00BD5BD3">
              <w:rPr>
                <w:sz w:val="22"/>
                <w:szCs w:val="22"/>
              </w:rPr>
              <w:t xml:space="preserve"> netting basis</w:t>
            </w:r>
            <w:r w:rsidR="00A2706F">
              <w:rPr>
                <w:sz w:val="22"/>
                <w:szCs w:val="22"/>
              </w:rPr>
              <w:t>, 2)</w:t>
            </w:r>
            <w:r w:rsidRPr="006B3A28">
              <w:rPr>
                <w:sz w:val="22"/>
                <w:szCs w:val="22"/>
              </w:rPr>
              <w:t xml:space="preserve"> sources utilizing existing capacity present in the baseline period </w:t>
            </w:r>
            <w:r w:rsidR="00A2706F">
              <w:rPr>
                <w:sz w:val="22"/>
                <w:szCs w:val="22"/>
              </w:rPr>
              <w:t>can use existing</w:t>
            </w:r>
            <w:r w:rsidRPr="006B3A28">
              <w:rPr>
                <w:sz w:val="22"/>
                <w:szCs w:val="22"/>
              </w:rPr>
              <w:t xml:space="preserve"> equipment </w:t>
            </w:r>
            <w:r w:rsidR="00A2706F">
              <w:rPr>
                <w:sz w:val="22"/>
                <w:szCs w:val="22"/>
              </w:rPr>
              <w:t>to set the PSEL</w:t>
            </w:r>
            <w:r w:rsidR="004A0EA4">
              <w:rPr>
                <w:sz w:val="22"/>
                <w:szCs w:val="22"/>
              </w:rPr>
              <w:t xml:space="preserve">. </w:t>
            </w:r>
            <w:r w:rsidR="00E60FC7">
              <w:rPr>
                <w:sz w:val="22"/>
                <w:szCs w:val="22"/>
              </w:rPr>
              <w:t>(1, 3, 13, 23)</w:t>
            </w:r>
          </w:p>
          <w:p w:rsidR="007B04FE" w:rsidRDefault="00207DB5" w:rsidP="007B04FE">
            <w:pPr>
              <w:spacing w:after="120"/>
              <w:rPr>
                <w:sz w:val="22"/>
                <w:szCs w:val="22"/>
              </w:rPr>
            </w:pPr>
            <w:r w:rsidRPr="009D3CD6">
              <w:rPr>
                <w:sz w:val="22"/>
                <w:szCs w:val="22"/>
              </w:rPr>
              <w:t>Sources should not be allowed to choose between existing netting basis or highest actual emissions in the last 10 years for determining a ne</w:t>
            </w:r>
            <w:r>
              <w:rPr>
                <w:sz w:val="22"/>
                <w:szCs w:val="22"/>
              </w:rPr>
              <w:t>tting basis for PM2.5</w:t>
            </w:r>
            <w:r w:rsidR="00726B14">
              <w:rPr>
                <w:sz w:val="22"/>
                <w:szCs w:val="22"/>
              </w:rPr>
              <w:t xml:space="preserve">. </w:t>
            </w:r>
            <w:r w:rsidRPr="00DF75D5">
              <w:rPr>
                <w:sz w:val="22"/>
                <w:szCs w:val="22"/>
              </w:rPr>
              <w:t>We recommen</w:t>
            </w:r>
            <w:r w:rsidR="00726B14">
              <w:rPr>
                <w:sz w:val="22"/>
                <w:szCs w:val="22"/>
              </w:rPr>
              <w:t>d adoption of a 24-month period</w:t>
            </w:r>
            <w:r w:rsidRPr="00DF75D5">
              <w:rPr>
                <w:sz w:val="22"/>
                <w:szCs w:val="22"/>
              </w:rPr>
              <w:t>, as required by the fe</w:t>
            </w:r>
            <w:r w:rsidR="00726B14">
              <w:rPr>
                <w:sz w:val="22"/>
                <w:szCs w:val="22"/>
              </w:rPr>
              <w:t>deral program before NSR Reform</w:t>
            </w:r>
            <w:r w:rsidR="004A0EA4">
              <w:rPr>
                <w:sz w:val="22"/>
                <w:szCs w:val="22"/>
              </w:rPr>
              <w:t xml:space="preserve">. </w:t>
            </w:r>
            <w:r w:rsidRPr="00DF75D5">
              <w:rPr>
                <w:sz w:val="22"/>
                <w:szCs w:val="22"/>
              </w:rPr>
              <w:t>In no event sho</w:t>
            </w:r>
            <w:r w:rsidRPr="009D3CD6">
              <w:rPr>
                <w:sz w:val="22"/>
                <w:szCs w:val="22"/>
              </w:rPr>
              <w:t>uld sources be allowed to reach back to higher pollution output before the baseline concentration year</w:t>
            </w:r>
            <w:r w:rsidR="004A0EA4">
              <w:rPr>
                <w:sz w:val="22"/>
                <w:szCs w:val="22"/>
              </w:rPr>
              <w:t xml:space="preserve">. </w:t>
            </w:r>
            <w:r w:rsidR="007B04FE" w:rsidRPr="008F79B7">
              <w:rPr>
                <w:sz w:val="22"/>
                <w:szCs w:val="22"/>
              </w:rPr>
              <w:t>All the same problems arise with this static baseline, but an added layer of complexity arises from the 5 ton per year “true-up.”  (12)</w:t>
            </w:r>
          </w:p>
          <w:p w:rsidR="00981E79" w:rsidRPr="00981E79" w:rsidRDefault="00981E79" w:rsidP="00332F4E">
            <w:pPr>
              <w:spacing w:after="120"/>
              <w:rPr>
                <w:sz w:val="22"/>
                <w:szCs w:val="22"/>
              </w:rPr>
            </w:pPr>
            <w:r w:rsidRPr="00981E79">
              <w:rPr>
                <w:sz w:val="22"/>
                <w:szCs w:val="22"/>
              </w:rPr>
              <w:t>If a facility shuts down one of two production lines because of the recent economic downturn, it should not be able to restart it five or ten years later without trigging PSD</w:t>
            </w:r>
            <w:r w:rsidR="008D538C">
              <w:rPr>
                <w:sz w:val="22"/>
                <w:szCs w:val="22"/>
              </w:rPr>
              <w:t xml:space="preserve">. </w:t>
            </w:r>
            <w:r w:rsidRPr="00981E79">
              <w:rPr>
                <w:sz w:val="22"/>
                <w:szCs w:val="22"/>
              </w:rPr>
              <w:t>(12)</w:t>
            </w:r>
          </w:p>
          <w:p w:rsidR="00385C0F" w:rsidRPr="00A006B1" w:rsidRDefault="00D60D5D" w:rsidP="00A006B1">
            <w:pPr>
              <w:spacing w:after="120"/>
              <w:rPr>
                <w:i/>
                <w:sz w:val="22"/>
                <w:szCs w:val="22"/>
              </w:rPr>
            </w:pPr>
            <w:r w:rsidRPr="00A006B1">
              <w:rPr>
                <w:i/>
                <w:sz w:val="22"/>
                <w:szCs w:val="22"/>
              </w:rPr>
              <w:t>Response:</w:t>
            </w:r>
          </w:p>
          <w:p w:rsidR="00CA4D9B" w:rsidRDefault="00CA4D9B" w:rsidP="004A330E">
            <w:pPr>
              <w:autoSpaceDE w:val="0"/>
              <w:autoSpaceDN w:val="0"/>
              <w:adjustRightInd w:val="0"/>
              <w:spacing w:after="120"/>
              <w:ind w:right="-180"/>
              <w:rPr>
                <w:i/>
                <w:sz w:val="22"/>
                <w:szCs w:val="22"/>
              </w:rPr>
            </w:pPr>
            <w:r>
              <w:rPr>
                <w:i/>
                <w:sz w:val="22"/>
                <w:szCs w:val="22"/>
              </w:rPr>
              <w:t xml:space="preserve">The commenters above provide </w:t>
            </w:r>
            <w:r w:rsidR="00480721">
              <w:rPr>
                <w:i/>
                <w:sz w:val="22"/>
                <w:szCs w:val="22"/>
              </w:rPr>
              <w:t>differing</w:t>
            </w:r>
            <w:r>
              <w:rPr>
                <w:i/>
                <w:sz w:val="22"/>
                <w:szCs w:val="22"/>
              </w:rPr>
              <w:t xml:space="preserve"> views about the flexibility that a source should </w:t>
            </w:r>
            <w:r w:rsidR="00480721">
              <w:rPr>
                <w:i/>
                <w:sz w:val="22"/>
                <w:szCs w:val="22"/>
              </w:rPr>
              <w:t>have</w:t>
            </w:r>
            <w:r>
              <w:rPr>
                <w:i/>
                <w:sz w:val="22"/>
                <w:szCs w:val="22"/>
              </w:rPr>
              <w:t xml:space="preserve"> to cho</w:t>
            </w:r>
            <w:r w:rsidR="00381946">
              <w:rPr>
                <w:i/>
                <w:sz w:val="22"/>
                <w:szCs w:val="22"/>
              </w:rPr>
              <w:t>o</w:t>
            </w:r>
            <w:r>
              <w:rPr>
                <w:i/>
                <w:sz w:val="22"/>
                <w:szCs w:val="22"/>
              </w:rPr>
              <w:t>se a baseline period and whether a source should b</w:t>
            </w:r>
            <w:r w:rsidR="00463927">
              <w:rPr>
                <w:i/>
                <w:sz w:val="22"/>
                <w:szCs w:val="22"/>
              </w:rPr>
              <w:t>e allowed a one-time 5 ton true-</w:t>
            </w:r>
            <w:r>
              <w:rPr>
                <w:i/>
                <w:sz w:val="22"/>
                <w:szCs w:val="22"/>
              </w:rPr>
              <w:t>up</w:t>
            </w:r>
            <w:r w:rsidR="008D538C">
              <w:rPr>
                <w:i/>
                <w:sz w:val="22"/>
                <w:szCs w:val="22"/>
              </w:rPr>
              <w:t xml:space="preserve">. </w:t>
            </w:r>
            <w:r w:rsidR="009736D9">
              <w:rPr>
                <w:i/>
                <w:sz w:val="22"/>
                <w:szCs w:val="22"/>
              </w:rPr>
              <w:t xml:space="preserve">DEQ is concerned that allowing </w:t>
            </w:r>
            <w:r w:rsidR="00480721">
              <w:rPr>
                <w:i/>
                <w:sz w:val="22"/>
                <w:szCs w:val="22"/>
              </w:rPr>
              <w:t xml:space="preserve">each </w:t>
            </w:r>
            <w:r w:rsidR="009736D9">
              <w:rPr>
                <w:i/>
                <w:sz w:val="22"/>
                <w:szCs w:val="22"/>
              </w:rPr>
              <w:t xml:space="preserve">source to select </w:t>
            </w:r>
            <w:r w:rsidR="00480721">
              <w:rPr>
                <w:i/>
                <w:sz w:val="22"/>
                <w:szCs w:val="22"/>
              </w:rPr>
              <w:t>the</w:t>
            </w:r>
            <w:r w:rsidR="00FE17F6">
              <w:rPr>
                <w:i/>
                <w:sz w:val="22"/>
                <w:szCs w:val="22"/>
              </w:rPr>
              <w:t xml:space="preserve"> most advantageous</w:t>
            </w:r>
            <w:r w:rsidR="009736D9">
              <w:rPr>
                <w:i/>
                <w:sz w:val="22"/>
                <w:szCs w:val="22"/>
              </w:rPr>
              <w:t xml:space="preserve"> baseline </w:t>
            </w:r>
            <w:r w:rsidR="00FE17F6">
              <w:rPr>
                <w:i/>
                <w:sz w:val="22"/>
                <w:szCs w:val="22"/>
              </w:rPr>
              <w:t>period</w:t>
            </w:r>
            <w:r w:rsidR="009736D9">
              <w:rPr>
                <w:i/>
                <w:sz w:val="22"/>
                <w:szCs w:val="22"/>
              </w:rPr>
              <w:t xml:space="preserve"> weakens the program and could arguably make Oregon’s program less stringent than the federal program, which is strictly prohibited</w:t>
            </w:r>
            <w:r w:rsidR="008D538C">
              <w:rPr>
                <w:i/>
                <w:sz w:val="22"/>
                <w:szCs w:val="22"/>
              </w:rPr>
              <w:t xml:space="preserve">. </w:t>
            </w:r>
          </w:p>
          <w:p w:rsidR="00A32DCA" w:rsidRDefault="00CA4D9B" w:rsidP="004A330E">
            <w:pPr>
              <w:autoSpaceDE w:val="0"/>
              <w:autoSpaceDN w:val="0"/>
              <w:adjustRightInd w:val="0"/>
              <w:spacing w:after="120"/>
              <w:ind w:right="-180"/>
              <w:rPr>
                <w:i/>
                <w:sz w:val="22"/>
                <w:szCs w:val="22"/>
              </w:rPr>
            </w:pPr>
            <w:r>
              <w:rPr>
                <w:i/>
                <w:sz w:val="22"/>
                <w:szCs w:val="22"/>
              </w:rPr>
              <w:t xml:space="preserve">DEQ is proposing </w:t>
            </w:r>
            <w:r w:rsidR="00381946">
              <w:rPr>
                <w:i/>
                <w:sz w:val="22"/>
                <w:szCs w:val="22"/>
              </w:rPr>
              <w:t>to provide only one option</w:t>
            </w:r>
            <w:r w:rsidR="00977F51">
              <w:rPr>
                <w:i/>
                <w:sz w:val="22"/>
                <w:szCs w:val="22"/>
              </w:rPr>
              <w:t>. T</w:t>
            </w:r>
            <w:r w:rsidR="0057527D" w:rsidRPr="00A006B1">
              <w:rPr>
                <w:i/>
                <w:sz w:val="22"/>
                <w:szCs w:val="22"/>
              </w:rPr>
              <w:t>he PM</w:t>
            </w:r>
            <w:r w:rsidR="0057527D" w:rsidRPr="00A006B1">
              <w:rPr>
                <w:i/>
                <w:sz w:val="22"/>
                <w:szCs w:val="22"/>
                <w:vertAlign w:val="subscript"/>
              </w:rPr>
              <w:t>2.5</w:t>
            </w:r>
            <w:r w:rsidR="0057527D" w:rsidRPr="00A006B1">
              <w:rPr>
                <w:i/>
                <w:sz w:val="22"/>
                <w:szCs w:val="22"/>
              </w:rPr>
              <w:t xml:space="preserve"> </w:t>
            </w:r>
            <w:r w:rsidR="003D1DD2">
              <w:rPr>
                <w:i/>
                <w:sz w:val="22"/>
                <w:szCs w:val="22"/>
              </w:rPr>
              <w:t>netting basis</w:t>
            </w:r>
            <w:r w:rsidR="0057527D" w:rsidRPr="00A006B1">
              <w:rPr>
                <w:i/>
                <w:sz w:val="22"/>
                <w:szCs w:val="22"/>
              </w:rPr>
              <w:t xml:space="preserve"> </w:t>
            </w:r>
            <w:r w:rsidR="003D1DD2">
              <w:rPr>
                <w:i/>
                <w:sz w:val="22"/>
                <w:szCs w:val="22"/>
              </w:rPr>
              <w:t xml:space="preserve">and </w:t>
            </w:r>
            <w:r w:rsidR="004A330E">
              <w:rPr>
                <w:i/>
                <w:sz w:val="22"/>
                <w:szCs w:val="22"/>
              </w:rPr>
              <w:t>PSEL</w:t>
            </w:r>
            <w:r w:rsidR="003D1DD2">
              <w:rPr>
                <w:i/>
                <w:sz w:val="22"/>
                <w:szCs w:val="22"/>
              </w:rPr>
              <w:t xml:space="preserve"> </w:t>
            </w:r>
            <w:r w:rsidR="0057527D" w:rsidRPr="00A006B1">
              <w:rPr>
                <w:i/>
                <w:sz w:val="22"/>
                <w:szCs w:val="22"/>
              </w:rPr>
              <w:t xml:space="preserve">will be </w:t>
            </w:r>
            <w:r w:rsidR="003D1DD2">
              <w:rPr>
                <w:i/>
                <w:sz w:val="22"/>
                <w:szCs w:val="22"/>
              </w:rPr>
              <w:t>set based</w:t>
            </w:r>
            <w:r w:rsidR="0057527D" w:rsidRPr="00A006B1">
              <w:rPr>
                <w:i/>
                <w:sz w:val="22"/>
                <w:szCs w:val="22"/>
              </w:rPr>
              <w:t xml:space="preserve"> on </w:t>
            </w:r>
            <w:r w:rsidR="0057527D" w:rsidRPr="00874049">
              <w:rPr>
                <w:i/>
                <w:sz w:val="22"/>
                <w:szCs w:val="22"/>
              </w:rPr>
              <w:t>the</w:t>
            </w:r>
            <w:r w:rsidR="0057527D" w:rsidRPr="00A006B1">
              <w:rPr>
                <w:i/>
                <w:sz w:val="22"/>
                <w:szCs w:val="22"/>
              </w:rPr>
              <w:t xml:space="preserve"> </w:t>
            </w:r>
            <w:r w:rsidR="003D1DD2" w:rsidRPr="00A006B1">
              <w:rPr>
                <w:i/>
                <w:sz w:val="22"/>
                <w:szCs w:val="22"/>
              </w:rPr>
              <w:t>PM</w:t>
            </w:r>
            <w:r w:rsidR="003D1DD2" w:rsidRPr="00A006B1">
              <w:rPr>
                <w:i/>
                <w:sz w:val="22"/>
                <w:szCs w:val="22"/>
                <w:vertAlign w:val="subscript"/>
              </w:rPr>
              <w:t>2.5</w:t>
            </w:r>
            <w:r w:rsidR="003D1DD2">
              <w:rPr>
                <w:i/>
                <w:sz w:val="22"/>
                <w:szCs w:val="22"/>
              </w:rPr>
              <w:t xml:space="preserve"> f</w:t>
            </w:r>
            <w:r w:rsidR="0057527D" w:rsidRPr="00A006B1">
              <w:rPr>
                <w:i/>
                <w:sz w:val="22"/>
                <w:szCs w:val="22"/>
              </w:rPr>
              <w:t>raction of the PM</w:t>
            </w:r>
            <w:r w:rsidR="0057527D" w:rsidRPr="00A006B1">
              <w:rPr>
                <w:i/>
                <w:sz w:val="22"/>
                <w:szCs w:val="22"/>
                <w:vertAlign w:val="subscript"/>
              </w:rPr>
              <w:t>10</w:t>
            </w:r>
            <w:r w:rsidR="0057527D" w:rsidRPr="00A006B1">
              <w:rPr>
                <w:i/>
                <w:sz w:val="22"/>
                <w:szCs w:val="22"/>
              </w:rPr>
              <w:t xml:space="preserve"> netting basis and PSEL</w:t>
            </w:r>
            <w:r w:rsidR="004A0EA4">
              <w:rPr>
                <w:i/>
                <w:sz w:val="22"/>
                <w:szCs w:val="22"/>
              </w:rPr>
              <w:t xml:space="preserve">. </w:t>
            </w:r>
            <w:r w:rsidR="00385C0F" w:rsidRPr="00A006B1">
              <w:rPr>
                <w:i/>
                <w:sz w:val="22"/>
                <w:szCs w:val="22"/>
              </w:rPr>
              <w:t>Since there is so much overlap between these two pollutants, this ensures that the introduction of the new pollutant (PM</w:t>
            </w:r>
            <w:r w:rsidR="00385C0F" w:rsidRPr="00A006B1">
              <w:rPr>
                <w:i/>
                <w:sz w:val="22"/>
                <w:szCs w:val="22"/>
                <w:vertAlign w:val="subscript"/>
              </w:rPr>
              <w:t>2.5</w:t>
            </w:r>
            <w:r w:rsidR="00385C0F" w:rsidRPr="00A006B1">
              <w:rPr>
                <w:i/>
                <w:sz w:val="22"/>
                <w:szCs w:val="22"/>
              </w:rPr>
              <w:t xml:space="preserve">) doesn’t trigger any new requirements if a </w:t>
            </w:r>
            <w:r w:rsidR="0080767A">
              <w:rPr>
                <w:i/>
                <w:sz w:val="22"/>
                <w:szCs w:val="22"/>
              </w:rPr>
              <w:t>source</w:t>
            </w:r>
            <w:r w:rsidR="00385C0F" w:rsidRPr="00A006B1">
              <w:rPr>
                <w:i/>
                <w:sz w:val="22"/>
                <w:szCs w:val="22"/>
              </w:rPr>
              <w:t xml:space="preserve"> is not making any </w:t>
            </w:r>
            <w:r w:rsidR="0076458A">
              <w:rPr>
                <w:i/>
                <w:sz w:val="22"/>
                <w:szCs w:val="22"/>
              </w:rPr>
              <w:t xml:space="preserve">physical </w:t>
            </w:r>
            <w:r w:rsidR="00385C0F" w:rsidRPr="00A006B1">
              <w:rPr>
                <w:i/>
                <w:sz w:val="22"/>
                <w:szCs w:val="22"/>
              </w:rPr>
              <w:t>modifications or production increases</w:t>
            </w:r>
            <w:r w:rsidR="004A0EA4">
              <w:rPr>
                <w:i/>
                <w:sz w:val="22"/>
                <w:szCs w:val="22"/>
              </w:rPr>
              <w:t xml:space="preserve">. </w:t>
            </w:r>
            <w:r w:rsidR="009C6A7B">
              <w:rPr>
                <w:i/>
                <w:sz w:val="22"/>
                <w:szCs w:val="22"/>
              </w:rPr>
              <w:t>In addition, it takes into account whether the source has gone through NSR/PSD for PM</w:t>
            </w:r>
            <w:r w:rsidR="009C6A7B">
              <w:rPr>
                <w:i/>
                <w:sz w:val="22"/>
                <w:szCs w:val="22"/>
                <w:vertAlign w:val="subscript"/>
              </w:rPr>
              <w:t>10</w:t>
            </w:r>
            <w:r w:rsidR="004A0EA4">
              <w:rPr>
                <w:i/>
                <w:sz w:val="22"/>
                <w:szCs w:val="22"/>
              </w:rPr>
              <w:t xml:space="preserve">. </w:t>
            </w:r>
            <w:r w:rsidR="00385C0F" w:rsidRPr="00A006B1">
              <w:rPr>
                <w:i/>
                <w:sz w:val="22"/>
                <w:szCs w:val="22"/>
              </w:rPr>
              <w:t>These numbers could diverge in the future as changes are made to the plant, so that either or both pollutants could trigger NSR/PSD or a PSEL modeling analysis</w:t>
            </w:r>
            <w:r w:rsidR="004A0EA4">
              <w:rPr>
                <w:i/>
                <w:sz w:val="22"/>
                <w:szCs w:val="22"/>
              </w:rPr>
              <w:t xml:space="preserve">. </w:t>
            </w:r>
          </w:p>
          <w:p w:rsidR="007B04FE" w:rsidRPr="00EE1F13" w:rsidRDefault="00BD7E89" w:rsidP="004A330E">
            <w:pPr>
              <w:autoSpaceDE w:val="0"/>
              <w:autoSpaceDN w:val="0"/>
              <w:adjustRightInd w:val="0"/>
              <w:spacing w:after="120"/>
              <w:ind w:right="-180"/>
              <w:rPr>
                <w:i/>
                <w:sz w:val="22"/>
                <w:szCs w:val="22"/>
              </w:rPr>
            </w:pPr>
            <w:r>
              <w:rPr>
                <w:i/>
                <w:sz w:val="22"/>
                <w:szCs w:val="22"/>
              </w:rPr>
              <w:t xml:space="preserve">Although it does add complexity, </w:t>
            </w:r>
            <w:r w:rsidR="00FE17F6">
              <w:rPr>
                <w:i/>
                <w:sz w:val="22"/>
                <w:szCs w:val="22"/>
              </w:rPr>
              <w:t xml:space="preserve">DEQ proposes that </w:t>
            </w:r>
            <w:r w:rsidR="00385C0F" w:rsidRPr="00A006B1">
              <w:rPr>
                <w:i/>
                <w:sz w:val="22"/>
                <w:szCs w:val="22"/>
              </w:rPr>
              <w:t>permit writer</w:t>
            </w:r>
            <w:r w:rsidR="00977F51">
              <w:rPr>
                <w:i/>
                <w:sz w:val="22"/>
                <w:szCs w:val="22"/>
              </w:rPr>
              <w:t>s</w:t>
            </w:r>
            <w:r w:rsidR="00385C0F" w:rsidRPr="00A006B1">
              <w:rPr>
                <w:i/>
                <w:sz w:val="22"/>
                <w:szCs w:val="22"/>
              </w:rPr>
              <w:t xml:space="preserve"> </w:t>
            </w:r>
            <w:r w:rsidR="009F138B" w:rsidRPr="00A006B1">
              <w:rPr>
                <w:i/>
                <w:sz w:val="22"/>
                <w:szCs w:val="22"/>
              </w:rPr>
              <w:t xml:space="preserve">be allowed </w:t>
            </w:r>
            <w:r w:rsidR="00385C0F" w:rsidRPr="00A006B1">
              <w:rPr>
                <w:i/>
                <w:sz w:val="22"/>
                <w:szCs w:val="22"/>
              </w:rPr>
              <w:t xml:space="preserve">to make a </w:t>
            </w:r>
            <w:r w:rsidR="004A330E">
              <w:rPr>
                <w:i/>
                <w:sz w:val="22"/>
                <w:szCs w:val="22"/>
              </w:rPr>
              <w:t>one</w:t>
            </w:r>
            <w:r w:rsidR="00385C0F" w:rsidRPr="00A006B1">
              <w:rPr>
                <w:i/>
                <w:sz w:val="22"/>
                <w:szCs w:val="22"/>
              </w:rPr>
              <w:t xml:space="preserve"> time true-up of up to 5 tons in the PM</w:t>
            </w:r>
            <w:r w:rsidR="00385C0F" w:rsidRPr="00A006B1">
              <w:rPr>
                <w:i/>
                <w:sz w:val="22"/>
                <w:szCs w:val="22"/>
                <w:vertAlign w:val="subscript"/>
              </w:rPr>
              <w:t>2.5</w:t>
            </w:r>
            <w:r w:rsidR="00385C0F" w:rsidRPr="00A006B1">
              <w:rPr>
                <w:i/>
                <w:sz w:val="22"/>
                <w:szCs w:val="22"/>
              </w:rPr>
              <w:t xml:space="preserve"> netting basis </w:t>
            </w:r>
            <w:r w:rsidR="00385C0F" w:rsidRPr="00C520E8">
              <w:rPr>
                <w:i/>
                <w:sz w:val="22"/>
                <w:szCs w:val="22"/>
                <w:u w:val="single"/>
              </w:rPr>
              <w:t>if needed</w:t>
            </w:r>
            <w:r w:rsidR="00385C0F" w:rsidRPr="00A006B1">
              <w:rPr>
                <w:i/>
                <w:sz w:val="22"/>
                <w:szCs w:val="22"/>
              </w:rPr>
              <w:t xml:space="preserve"> to account for </w:t>
            </w:r>
            <w:r w:rsidR="00A63F03">
              <w:rPr>
                <w:i/>
                <w:sz w:val="22"/>
                <w:szCs w:val="22"/>
              </w:rPr>
              <w:t>the difference in the significant emission rate for PM</w:t>
            </w:r>
            <w:r w:rsidR="00A63F03">
              <w:rPr>
                <w:i/>
                <w:sz w:val="22"/>
                <w:szCs w:val="22"/>
                <w:vertAlign w:val="subscript"/>
              </w:rPr>
              <w:t>10</w:t>
            </w:r>
            <w:r w:rsidR="00A63F03">
              <w:rPr>
                <w:i/>
                <w:sz w:val="22"/>
                <w:szCs w:val="22"/>
              </w:rPr>
              <w:t xml:space="preserve"> and PM</w:t>
            </w:r>
            <w:r w:rsidR="00A63F03">
              <w:rPr>
                <w:i/>
                <w:sz w:val="22"/>
                <w:szCs w:val="22"/>
                <w:vertAlign w:val="subscript"/>
              </w:rPr>
              <w:t>2.5</w:t>
            </w:r>
            <w:r w:rsidR="008D538C">
              <w:rPr>
                <w:i/>
                <w:sz w:val="22"/>
                <w:szCs w:val="22"/>
              </w:rPr>
              <w:t xml:space="preserve">. </w:t>
            </w:r>
            <w:r w:rsidR="00C36EB2">
              <w:rPr>
                <w:i/>
                <w:sz w:val="22"/>
                <w:szCs w:val="22"/>
              </w:rPr>
              <w:t>This will</w:t>
            </w:r>
            <w:r w:rsidR="00A63F03">
              <w:rPr>
                <w:i/>
                <w:sz w:val="22"/>
                <w:szCs w:val="22"/>
              </w:rPr>
              <w:t xml:space="preserve"> avoid retroactively making a source subject to NSR/PSD for PM</w:t>
            </w:r>
            <w:r w:rsidR="00A63F03">
              <w:rPr>
                <w:i/>
                <w:sz w:val="22"/>
                <w:szCs w:val="22"/>
                <w:vertAlign w:val="subscript"/>
              </w:rPr>
              <w:t>2.5</w:t>
            </w:r>
            <w:r w:rsidR="004A0EA4">
              <w:rPr>
                <w:i/>
                <w:sz w:val="22"/>
                <w:szCs w:val="22"/>
              </w:rPr>
              <w:t xml:space="preserve">. </w:t>
            </w:r>
            <w:r w:rsidR="00385C0F" w:rsidRPr="00A006B1">
              <w:rPr>
                <w:i/>
                <w:sz w:val="22"/>
                <w:szCs w:val="22"/>
              </w:rPr>
              <w:t>This is needed because the SER for PM</w:t>
            </w:r>
            <w:r w:rsidR="00385C0F" w:rsidRPr="00A006B1">
              <w:rPr>
                <w:i/>
                <w:sz w:val="22"/>
                <w:szCs w:val="22"/>
                <w:vertAlign w:val="subscript"/>
              </w:rPr>
              <w:t>2.5</w:t>
            </w:r>
            <w:r w:rsidR="00385C0F" w:rsidRPr="00A006B1">
              <w:rPr>
                <w:i/>
                <w:sz w:val="22"/>
                <w:szCs w:val="22"/>
              </w:rPr>
              <w:t xml:space="preserve"> is 5 tons lower than the SER for PM</w:t>
            </w:r>
            <w:r w:rsidR="00385C0F" w:rsidRPr="00A006B1">
              <w:rPr>
                <w:i/>
                <w:sz w:val="22"/>
                <w:szCs w:val="22"/>
                <w:vertAlign w:val="subscript"/>
              </w:rPr>
              <w:t>10</w:t>
            </w:r>
            <w:r w:rsidR="00385C0F" w:rsidRPr="00A006B1">
              <w:rPr>
                <w:i/>
                <w:sz w:val="22"/>
                <w:szCs w:val="22"/>
              </w:rPr>
              <w:t>, so without the true-up, a modification that was approved under the PM</w:t>
            </w:r>
            <w:r w:rsidR="00385C0F" w:rsidRPr="00A006B1">
              <w:rPr>
                <w:i/>
                <w:sz w:val="22"/>
                <w:szCs w:val="22"/>
                <w:vertAlign w:val="subscript"/>
              </w:rPr>
              <w:t>10</w:t>
            </w:r>
            <w:r w:rsidR="00385C0F" w:rsidRPr="00A006B1">
              <w:rPr>
                <w:i/>
                <w:sz w:val="22"/>
                <w:szCs w:val="22"/>
              </w:rPr>
              <w:t xml:space="preserve"> rules could be retroactively in violation of the PM</w:t>
            </w:r>
            <w:r w:rsidR="00385C0F" w:rsidRPr="00A006B1">
              <w:rPr>
                <w:i/>
                <w:sz w:val="22"/>
                <w:szCs w:val="22"/>
                <w:vertAlign w:val="subscript"/>
              </w:rPr>
              <w:t>2.5</w:t>
            </w:r>
            <w:r w:rsidR="00385C0F" w:rsidRPr="00A006B1">
              <w:rPr>
                <w:i/>
                <w:sz w:val="22"/>
                <w:szCs w:val="22"/>
              </w:rPr>
              <w:t xml:space="preserve"> rules. </w:t>
            </w:r>
            <w:r w:rsidR="00EE1F13">
              <w:rPr>
                <w:i/>
                <w:sz w:val="22"/>
                <w:szCs w:val="22"/>
              </w:rPr>
              <w:t xml:space="preserve">This one time true-up is </w:t>
            </w:r>
            <w:r w:rsidR="0076458A">
              <w:rPr>
                <w:i/>
                <w:sz w:val="22"/>
                <w:szCs w:val="22"/>
              </w:rPr>
              <w:t xml:space="preserve">only </w:t>
            </w:r>
            <w:r w:rsidR="00EE1F13">
              <w:rPr>
                <w:i/>
                <w:sz w:val="22"/>
                <w:szCs w:val="22"/>
              </w:rPr>
              <w:t xml:space="preserve">for </w:t>
            </w:r>
            <w:r w:rsidR="0076458A">
              <w:rPr>
                <w:i/>
                <w:sz w:val="22"/>
                <w:szCs w:val="22"/>
              </w:rPr>
              <w:t xml:space="preserve">previously approved </w:t>
            </w:r>
            <w:r w:rsidR="00EE1F13">
              <w:rPr>
                <w:i/>
                <w:sz w:val="22"/>
                <w:szCs w:val="22"/>
              </w:rPr>
              <w:t xml:space="preserve">modifications </w:t>
            </w:r>
            <w:r w:rsidR="00874049">
              <w:rPr>
                <w:i/>
                <w:sz w:val="22"/>
                <w:szCs w:val="22"/>
              </w:rPr>
              <w:t>that increased PM</w:t>
            </w:r>
            <w:r w:rsidR="00874049">
              <w:rPr>
                <w:i/>
                <w:sz w:val="22"/>
                <w:szCs w:val="22"/>
                <w:vertAlign w:val="subscript"/>
              </w:rPr>
              <w:t>10</w:t>
            </w:r>
            <w:r w:rsidR="00874049">
              <w:rPr>
                <w:i/>
                <w:sz w:val="22"/>
                <w:szCs w:val="22"/>
              </w:rPr>
              <w:t xml:space="preserve"> emissions </w:t>
            </w:r>
            <w:r w:rsidR="00EE1F13">
              <w:rPr>
                <w:i/>
                <w:sz w:val="22"/>
                <w:szCs w:val="22"/>
              </w:rPr>
              <w:t>before PM</w:t>
            </w:r>
            <w:r w:rsidR="00EE1F13">
              <w:rPr>
                <w:i/>
                <w:sz w:val="22"/>
                <w:szCs w:val="22"/>
                <w:vertAlign w:val="subscript"/>
              </w:rPr>
              <w:t>2.5</w:t>
            </w:r>
            <w:r w:rsidR="00EE1F13">
              <w:rPr>
                <w:i/>
                <w:sz w:val="22"/>
                <w:szCs w:val="22"/>
              </w:rPr>
              <w:t xml:space="preserve"> became a regulated pollutant</w:t>
            </w:r>
            <w:r w:rsidR="004A0EA4">
              <w:rPr>
                <w:i/>
                <w:sz w:val="22"/>
                <w:szCs w:val="22"/>
              </w:rPr>
              <w:t xml:space="preserve">. </w:t>
            </w:r>
            <w:r w:rsidR="00EE1F13">
              <w:rPr>
                <w:i/>
                <w:sz w:val="22"/>
                <w:szCs w:val="22"/>
              </w:rPr>
              <w:t xml:space="preserve">All future modifications </w:t>
            </w:r>
            <w:r w:rsidR="00977F51">
              <w:rPr>
                <w:i/>
                <w:sz w:val="22"/>
                <w:szCs w:val="22"/>
              </w:rPr>
              <w:t xml:space="preserve">will continue to </w:t>
            </w:r>
            <w:r w:rsidR="00EE1F13">
              <w:rPr>
                <w:i/>
                <w:sz w:val="22"/>
                <w:szCs w:val="22"/>
              </w:rPr>
              <w:t>be examined for NSR/PSD applicability</w:t>
            </w:r>
            <w:r w:rsidR="004A0EA4">
              <w:rPr>
                <w:i/>
                <w:sz w:val="22"/>
                <w:szCs w:val="22"/>
              </w:rPr>
              <w:t xml:space="preserve">. </w:t>
            </w:r>
          </w:p>
          <w:p w:rsidR="00385C0F" w:rsidRDefault="007B04FE" w:rsidP="00EE1F13">
            <w:pPr>
              <w:autoSpaceDE w:val="0"/>
              <w:autoSpaceDN w:val="0"/>
              <w:adjustRightInd w:val="0"/>
              <w:spacing w:after="120"/>
              <w:ind w:right="-180"/>
              <w:rPr>
                <w:i/>
                <w:sz w:val="22"/>
                <w:szCs w:val="22"/>
              </w:rPr>
            </w:pPr>
            <w:r>
              <w:rPr>
                <w:i/>
                <w:sz w:val="22"/>
                <w:szCs w:val="22"/>
              </w:rPr>
              <w:t>The PM</w:t>
            </w:r>
            <w:r>
              <w:rPr>
                <w:i/>
                <w:sz w:val="22"/>
                <w:szCs w:val="22"/>
                <w:vertAlign w:val="subscript"/>
              </w:rPr>
              <w:t>2.5</w:t>
            </w:r>
            <w:r>
              <w:rPr>
                <w:i/>
                <w:sz w:val="22"/>
                <w:szCs w:val="22"/>
              </w:rPr>
              <w:t xml:space="preserve"> PSEL </w:t>
            </w:r>
            <w:r w:rsidR="00FE17F6">
              <w:rPr>
                <w:i/>
                <w:sz w:val="22"/>
                <w:szCs w:val="22"/>
              </w:rPr>
              <w:t>is proposed to</w:t>
            </w:r>
            <w:r>
              <w:rPr>
                <w:i/>
                <w:sz w:val="22"/>
                <w:szCs w:val="22"/>
              </w:rPr>
              <w:t xml:space="preserve"> be the PM</w:t>
            </w:r>
            <w:r>
              <w:rPr>
                <w:i/>
                <w:sz w:val="22"/>
                <w:szCs w:val="22"/>
                <w:vertAlign w:val="subscript"/>
              </w:rPr>
              <w:t>2.5</w:t>
            </w:r>
            <w:r>
              <w:rPr>
                <w:i/>
                <w:sz w:val="22"/>
                <w:szCs w:val="22"/>
              </w:rPr>
              <w:t xml:space="preserve"> fraction of the PM</w:t>
            </w:r>
            <w:r>
              <w:rPr>
                <w:i/>
                <w:sz w:val="22"/>
                <w:szCs w:val="22"/>
                <w:vertAlign w:val="subscript"/>
              </w:rPr>
              <w:t>10</w:t>
            </w:r>
            <w:r>
              <w:rPr>
                <w:i/>
                <w:sz w:val="22"/>
                <w:szCs w:val="22"/>
              </w:rPr>
              <w:t xml:space="preserve"> PSEL</w:t>
            </w:r>
            <w:r w:rsidR="004A0EA4">
              <w:rPr>
                <w:i/>
                <w:sz w:val="22"/>
                <w:szCs w:val="22"/>
              </w:rPr>
              <w:t xml:space="preserve">. </w:t>
            </w:r>
            <w:r>
              <w:rPr>
                <w:i/>
                <w:sz w:val="22"/>
                <w:szCs w:val="22"/>
              </w:rPr>
              <w:t>Since PSELs are based on existing equipment</w:t>
            </w:r>
            <w:r w:rsidR="00EE1F13">
              <w:rPr>
                <w:i/>
                <w:sz w:val="22"/>
                <w:szCs w:val="22"/>
              </w:rPr>
              <w:t>, sources will be able to use existing capacity in setting their PM</w:t>
            </w:r>
            <w:r w:rsidR="00EE1F13">
              <w:rPr>
                <w:i/>
                <w:sz w:val="22"/>
                <w:szCs w:val="22"/>
                <w:vertAlign w:val="subscript"/>
              </w:rPr>
              <w:t>2.5</w:t>
            </w:r>
            <w:r w:rsidR="00EE1F13">
              <w:rPr>
                <w:i/>
                <w:sz w:val="22"/>
                <w:szCs w:val="22"/>
              </w:rPr>
              <w:t xml:space="preserve"> PSEL</w:t>
            </w:r>
            <w:r w:rsidR="00EF5AE9">
              <w:rPr>
                <w:i/>
                <w:sz w:val="22"/>
                <w:szCs w:val="22"/>
              </w:rPr>
              <w:t xml:space="preserve"> if the </w:t>
            </w:r>
            <w:r w:rsidR="00E208C6">
              <w:rPr>
                <w:i/>
                <w:sz w:val="22"/>
                <w:szCs w:val="22"/>
              </w:rPr>
              <w:t>PM</w:t>
            </w:r>
            <w:r w:rsidR="00E208C6">
              <w:rPr>
                <w:i/>
                <w:sz w:val="22"/>
                <w:szCs w:val="22"/>
                <w:vertAlign w:val="subscript"/>
              </w:rPr>
              <w:t>10</w:t>
            </w:r>
            <w:r w:rsidR="00E208C6">
              <w:rPr>
                <w:i/>
                <w:sz w:val="22"/>
                <w:szCs w:val="22"/>
              </w:rPr>
              <w:t xml:space="preserve"> </w:t>
            </w:r>
            <w:r w:rsidR="00EF5AE9">
              <w:rPr>
                <w:i/>
                <w:sz w:val="22"/>
                <w:szCs w:val="22"/>
              </w:rPr>
              <w:t>PSEL allow</w:t>
            </w:r>
            <w:r w:rsidR="00E208C6">
              <w:rPr>
                <w:i/>
                <w:sz w:val="22"/>
                <w:szCs w:val="22"/>
              </w:rPr>
              <w:t>s</w:t>
            </w:r>
            <w:r w:rsidR="00EF5AE9">
              <w:rPr>
                <w:i/>
                <w:sz w:val="22"/>
                <w:szCs w:val="22"/>
              </w:rPr>
              <w:t xml:space="preserve"> the use of existing capacity</w:t>
            </w:r>
            <w:r w:rsidR="008D538C">
              <w:rPr>
                <w:i/>
                <w:sz w:val="22"/>
                <w:szCs w:val="22"/>
              </w:rPr>
              <w:t xml:space="preserve">. </w:t>
            </w:r>
            <w:r w:rsidR="00BD7E89">
              <w:rPr>
                <w:i/>
                <w:sz w:val="22"/>
                <w:szCs w:val="22"/>
              </w:rPr>
              <w:t xml:space="preserve">For some facilities, the </w:t>
            </w:r>
            <w:r w:rsidR="00EF5AE9">
              <w:rPr>
                <w:i/>
                <w:sz w:val="22"/>
                <w:szCs w:val="22"/>
              </w:rPr>
              <w:t>PSEL</w:t>
            </w:r>
            <w:r w:rsidR="00BD7E89">
              <w:rPr>
                <w:i/>
                <w:sz w:val="22"/>
                <w:szCs w:val="22"/>
              </w:rPr>
              <w:t xml:space="preserve"> is set at less than capacity so it</w:t>
            </w:r>
            <w:r w:rsidR="00EF5AE9">
              <w:rPr>
                <w:i/>
                <w:sz w:val="22"/>
                <w:szCs w:val="22"/>
              </w:rPr>
              <w:t xml:space="preserve"> do</w:t>
            </w:r>
            <w:r w:rsidR="00BD7E89">
              <w:rPr>
                <w:i/>
                <w:sz w:val="22"/>
                <w:szCs w:val="22"/>
              </w:rPr>
              <w:t>es</w:t>
            </w:r>
            <w:r w:rsidR="00EF5AE9">
              <w:rPr>
                <w:i/>
                <w:sz w:val="22"/>
                <w:szCs w:val="22"/>
              </w:rPr>
              <w:t xml:space="preserve"> not allow for the use of </w:t>
            </w:r>
            <w:r w:rsidR="00BD7E89">
              <w:rPr>
                <w:i/>
                <w:sz w:val="22"/>
                <w:szCs w:val="22"/>
              </w:rPr>
              <w:t xml:space="preserve">full </w:t>
            </w:r>
            <w:r w:rsidR="00EF5AE9">
              <w:rPr>
                <w:i/>
                <w:sz w:val="22"/>
                <w:szCs w:val="22"/>
              </w:rPr>
              <w:t>existing capacity</w:t>
            </w:r>
            <w:r w:rsidR="008D538C">
              <w:rPr>
                <w:i/>
                <w:sz w:val="22"/>
                <w:szCs w:val="22"/>
              </w:rPr>
              <w:t xml:space="preserve">. </w:t>
            </w:r>
            <w:r w:rsidR="00BD7E89">
              <w:rPr>
                <w:i/>
                <w:sz w:val="22"/>
                <w:szCs w:val="22"/>
              </w:rPr>
              <w:t>In these instances</w:t>
            </w:r>
            <w:r w:rsidR="00EF5AE9">
              <w:rPr>
                <w:i/>
                <w:sz w:val="22"/>
                <w:szCs w:val="22"/>
              </w:rPr>
              <w:t xml:space="preserve">, the source could request an increase </w:t>
            </w:r>
            <w:r w:rsidR="00BD7E89">
              <w:rPr>
                <w:i/>
                <w:sz w:val="22"/>
                <w:szCs w:val="22"/>
              </w:rPr>
              <w:t xml:space="preserve">to full capacity </w:t>
            </w:r>
            <w:r w:rsidR="00EF5AE9">
              <w:rPr>
                <w:i/>
                <w:sz w:val="22"/>
                <w:szCs w:val="22"/>
              </w:rPr>
              <w:t xml:space="preserve">in accordance with the </w:t>
            </w:r>
            <w:r w:rsidR="00EF5AE9">
              <w:rPr>
                <w:i/>
                <w:sz w:val="22"/>
                <w:szCs w:val="22"/>
              </w:rPr>
              <w:lastRenderedPageBreak/>
              <w:t>PSEL rule</w:t>
            </w:r>
            <w:r w:rsidR="008D538C">
              <w:rPr>
                <w:i/>
                <w:sz w:val="22"/>
                <w:szCs w:val="22"/>
              </w:rPr>
              <w:t xml:space="preserve">. </w:t>
            </w:r>
            <w:r w:rsidR="00EF5AE9">
              <w:rPr>
                <w:i/>
                <w:sz w:val="22"/>
                <w:szCs w:val="22"/>
              </w:rPr>
              <w:t xml:space="preserve">An increase </w:t>
            </w:r>
            <w:r w:rsidR="00E208C6">
              <w:rPr>
                <w:i/>
                <w:sz w:val="22"/>
                <w:szCs w:val="22"/>
              </w:rPr>
              <w:t xml:space="preserve">in emissions </w:t>
            </w:r>
            <w:r w:rsidR="00EF5AE9">
              <w:rPr>
                <w:i/>
                <w:sz w:val="22"/>
                <w:szCs w:val="22"/>
              </w:rPr>
              <w:t xml:space="preserve">due to utilizing existing capacity would not be subject to NSR/PSD, but may require </w:t>
            </w:r>
            <w:r w:rsidR="00BD7E89">
              <w:rPr>
                <w:i/>
                <w:sz w:val="22"/>
                <w:szCs w:val="22"/>
              </w:rPr>
              <w:t xml:space="preserve">an ambient air quality analysis </w:t>
            </w:r>
            <w:r w:rsidR="00FE17F6">
              <w:rPr>
                <w:i/>
                <w:sz w:val="22"/>
                <w:szCs w:val="22"/>
              </w:rPr>
              <w:t>that</w:t>
            </w:r>
            <w:r w:rsidR="00BD7E89">
              <w:rPr>
                <w:i/>
                <w:sz w:val="22"/>
                <w:szCs w:val="22"/>
              </w:rPr>
              <w:t xml:space="preserve"> includes </w:t>
            </w:r>
            <w:r w:rsidR="00EF5AE9">
              <w:rPr>
                <w:i/>
                <w:sz w:val="22"/>
                <w:szCs w:val="22"/>
              </w:rPr>
              <w:t>modeling.</w:t>
            </w:r>
          </w:p>
          <w:p w:rsidR="00981E79" w:rsidRPr="008C40AF" w:rsidRDefault="00981E79" w:rsidP="00647952">
            <w:pPr>
              <w:spacing w:after="120"/>
              <w:rPr>
                <w:i/>
                <w:sz w:val="22"/>
                <w:szCs w:val="22"/>
              </w:rPr>
            </w:pPr>
            <w:r w:rsidRPr="004A55ED">
              <w:rPr>
                <w:i/>
                <w:sz w:val="22"/>
                <w:szCs w:val="22"/>
              </w:rPr>
              <w:t>In the example cited above regarding shut down of a production line, restarting that production line would not trigger PSD through Oregon’s or EPA’s program</w:t>
            </w:r>
            <w:r w:rsidR="008D538C">
              <w:rPr>
                <w:i/>
                <w:sz w:val="22"/>
                <w:szCs w:val="22"/>
              </w:rPr>
              <w:t xml:space="preserve">. </w:t>
            </w:r>
            <w:r w:rsidR="00965FFE" w:rsidRPr="004A55ED">
              <w:rPr>
                <w:i/>
                <w:sz w:val="22"/>
                <w:szCs w:val="22"/>
              </w:rPr>
              <w:t xml:space="preserve">In both programs, </w:t>
            </w:r>
            <w:r w:rsidRPr="004A55ED">
              <w:rPr>
                <w:i/>
                <w:sz w:val="22"/>
                <w:szCs w:val="22"/>
              </w:rPr>
              <w:t xml:space="preserve">the use of existing capacity </w:t>
            </w:r>
            <w:r w:rsidR="00CA62C4" w:rsidRPr="004A55ED">
              <w:rPr>
                <w:i/>
                <w:sz w:val="22"/>
                <w:szCs w:val="22"/>
              </w:rPr>
              <w:t xml:space="preserve">without a physical modification </w:t>
            </w:r>
            <w:r w:rsidR="00965FFE" w:rsidRPr="004A55ED">
              <w:rPr>
                <w:i/>
                <w:sz w:val="22"/>
                <w:szCs w:val="22"/>
              </w:rPr>
              <w:t>would not trigger PSD</w:t>
            </w:r>
            <w:r w:rsidR="00C30013">
              <w:rPr>
                <w:i/>
                <w:sz w:val="22"/>
                <w:szCs w:val="22"/>
              </w:rPr>
              <w:t>,</w:t>
            </w:r>
            <w:r w:rsidR="00965FFE" w:rsidRPr="004A55ED">
              <w:rPr>
                <w:i/>
                <w:sz w:val="22"/>
                <w:szCs w:val="22"/>
              </w:rPr>
              <w:t xml:space="preserve"> </w:t>
            </w:r>
            <w:r w:rsidRPr="004A55ED">
              <w:rPr>
                <w:i/>
                <w:sz w:val="22"/>
                <w:szCs w:val="22"/>
              </w:rPr>
              <w:t>so in this respect, the programs are identical</w:t>
            </w:r>
            <w:r w:rsidR="008D538C">
              <w:rPr>
                <w:i/>
                <w:sz w:val="22"/>
                <w:szCs w:val="22"/>
              </w:rPr>
              <w:t xml:space="preserve">. </w:t>
            </w:r>
            <w:r w:rsidRPr="00965FFE">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943C75" w:rsidRDefault="00A278D4" w:rsidP="00A278D4">
            <w:pPr>
              <w:pStyle w:val="ListParagraph"/>
              <w:numPr>
                <w:ilvl w:val="0"/>
                <w:numId w:val="13"/>
              </w:numPr>
              <w:rPr>
                <w:sz w:val="22"/>
                <w:szCs w:val="22"/>
              </w:rPr>
            </w:pPr>
          </w:p>
          <w:p w:rsidR="0051452D" w:rsidRPr="00943C75" w:rsidRDefault="001B19BA" w:rsidP="00065341">
            <w:pPr>
              <w:rPr>
                <w:sz w:val="22"/>
                <w:szCs w:val="22"/>
              </w:rPr>
            </w:pPr>
            <w:r w:rsidRPr="00943C75">
              <w:rPr>
                <w:sz w:val="22"/>
                <w:szCs w:val="22"/>
              </w:rPr>
              <w:t>GHG b</w:t>
            </w:r>
            <w:r w:rsidR="0051452D" w:rsidRPr="00943C75">
              <w:rPr>
                <w:sz w:val="22"/>
                <w:szCs w:val="22"/>
              </w:rPr>
              <w:t>aseline</w:t>
            </w:r>
            <w:r w:rsidR="00524958" w:rsidRPr="00943C75">
              <w:rPr>
                <w:sz w:val="22"/>
                <w:szCs w:val="22"/>
              </w:rPr>
              <w:t xml:space="preserve"> emission rate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748B1" w:rsidRPr="004A55ED" w:rsidRDefault="008D3050" w:rsidP="00794627">
            <w:pPr>
              <w:spacing w:after="120"/>
              <w:rPr>
                <w:sz w:val="22"/>
                <w:szCs w:val="22"/>
              </w:rPr>
            </w:pPr>
            <w:r w:rsidRPr="004A55ED">
              <w:rPr>
                <w:sz w:val="22"/>
                <w:szCs w:val="22"/>
              </w:rPr>
              <w:t>We</w:t>
            </w:r>
            <w:r w:rsidR="0051452D" w:rsidRPr="004A55ED">
              <w:rPr>
                <w:sz w:val="22"/>
                <w:szCs w:val="22"/>
              </w:rPr>
              <w:t xml:space="preserve"> suggest that the Department revise its proposed regulations to allow dual options for how a source calculates its GHG baseline emission rate</w:t>
            </w:r>
            <w:r w:rsidR="00332F4E" w:rsidRPr="004A55ED">
              <w:rPr>
                <w:sz w:val="22"/>
                <w:szCs w:val="22"/>
              </w:rPr>
              <w:t xml:space="preserve">:  </w:t>
            </w:r>
            <w:r w:rsidR="0051452D" w:rsidRPr="004A55ED">
              <w:rPr>
                <w:sz w:val="22"/>
                <w:szCs w:val="22"/>
              </w:rPr>
              <w:t>either calculating baseline GHG emissions using production parameter or through the use of the actual GHG emissions from the baseline period</w:t>
            </w:r>
            <w:r w:rsidR="004A0EA4" w:rsidRPr="004A55ED">
              <w:rPr>
                <w:sz w:val="22"/>
                <w:szCs w:val="22"/>
              </w:rPr>
              <w:t xml:space="preserve">. </w:t>
            </w:r>
            <w:r w:rsidR="00F748B1" w:rsidRPr="004A55ED">
              <w:rPr>
                <w:sz w:val="22"/>
                <w:szCs w:val="22"/>
              </w:rPr>
              <w:t xml:space="preserve">(1, 2, 4, </w:t>
            </w:r>
            <w:r w:rsidR="001363B0" w:rsidRPr="004A55ED">
              <w:rPr>
                <w:sz w:val="22"/>
                <w:szCs w:val="22"/>
              </w:rPr>
              <w:t xml:space="preserve">6, </w:t>
            </w:r>
            <w:r w:rsidR="00F748B1" w:rsidRPr="004A55ED">
              <w:rPr>
                <w:sz w:val="22"/>
                <w:szCs w:val="22"/>
              </w:rPr>
              <w:t xml:space="preserve">9, </w:t>
            </w:r>
            <w:r w:rsidR="00DF75D5" w:rsidRPr="004A55ED">
              <w:rPr>
                <w:sz w:val="22"/>
                <w:szCs w:val="22"/>
              </w:rPr>
              <w:t xml:space="preserve">10, </w:t>
            </w:r>
            <w:r w:rsidR="00F748B1" w:rsidRPr="004A55ED">
              <w:rPr>
                <w:sz w:val="22"/>
                <w:szCs w:val="22"/>
              </w:rPr>
              <w:t>11, 13, 14, 15, 16, 17, 21</w:t>
            </w:r>
            <w:r w:rsidR="007D2A64" w:rsidRPr="004A55ED">
              <w:rPr>
                <w:sz w:val="22"/>
                <w:szCs w:val="22"/>
              </w:rPr>
              <w:t>, 23</w:t>
            </w:r>
            <w:r w:rsidR="00F748B1" w:rsidRPr="004A55ED">
              <w:rPr>
                <w:sz w:val="22"/>
                <w:szCs w:val="22"/>
              </w:rPr>
              <w:t>)</w:t>
            </w:r>
          </w:p>
          <w:p w:rsidR="00F748B1" w:rsidRPr="004A55ED" w:rsidRDefault="00F748B1" w:rsidP="00794627">
            <w:pPr>
              <w:spacing w:after="120"/>
              <w:rPr>
                <w:sz w:val="22"/>
                <w:szCs w:val="22"/>
              </w:rPr>
            </w:pPr>
            <w:r w:rsidRPr="004A55ED">
              <w:rPr>
                <w:sz w:val="22"/>
                <w:szCs w:val="22"/>
              </w:rPr>
              <w:t xml:space="preserve">If DEQ </w:t>
            </w:r>
            <w:r w:rsidR="00EE5655" w:rsidRPr="004A55ED">
              <w:rPr>
                <w:sz w:val="22"/>
                <w:szCs w:val="22"/>
              </w:rPr>
              <w:t>continues to let sources choose the baseline year from 2000-2010</w:t>
            </w:r>
            <w:r w:rsidRPr="004A55ED">
              <w:rPr>
                <w:sz w:val="22"/>
                <w:szCs w:val="22"/>
              </w:rPr>
              <w:t xml:space="preserve">, </w:t>
            </w:r>
            <w:r w:rsidR="00207DB5" w:rsidRPr="004A55ED">
              <w:rPr>
                <w:sz w:val="22"/>
                <w:szCs w:val="22"/>
              </w:rPr>
              <w:t>it</w:t>
            </w:r>
            <w:r w:rsidRPr="004A55ED">
              <w:rPr>
                <w:sz w:val="22"/>
                <w:szCs w:val="22"/>
              </w:rPr>
              <w:t xml:space="preserve"> should add the sentence “The Department may allow the use of a prior time period upon a determination that it is more representative of normal source operation” in relation to GHGs</w:t>
            </w:r>
            <w:r w:rsidR="004A0EA4" w:rsidRPr="004A55ED">
              <w:rPr>
                <w:sz w:val="22"/>
                <w:szCs w:val="22"/>
              </w:rPr>
              <w:t xml:space="preserve">. </w:t>
            </w:r>
            <w:r w:rsidRPr="004A55ED">
              <w:rPr>
                <w:sz w:val="22"/>
                <w:szCs w:val="22"/>
              </w:rPr>
              <w:t>(1, 3, 6, 13</w:t>
            </w:r>
            <w:r w:rsidR="007D2A64" w:rsidRPr="004A55ED">
              <w:rPr>
                <w:sz w:val="22"/>
                <w:szCs w:val="22"/>
              </w:rPr>
              <w:t>, 23</w:t>
            </w:r>
            <w:r w:rsidRPr="004A55ED">
              <w:rPr>
                <w:sz w:val="22"/>
                <w:szCs w:val="22"/>
              </w:rPr>
              <w:t>)</w:t>
            </w:r>
          </w:p>
          <w:p w:rsidR="00231353" w:rsidRPr="004A55ED" w:rsidRDefault="008D3050" w:rsidP="00794627">
            <w:pPr>
              <w:spacing w:after="120"/>
              <w:rPr>
                <w:sz w:val="22"/>
                <w:szCs w:val="22"/>
              </w:rPr>
            </w:pPr>
            <w:r w:rsidRPr="004A55ED">
              <w:rPr>
                <w:sz w:val="22"/>
                <w:szCs w:val="22"/>
              </w:rPr>
              <w:t>We also recommend</w:t>
            </w:r>
            <w:r w:rsidR="0051452D" w:rsidRPr="004A55ED">
              <w:rPr>
                <w:sz w:val="22"/>
                <w:szCs w:val="22"/>
              </w:rPr>
              <w:t xml:space="preserve"> that the rules be revised to clarify that if a source has gone through PSD for one combustion pollutant, it can set its GHG netting basis based on the production rates used in that PSD analysis</w:t>
            </w:r>
            <w:r w:rsidR="004A0EA4" w:rsidRPr="004A55ED">
              <w:rPr>
                <w:sz w:val="22"/>
                <w:szCs w:val="22"/>
              </w:rPr>
              <w:t xml:space="preserve">. </w:t>
            </w:r>
            <w:r w:rsidR="00231353" w:rsidRPr="004A55ED">
              <w:rPr>
                <w:sz w:val="22"/>
                <w:szCs w:val="22"/>
              </w:rPr>
              <w:t>(1, 2, 4, 9,  11, 13, 14, 15, 16, 17</w:t>
            </w:r>
            <w:r w:rsidR="004665B8" w:rsidRPr="004A55ED">
              <w:rPr>
                <w:sz w:val="22"/>
                <w:szCs w:val="22"/>
              </w:rPr>
              <w:t>, 21</w:t>
            </w:r>
            <w:r w:rsidR="007D2A64" w:rsidRPr="004A55ED">
              <w:rPr>
                <w:sz w:val="22"/>
                <w:szCs w:val="22"/>
              </w:rPr>
              <w:t>, 23</w:t>
            </w:r>
            <w:r w:rsidR="00231353" w:rsidRPr="004A55ED">
              <w:rPr>
                <w:sz w:val="22"/>
                <w:szCs w:val="22"/>
              </w:rPr>
              <w:t>)</w:t>
            </w:r>
          </w:p>
          <w:p w:rsidR="00A5651D" w:rsidRPr="004A55ED" w:rsidRDefault="00A5651D" w:rsidP="00794627">
            <w:pPr>
              <w:spacing w:after="120"/>
              <w:rPr>
                <w:sz w:val="22"/>
                <w:szCs w:val="22"/>
              </w:rPr>
            </w:pPr>
            <w:r w:rsidRPr="004A55ED">
              <w:rPr>
                <w:sz w:val="22"/>
                <w:szCs w:val="22"/>
              </w:rPr>
              <w:t xml:space="preserve">We </w:t>
            </w:r>
            <w:r w:rsidR="00046252" w:rsidRPr="004A55ED">
              <w:rPr>
                <w:sz w:val="22"/>
                <w:szCs w:val="22"/>
              </w:rPr>
              <w:t xml:space="preserve">agree with the </w:t>
            </w:r>
            <w:r w:rsidRPr="004A55ED">
              <w:rPr>
                <w:sz w:val="22"/>
                <w:szCs w:val="22"/>
              </w:rPr>
              <w:t xml:space="preserve">baseline </w:t>
            </w:r>
            <w:r w:rsidR="00046252" w:rsidRPr="004A55ED">
              <w:rPr>
                <w:sz w:val="22"/>
                <w:szCs w:val="22"/>
              </w:rPr>
              <w:t xml:space="preserve">emission rate for </w:t>
            </w:r>
            <w:r w:rsidRPr="004A55ED">
              <w:rPr>
                <w:sz w:val="22"/>
                <w:szCs w:val="22"/>
              </w:rPr>
              <w:t>GHG</w:t>
            </w:r>
            <w:r w:rsidR="00046252" w:rsidRPr="004A55ED">
              <w:rPr>
                <w:sz w:val="22"/>
                <w:szCs w:val="22"/>
              </w:rPr>
              <w:t xml:space="preserve">s as being </w:t>
            </w:r>
            <w:r w:rsidRPr="004A55ED">
              <w:rPr>
                <w:sz w:val="22"/>
                <w:szCs w:val="22"/>
              </w:rPr>
              <w:t xml:space="preserve">the actual annual emission rate during any consecutive 12 month period between </w:t>
            </w:r>
            <w:r w:rsidR="00E208C6">
              <w:rPr>
                <w:sz w:val="22"/>
                <w:szCs w:val="22"/>
              </w:rPr>
              <w:t>200</w:t>
            </w:r>
            <w:r w:rsidRPr="004A55ED">
              <w:rPr>
                <w:sz w:val="22"/>
                <w:szCs w:val="22"/>
              </w:rPr>
              <w:t>0 and 2010</w:t>
            </w:r>
            <w:r w:rsidR="004A0EA4" w:rsidRPr="004A55ED">
              <w:rPr>
                <w:sz w:val="22"/>
                <w:szCs w:val="22"/>
              </w:rPr>
              <w:t xml:space="preserve">. </w:t>
            </w:r>
            <w:r w:rsidRPr="004A55ED">
              <w:rPr>
                <w:sz w:val="22"/>
                <w:szCs w:val="22"/>
              </w:rPr>
              <w:t>We also support the clarifications that actual emissions are calculated for those sources or portions of sources that have been permitted, but did not commence normal operation, during the baseline period</w:t>
            </w:r>
            <w:r w:rsidR="004A0EA4" w:rsidRPr="004A55ED">
              <w:rPr>
                <w:sz w:val="22"/>
                <w:szCs w:val="22"/>
              </w:rPr>
              <w:t xml:space="preserve">. </w:t>
            </w:r>
            <w:r w:rsidRPr="004A55ED">
              <w:rPr>
                <w:sz w:val="22"/>
                <w:szCs w:val="22"/>
              </w:rPr>
              <w:t>(9)</w:t>
            </w:r>
          </w:p>
          <w:p w:rsidR="00E60DBA" w:rsidRPr="004A55ED" w:rsidRDefault="00E60DBA" w:rsidP="00794627">
            <w:pPr>
              <w:spacing w:after="120"/>
              <w:rPr>
                <w:sz w:val="22"/>
                <w:szCs w:val="22"/>
              </w:rPr>
            </w:pPr>
            <w:r w:rsidRPr="004A55ED">
              <w:rPr>
                <w:sz w:val="22"/>
                <w:szCs w:val="22"/>
              </w:rPr>
              <w:t>Sources should not be allowed to choose between existing netting basis or highest actual emissions in the last 10 years for determining a netting basis for GHG</w:t>
            </w:r>
            <w:r w:rsidR="004A0EA4" w:rsidRPr="004A55ED">
              <w:rPr>
                <w:sz w:val="22"/>
                <w:szCs w:val="22"/>
              </w:rPr>
              <w:t xml:space="preserve">. </w:t>
            </w:r>
            <w:r w:rsidR="00EE5655" w:rsidRPr="004A55ED">
              <w:rPr>
                <w:sz w:val="22"/>
                <w:szCs w:val="22"/>
              </w:rPr>
              <w:t>DEQ should adopt a baseline emission rate definition that captures the existing actual air quality of an area and travels, with the rest of us, across time</w:t>
            </w:r>
            <w:r w:rsidR="004A0EA4" w:rsidRPr="004A55ED">
              <w:rPr>
                <w:sz w:val="22"/>
                <w:szCs w:val="22"/>
              </w:rPr>
              <w:t xml:space="preserve">. </w:t>
            </w:r>
            <w:r w:rsidR="00EE5655" w:rsidRPr="004A55ED">
              <w:rPr>
                <w:sz w:val="22"/>
                <w:szCs w:val="22"/>
              </w:rPr>
              <w:t>We recommend adoption of a 24-month period as required by the federal program before NSR Reform</w:t>
            </w:r>
            <w:r w:rsidR="004A0EA4" w:rsidRPr="004A55ED">
              <w:rPr>
                <w:sz w:val="22"/>
                <w:szCs w:val="22"/>
              </w:rPr>
              <w:t xml:space="preserve">. </w:t>
            </w:r>
            <w:r w:rsidR="00EE5655" w:rsidRPr="004A55ED">
              <w:rPr>
                <w:sz w:val="22"/>
                <w:szCs w:val="22"/>
              </w:rPr>
              <w:t>In no event should sources be allowed to reach back to higher pollution output before the baseline concentration year</w:t>
            </w:r>
            <w:r w:rsidR="004A0EA4" w:rsidRPr="004A55ED">
              <w:rPr>
                <w:sz w:val="22"/>
                <w:szCs w:val="22"/>
              </w:rPr>
              <w:t xml:space="preserve">. </w:t>
            </w:r>
            <w:r w:rsidRPr="004A55ED">
              <w:rPr>
                <w:sz w:val="22"/>
                <w:szCs w:val="22"/>
              </w:rPr>
              <w:t>(12)</w:t>
            </w:r>
          </w:p>
          <w:p w:rsidR="00432CBF" w:rsidRPr="004A55ED" w:rsidRDefault="00432CBF" w:rsidP="00794627">
            <w:pPr>
              <w:spacing w:after="120"/>
              <w:rPr>
                <w:i/>
                <w:sz w:val="22"/>
                <w:szCs w:val="22"/>
              </w:rPr>
            </w:pPr>
            <w:r w:rsidRPr="004A55ED">
              <w:rPr>
                <w:i/>
                <w:sz w:val="22"/>
                <w:szCs w:val="22"/>
              </w:rPr>
              <w:t>Response:</w:t>
            </w:r>
            <w:r w:rsidR="009C5FBA" w:rsidRPr="004A55ED">
              <w:rPr>
                <w:i/>
                <w:sz w:val="22"/>
                <w:szCs w:val="22"/>
              </w:rPr>
              <w:t xml:space="preserve">  </w:t>
            </w:r>
          </w:p>
          <w:p w:rsidR="00381946" w:rsidRDefault="00381946" w:rsidP="00381946">
            <w:pPr>
              <w:autoSpaceDE w:val="0"/>
              <w:autoSpaceDN w:val="0"/>
              <w:adjustRightInd w:val="0"/>
              <w:spacing w:after="120"/>
              <w:ind w:right="-180"/>
              <w:rPr>
                <w:i/>
                <w:sz w:val="22"/>
                <w:szCs w:val="22"/>
              </w:rPr>
            </w:pPr>
            <w:r>
              <w:rPr>
                <w:i/>
                <w:sz w:val="22"/>
                <w:szCs w:val="22"/>
              </w:rPr>
              <w:t xml:space="preserve">The commenters above provide </w:t>
            </w:r>
            <w:r w:rsidR="003A0145">
              <w:rPr>
                <w:i/>
                <w:sz w:val="22"/>
                <w:szCs w:val="22"/>
              </w:rPr>
              <w:t xml:space="preserve">differing </w:t>
            </w:r>
            <w:r>
              <w:rPr>
                <w:i/>
                <w:sz w:val="22"/>
                <w:szCs w:val="22"/>
              </w:rPr>
              <w:t xml:space="preserve">views about the flexibility that a source should </w:t>
            </w:r>
            <w:r w:rsidR="003A0145">
              <w:rPr>
                <w:i/>
                <w:sz w:val="22"/>
                <w:szCs w:val="22"/>
              </w:rPr>
              <w:t>have</w:t>
            </w:r>
            <w:r>
              <w:rPr>
                <w:i/>
                <w:sz w:val="22"/>
                <w:szCs w:val="22"/>
              </w:rPr>
              <w:t xml:space="preserve"> to choose a </w:t>
            </w:r>
            <w:r w:rsidR="00910F1C">
              <w:rPr>
                <w:i/>
                <w:sz w:val="22"/>
                <w:szCs w:val="22"/>
              </w:rPr>
              <w:t xml:space="preserve">greenhouse gas </w:t>
            </w:r>
            <w:r>
              <w:rPr>
                <w:i/>
                <w:sz w:val="22"/>
                <w:szCs w:val="22"/>
              </w:rPr>
              <w:t>baseline period</w:t>
            </w:r>
            <w:r w:rsidR="008D538C">
              <w:rPr>
                <w:i/>
                <w:sz w:val="22"/>
                <w:szCs w:val="22"/>
              </w:rPr>
              <w:t xml:space="preserve">. </w:t>
            </w:r>
          </w:p>
          <w:p w:rsidR="000043B9" w:rsidRDefault="00544316" w:rsidP="000043B9">
            <w:pPr>
              <w:spacing w:after="120"/>
              <w:rPr>
                <w:i/>
                <w:sz w:val="22"/>
                <w:szCs w:val="22"/>
              </w:rPr>
            </w:pPr>
            <w:r w:rsidRPr="004A55ED">
              <w:rPr>
                <w:i/>
                <w:sz w:val="22"/>
                <w:szCs w:val="22"/>
              </w:rPr>
              <w:t xml:space="preserve">In the </w:t>
            </w:r>
            <w:r w:rsidR="00CF341A" w:rsidRPr="004A55ED">
              <w:rPr>
                <w:i/>
                <w:sz w:val="22"/>
                <w:szCs w:val="22"/>
              </w:rPr>
              <w:t xml:space="preserve">revised </w:t>
            </w:r>
            <w:r w:rsidR="003A0145">
              <w:rPr>
                <w:i/>
                <w:sz w:val="22"/>
                <w:szCs w:val="22"/>
              </w:rPr>
              <w:t xml:space="preserve">proposed </w:t>
            </w:r>
            <w:r w:rsidRPr="004A55ED">
              <w:rPr>
                <w:i/>
                <w:sz w:val="22"/>
                <w:szCs w:val="22"/>
              </w:rPr>
              <w:t>definition of baseline period, the period for GHG</w:t>
            </w:r>
            <w:r w:rsidR="004531D2">
              <w:rPr>
                <w:i/>
                <w:sz w:val="22"/>
                <w:szCs w:val="22"/>
              </w:rPr>
              <w:t>s</w:t>
            </w:r>
            <w:r w:rsidRPr="004A55ED">
              <w:rPr>
                <w:i/>
                <w:sz w:val="22"/>
                <w:szCs w:val="22"/>
              </w:rPr>
              <w:t xml:space="preserve"> is </w:t>
            </w:r>
            <w:r w:rsidR="004531D2">
              <w:rPr>
                <w:i/>
                <w:sz w:val="22"/>
                <w:szCs w:val="22"/>
              </w:rPr>
              <w:t>a</w:t>
            </w:r>
            <w:r w:rsidRPr="004A55ED">
              <w:rPr>
                <w:i/>
                <w:sz w:val="22"/>
                <w:szCs w:val="22"/>
              </w:rPr>
              <w:t xml:space="preserve"> </w:t>
            </w:r>
            <w:r w:rsidR="009C6A7B" w:rsidRPr="004A55ED">
              <w:rPr>
                <w:i/>
                <w:sz w:val="22"/>
                <w:szCs w:val="22"/>
              </w:rPr>
              <w:t>consecutive 12-month period</w:t>
            </w:r>
            <w:r w:rsidRPr="004A55ED">
              <w:rPr>
                <w:i/>
                <w:sz w:val="22"/>
                <w:szCs w:val="22"/>
              </w:rPr>
              <w:t xml:space="preserve"> between 2000 and 2010</w:t>
            </w:r>
            <w:r w:rsidR="003A0145">
              <w:rPr>
                <w:i/>
                <w:sz w:val="22"/>
                <w:szCs w:val="22"/>
              </w:rPr>
              <w:t>,</w:t>
            </w:r>
            <w:r w:rsidR="003A25F1" w:rsidRPr="004A55ED">
              <w:rPr>
                <w:i/>
                <w:sz w:val="22"/>
                <w:szCs w:val="22"/>
              </w:rPr>
              <w:t xml:space="preserve"> so the baseline emission rate for GHGs will be the </w:t>
            </w:r>
            <w:r w:rsidR="009C6A7B" w:rsidRPr="004A55ED">
              <w:rPr>
                <w:i/>
                <w:sz w:val="22"/>
                <w:szCs w:val="22"/>
              </w:rPr>
              <w:t>actual emissions</w:t>
            </w:r>
            <w:r w:rsidR="003A25F1" w:rsidRPr="004A55ED">
              <w:rPr>
                <w:i/>
                <w:sz w:val="22"/>
                <w:szCs w:val="22"/>
              </w:rPr>
              <w:t xml:space="preserve"> in </w:t>
            </w:r>
            <w:r w:rsidR="00B913CD">
              <w:rPr>
                <w:i/>
                <w:sz w:val="22"/>
                <w:szCs w:val="22"/>
              </w:rPr>
              <w:t>that highest</w:t>
            </w:r>
            <w:r w:rsidR="003A25F1" w:rsidRPr="004A55ED">
              <w:rPr>
                <w:i/>
                <w:sz w:val="22"/>
                <w:szCs w:val="22"/>
              </w:rPr>
              <w:t xml:space="preserve"> 12-month period</w:t>
            </w:r>
            <w:r w:rsidR="00B913CD">
              <w:rPr>
                <w:i/>
                <w:sz w:val="22"/>
                <w:szCs w:val="22"/>
              </w:rPr>
              <w:t xml:space="preserve"> during those years</w:t>
            </w:r>
            <w:r w:rsidR="004A0EA4" w:rsidRPr="004A55ED">
              <w:rPr>
                <w:i/>
                <w:sz w:val="22"/>
                <w:szCs w:val="22"/>
              </w:rPr>
              <w:t xml:space="preserve">. </w:t>
            </w:r>
            <w:r w:rsidRPr="004A55ED">
              <w:rPr>
                <w:i/>
                <w:sz w:val="22"/>
                <w:szCs w:val="22"/>
              </w:rPr>
              <w:t>Sources will not be given a choice of either the most recent 10 years or the original 1977-</w:t>
            </w:r>
            <w:r w:rsidR="00AD1ACA">
              <w:rPr>
                <w:i/>
                <w:sz w:val="22"/>
                <w:szCs w:val="22"/>
              </w:rPr>
              <w:t>19</w:t>
            </w:r>
            <w:r w:rsidRPr="004A55ED">
              <w:rPr>
                <w:i/>
                <w:sz w:val="22"/>
                <w:szCs w:val="22"/>
              </w:rPr>
              <w:t>78 baseline period</w:t>
            </w:r>
            <w:r w:rsidR="004A0EA4" w:rsidRPr="004A55ED">
              <w:rPr>
                <w:i/>
                <w:sz w:val="22"/>
                <w:szCs w:val="22"/>
              </w:rPr>
              <w:t xml:space="preserve">. </w:t>
            </w:r>
            <w:r w:rsidR="00B913CD">
              <w:rPr>
                <w:i/>
                <w:sz w:val="22"/>
                <w:szCs w:val="22"/>
              </w:rPr>
              <w:t>DEQ is concerned that allowing each source to select the most advantageous baseline period weakens the program and could arguably make Oregon’s program less stringent than the federal program, which is strictly prohibited</w:t>
            </w:r>
            <w:r w:rsidR="008D538C">
              <w:rPr>
                <w:i/>
                <w:sz w:val="22"/>
                <w:szCs w:val="22"/>
              </w:rPr>
              <w:t xml:space="preserve">. </w:t>
            </w:r>
          </w:p>
          <w:p w:rsidR="00794627" w:rsidRPr="004A55ED" w:rsidRDefault="000043B9" w:rsidP="000043B9">
            <w:pPr>
              <w:spacing w:after="120"/>
              <w:rPr>
                <w:i/>
                <w:sz w:val="22"/>
                <w:szCs w:val="22"/>
              </w:rPr>
            </w:pPr>
            <w:r>
              <w:rPr>
                <w:i/>
                <w:sz w:val="22"/>
                <w:szCs w:val="22"/>
              </w:rPr>
              <w:t xml:space="preserve">DEQ is proposing the most recent ten years as the baseline period for GHG because </w:t>
            </w:r>
            <w:r w:rsidR="00794627" w:rsidRPr="004A55ED">
              <w:rPr>
                <w:i/>
                <w:sz w:val="22"/>
                <w:szCs w:val="22"/>
              </w:rPr>
              <w:t>GHG is a completely new regulated pollutant</w:t>
            </w:r>
            <w:r>
              <w:rPr>
                <w:i/>
                <w:sz w:val="22"/>
                <w:szCs w:val="22"/>
              </w:rPr>
              <w:t>.</w:t>
            </w:r>
            <w:r w:rsidRPr="004A55ED" w:rsidDel="000043B9">
              <w:rPr>
                <w:i/>
                <w:sz w:val="22"/>
                <w:szCs w:val="22"/>
              </w:rPr>
              <w:t xml:space="preserve"> </w:t>
            </w:r>
            <w:r>
              <w:rPr>
                <w:i/>
                <w:sz w:val="22"/>
                <w:szCs w:val="22"/>
              </w:rPr>
              <w:t>D</w:t>
            </w:r>
            <w:r w:rsidR="00794627" w:rsidRPr="004A55ED">
              <w:rPr>
                <w:i/>
                <w:sz w:val="22"/>
                <w:szCs w:val="22"/>
              </w:rPr>
              <w:t>etermin</w:t>
            </w:r>
            <w:r w:rsidR="009D6393">
              <w:rPr>
                <w:i/>
                <w:sz w:val="22"/>
                <w:szCs w:val="22"/>
              </w:rPr>
              <w:t>ing actual emissions as of 1977-</w:t>
            </w:r>
            <w:r w:rsidR="00794627" w:rsidRPr="004A55ED">
              <w:rPr>
                <w:i/>
                <w:sz w:val="22"/>
                <w:szCs w:val="22"/>
              </w:rPr>
              <w:t xml:space="preserve">1978 could be problematic, </w:t>
            </w:r>
            <w:r w:rsidR="004531D2">
              <w:rPr>
                <w:i/>
                <w:sz w:val="22"/>
                <w:szCs w:val="22"/>
              </w:rPr>
              <w:t>especially since GHG emissions from processes are not necessarily tied to GHG emissions from combustion sources</w:t>
            </w:r>
            <w:r w:rsidR="000113D6">
              <w:rPr>
                <w:i/>
                <w:sz w:val="22"/>
                <w:szCs w:val="22"/>
              </w:rPr>
              <w:t xml:space="preserve"> that are already included in permits</w:t>
            </w:r>
            <w:r>
              <w:rPr>
                <w:i/>
                <w:sz w:val="22"/>
                <w:szCs w:val="22"/>
              </w:rPr>
              <w:t>.</w:t>
            </w:r>
            <w:r w:rsidR="004531D2">
              <w:rPr>
                <w:i/>
                <w:sz w:val="22"/>
                <w:szCs w:val="22"/>
              </w:rPr>
              <w:t xml:space="preserve"> </w:t>
            </w:r>
            <w:r>
              <w:rPr>
                <w:i/>
                <w:sz w:val="22"/>
                <w:szCs w:val="22"/>
              </w:rPr>
              <w:t>A more</w:t>
            </w:r>
            <w:r w:rsidR="00794627" w:rsidRPr="004A55ED">
              <w:rPr>
                <w:i/>
                <w:sz w:val="22"/>
                <w:szCs w:val="22"/>
              </w:rPr>
              <w:t xml:space="preserve"> current baseline period for GHG </w:t>
            </w:r>
            <w:r w:rsidRPr="004A55ED">
              <w:rPr>
                <w:i/>
                <w:sz w:val="22"/>
                <w:szCs w:val="22"/>
              </w:rPr>
              <w:t xml:space="preserve">will also align GHGs more closely with the federal program in the </w:t>
            </w:r>
            <w:r w:rsidR="00AD1ACA">
              <w:rPr>
                <w:i/>
                <w:sz w:val="22"/>
                <w:szCs w:val="22"/>
              </w:rPr>
              <w:t>initial</w:t>
            </w:r>
            <w:r>
              <w:rPr>
                <w:i/>
                <w:sz w:val="22"/>
                <w:szCs w:val="22"/>
              </w:rPr>
              <w:t xml:space="preserve"> years of implementation</w:t>
            </w:r>
            <w:r w:rsidR="008D538C">
              <w:rPr>
                <w:i/>
                <w:sz w:val="22"/>
                <w:szCs w:val="22"/>
              </w:rPr>
              <w:t xml:space="preserve">. </w:t>
            </w:r>
            <w:r w:rsidR="00794627" w:rsidRPr="004A55ED">
              <w:rPr>
                <w:i/>
                <w:sz w:val="22"/>
                <w:szCs w:val="22"/>
              </w:rPr>
              <w:t xml:space="preserve">In addition, DEQ recognizes that there have </w:t>
            </w:r>
            <w:r w:rsidR="00794627" w:rsidRPr="004A55ED">
              <w:rPr>
                <w:i/>
                <w:sz w:val="22"/>
                <w:szCs w:val="22"/>
              </w:rPr>
              <w:lastRenderedPageBreak/>
              <w:t>been considerable economic swings recently that could affect a source’s actual emissions so DEQ is pro</w:t>
            </w:r>
            <w:r w:rsidR="00977F51">
              <w:rPr>
                <w:i/>
                <w:sz w:val="22"/>
                <w:szCs w:val="22"/>
              </w:rPr>
              <w:t xml:space="preserve">posing </w:t>
            </w:r>
            <w:r w:rsidR="00794627" w:rsidRPr="004A55ED">
              <w:rPr>
                <w:i/>
                <w:sz w:val="22"/>
                <w:szCs w:val="22"/>
              </w:rPr>
              <w:t>a 10 year look-back period to establish the baseline period.</w:t>
            </w:r>
          </w:p>
          <w:p w:rsidR="00DF75D5" w:rsidRPr="004A55ED" w:rsidRDefault="00DF75D5" w:rsidP="007A7817">
            <w:pPr>
              <w:spacing w:after="120"/>
              <w:rPr>
                <w:sz w:val="22"/>
                <w:szCs w:val="22"/>
              </w:rPr>
            </w:pPr>
            <w:r w:rsidRPr="004A55ED">
              <w:rPr>
                <w:i/>
                <w:sz w:val="22"/>
                <w:szCs w:val="22"/>
              </w:rPr>
              <w:t xml:space="preserve">See the response </w:t>
            </w:r>
            <w:r w:rsidR="007A7817" w:rsidRPr="004A55ED">
              <w:rPr>
                <w:i/>
                <w:sz w:val="22"/>
                <w:szCs w:val="22"/>
              </w:rPr>
              <w:t>in</w:t>
            </w:r>
            <w:r w:rsidR="00AE7C8B" w:rsidRPr="004A55ED">
              <w:rPr>
                <w:i/>
                <w:sz w:val="22"/>
                <w:szCs w:val="22"/>
              </w:rPr>
              <w:t xml:space="preserve"> comment </w:t>
            </w:r>
            <w:fldSimple w:instr=" REF _Ref283933546 \r \h  \* MERGEFORMAT ">
              <w:r w:rsidR="007655E2" w:rsidRPr="007655E2">
                <w:rPr>
                  <w:i/>
                  <w:sz w:val="22"/>
                  <w:szCs w:val="22"/>
                </w:rPr>
                <w:t>52</w:t>
              </w:r>
            </w:fldSimple>
            <w:r w:rsidR="007A7817" w:rsidRPr="004A55ED">
              <w:rPr>
                <w:i/>
                <w:sz w:val="22"/>
                <w:szCs w:val="22"/>
              </w:rPr>
              <w:t xml:space="preserve"> “State </w:t>
            </w:r>
            <w:r w:rsidRPr="004A55ED">
              <w:rPr>
                <w:i/>
                <w:sz w:val="22"/>
                <w:szCs w:val="22"/>
              </w:rPr>
              <w:t>NSR/PSD program vs</w:t>
            </w:r>
            <w:r w:rsidR="007A7817" w:rsidRPr="004A55ED">
              <w:rPr>
                <w:i/>
                <w:sz w:val="22"/>
                <w:szCs w:val="22"/>
              </w:rPr>
              <w:t>.</w:t>
            </w:r>
            <w:r w:rsidRPr="004A55ED">
              <w:rPr>
                <w:i/>
                <w:sz w:val="22"/>
                <w:szCs w:val="22"/>
              </w:rPr>
              <w:t xml:space="preserve"> </w:t>
            </w:r>
            <w:r w:rsidR="007A7817" w:rsidRPr="004A55ED">
              <w:rPr>
                <w:i/>
                <w:sz w:val="22"/>
                <w:szCs w:val="22"/>
              </w:rPr>
              <w:t xml:space="preserve">federal </w:t>
            </w:r>
            <w:r w:rsidRPr="004A55ED">
              <w:rPr>
                <w:i/>
                <w:sz w:val="22"/>
                <w:szCs w:val="22"/>
              </w:rPr>
              <w:t>program</w:t>
            </w:r>
            <w:r w:rsidR="004A0EA4" w:rsidRPr="004A55ED">
              <w:rPr>
                <w:i/>
                <w:sz w:val="22"/>
                <w:szCs w:val="22"/>
              </w:rPr>
              <w:t>.</w:t>
            </w:r>
            <w:r w:rsidR="007A7817" w:rsidRPr="004A55ED">
              <w:rPr>
                <w:i/>
                <w:sz w:val="22"/>
                <w:szCs w:val="22"/>
              </w:rPr>
              <w:t>”</w:t>
            </w:r>
            <w:r w:rsidR="004A0EA4" w:rsidRPr="004A55ED">
              <w:rPr>
                <w:i/>
                <w:sz w:val="22"/>
                <w:szCs w:val="22"/>
              </w:rPr>
              <w:t xml:space="preserve"> </w:t>
            </w:r>
          </w:p>
        </w:tc>
      </w:tr>
      <w:tr w:rsidR="00E11F45"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278D4" w:rsidRDefault="00A278D4" w:rsidP="00A278D4">
            <w:pPr>
              <w:pStyle w:val="ListParagraph"/>
              <w:numPr>
                <w:ilvl w:val="0"/>
                <w:numId w:val="13"/>
              </w:numPr>
              <w:ind w:right="-115"/>
              <w:rPr>
                <w:rStyle w:val="FontStyle17"/>
                <w:sz w:val="22"/>
                <w:szCs w:val="22"/>
              </w:rPr>
            </w:pPr>
            <w:bookmarkStart w:id="3" w:name="_Ref283931855"/>
          </w:p>
          <w:bookmarkEnd w:id="3"/>
          <w:p w:rsidR="00E11F45" w:rsidRPr="002D0FE2" w:rsidRDefault="00E11F45" w:rsidP="00A278D4">
            <w:pPr>
              <w:ind w:right="-115"/>
              <w:rPr>
                <w:bCs/>
                <w:sz w:val="22"/>
                <w:szCs w:val="22"/>
              </w:rPr>
            </w:pPr>
            <w:r w:rsidRPr="009D3CD6">
              <w:rPr>
                <w:rStyle w:val="FontStyle17"/>
                <w:sz w:val="22"/>
                <w:szCs w:val="22"/>
              </w:rPr>
              <w:t>Potential to Emit used to establish baseline emission rate or NSR/PSD P</w:t>
            </w:r>
            <w:r>
              <w:rPr>
                <w:rStyle w:val="FontStyle17"/>
                <w:sz w:val="22"/>
                <w:szCs w:val="22"/>
              </w:rPr>
              <w:t>SEL</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11F45" w:rsidRPr="00CF7800" w:rsidRDefault="00E11F45" w:rsidP="00CC3A6D">
            <w:pPr>
              <w:pStyle w:val="Style3"/>
              <w:widowControl/>
              <w:spacing w:after="120" w:line="274" w:lineRule="exact"/>
              <w:rPr>
                <w:rFonts w:ascii="Times New Roman" w:hAnsi="Times New Roman" w:cs="Times New Roman"/>
                <w:color w:val="000000"/>
                <w:sz w:val="22"/>
                <w:szCs w:val="22"/>
              </w:rPr>
            </w:pPr>
            <w:r w:rsidRPr="00CF7800">
              <w:rPr>
                <w:rStyle w:val="FontStyle14"/>
                <w:rFonts w:ascii="Times New Roman" w:hAnsi="Times New Roman" w:cs="Times New Roman"/>
              </w:rPr>
              <w:t>The PSEL should be used to establish a baseline emission rate. The PSEL would change when new air permits are issued and would be a more realistic emission rate for the semiconductor industry than the PTE. It could be ten to twenty years before a semiconductor facility is fully built out. (11)</w:t>
            </w:r>
          </w:p>
          <w:p w:rsidR="001A3530" w:rsidRPr="00CF7800" w:rsidRDefault="00E11F45" w:rsidP="00CC3A6D">
            <w:pPr>
              <w:pStyle w:val="Style6"/>
              <w:widowControl/>
              <w:spacing w:after="120" w:line="240" w:lineRule="auto"/>
              <w:rPr>
                <w:rStyle w:val="FontStyle17"/>
                <w:sz w:val="22"/>
                <w:szCs w:val="22"/>
              </w:rPr>
            </w:pPr>
            <w:r w:rsidRPr="00CF7800">
              <w:rPr>
                <w:rStyle w:val="FontStyle13"/>
                <w:rFonts w:ascii="Times New Roman" w:hAnsi="Times New Roman" w:cs="Times New Roman"/>
              </w:rPr>
              <w:t xml:space="preserve">We believe that the current rules should continue to be used to establish </w:t>
            </w:r>
            <w:r w:rsidR="006929B5" w:rsidRPr="00CF7800">
              <w:rPr>
                <w:rStyle w:val="FontStyle13"/>
                <w:rFonts w:ascii="Times New Roman" w:hAnsi="Times New Roman" w:cs="Times New Roman"/>
              </w:rPr>
              <w:t xml:space="preserve">the baseline emission rate and </w:t>
            </w:r>
            <w:r w:rsidRPr="00CF7800">
              <w:rPr>
                <w:rStyle w:val="FontStyle13"/>
                <w:rFonts w:ascii="Times New Roman" w:hAnsi="Times New Roman" w:cs="Times New Roman"/>
              </w:rPr>
              <w:t>PSELs, for new and modified sources, based on the source's PTE</w:t>
            </w:r>
            <w:r w:rsidR="004A0EA4" w:rsidRPr="00CF7800">
              <w:rPr>
                <w:rStyle w:val="FontStyle13"/>
                <w:rFonts w:ascii="Times New Roman" w:hAnsi="Times New Roman" w:cs="Times New Roman"/>
              </w:rPr>
              <w:t xml:space="preserve">. </w:t>
            </w:r>
            <w:r w:rsidRPr="00CF7800">
              <w:rPr>
                <w:rStyle w:val="FontStyle13"/>
                <w:rFonts w:ascii="Times New Roman" w:hAnsi="Times New Roman" w:cs="Times New Roman"/>
              </w:rPr>
              <w:t>(2</w:t>
            </w:r>
            <w:r w:rsidR="00B119CC" w:rsidRPr="00CF7800">
              <w:rPr>
                <w:rStyle w:val="FontStyle13"/>
                <w:rFonts w:ascii="Times New Roman" w:hAnsi="Times New Roman" w:cs="Times New Roman"/>
              </w:rPr>
              <w:t>, 10</w:t>
            </w:r>
            <w:r w:rsidRPr="00CF7800">
              <w:rPr>
                <w:rStyle w:val="FontStyle13"/>
                <w:rFonts w:ascii="Times New Roman" w:hAnsi="Times New Roman" w:cs="Times New Roman"/>
              </w:rPr>
              <w:t>)</w:t>
            </w:r>
            <w:r w:rsidRPr="00CF7800">
              <w:rPr>
                <w:rStyle w:val="FontStyle17"/>
                <w:sz w:val="22"/>
                <w:szCs w:val="22"/>
              </w:rPr>
              <w:t xml:space="preserve"> </w:t>
            </w:r>
          </w:p>
          <w:p w:rsidR="00796188" w:rsidRPr="00CF7800" w:rsidRDefault="00796188" w:rsidP="00CC3A6D">
            <w:pPr>
              <w:pStyle w:val="Style2"/>
              <w:widowControl/>
              <w:spacing w:after="120" w:line="269" w:lineRule="exact"/>
              <w:rPr>
                <w:rStyle w:val="FontStyle16"/>
                <w:rFonts w:ascii="Times New Roman" w:hAnsi="Times New Roman" w:cs="Times New Roman"/>
                <w:sz w:val="22"/>
                <w:szCs w:val="22"/>
              </w:rPr>
            </w:pPr>
            <w:r w:rsidRPr="00CF7800">
              <w:rPr>
                <w:rStyle w:val="FontStyle16"/>
                <w:rFonts w:ascii="Times New Roman" w:hAnsi="Times New Roman" w:cs="Times New Roman"/>
                <w:sz w:val="22"/>
                <w:szCs w:val="22"/>
              </w:rPr>
              <w:t>We request that the Department confirm in its response to comments that in light of the proposed revisions to the definition of "actual emissions," the GHG baseline emission rate attributable to equipment will equal the potential to emit of that equipment where that equipment has been approved for construction prior to December 31, 2010 but has not yet begun normal operations by January 1, 2011. (9)</w:t>
            </w:r>
          </w:p>
          <w:p w:rsidR="00E11F45" w:rsidRPr="00CF7800" w:rsidRDefault="00E11F45" w:rsidP="00CC3A6D">
            <w:pPr>
              <w:spacing w:after="120"/>
              <w:rPr>
                <w:bCs/>
                <w:color w:val="000000"/>
                <w:sz w:val="22"/>
                <w:szCs w:val="22"/>
              </w:rPr>
            </w:pPr>
            <w:r w:rsidRPr="00CF7800">
              <w:rPr>
                <w:sz w:val="22"/>
                <w:szCs w:val="22"/>
              </w:rPr>
              <w:t>T</w:t>
            </w:r>
            <w:r w:rsidRPr="00CF7800">
              <w:rPr>
                <w:bCs/>
                <w:color w:val="000000"/>
                <w:sz w:val="22"/>
                <w:szCs w:val="22"/>
              </w:rPr>
              <w:t>he use of PTE during the baseline period, or at initial construction, to set netting basis and PSEL overstates emissions, making it less likely that a source would later trigger NSR/PSD even when making a modification that would significantly increase actual pollution</w:t>
            </w:r>
            <w:r w:rsidR="004A0EA4" w:rsidRPr="00CF7800">
              <w:rPr>
                <w:bCs/>
                <w:color w:val="000000"/>
                <w:sz w:val="22"/>
                <w:szCs w:val="22"/>
              </w:rPr>
              <w:t xml:space="preserve">. </w:t>
            </w:r>
            <w:r w:rsidRPr="00CF7800">
              <w:rPr>
                <w:bCs/>
                <w:color w:val="000000"/>
                <w:sz w:val="22"/>
                <w:szCs w:val="22"/>
              </w:rPr>
              <w:t>A policy which bases determinations of significant emissions increases on actual emissions preceding the physical change, would avoid this problem</w:t>
            </w:r>
            <w:r w:rsidR="004A0EA4" w:rsidRPr="00CF7800">
              <w:rPr>
                <w:bCs/>
                <w:color w:val="000000"/>
                <w:sz w:val="22"/>
                <w:szCs w:val="22"/>
              </w:rPr>
              <w:t xml:space="preserve">. </w:t>
            </w:r>
            <w:r w:rsidRPr="00CF7800">
              <w:rPr>
                <w:bCs/>
                <w:color w:val="000000"/>
                <w:sz w:val="22"/>
                <w:szCs w:val="22"/>
              </w:rPr>
              <w:t>(12)</w:t>
            </w:r>
          </w:p>
          <w:p w:rsidR="00D54583" w:rsidRPr="00CF7800" w:rsidRDefault="00E11F45" w:rsidP="00CC3A6D">
            <w:pPr>
              <w:spacing w:after="120"/>
              <w:rPr>
                <w:bCs/>
                <w:color w:val="000000"/>
                <w:sz w:val="22"/>
                <w:szCs w:val="22"/>
              </w:rPr>
            </w:pPr>
            <w:r w:rsidRPr="00CF7800">
              <w:rPr>
                <w:bCs/>
                <w:color w:val="000000"/>
                <w:sz w:val="22"/>
                <w:szCs w:val="22"/>
              </w:rPr>
              <w:t>As DEQ is aware, the Clean Air Act PSD program intended to grandfather existing sources and slowly phase in technology designed to reduce emissions over time as capital improvements were made to aging facilities</w:t>
            </w:r>
            <w:r w:rsidR="004A0EA4" w:rsidRPr="00CF7800">
              <w:rPr>
                <w:bCs/>
                <w:color w:val="000000"/>
                <w:sz w:val="22"/>
                <w:szCs w:val="22"/>
              </w:rPr>
              <w:t xml:space="preserve">. </w:t>
            </w:r>
            <w:r w:rsidRPr="00CF7800">
              <w:rPr>
                <w:bCs/>
                <w:color w:val="000000"/>
                <w:sz w:val="22"/>
                <w:szCs w:val="22"/>
              </w:rPr>
              <w:t>By pairing an evaluation of available control technology, and potential capital expenditures on control technology, with a major capital project, Congress intended to avoid a bottleneck of facilities needing to install major equipment, and reasonably phase in controls</w:t>
            </w:r>
            <w:r w:rsidR="008D538C">
              <w:rPr>
                <w:bCs/>
                <w:color w:val="000000"/>
                <w:sz w:val="22"/>
                <w:szCs w:val="22"/>
              </w:rPr>
              <w:t xml:space="preserve">. </w:t>
            </w:r>
            <w:r w:rsidRPr="00CF7800">
              <w:rPr>
                <w:bCs/>
                <w:color w:val="000000"/>
                <w:sz w:val="22"/>
                <w:szCs w:val="22"/>
              </w:rPr>
              <w:t>Effective implementation of the PSD program, with its dual goals of maintaining clean air and allowing for economic expansion, requires that emissions calculations be revisited on a regular basis (e.g., before a modification causing a significant increase in actual emissions)</w:t>
            </w:r>
            <w:r w:rsidR="004A0EA4" w:rsidRPr="00CF7800">
              <w:rPr>
                <w:bCs/>
                <w:color w:val="000000"/>
                <w:sz w:val="22"/>
                <w:szCs w:val="22"/>
              </w:rPr>
              <w:t xml:space="preserve">. </w:t>
            </w:r>
            <w:r w:rsidRPr="00CF7800">
              <w:rPr>
                <w:bCs/>
                <w:color w:val="000000"/>
                <w:sz w:val="22"/>
                <w:szCs w:val="22"/>
              </w:rPr>
              <w:t>(12)</w:t>
            </w:r>
          </w:p>
          <w:p w:rsidR="00CC3A6D" w:rsidRDefault="00CC3A6D" w:rsidP="00CC3A6D">
            <w:pPr>
              <w:spacing w:after="120"/>
              <w:rPr>
                <w:i/>
                <w:sz w:val="22"/>
                <w:szCs w:val="22"/>
              </w:rPr>
            </w:pPr>
            <w:r w:rsidRPr="004A55ED">
              <w:rPr>
                <w:i/>
                <w:sz w:val="22"/>
                <w:szCs w:val="22"/>
              </w:rPr>
              <w:t xml:space="preserve">Response:  </w:t>
            </w:r>
          </w:p>
          <w:p w:rsidR="00CC3A6D" w:rsidRDefault="00CC3A6D" w:rsidP="00CC3A6D">
            <w:pPr>
              <w:spacing w:after="120"/>
              <w:rPr>
                <w:i/>
                <w:sz w:val="22"/>
                <w:szCs w:val="22"/>
              </w:rPr>
            </w:pPr>
            <w:r>
              <w:rPr>
                <w:i/>
                <w:sz w:val="22"/>
                <w:szCs w:val="22"/>
              </w:rPr>
              <w:t xml:space="preserve">The commenters above provide </w:t>
            </w:r>
            <w:r w:rsidR="00B46BC2">
              <w:rPr>
                <w:i/>
                <w:sz w:val="22"/>
                <w:szCs w:val="22"/>
              </w:rPr>
              <w:t xml:space="preserve">differing </w:t>
            </w:r>
            <w:r>
              <w:rPr>
                <w:i/>
                <w:sz w:val="22"/>
                <w:szCs w:val="22"/>
              </w:rPr>
              <w:t xml:space="preserve">views about </w:t>
            </w:r>
            <w:r w:rsidR="00E34479">
              <w:rPr>
                <w:i/>
                <w:sz w:val="22"/>
                <w:szCs w:val="22"/>
              </w:rPr>
              <w:t>setting the baseline emission rate for sources that are permitted but not yet operating during the baseline period</w:t>
            </w:r>
            <w:r w:rsidR="008D538C">
              <w:rPr>
                <w:i/>
                <w:sz w:val="22"/>
                <w:szCs w:val="22"/>
              </w:rPr>
              <w:t xml:space="preserve">. </w:t>
            </w:r>
            <w:r>
              <w:rPr>
                <w:i/>
                <w:sz w:val="22"/>
                <w:szCs w:val="22"/>
              </w:rPr>
              <w:t xml:space="preserve"> </w:t>
            </w:r>
          </w:p>
          <w:p w:rsidR="00CA77E4" w:rsidRPr="00CF7800" w:rsidRDefault="00D9754D" w:rsidP="00CC3A6D">
            <w:pPr>
              <w:pStyle w:val="Style2"/>
              <w:widowControl/>
              <w:spacing w:after="120" w:line="269" w:lineRule="exact"/>
              <w:rPr>
                <w:rStyle w:val="FontStyle16"/>
                <w:rFonts w:ascii="Times New Roman" w:hAnsi="Times New Roman" w:cs="Times New Roman"/>
                <w:i/>
                <w:sz w:val="22"/>
                <w:szCs w:val="22"/>
              </w:rPr>
            </w:pPr>
            <w:r>
              <w:rPr>
                <w:rStyle w:val="FontStyle16"/>
                <w:rFonts w:ascii="Times New Roman" w:hAnsi="Times New Roman" w:cs="Times New Roman"/>
                <w:i/>
                <w:sz w:val="22"/>
                <w:szCs w:val="22"/>
              </w:rPr>
              <w:t>For sources that are permitted to construct and operate during the baseline period but that do not begin normal operations until after the baseline period, DEQ proposes to initially set the baseline emission rate</w:t>
            </w:r>
            <w:r w:rsidR="001330E6">
              <w:rPr>
                <w:rStyle w:val="FontStyle16"/>
                <w:rFonts w:ascii="Times New Roman" w:hAnsi="Times New Roman" w:cs="Times New Roman"/>
                <w:i/>
                <w:sz w:val="22"/>
                <w:szCs w:val="22"/>
              </w:rPr>
              <w:t xml:space="preserve"> equal to PTE. </w:t>
            </w:r>
            <w:r w:rsidR="00655907" w:rsidRPr="00655907">
              <w:rPr>
                <w:rStyle w:val="FontStyle16"/>
                <w:rFonts w:ascii="Times New Roman" w:hAnsi="Times New Roman" w:cs="Times New Roman"/>
                <w:i/>
                <w:sz w:val="22"/>
                <w:szCs w:val="22"/>
              </w:rPr>
              <w:t xml:space="preserve">DEQ confirms that </w:t>
            </w:r>
            <w:r w:rsidR="00655907">
              <w:rPr>
                <w:rStyle w:val="FontStyle16"/>
                <w:rFonts w:ascii="Times New Roman" w:hAnsi="Times New Roman" w:cs="Times New Roman"/>
                <w:i/>
                <w:sz w:val="22"/>
                <w:szCs w:val="22"/>
              </w:rPr>
              <w:t>this also applies to the</w:t>
            </w:r>
            <w:r w:rsidR="00655907" w:rsidRPr="00655907">
              <w:rPr>
                <w:rStyle w:val="FontStyle16"/>
                <w:rFonts w:ascii="Times New Roman" w:hAnsi="Times New Roman" w:cs="Times New Roman"/>
                <w:i/>
                <w:sz w:val="22"/>
                <w:szCs w:val="22"/>
              </w:rPr>
              <w:t xml:space="preserve"> GHG baseline emission rate</w:t>
            </w:r>
            <w:r w:rsidR="00655907">
              <w:rPr>
                <w:rStyle w:val="FontStyle16"/>
                <w:rFonts w:ascii="Times New Roman" w:hAnsi="Times New Roman" w:cs="Times New Roman"/>
                <w:i/>
                <w:sz w:val="22"/>
                <w:szCs w:val="22"/>
              </w:rPr>
              <w:t>, which</w:t>
            </w:r>
            <w:r w:rsidR="00655907" w:rsidRPr="00655907">
              <w:rPr>
                <w:rStyle w:val="FontStyle16"/>
                <w:rFonts w:ascii="Times New Roman" w:hAnsi="Times New Roman" w:cs="Times New Roman"/>
                <w:i/>
                <w:sz w:val="22"/>
                <w:szCs w:val="22"/>
              </w:rPr>
              <w:t xml:space="preserve"> will</w:t>
            </w:r>
            <w:r w:rsidR="001330E6">
              <w:rPr>
                <w:rStyle w:val="FontStyle16"/>
                <w:rFonts w:ascii="Times New Roman" w:hAnsi="Times New Roman" w:cs="Times New Roman"/>
                <w:i/>
                <w:sz w:val="22"/>
                <w:szCs w:val="22"/>
              </w:rPr>
              <w:t xml:space="preserve"> initially</w:t>
            </w:r>
            <w:r w:rsidR="00655907" w:rsidRPr="00655907">
              <w:rPr>
                <w:rStyle w:val="FontStyle16"/>
                <w:rFonts w:ascii="Times New Roman" w:hAnsi="Times New Roman" w:cs="Times New Roman"/>
                <w:i/>
                <w:sz w:val="22"/>
                <w:szCs w:val="22"/>
              </w:rPr>
              <w:t xml:space="preserve"> equal the potential to emit of equipment </w:t>
            </w:r>
            <w:r w:rsidR="00655907">
              <w:rPr>
                <w:rStyle w:val="FontStyle16"/>
                <w:rFonts w:ascii="Times New Roman" w:hAnsi="Times New Roman" w:cs="Times New Roman"/>
                <w:i/>
                <w:sz w:val="22"/>
                <w:szCs w:val="22"/>
              </w:rPr>
              <w:t xml:space="preserve">that </w:t>
            </w:r>
            <w:r w:rsidR="00655907" w:rsidRPr="00655907">
              <w:rPr>
                <w:rStyle w:val="FontStyle16"/>
                <w:rFonts w:ascii="Times New Roman" w:hAnsi="Times New Roman" w:cs="Times New Roman"/>
                <w:i/>
                <w:sz w:val="22"/>
                <w:szCs w:val="22"/>
              </w:rPr>
              <w:t>has been approved for construction prior to December 31, 2010 but has not yet begun normal operations by January 1, 2011.</w:t>
            </w:r>
            <w:r w:rsidR="00655907" w:rsidRPr="00CF7800">
              <w:rPr>
                <w:rStyle w:val="FontStyle16"/>
                <w:rFonts w:ascii="Times New Roman" w:hAnsi="Times New Roman" w:cs="Times New Roman"/>
                <w:sz w:val="22"/>
                <w:szCs w:val="22"/>
              </w:rPr>
              <w:t xml:space="preserve"> </w:t>
            </w:r>
            <w:r w:rsidR="00CA77E4" w:rsidRPr="00CF7800">
              <w:rPr>
                <w:rStyle w:val="FontStyle16"/>
                <w:rFonts w:ascii="Times New Roman" w:hAnsi="Times New Roman" w:cs="Times New Roman"/>
                <w:i/>
                <w:sz w:val="22"/>
                <w:szCs w:val="22"/>
              </w:rPr>
              <w:t>The initial netting basis for existing sources is the baseline emission rate</w:t>
            </w:r>
            <w:r w:rsidR="008D538C">
              <w:rPr>
                <w:rStyle w:val="FontStyle16"/>
                <w:rFonts w:ascii="Times New Roman" w:hAnsi="Times New Roman" w:cs="Times New Roman"/>
                <w:i/>
                <w:sz w:val="22"/>
                <w:szCs w:val="22"/>
              </w:rPr>
              <w:t xml:space="preserve">. </w:t>
            </w:r>
            <w:r w:rsidR="00CA77E4" w:rsidRPr="00CF7800">
              <w:rPr>
                <w:rStyle w:val="FontStyle16"/>
                <w:rFonts w:ascii="Times New Roman" w:hAnsi="Times New Roman" w:cs="Times New Roman"/>
                <w:i/>
                <w:sz w:val="22"/>
                <w:szCs w:val="22"/>
              </w:rPr>
              <w:t>For new sources</w:t>
            </w:r>
            <w:r w:rsidR="001330E6">
              <w:rPr>
                <w:rStyle w:val="FontStyle16"/>
                <w:rFonts w:ascii="Times New Roman" w:hAnsi="Times New Roman" w:cs="Times New Roman"/>
                <w:i/>
                <w:sz w:val="22"/>
                <w:szCs w:val="22"/>
              </w:rPr>
              <w:t xml:space="preserve"> that go through NSR/PSD</w:t>
            </w:r>
            <w:r w:rsidR="00CA77E4" w:rsidRPr="00CF7800">
              <w:rPr>
                <w:rStyle w:val="FontStyle16"/>
                <w:rFonts w:ascii="Times New Roman" w:hAnsi="Times New Roman" w:cs="Times New Roman"/>
                <w:i/>
                <w:sz w:val="22"/>
                <w:szCs w:val="22"/>
              </w:rPr>
              <w:t xml:space="preserve">, DEQ </w:t>
            </w:r>
            <w:r w:rsidR="001330E6">
              <w:rPr>
                <w:rStyle w:val="FontStyle16"/>
                <w:rFonts w:ascii="Times New Roman" w:hAnsi="Times New Roman" w:cs="Times New Roman"/>
                <w:i/>
                <w:sz w:val="22"/>
                <w:szCs w:val="22"/>
              </w:rPr>
              <w:t>proposes to</w:t>
            </w:r>
            <w:r w:rsidR="00CA77E4" w:rsidRPr="00CF7800">
              <w:rPr>
                <w:rStyle w:val="FontStyle16"/>
                <w:rFonts w:ascii="Times New Roman" w:hAnsi="Times New Roman" w:cs="Times New Roman"/>
                <w:i/>
                <w:sz w:val="22"/>
                <w:szCs w:val="22"/>
              </w:rPr>
              <w:t xml:space="preserve"> continue set</w:t>
            </w:r>
            <w:r w:rsidR="001330E6">
              <w:rPr>
                <w:rStyle w:val="FontStyle16"/>
                <w:rFonts w:ascii="Times New Roman" w:hAnsi="Times New Roman" w:cs="Times New Roman"/>
                <w:i/>
                <w:sz w:val="22"/>
                <w:szCs w:val="22"/>
              </w:rPr>
              <w:t>ting</w:t>
            </w:r>
            <w:r w:rsidR="00CA77E4" w:rsidRPr="00CF7800">
              <w:rPr>
                <w:rStyle w:val="FontStyle16"/>
                <w:rFonts w:ascii="Times New Roman" w:hAnsi="Times New Roman" w:cs="Times New Roman"/>
                <w:i/>
                <w:sz w:val="22"/>
                <w:szCs w:val="22"/>
              </w:rPr>
              <w:t xml:space="preserve"> the netting basis equal to the PTE</w:t>
            </w:r>
            <w:r w:rsidR="001330E6">
              <w:rPr>
                <w:rStyle w:val="FontStyle16"/>
                <w:rFonts w:ascii="Times New Roman" w:hAnsi="Times New Roman" w:cs="Times New Roman"/>
                <w:i/>
                <w:sz w:val="22"/>
                <w:szCs w:val="22"/>
              </w:rPr>
              <w:t xml:space="preserve"> because that ensures that the maximum air quality impact of the new source or modification is evaluated during permitting</w:t>
            </w:r>
            <w:r w:rsidR="008D538C">
              <w:rPr>
                <w:rStyle w:val="FontStyle16"/>
                <w:rFonts w:ascii="Times New Roman" w:hAnsi="Times New Roman" w:cs="Times New Roman"/>
                <w:i/>
                <w:sz w:val="22"/>
                <w:szCs w:val="22"/>
              </w:rPr>
              <w:t xml:space="preserve">. </w:t>
            </w:r>
            <w:r w:rsidR="00CA77E4" w:rsidRPr="00CF7800">
              <w:rPr>
                <w:rStyle w:val="FontStyle16"/>
                <w:rFonts w:ascii="Times New Roman" w:hAnsi="Times New Roman" w:cs="Times New Roman"/>
                <w:i/>
                <w:sz w:val="22"/>
                <w:szCs w:val="22"/>
              </w:rPr>
              <w:t>If a new source does not go through NSR/PSD, then the netting basis is zero</w:t>
            </w:r>
            <w:r w:rsidR="008D538C">
              <w:rPr>
                <w:rStyle w:val="FontStyle16"/>
                <w:rFonts w:ascii="Times New Roman" w:hAnsi="Times New Roman" w:cs="Times New Roman"/>
                <w:i/>
                <w:sz w:val="22"/>
                <w:szCs w:val="22"/>
              </w:rPr>
              <w:t xml:space="preserve">. </w:t>
            </w:r>
          </w:p>
          <w:p w:rsidR="00CA77E4" w:rsidRPr="00CF7800" w:rsidRDefault="00CA77E4" w:rsidP="00CC3A6D">
            <w:pPr>
              <w:pStyle w:val="Style2"/>
              <w:widowControl/>
              <w:spacing w:after="120" w:line="269" w:lineRule="exact"/>
              <w:rPr>
                <w:rFonts w:ascii="Times New Roman" w:hAnsi="Times New Roman" w:cs="Times New Roman"/>
                <w:i/>
                <w:sz w:val="22"/>
                <w:szCs w:val="22"/>
              </w:rPr>
            </w:pPr>
            <w:r w:rsidRPr="00CF7800">
              <w:rPr>
                <w:rStyle w:val="FontStyle16"/>
                <w:rFonts w:ascii="Times New Roman" w:hAnsi="Times New Roman" w:cs="Times New Roman"/>
                <w:i/>
                <w:sz w:val="22"/>
                <w:szCs w:val="22"/>
              </w:rPr>
              <w:t>Past experience has shown that most sources never operate and emit at the</w:t>
            </w:r>
            <w:r w:rsidR="00CF49C2">
              <w:rPr>
                <w:rStyle w:val="FontStyle16"/>
                <w:rFonts w:ascii="Times New Roman" w:hAnsi="Times New Roman" w:cs="Times New Roman"/>
                <w:i/>
                <w:sz w:val="22"/>
                <w:szCs w:val="22"/>
              </w:rPr>
              <w:t>ir</w:t>
            </w:r>
            <w:r w:rsidRPr="00CF7800">
              <w:rPr>
                <w:rStyle w:val="FontStyle16"/>
                <w:rFonts w:ascii="Times New Roman" w:hAnsi="Times New Roman" w:cs="Times New Roman"/>
                <w:i/>
                <w:sz w:val="22"/>
                <w:szCs w:val="22"/>
              </w:rPr>
              <w:t xml:space="preserve"> PTE</w:t>
            </w:r>
            <w:r w:rsidR="008D538C">
              <w:rPr>
                <w:rStyle w:val="FontStyle16"/>
                <w:rFonts w:ascii="Times New Roman" w:hAnsi="Times New Roman" w:cs="Times New Roman"/>
                <w:i/>
                <w:sz w:val="22"/>
                <w:szCs w:val="22"/>
              </w:rPr>
              <w:t xml:space="preserve">. </w:t>
            </w:r>
            <w:r w:rsidRPr="00CF7800">
              <w:rPr>
                <w:rStyle w:val="FontStyle16"/>
                <w:rFonts w:ascii="Times New Roman" w:hAnsi="Times New Roman" w:cs="Times New Roman"/>
                <w:i/>
                <w:sz w:val="22"/>
                <w:szCs w:val="22"/>
              </w:rPr>
              <w:t xml:space="preserve">Therefore, for sources that have baseline emission rates equal to the PTE, </w:t>
            </w:r>
            <w:r w:rsidR="00AE6062">
              <w:rPr>
                <w:rFonts w:ascii="Times New Roman" w:hAnsi="Times New Roman" w:cs="Times New Roman"/>
                <w:i/>
                <w:sz w:val="22"/>
                <w:szCs w:val="22"/>
              </w:rPr>
              <w:t>DEQ proposes</w:t>
            </w:r>
            <w:r w:rsidRPr="00CF7800">
              <w:rPr>
                <w:rFonts w:ascii="Times New Roman" w:hAnsi="Times New Roman" w:cs="Times New Roman"/>
                <w:i/>
                <w:sz w:val="22"/>
                <w:szCs w:val="22"/>
              </w:rPr>
              <w:t xml:space="preserve"> to </w:t>
            </w:r>
            <w:r w:rsidRPr="00CF7800">
              <w:rPr>
                <w:rFonts w:ascii="Times New Roman" w:hAnsi="Times New Roman" w:cs="Times New Roman"/>
                <w:i/>
                <w:sz w:val="22"/>
                <w:szCs w:val="22"/>
              </w:rPr>
              <w:lastRenderedPageBreak/>
              <w:t xml:space="preserve">require that the “actual” emissions be reset from the PTE to the highest actual emissions </w:t>
            </w:r>
            <w:r w:rsidRPr="007C7416">
              <w:rPr>
                <w:rFonts w:ascii="Times New Roman" w:hAnsi="Times New Roman" w:cs="Times New Roman"/>
                <w:i/>
                <w:sz w:val="22"/>
                <w:szCs w:val="22"/>
              </w:rPr>
              <w:t xml:space="preserve">ten or more years after </w:t>
            </w:r>
            <w:r w:rsidR="007C7416" w:rsidRPr="007C7416">
              <w:rPr>
                <w:rFonts w:ascii="Times New Roman" w:hAnsi="Times New Roman" w:cs="Times New Roman"/>
                <w:i/>
                <w:sz w:val="22"/>
                <w:szCs w:val="22"/>
              </w:rPr>
              <w:t xml:space="preserve">the </w:t>
            </w:r>
            <w:r w:rsidR="007C7416">
              <w:rPr>
                <w:rFonts w:ascii="Times New Roman" w:hAnsi="Times New Roman" w:cs="Times New Roman"/>
                <w:i/>
                <w:sz w:val="22"/>
                <w:szCs w:val="22"/>
              </w:rPr>
              <w:t>end of the baseline period</w:t>
            </w:r>
            <w:r w:rsidR="000A5B13">
              <w:rPr>
                <w:rFonts w:ascii="Times New Roman" w:hAnsi="Times New Roman" w:cs="Times New Roman"/>
                <w:i/>
                <w:sz w:val="22"/>
                <w:szCs w:val="22"/>
              </w:rPr>
              <w:t xml:space="preserve"> for GHG sources</w:t>
            </w:r>
            <w:r w:rsidRPr="00CF7800">
              <w:rPr>
                <w:rFonts w:ascii="Times New Roman" w:hAnsi="Times New Roman" w:cs="Times New Roman"/>
                <w:i/>
                <w:sz w:val="22"/>
                <w:szCs w:val="22"/>
              </w:rPr>
              <w:t xml:space="preserve">. See the </w:t>
            </w:r>
            <w:r w:rsidR="00F105CA" w:rsidRPr="00CF7800">
              <w:rPr>
                <w:rFonts w:ascii="Times New Roman" w:hAnsi="Times New Roman" w:cs="Times New Roman"/>
                <w:i/>
                <w:sz w:val="22"/>
                <w:szCs w:val="22"/>
              </w:rPr>
              <w:t>response in</w:t>
            </w:r>
            <w:r w:rsidR="00932FA2" w:rsidRPr="00CF7800">
              <w:rPr>
                <w:rFonts w:ascii="Times New Roman" w:hAnsi="Times New Roman" w:cs="Times New Roman"/>
                <w:i/>
                <w:sz w:val="22"/>
                <w:szCs w:val="22"/>
              </w:rPr>
              <w:t xml:space="preserve"> comment </w:t>
            </w:r>
            <w:fldSimple w:instr=" REF _Ref283934552 \r \h  \* MERGEFORMAT ">
              <w:r w:rsidR="007655E2" w:rsidRPr="007655E2">
                <w:rPr>
                  <w:rFonts w:ascii="Times New Roman" w:eastAsia="Times New Roman" w:hAnsi="Times New Roman" w:cs="Times New Roman"/>
                  <w:i/>
                  <w:sz w:val="22"/>
                  <w:szCs w:val="22"/>
                </w:rPr>
                <w:t>3</w:t>
              </w:r>
            </w:fldSimple>
            <w:r w:rsidR="00932FA2" w:rsidRPr="00CF7800">
              <w:rPr>
                <w:rFonts w:ascii="Times New Roman" w:hAnsi="Times New Roman" w:cs="Times New Roman"/>
                <w:i/>
                <w:sz w:val="22"/>
                <w:szCs w:val="22"/>
              </w:rPr>
              <w:t xml:space="preserve"> “A</w:t>
            </w:r>
            <w:r w:rsidRPr="00CF7800">
              <w:rPr>
                <w:rFonts w:ascii="Times New Roman" w:hAnsi="Times New Roman" w:cs="Times New Roman"/>
                <w:i/>
                <w:sz w:val="22"/>
                <w:szCs w:val="22"/>
              </w:rPr>
              <w:t xml:space="preserve">ctual emissions as PTE used to net out of PSD.” </w:t>
            </w:r>
          </w:p>
          <w:p w:rsidR="00CA77E4" w:rsidRPr="00CF7800" w:rsidRDefault="00AE6062" w:rsidP="00CC3A6D">
            <w:pPr>
              <w:pStyle w:val="Style6"/>
              <w:widowControl/>
              <w:spacing w:after="120" w:line="240" w:lineRule="auto"/>
              <w:rPr>
                <w:rFonts w:ascii="Times New Roman" w:hAnsi="Times New Roman" w:cs="Times New Roman"/>
                <w:i/>
                <w:sz w:val="22"/>
                <w:szCs w:val="22"/>
              </w:rPr>
            </w:pPr>
            <w:r>
              <w:rPr>
                <w:rFonts w:ascii="Times New Roman" w:hAnsi="Times New Roman" w:cs="Times New Roman"/>
                <w:i/>
                <w:sz w:val="22"/>
                <w:szCs w:val="22"/>
              </w:rPr>
              <w:t>DEQ proposes that t</w:t>
            </w:r>
            <w:r w:rsidR="00CA77E4" w:rsidRPr="00CF7800">
              <w:rPr>
                <w:rFonts w:ascii="Times New Roman" w:hAnsi="Times New Roman" w:cs="Times New Roman"/>
                <w:i/>
                <w:sz w:val="22"/>
                <w:szCs w:val="22"/>
              </w:rPr>
              <w:t>he same provision will be applied to new sources that have gone through NSR/PSD</w:t>
            </w:r>
            <w:r w:rsidR="008D538C">
              <w:rPr>
                <w:rFonts w:ascii="Times New Roman" w:hAnsi="Times New Roman" w:cs="Times New Roman"/>
                <w:i/>
                <w:sz w:val="22"/>
                <w:szCs w:val="22"/>
              </w:rPr>
              <w:t xml:space="preserve">. </w:t>
            </w:r>
            <w:r w:rsidR="00CA77E4" w:rsidRPr="00CF7800">
              <w:rPr>
                <w:rFonts w:ascii="Times New Roman" w:hAnsi="Times New Roman" w:cs="Times New Roman"/>
                <w:i/>
                <w:sz w:val="22"/>
                <w:szCs w:val="22"/>
              </w:rPr>
              <w:t xml:space="preserve">The netting basis will be reset from PTE to the highest actual emissions during the 10 years after </w:t>
            </w:r>
            <w:r w:rsidR="007C7416">
              <w:rPr>
                <w:rFonts w:ascii="Times New Roman" w:hAnsi="Times New Roman" w:cs="Times New Roman"/>
                <w:i/>
                <w:sz w:val="22"/>
                <w:szCs w:val="22"/>
              </w:rPr>
              <w:t>NSR/PSD permit issuance</w:t>
            </w:r>
            <w:r w:rsidR="008D538C">
              <w:rPr>
                <w:rFonts w:ascii="Times New Roman" w:hAnsi="Times New Roman" w:cs="Times New Roman"/>
                <w:i/>
                <w:sz w:val="22"/>
                <w:szCs w:val="22"/>
              </w:rPr>
              <w:t xml:space="preserve">. </w:t>
            </w:r>
            <w:r w:rsidR="00CA77E4" w:rsidRPr="00CF7800">
              <w:rPr>
                <w:rFonts w:ascii="Times New Roman" w:hAnsi="Times New Roman" w:cs="Times New Roman"/>
                <w:i/>
                <w:sz w:val="22"/>
                <w:szCs w:val="22"/>
              </w:rPr>
              <w:t>An additional 5 years may be granted if it is demonstrated that a source had</w:t>
            </w:r>
            <w:r w:rsidR="00DE1045">
              <w:rPr>
                <w:rFonts w:ascii="Times New Roman" w:hAnsi="Times New Roman" w:cs="Times New Roman"/>
                <w:i/>
                <w:sz w:val="22"/>
                <w:szCs w:val="22"/>
              </w:rPr>
              <w:t xml:space="preserve"> not </w:t>
            </w:r>
            <w:r w:rsidR="00CA77E4" w:rsidRPr="00CF7800">
              <w:rPr>
                <w:rFonts w:ascii="Times New Roman" w:hAnsi="Times New Roman" w:cs="Times New Roman"/>
                <w:i/>
                <w:sz w:val="22"/>
                <w:szCs w:val="22"/>
              </w:rPr>
              <w:t>achieved normal operations within the 10 year period.</w:t>
            </w:r>
          </w:p>
          <w:p w:rsidR="00012675" w:rsidRDefault="00CA77E4">
            <w:pPr>
              <w:pStyle w:val="Style6"/>
              <w:widowControl/>
              <w:spacing w:after="120" w:line="240" w:lineRule="auto"/>
              <w:rPr>
                <w:rFonts w:ascii="Times New Roman" w:hAnsi="Times New Roman" w:cs="Times New Roman"/>
                <w:i/>
                <w:sz w:val="22"/>
                <w:szCs w:val="22"/>
              </w:rPr>
            </w:pPr>
            <w:r w:rsidRPr="00CF7800">
              <w:rPr>
                <w:rFonts w:ascii="Times New Roman" w:hAnsi="Times New Roman" w:cs="Times New Roman"/>
                <w:i/>
                <w:sz w:val="22"/>
                <w:szCs w:val="22"/>
              </w:rPr>
              <w:t>This change will remove emissions from the netting basis that will likely never be emitted</w:t>
            </w:r>
            <w:r w:rsidR="008D538C">
              <w:rPr>
                <w:rFonts w:ascii="Times New Roman" w:hAnsi="Times New Roman" w:cs="Times New Roman"/>
                <w:i/>
                <w:sz w:val="22"/>
                <w:szCs w:val="22"/>
              </w:rPr>
              <w:t xml:space="preserve">. </w:t>
            </w:r>
            <w:r w:rsidRPr="00CF7800">
              <w:rPr>
                <w:rFonts w:ascii="Times New Roman" w:hAnsi="Times New Roman" w:cs="Times New Roman"/>
                <w:i/>
                <w:sz w:val="22"/>
                <w:szCs w:val="22"/>
              </w:rPr>
              <w:t>It will not prevent the source from operating at the full capacity because the PSEL will not be reduced</w:t>
            </w:r>
            <w:r w:rsidR="008D538C">
              <w:rPr>
                <w:rFonts w:ascii="Times New Roman" w:hAnsi="Times New Roman" w:cs="Times New Roman"/>
                <w:i/>
                <w:sz w:val="22"/>
                <w:szCs w:val="22"/>
              </w:rPr>
              <w:t xml:space="preserve">. </w:t>
            </w:r>
            <w:r w:rsidRPr="00CF7800">
              <w:rPr>
                <w:rFonts w:ascii="Times New Roman" w:hAnsi="Times New Roman" w:cs="Times New Roman"/>
                <w:i/>
                <w:sz w:val="22"/>
                <w:szCs w:val="22"/>
              </w:rPr>
              <w:t xml:space="preserve">However, it will prevent the source from using the “extra” </w:t>
            </w:r>
            <w:r w:rsidR="00AE6062">
              <w:rPr>
                <w:rFonts w:ascii="Times New Roman" w:hAnsi="Times New Roman" w:cs="Times New Roman"/>
                <w:i/>
                <w:sz w:val="22"/>
                <w:szCs w:val="22"/>
              </w:rPr>
              <w:t xml:space="preserve">potential </w:t>
            </w:r>
            <w:r w:rsidRPr="00CF7800">
              <w:rPr>
                <w:rFonts w:ascii="Times New Roman" w:hAnsi="Times New Roman" w:cs="Times New Roman"/>
                <w:i/>
                <w:sz w:val="22"/>
                <w:szCs w:val="22"/>
              </w:rPr>
              <w:t>emissions for netting</w:t>
            </w:r>
            <w:r w:rsidR="0012520B">
              <w:rPr>
                <w:rFonts w:ascii="Times New Roman" w:hAnsi="Times New Roman" w:cs="Times New Roman"/>
                <w:i/>
                <w:sz w:val="22"/>
                <w:szCs w:val="22"/>
              </w:rPr>
              <w:t xml:space="preserve"> </w:t>
            </w:r>
            <w:r w:rsidR="00AE6062">
              <w:rPr>
                <w:rFonts w:ascii="Times New Roman" w:hAnsi="Times New Roman" w:cs="Times New Roman"/>
                <w:i/>
                <w:sz w:val="22"/>
                <w:szCs w:val="22"/>
              </w:rPr>
              <w:t xml:space="preserve">a future modification </w:t>
            </w:r>
            <w:r w:rsidR="0012520B">
              <w:rPr>
                <w:rFonts w:ascii="Times New Roman" w:hAnsi="Times New Roman" w:cs="Times New Roman"/>
                <w:i/>
                <w:sz w:val="22"/>
                <w:szCs w:val="22"/>
              </w:rPr>
              <w:t>out of NSR/PSD</w:t>
            </w:r>
            <w:r w:rsidRPr="00CF7800">
              <w:rPr>
                <w:rFonts w:ascii="Times New Roman" w:hAnsi="Times New Roman" w:cs="Times New Roman"/>
                <w:i/>
                <w:sz w:val="22"/>
                <w:szCs w:val="22"/>
              </w:rPr>
              <w:t>.</w:t>
            </w:r>
          </w:p>
        </w:tc>
      </w:tr>
      <w:tr w:rsidR="00E11F45" w:rsidRPr="00C6063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943C75" w:rsidRDefault="00A278D4" w:rsidP="00A278D4">
            <w:pPr>
              <w:pStyle w:val="ListParagraph"/>
              <w:numPr>
                <w:ilvl w:val="0"/>
                <w:numId w:val="13"/>
              </w:numPr>
              <w:ind w:right="-115"/>
              <w:rPr>
                <w:sz w:val="22"/>
                <w:szCs w:val="22"/>
              </w:rPr>
            </w:pPr>
          </w:p>
          <w:p w:rsidR="00E11F45" w:rsidRPr="00943C75" w:rsidRDefault="00E11F45" w:rsidP="00A278D4">
            <w:pPr>
              <w:ind w:right="-115"/>
              <w:rPr>
                <w:bCs/>
                <w:sz w:val="22"/>
                <w:szCs w:val="22"/>
              </w:rPr>
            </w:pPr>
            <w:r w:rsidRPr="00943C75">
              <w:rPr>
                <w:sz w:val="22"/>
                <w:szCs w:val="22"/>
              </w:rPr>
              <w:t>Baseline emission rate definition  - corrections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982894" w:rsidRDefault="00E11F45" w:rsidP="00EE0BFF">
            <w:pPr>
              <w:spacing w:after="120"/>
              <w:rPr>
                <w:sz w:val="22"/>
                <w:szCs w:val="22"/>
              </w:rPr>
            </w:pPr>
            <w:r w:rsidRPr="00C60633">
              <w:rPr>
                <w:sz w:val="22"/>
                <w:szCs w:val="22"/>
              </w:rPr>
              <w:t xml:space="preserve">The language in the old definition of </w:t>
            </w:r>
            <w:r>
              <w:rPr>
                <w:sz w:val="22"/>
                <w:szCs w:val="22"/>
              </w:rPr>
              <w:t xml:space="preserve">baseline </w:t>
            </w:r>
            <w:r w:rsidRPr="00C60633">
              <w:rPr>
                <w:sz w:val="22"/>
                <w:szCs w:val="22"/>
              </w:rPr>
              <w:t>emission rate already establishes a list of the only reasons a baseline can be changed, so the text about freezing adds confusion</w:t>
            </w:r>
            <w:r w:rsidR="004A0EA4">
              <w:rPr>
                <w:sz w:val="22"/>
                <w:szCs w:val="22"/>
              </w:rPr>
              <w:t xml:space="preserve">. </w:t>
            </w:r>
          </w:p>
          <w:p w:rsidR="00E11F45" w:rsidRDefault="00E11F45" w:rsidP="00EE0BFF">
            <w:pPr>
              <w:spacing w:after="120"/>
              <w:rPr>
                <w:sz w:val="22"/>
                <w:szCs w:val="22"/>
              </w:rPr>
            </w:pPr>
            <w:r w:rsidRPr="00C60633">
              <w:rPr>
                <w:sz w:val="22"/>
                <w:szCs w:val="22"/>
              </w:rPr>
              <w:t xml:space="preserve">The second concern has to do with the use of term “the Department” </w:t>
            </w:r>
            <w:r>
              <w:rPr>
                <w:sz w:val="22"/>
                <w:szCs w:val="22"/>
              </w:rPr>
              <w:t>i</w:t>
            </w:r>
            <w:r w:rsidRPr="00C60633">
              <w:rPr>
                <w:sz w:val="22"/>
                <w:szCs w:val="22"/>
              </w:rPr>
              <w:t xml:space="preserve">n the discussion of how changes </w:t>
            </w:r>
            <w:r>
              <w:rPr>
                <w:sz w:val="22"/>
                <w:szCs w:val="22"/>
              </w:rPr>
              <w:t>are made to the baseline rate</w:t>
            </w:r>
            <w:r w:rsidR="004A0EA4">
              <w:rPr>
                <w:sz w:val="22"/>
                <w:szCs w:val="22"/>
              </w:rPr>
              <w:t xml:space="preserve">. </w:t>
            </w:r>
            <w:r w:rsidRPr="00C60633">
              <w:rPr>
                <w:sz w:val="22"/>
                <w:szCs w:val="22"/>
              </w:rPr>
              <w:t>We are concerned that specifying that “the Department determines” could be relied on by a source in an enforcement action to argue that the baseline cannot be recalculated based on, for example, a material mistake or inaccurate statements by a source, unless it was the Department that made the determination that there was a mistake or inaccurate statements</w:t>
            </w:r>
            <w:r w:rsidR="004A0EA4">
              <w:rPr>
                <w:sz w:val="22"/>
                <w:szCs w:val="22"/>
              </w:rPr>
              <w:t xml:space="preserve">. </w:t>
            </w:r>
            <w:r>
              <w:rPr>
                <w:sz w:val="22"/>
                <w:szCs w:val="22"/>
              </w:rPr>
              <w:t>(7)</w:t>
            </w:r>
            <w:r w:rsidRPr="00C60633" w:rsidDel="00EB5CDF">
              <w:rPr>
                <w:sz w:val="22"/>
                <w:szCs w:val="22"/>
              </w:rPr>
              <w:t xml:space="preserve"> </w:t>
            </w:r>
          </w:p>
          <w:p w:rsidR="00E11F45" w:rsidRDefault="00E11F45" w:rsidP="00EE0BFF">
            <w:pPr>
              <w:spacing w:after="120"/>
              <w:rPr>
                <w:i/>
                <w:sz w:val="22"/>
                <w:szCs w:val="22"/>
              </w:rPr>
            </w:pPr>
            <w:r>
              <w:rPr>
                <w:i/>
                <w:sz w:val="22"/>
                <w:szCs w:val="22"/>
              </w:rPr>
              <w:t>Response:</w:t>
            </w:r>
          </w:p>
          <w:p w:rsidR="00012675" w:rsidRDefault="00E11F45">
            <w:pPr>
              <w:spacing w:after="120"/>
              <w:rPr>
                <w:i/>
                <w:sz w:val="22"/>
                <w:szCs w:val="22"/>
              </w:rPr>
            </w:pPr>
            <w:r>
              <w:rPr>
                <w:i/>
                <w:sz w:val="22"/>
                <w:szCs w:val="22"/>
              </w:rPr>
              <w:t xml:space="preserve">DEQ has </w:t>
            </w:r>
            <w:r w:rsidR="008B34C4">
              <w:rPr>
                <w:i/>
                <w:sz w:val="22"/>
                <w:szCs w:val="22"/>
              </w:rPr>
              <w:t>proposed</w:t>
            </w:r>
            <w:r>
              <w:rPr>
                <w:i/>
                <w:sz w:val="22"/>
                <w:szCs w:val="22"/>
              </w:rPr>
              <w:t xml:space="preserve"> changes to the definition of baseline emission rate to clarify when it can be changed</w:t>
            </w:r>
            <w:r w:rsidR="004A0EA4">
              <w:rPr>
                <w:i/>
                <w:sz w:val="22"/>
                <w:szCs w:val="22"/>
              </w:rPr>
              <w:t xml:space="preserve">. </w:t>
            </w:r>
            <w:r>
              <w:rPr>
                <w:i/>
                <w:sz w:val="22"/>
                <w:szCs w:val="22"/>
              </w:rPr>
              <w:t xml:space="preserve">The original reason for freezing the baseline emission rate was to prevent sources from asking for changes based on the discovery of </w:t>
            </w:r>
            <w:r w:rsidR="00CA77E4">
              <w:rPr>
                <w:i/>
                <w:sz w:val="22"/>
                <w:szCs w:val="22"/>
              </w:rPr>
              <w:t>“</w:t>
            </w:r>
            <w:r>
              <w:rPr>
                <w:i/>
                <w:sz w:val="22"/>
                <w:szCs w:val="22"/>
              </w:rPr>
              <w:t>new</w:t>
            </w:r>
            <w:r w:rsidR="00CA77E4">
              <w:rPr>
                <w:i/>
                <w:sz w:val="22"/>
                <w:szCs w:val="22"/>
              </w:rPr>
              <w:t>”</w:t>
            </w:r>
            <w:r>
              <w:rPr>
                <w:i/>
                <w:sz w:val="22"/>
                <w:szCs w:val="22"/>
              </w:rPr>
              <w:t xml:space="preserve"> production information</w:t>
            </w:r>
            <w:r w:rsidR="00E47D61">
              <w:rPr>
                <w:i/>
                <w:sz w:val="22"/>
                <w:szCs w:val="22"/>
              </w:rPr>
              <w:t xml:space="preserve"> that is difficult to verify </w:t>
            </w:r>
            <w:r w:rsidR="00DB2119">
              <w:rPr>
                <w:i/>
                <w:sz w:val="22"/>
                <w:szCs w:val="22"/>
              </w:rPr>
              <w:t>30 years after the fact</w:t>
            </w:r>
            <w:r>
              <w:rPr>
                <w:i/>
                <w:sz w:val="22"/>
                <w:szCs w:val="22"/>
              </w:rPr>
              <w:t xml:space="preserve">. Therefore, changes have been </w:t>
            </w:r>
            <w:r w:rsidR="008B34C4">
              <w:rPr>
                <w:i/>
                <w:sz w:val="22"/>
                <w:szCs w:val="22"/>
              </w:rPr>
              <w:t>proposed</w:t>
            </w:r>
            <w:r>
              <w:rPr>
                <w:i/>
                <w:sz w:val="22"/>
                <w:szCs w:val="22"/>
              </w:rPr>
              <w:t xml:space="preserve"> that </w:t>
            </w:r>
            <w:r w:rsidR="00A1047A">
              <w:rPr>
                <w:i/>
                <w:sz w:val="22"/>
                <w:szCs w:val="22"/>
              </w:rPr>
              <w:t xml:space="preserve">only </w:t>
            </w:r>
            <w:r>
              <w:rPr>
                <w:i/>
                <w:sz w:val="22"/>
                <w:szCs w:val="22"/>
              </w:rPr>
              <w:t xml:space="preserve">allow the production basis to be changed upon discovery </w:t>
            </w:r>
            <w:r w:rsidRPr="004440E1">
              <w:rPr>
                <w:i/>
                <w:sz w:val="22"/>
                <w:szCs w:val="22"/>
              </w:rPr>
              <w:t>of a material mi</w:t>
            </w:r>
            <w:r>
              <w:rPr>
                <w:i/>
                <w:sz w:val="22"/>
                <w:szCs w:val="22"/>
              </w:rPr>
              <w:t>stake or an inaccurate statement</w:t>
            </w:r>
            <w:r w:rsidR="004A0EA4">
              <w:rPr>
                <w:i/>
                <w:sz w:val="22"/>
                <w:szCs w:val="22"/>
              </w:rPr>
              <w:t xml:space="preserve">. </w:t>
            </w:r>
            <w:r>
              <w:rPr>
                <w:i/>
                <w:sz w:val="22"/>
                <w:szCs w:val="22"/>
              </w:rPr>
              <w:t xml:space="preserve">The </w:t>
            </w:r>
            <w:r w:rsidR="00E47D61">
              <w:rPr>
                <w:i/>
                <w:sz w:val="22"/>
                <w:szCs w:val="22"/>
              </w:rPr>
              <w:t xml:space="preserve">word </w:t>
            </w:r>
            <w:r>
              <w:rPr>
                <w:i/>
                <w:sz w:val="22"/>
                <w:szCs w:val="22"/>
              </w:rPr>
              <w:t>“Department” has also been removed from the definition</w:t>
            </w:r>
            <w:r w:rsidR="00E47D61">
              <w:rPr>
                <w:i/>
                <w:sz w:val="22"/>
                <w:szCs w:val="22"/>
              </w:rPr>
              <w:t xml:space="preserve"> to allow others to discover a material mistake</w:t>
            </w:r>
            <w:r w:rsidR="004A0EA4">
              <w:rPr>
                <w:i/>
                <w:sz w:val="22"/>
                <w:szCs w:val="22"/>
              </w:rPr>
              <w:t xml:space="preserve">. </w:t>
            </w:r>
          </w:p>
        </w:tc>
      </w:tr>
      <w:tr w:rsidR="00180D96" w:rsidRPr="00D864BF"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ind w:right="-115"/>
              <w:rPr>
                <w:bCs/>
                <w:sz w:val="22"/>
                <w:szCs w:val="22"/>
              </w:rPr>
            </w:pPr>
          </w:p>
          <w:p w:rsidR="00180D96" w:rsidRPr="00943C75" w:rsidRDefault="00180D96" w:rsidP="006039AF">
            <w:pPr>
              <w:ind w:right="-115"/>
              <w:rPr>
                <w:bCs/>
                <w:sz w:val="22"/>
                <w:szCs w:val="22"/>
              </w:rPr>
            </w:pPr>
            <w:r w:rsidRPr="00943C75">
              <w:rPr>
                <w:bCs/>
                <w:sz w:val="22"/>
                <w:szCs w:val="22"/>
              </w:rPr>
              <w:t>GHG PSELs</w:t>
            </w:r>
            <w:r w:rsidR="00DC3DE0" w:rsidRPr="00943C75">
              <w:rPr>
                <w:bCs/>
                <w:sz w:val="22"/>
                <w:szCs w:val="22"/>
              </w:rPr>
              <w:t xml:space="preserve"> greater than netting basis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180D96" w:rsidRPr="00D864BF" w:rsidRDefault="00180D96" w:rsidP="00EE0BFF">
            <w:pPr>
              <w:spacing w:after="120"/>
              <w:rPr>
                <w:color w:val="000000"/>
                <w:sz w:val="22"/>
                <w:szCs w:val="22"/>
              </w:rPr>
            </w:pPr>
            <w:r>
              <w:rPr>
                <w:color w:val="000000"/>
                <w:sz w:val="22"/>
                <w:szCs w:val="22"/>
              </w:rPr>
              <w:t>We</w:t>
            </w:r>
            <w:r w:rsidRPr="00D864BF">
              <w:rPr>
                <w:color w:val="000000"/>
                <w:sz w:val="22"/>
                <w:szCs w:val="22"/>
              </w:rPr>
              <w:t xml:space="preserve"> request DEQ clarify that </w:t>
            </w:r>
            <w:r w:rsidR="008343C9">
              <w:rPr>
                <w:color w:val="000000"/>
                <w:sz w:val="22"/>
                <w:szCs w:val="22"/>
              </w:rPr>
              <w:t>that GHG PSD</w:t>
            </w:r>
            <w:r w:rsidR="008343C9" w:rsidRPr="00D864BF">
              <w:rPr>
                <w:color w:val="000000"/>
                <w:sz w:val="22"/>
                <w:szCs w:val="22"/>
              </w:rPr>
              <w:t xml:space="preserve"> does not apply</w:t>
            </w:r>
            <w:r w:rsidR="008343C9">
              <w:rPr>
                <w:color w:val="000000"/>
                <w:sz w:val="22"/>
                <w:szCs w:val="22"/>
              </w:rPr>
              <w:t xml:space="preserve"> </w:t>
            </w:r>
            <w:r w:rsidR="008B34C4">
              <w:rPr>
                <w:color w:val="000000"/>
                <w:sz w:val="22"/>
                <w:szCs w:val="22"/>
              </w:rPr>
              <w:t xml:space="preserve">for </w:t>
            </w:r>
            <w:r w:rsidRPr="00D864BF">
              <w:rPr>
                <w:color w:val="000000"/>
                <w:sz w:val="22"/>
                <w:szCs w:val="22"/>
              </w:rPr>
              <w:t xml:space="preserve">sources that seek to establish a GHG PSEL that is greater than the significant emission rate over the netting basis </w:t>
            </w:r>
            <w:r w:rsidR="008B34C4">
              <w:rPr>
                <w:color w:val="000000"/>
                <w:sz w:val="22"/>
                <w:szCs w:val="22"/>
              </w:rPr>
              <w:t>as</w:t>
            </w:r>
            <w:r w:rsidRPr="00D864BF">
              <w:rPr>
                <w:color w:val="000000"/>
                <w:sz w:val="22"/>
                <w:szCs w:val="22"/>
              </w:rPr>
              <w:t xml:space="preserve"> a result of utilizing capacity that existed in the baseline year. </w:t>
            </w:r>
            <w:r w:rsidRPr="00D2148F">
              <w:rPr>
                <w:color w:val="000000"/>
                <w:sz w:val="22"/>
                <w:szCs w:val="22"/>
              </w:rPr>
              <w:t>(1</w:t>
            </w:r>
            <w:r w:rsidR="00D2148F" w:rsidRPr="00D2148F">
              <w:rPr>
                <w:color w:val="000000"/>
                <w:sz w:val="22"/>
                <w:szCs w:val="22"/>
              </w:rPr>
              <w:t>5</w:t>
            </w:r>
            <w:r w:rsidRPr="00D2148F">
              <w:rPr>
                <w:color w:val="000000"/>
                <w:sz w:val="22"/>
                <w:szCs w:val="22"/>
              </w:rPr>
              <w:t>)</w:t>
            </w:r>
          </w:p>
          <w:p w:rsidR="00180D96" w:rsidRPr="00D864BF" w:rsidRDefault="00180D96" w:rsidP="00EE0BFF">
            <w:pPr>
              <w:spacing w:after="120"/>
              <w:rPr>
                <w:i/>
                <w:color w:val="000000"/>
                <w:sz w:val="22"/>
                <w:szCs w:val="22"/>
              </w:rPr>
            </w:pPr>
            <w:r w:rsidRPr="00D864BF">
              <w:rPr>
                <w:i/>
                <w:color w:val="000000"/>
                <w:sz w:val="22"/>
                <w:szCs w:val="22"/>
              </w:rPr>
              <w:t>Response:</w:t>
            </w:r>
          </w:p>
          <w:p w:rsidR="00180D96" w:rsidRPr="00D864BF" w:rsidRDefault="00CA77E4" w:rsidP="00EE3367">
            <w:pPr>
              <w:spacing w:after="120"/>
              <w:rPr>
                <w:i/>
                <w:sz w:val="22"/>
                <w:szCs w:val="22"/>
              </w:rPr>
            </w:pPr>
            <w:r w:rsidRPr="005D0DBA">
              <w:rPr>
                <w:i/>
                <w:sz w:val="22"/>
                <w:szCs w:val="22"/>
              </w:rPr>
              <w:t>Section (d) of the definition of major modification in OAR 340-200-0020 clearly states that increases in hours of operation or production rates that would cause emission increases above the levels allowed in a permit and would not involve a physical change or change in method of operation in the source are not major modifications</w:t>
            </w:r>
            <w:r>
              <w:rPr>
                <w:i/>
                <w:sz w:val="22"/>
                <w:szCs w:val="22"/>
              </w:rPr>
              <w:t>. Once the baseline emission rate is established, the PSEL may be increased to utilize the full capacity in accordance with the PSEL rule</w:t>
            </w:r>
            <w:r w:rsidR="00EE3367">
              <w:rPr>
                <w:i/>
                <w:sz w:val="22"/>
                <w:szCs w:val="22"/>
              </w:rPr>
              <w:t>,</w:t>
            </w:r>
            <w:r>
              <w:rPr>
                <w:i/>
                <w:sz w:val="22"/>
                <w:szCs w:val="22"/>
              </w:rPr>
              <w:t xml:space="preserve"> </w:t>
            </w:r>
            <w:r w:rsidR="00AF10D0">
              <w:rPr>
                <w:i/>
                <w:sz w:val="22"/>
                <w:szCs w:val="22"/>
              </w:rPr>
              <w:t xml:space="preserve">OAR </w:t>
            </w:r>
            <w:r>
              <w:rPr>
                <w:i/>
                <w:sz w:val="22"/>
                <w:szCs w:val="22"/>
              </w:rPr>
              <w:t>340-222-041(3)(b)</w:t>
            </w:r>
            <w:r w:rsidR="008D538C">
              <w:rPr>
                <w:i/>
                <w:sz w:val="22"/>
                <w:szCs w:val="22"/>
              </w:rPr>
              <w:t xml:space="preserve">. </w:t>
            </w:r>
            <w:r>
              <w:rPr>
                <w:i/>
                <w:sz w:val="22"/>
                <w:szCs w:val="22"/>
              </w:rPr>
              <w:t>Since there is no ambient air quality standard or PSD increment for GHG, then there would be no requirement for an air quality</w:t>
            </w:r>
            <w:r>
              <w:t xml:space="preserve"> </w:t>
            </w:r>
            <w:r w:rsidRPr="005D0DBA">
              <w:rPr>
                <w:i/>
                <w:sz w:val="22"/>
                <w:szCs w:val="22"/>
              </w:rPr>
              <w:t>analysis</w:t>
            </w:r>
            <w:r w:rsidR="008343C9">
              <w:rPr>
                <w:i/>
                <w:sz w:val="22"/>
                <w:szCs w:val="22"/>
              </w:rPr>
              <w:t xml:space="preserve"> to approve an increase in the GHG PSEL</w:t>
            </w:r>
            <w:r w:rsidR="008D538C">
              <w:rPr>
                <w:i/>
                <w:sz w:val="22"/>
                <w:szCs w:val="22"/>
              </w:rPr>
              <w:t xml:space="preserve">. </w:t>
            </w:r>
          </w:p>
        </w:tc>
      </w:tr>
      <w:tr w:rsidR="004665B8"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ind w:right="-115"/>
              <w:rPr>
                <w:bCs/>
                <w:sz w:val="22"/>
                <w:szCs w:val="22"/>
              </w:rPr>
            </w:pPr>
          </w:p>
          <w:p w:rsidR="004665B8" w:rsidRPr="00943C75" w:rsidRDefault="008660D2" w:rsidP="006039AF">
            <w:pPr>
              <w:ind w:right="-115"/>
              <w:rPr>
                <w:bCs/>
                <w:sz w:val="22"/>
                <w:szCs w:val="22"/>
              </w:rPr>
            </w:pPr>
            <w:r w:rsidRPr="00943C75">
              <w:rPr>
                <w:bCs/>
                <w:sz w:val="22"/>
                <w:szCs w:val="22"/>
              </w:rPr>
              <w:t>GHG baseline</w:t>
            </w:r>
            <w:r w:rsidR="00277163" w:rsidRPr="00943C75">
              <w:rPr>
                <w:bCs/>
                <w:sz w:val="22"/>
                <w:szCs w:val="22"/>
              </w:rPr>
              <w:t xml:space="preserve"> emission rate establishment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665B8" w:rsidRPr="002D0FE2" w:rsidRDefault="004A330E" w:rsidP="004665B8">
            <w:pPr>
              <w:spacing w:after="120"/>
              <w:rPr>
                <w:sz w:val="22"/>
                <w:szCs w:val="22"/>
              </w:rPr>
            </w:pPr>
            <w:r w:rsidRPr="009C7801">
              <w:rPr>
                <w:sz w:val="22"/>
                <w:szCs w:val="22"/>
              </w:rPr>
              <w:t>We request</w:t>
            </w:r>
            <w:r w:rsidR="004665B8" w:rsidRPr="009C7801">
              <w:rPr>
                <w:sz w:val="22"/>
                <w:szCs w:val="22"/>
              </w:rPr>
              <w:t xml:space="preserve"> that the rules be revised so that the GHG baseline is established as part of the first permitting action for which an application is submitted after March 1, 2011</w:t>
            </w:r>
            <w:r w:rsidR="004A0EA4">
              <w:rPr>
                <w:sz w:val="22"/>
                <w:szCs w:val="22"/>
              </w:rPr>
              <w:t xml:space="preserve">. </w:t>
            </w:r>
            <w:r w:rsidR="004665B8" w:rsidRPr="00990235">
              <w:rPr>
                <w:sz w:val="22"/>
                <w:szCs w:val="22"/>
              </w:rPr>
              <w:t>(1, 2, 4, 9,  11, 13, 14, 15, 16, 17)</w:t>
            </w:r>
          </w:p>
          <w:p w:rsidR="004665B8" w:rsidRDefault="008660D2" w:rsidP="00FC04EC">
            <w:pPr>
              <w:rPr>
                <w:i/>
                <w:sz w:val="22"/>
                <w:szCs w:val="22"/>
              </w:rPr>
            </w:pPr>
            <w:r>
              <w:rPr>
                <w:i/>
                <w:sz w:val="22"/>
                <w:szCs w:val="22"/>
              </w:rPr>
              <w:lastRenderedPageBreak/>
              <w:t>Response:</w:t>
            </w:r>
          </w:p>
          <w:p w:rsidR="00012675" w:rsidRDefault="009C7801" w:rsidP="00AF10D0">
            <w:pPr>
              <w:rPr>
                <w:i/>
                <w:sz w:val="22"/>
                <w:szCs w:val="22"/>
              </w:rPr>
            </w:pPr>
            <w:r>
              <w:rPr>
                <w:i/>
                <w:sz w:val="22"/>
                <w:szCs w:val="22"/>
              </w:rPr>
              <w:t xml:space="preserve">Because this rulemaking package </w:t>
            </w:r>
            <w:r w:rsidR="008343C9">
              <w:rPr>
                <w:i/>
                <w:sz w:val="22"/>
                <w:szCs w:val="22"/>
              </w:rPr>
              <w:t xml:space="preserve">will be considered by </w:t>
            </w:r>
            <w:r>
              <w:rPr>
                <w:i/>
                <w:sz w:val="22"/>
                <w:szCs w:val="22"/>
              </w:rPr>
              <w:t xml:space="preserve">the EQC in April instead of February, as previously planned, and because new or modified major sources of GHGs alone will not be required to get permits until July 1, DEQ </w:t>
            </w:r>
            <w:r w:rsidR="008343C9">
              <w:rPr>
                <w:i/>
                <w:sz w:val="22"/>
                <w:szCs w:val="22"/>
              </w:rPr>
              <w:t>proposes</w:t>
            </w:r>
            <w:r>
              <w:rPr>
                <w:i/>
                <w:sz w:val="22"/>
                <w:szCs w:val="22"/>
              </w:rPr>
              <w:t xml:space="preserve"> to change the date when PM</w:t>
            </w:r>
            <w:r>
              <w:rPr>
                <w:i/>
                <w:sz w:val="22"/>
                <w:szCs w:val="22"/>
                <w:vertAlign w:val="subscript"/>
              </w:rPr>
              <w:t>2.5</w:t>
            </w:r>
            <w:r>
              <w:rPr>
                <w:i/>
                <w:sz w:val="22"/>
                <w:szCs w:val="22"/>
              </w:rPr>
              <w:t xml:space="preserve"> and GHGs will be added to permits</w:t>
            </w:r>
            <w:r w:rsidR="008D538C">
              <w:rPr>
                <w:i/>
                <w:sz w:val="22"/>
                <w:szCs w:val="22"/>
              </w:rPr>
              <w:t xml:space="preserve">. </w:t>
            </w:r>
            <w:r w:rsidR="00857F1C">
              <w:rPr>
                <w:i/>
                <w:sz w:val="22"/>
                <w:szCs w:val="22"/>
              </w:rPr>
              <w:t>Permits that are on public notice before July 1, 2011 but not issued yet will not be changed to include PM</w:t>
            </w:r>
            <w:r w:rsidR="00857F1C">
              <w:rPr>
                <w:i/>
                <w:sz w:val="22"/>
                <w:szCs w:val="22"/>
                <w:vertAlign w:val="subscript"/>
              </w:rPr>
              <w:t>2.5</w:t>
            </w:r>
            <w:r w:rsidR="00857F1C">
              <w:rPr>
                <w:i/>
                <w:sz w:val="22"/>
                <w:szCs w:val="22"/>
              </w:rPr>
              <w:t xml:space="preserve"> and GHGs</w:t>
            </w:r>
            <w:r w:rsidR="004A0EA4">
              <w:rPr>
                <w:i/>
                <w:sz w:val="22"/>
                <w:szCs w:val="22"/>
              </w:rPr>
              <w:t xml:space="preserve">. </w:t>
            </w:r>
            <w:r w:rsidR="00A62D39">
              <w:rPr>
                <w:i/>
                <w:sz w:val="22"/>
                <w:szCs w:val="22"/>
              </w:rPr>
              <w:t>Any other p</w:t>
            </w:r>
            <w:r w:rsidR="00A86085">
              <w:rPr>
                <w:i/>
                <w:sz w:val="22"/>
                <w:szCs w:val="22"/>
              </w:rPr>
              <w:t xml:space="preserve">ermits </w:t>
            </w:r>
            <w:r w:rsidR="00AF10D0">
              <w:rPr>
                <w:i/>
                <w:sz w:val="22"/>
                <w:szCs w:val="22"/>
              </w:rPr>
              <w:t xml:space="preserve">that are on public notice </w:t>
            </w:r>
            <w:r w:rsidR="00A62D39">
              <w:rPr>
                <w:i/>
                <w:sz w:val="22"/>
                <w:szCs w:val="22"/>
              </w:rPr>
              <w:t xml:space="preserve">after </w:t>
            </w:r>
            <w:r w:rsidR="00857F1C">
              <w:rPr>
                <w:i/>
                <w:sz w:val="22"/>
                <w:szCs w:val="22"/>
              </w:rPr>
              <w:t xml:space="preserve">July 1, 2011 </w:t>
            </w:r>
            <w:r w:rsidR="00FA12B8">
              <w:rPr>
                <w:i/>
                <w:sz w:val="22"/>
                <w:szCs w:val="22"/>
              </w:rPr>
              <w:t>must</w:t>
            </w:r>
            <w:r w:rsidR="00857F1C">
              <w:rPr>
                <w:i/>
                <w:sz w:val="22"/>
                <w:szCs w:val="22"/>
              </w:rPr>
              <w:t xml:space="preserve"> include PM</w:t>
            </w:r>
            <w:r w:rsidR="00857F1C">
              <w:rPr>
                <w:i/>
                <w:sz w:val="22"/>
                <w:szCs w:val="22"/>
                <w:vertAlign w:val="subscript"/>
              </w:rPr>
              <w:t>2.5</w:t>
            </w:r>
            <w:r w:rsidR="00857F1C">
              <w:rPr>
                <w:i/>
                <w:sz w:val="22"/>
                <w:szCs w:val="22"/>
              </w:rPr>
              <w:t xml:space="preserve"> and GHGs</w:t>
            </w:r>
            <w:r w:rsidR="004A0EA4">
              <w:rPr>
                <w:i/>
                <w:sz w:val="22"/>
                <w:szCs w:val="22"/>
              </w:rPr>
              <w:t xml:space="preserve">. </w:t>
            </w:r>
            <w:r w:rsidR="00857F1C">
              <w:rPr>
                <w:i/>
                <w:sz w:val="22"/>
                <w:szCs w:val="22"/>
              </w:rPr>
              <w:t>The</w:t>
            </w:r>
            <w:r w:rsidR="00524E82">
              <w:rPr>
                <w:i/>
                <w:sz w:val="22"/>
                <w:szCs w:val="22"/>
              </w:rPr>
              <w:t xml:space="preserve"> proposed</w:t>
            </w:r>
            <w:r w:rsidR="00857F1C">
              <w:rPr>
                <w:i/>
                <w:sz w:val="22"/>
                <w:szCs w:val="22"/>
              </w:rPr>
              <w:t xml:space="preserve"> rules </w:t>
            </w:r>
            <w:r w:rsidR="00524E82">
              <w:rPr>
                <w:i/>
                <w:sz w:val="22"/>
                <w:szCs w:val="22"/>
              </w:rPr>
              <w:t xml:space="preserve">have </w:t>
            </w:r>
            <w:r w:rsidR="00857F1C">
              <w:rPr>
                <w:i/>
                <w:sz w:val="22"/>
                <w:szCs w:val="22"/>
              </w:rPr>
              <w:t>be</w:t>
            </w:r>
            <w:r w:rsidR="00524E82">
              <w:rPr>
                <w:i/>
                <w:sz w:val="22"/>
                <w:szCs w:val="22"/>
              </w:rPr>
              <w:t>en</w:t>
            </w:r>
            <w:r w:rsidR="00857F1C">
              <w:rPr>
                <w:i/>
                <w:sz w:val="22"/>
                <w:szCs w:val="22"/>
              </w:rPr>
              <w:t xml:space="preserve"> changed to reflect this </w:t>
            </w:r>
            <w:r w:rsidR="00A86085">
              <w:rPr>
                <w:i/>
                <w:sz w:val="22"/>
                <w:szCs w:val="22"/>
              </w:rPr>
              <w:t>change in procedure</w:t>
            </w:r>
            <w:r w:rsidR="004A0EA4">
              <w:rPr>
                <w:i/>
                <w:sz w:val="22"/>
                <w:szCs w:val="22"/>
              </w:rPr>
              <w:t xml:space="preserve">. </w:t>
            </w:r>
          </w:p>
        </w:tc>
      </w:tr>
      <w:tr w:rsidR="00DC3DE0"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rPr>
                <w:sz w:val="22"/>
                <w:szCs w:val="22"/>
              </w:rPr>
            </w:pPr>
          </w:p>
          <w:p w:rsidR="00DC3DE0" w:rsidRPr="00943C75" w:rsidRDefault="00DC3DE0" w:rsidP="006039AF">
            <w:pPr>
              <w:rPr>
                <w:sz w:val="22"/>
                <w:szCs w:val="22"/>
              </w:rPr>
            </w:pPr>
            <w:r w:rsidRPr="00943C75">
              <w:rPr>
                <w:sz w:val="22"/>
                <w:szCs w:val="22"/>
              </w:rPr>
              <w:t>Baseline period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C3DE0" w:rsidRPr="002D0FE2" w:rsidRDefault="00DC3DE0" w:rsidP="00EE0BFF">
            <w:pPr>
              <w:spacing w:after="120"/>
              <w:rPr>
                <w:sz w:val="22"/>
                <w:szCs w:val="22"/>
              </w:rPr>
            </w:pPr>
            <w:r w:rsidRPr="002D0FE2">
              <w:rPr>
                <w:sz w:val="22"/>
                <w:szCs w:val="22"/>
              </w:rPr>
              <w:t>We understand that the Department is considering allowing the discharger to choose a year between 2000 and 2010</w:t>
            </w:r>
            <w:r w:rsidR="004A0EA4">
              <w:rPr>
                <w:sz w:val="22"/>
                <w:szCs w:val="22"/>
              </w:rPr>
              <w:t xml:space="preserve">. </w:t>
            </w:r>
            <w:r w:rsidRPr="002D0FE2">
              <w:rPr>
                <w:sz w:val="22"/>
                <w:szCs w:val="22"/>
              </w:rPr>
              <w:t>We see no reason not to choose this approach so long as the source commits to the year and does not change it once the year is elected</w:t>
            </w:r>
            <w:r w:rsidR="004A0EA4">
              <w:rPr>
                <w:sz w:val="22"/>
                <w:szCs w:val="22"/>
              </w:rPr>
              <w:t xml:space="preserve">. </w:t>
            </w:r>
            <w:r w:rsidRPr="002D0FE2">
              <w:rPr>
                <w:sz w:val="22"/>
                <w:szCs w:val="22"/>
              </w:rPr>
              <w:t>We would favor one that provides the greatest flexibility to all permittees.</w:t>
            </w:r>
            <w:r>
              <w:rPr>
                <w:sz w:val="22"/>
                <w:szCs w:val="22"/>
              </w:rPr>
              <w:t xml:space="preserve"> </w:t>
            </w:r>
            <w:r w:rsidRPr="00CA2A13">
              <w:rPr>
                <w:sz w:val="22"/>
                <w:szCs w:val="22"/>
              </w:rPr>
              <w:t>(5)</w:t>
            </w:r>
          </w:p>
          <w:p w:rsidR="00DC3DE0" w:rsidRPr="0064466D" w:rsidRDefault="00DC3DE0" w:rsidP="00EE0BFF">
            <w:pPr>
              <w:spacing w:after="120"/>
              <w:ind w:left="-5" w:right="-187"/>
              <w:rPr>
                <w:i/>
                <w:sz w:val="22"/>
                <w:szCs w:val="22"/>
              </w:rPr>
            </w:pPr>
            <w:r>
              <w:rPr>
                <w:i/>
                <w:sz w:val="22"/>
                <w:szCs w:val="22"/>
              </w:rPr>
              <w:t>Response:</w:t>
            </w:r>
          </w:p>
          <w:p w:rsidR="00DC3DE0" w:rsidRPr="0000787A" w:rsidRDefault="00DC3DE0" w:rsidP="00EE3367">
            <w:pPr>
              <w:spacing w:after="120"/>
              <w:rPr>
                <w:i/>
                <w:sz w:val="22"/>
                <w:szCs w:val="22"/>
              </w:rPr>
            </w:pPr>
            <w:r w:rsidRPr="0000787A">
              <w:rPr>
                <w:i/>
                <w:sz w:val="22"/>
                <w:szCs w:val="22"/>
              </w:rPr>
              <w:t xml:space="preserve">Sources will be able to </w:t>
            </w:r>
            <w:r w:rsidR="00AF10D0">
              <w:rPr>
                <w:i/>
                <w:sz w:val="22"/>
                <w:szCs w:val="22"/>
              </w:rPr>
              <w:t>make a one-</w:t>
            </w:r>
            <w:r w:rsidR="00B16AAA">
              <w:rPr>
                <w:i/>
                <w:sz w:val="22"/>
                <w:szCs w:val="22"/>
              </w:rPr>
              <w:t>time choic</w:t>
            </w:r>
            <w:r w:rsidRPr="0000787A">
              <w:rPr>
                <w:i/>
                <w:sz w:val="22"/>
                <w:szCs w:val="22"/>
              </w:rPr>
              <w:t xml:space="preserve">e </w:t>
            </w:r>
            <w:r w:rsidR="00B16AAA">
              <w:rPr>
                <w:i/>
                <w:sz w:val="22"/>
                <w:szCs w:val="22"/>
              </w:rPr>
              <w:t xml:space="preserve">of </w:t>
            </w:r>
            <w:r w:rsidRPr="0000787A">
              <w:rPr>
                <w:i/>
                <w:sz w:val="22"/>
                <w:szCs w:val="22"/>
              </w:rPr>
              <w:t>a consecutive 12-month period between the years 2000 and 2010 for the base</w:t>
            </w:r>
            <w:r w:rsidR="00B16AAA">
              <w:rPr>
                <w:i/>
                <w:sz w:val="22"/>
                <w:szCs w:val="22"/>
              </w:rPr>
              <w:t>line period for greenhouse gases</w:t>
            </w:r>
            <w:r w:rsidR="004A0EA4">
              <w:rPr>
                <w:i/>
                <w:sz w:val="22"/>
                <w:szCs w:val="22"/>
              </w:rPr>
              <w:t xml:space="preserve">. </w:t>
            </w:r>
            <w:r w:rsidRPr="0000787A">
              <w:rPr>
                <w:i/>
                <w:sz w:val="22"/>
                <w:szCs w:val="22"/>
              </w:rPr>
              <w:t>The b</w:t>
            </w:r>
            <w:r>
              <w:rPr>
                <w:i/>
                <w:sz w:val="22"/>
                <w:szCs w:val="22"/>
              </w:rPr>
              <w:t>aselin</w:t>
            </w:r>
            <w:r w:rsidR="00B16AAA">
              <w:rPr>
                <w:i/>
                <w:sz w:val="22"/>
                <w:szCs w:val="22"/>
              </w:rPr>
              <w:t>e period for PM2.5 will be 1977 or 19</w:t>
            </w:r>
            <w:r>
              <w:rPr>
                <w:i/>
                <w:sz w:val="22"/>
                <w:szCs w:val="22"/>
              </w:rPr>
              <w:t>78, the same as the other NSR/PSD pollutants</w:t>
            </w:r>
            <w:r w:rsidR="00D07F68">
              <w:rPr>
                <w:i/>
                <w:sz w:val="22"/>
                <w:szCs w:val="22"/>
              </w:rPr>
              <w:t xml:space="preserve"> even though a baseline emission rate will not be established for PM</w:t>
            </w:r>
            <w:r w:rsidR="00D07F68">
              <w:rPr>
                <w:i/>
                <w:sz w:val="22"/>
                <w:szCs w:val="22"/>
                <w:vertAlign w:val="subscript"/>
              </w:rPr>
              <w:t>2.5</w:t>
            </w:r>
            <w:r w:rsidR="008D538C">
              <w:rPr>
                <w:i/>
                <w:sz w:val="22"/>
                <w:szCs w:val="22"/>
              </w:rPr>
              <w:t xml:space="preserve">. </w:t>
            </w:r>
            <w:r w:rsidR="00FA12B8">
              <w:rPr>
                <w:i/>
                <w:sz w:val="22"/>
                <w:szCs w:val="22"/>
              </w:rPr>
              <w:t>Instead, the netting basis for PM</w:t>
            </w:r>
            <w:r w:rsidR="00FA12B8">
              <w:rPr>
                <w:i/>
                <w:sz w:val="22"/>
                <w:szCs w:val="22"/>
                <w:vertAlign w:val="subscript"/>
              </w:rPr>
              <w:t>2.5</w:t>
            </w:r>
            <w:r w:rsidR="00FA12B8">
              <w:rPr>
                <w:i/>
                <w:sz w:val="22"/>
                <w:szCs w:val="22"/>
              </w:rPr>
              <w:t xml:space="preserve"> will be established based on the PM</w:t>
            </w:r>
            <w:r w:rsidR="00FA12B8">
              <w:rPr>
                <w:i/>
                <w:sz w:val="22"/>
                <w:szCs w:val="22"/>
                <w:vertAlign w:val="subscript"/>
              </w:rPr>
              <w:t>2.5</w:t>
            </w:r>
            <w:r w:rsidR="00FA12B8">
              <w:rPr>
                <w:i/>
                <w:sz w:val="22"/>
                <w:szCs w:val="22"/>
              </w:rPr>
              <w:t xml:space="preserve"> fraction of the PM</w:t>
            </w:r>
            <w:r w:rsidR="00FA12B8">
              <w:rPr>
                <w:i/>
                <w:sz w:val="22"/>
                <w:szCs w:val="22"/>
                <w:vertAlign w:val="subscript"/>
              </w:rPr>
              <w:t>10</w:t>
            </w:r>
            <w:r w:rsidR="00FA12B8">
              <w:rPr>
                <w:i/>
                <w:sz w:val="22"/>
                <w:szCs w:val="22"/>
              </w:rPr>
              <w:t xml:space="preserve"> netting </w:t>
            </w:r>
            <w:r w:rsidR="00EE3367">
              <w:rPr>
                <w:i/>
                <w:sz w:val="22"/>
                <w:szCs w:val="22"/>
              </w:rPr>
              <w:t xml:space="preserve">basis </w:t>
            </w:r>
            <w:r w:rsidR="00FA12B8">
              <w:rPr>
                <w:i/>
                <w:sz w:val="22"/>
                <w:szCs w:val="22"/>
              </w:rPr>
              <w:t>(if one exists)</w:t>
            </w:r>
            <w:r w:rsidR="008D538C">
              <w:rPr>
                <w:i/>
                <w:sz w:val="22"/>
                <w:szCs w:val="22"/>
              </w:rPr>
              <w:t xml:space="preserve">. </w:t>
            </w:r>
            <w:r w:rsidR="00FA12B8">
              <w:rPr>
                <w:i/>
                <w:sz w:val="22"/>
                <w:szCs w:val="22"/>
              </w:rPr>
              <w:t>Using this approach, there is no need to establish a baseline emission rate for PM</w:t>
            </w:r>
            <w:r w:rsidR="00FA12B8">
              <w:rPr>
                <w:i/>
                <w:sz w:val="22"/>
                <w:szCs w:val="22"/>
                <w:vertAlign w:val="subscript"/>
              </w:rPr>
              <w:t>2.5</w:t>
            </w:r>
            <w:r w:rsidR="00FA12B8">
              <w:rPr>
                <w:i/>
                <w:sz w:val="22"/>
                <w:szCs w:val="22"/>
              </w:rPr>
              <w:t>.</w:t>
            </w:r>
          </w:p>
        </w:tc>
      </w:tr>
      <w:tr w:rsidR="00EE0BFF"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ind w:right="-108"/>
              <w:rPr>
                <w:bCs/>
                <w:sz w:val="22"/>
                <w:szCs w:val="22"/>
              </w:rPr>
            </w:pPr>
          </w:p>
          <w:p w:rsidR="00EE0BFF" w:rsidRPr="00943C75" w:rsidRDefault="00EE0BFF" w:rsidP="006039AF">
            <w:pPr>
              <w:ind w:right="-108"/>
              <w:rPr>
                <w:bCs/>
                <w:sz w:val="22"/>
                <w:szCs w:val="22"/>
              </w:rPr>
            </w:pPr>
            <w:r w:rsidRPr="00943C75">
              <w:rPr>
                <w:bCs/>
                <w:sz w:val="22"/>
                <w:szCs w:val="22"/>
              </w:rPr>
              <w:t>Baseline period for PM</w:t>
            </w:r>
            <w:r w:rsidRPr="00943C75">
              <w:rPr>
                <w:bCs/>
                <w:sz w:val="22"/>
                <w:szCs w:val="22"/>
                <w:vertAlign w:val="subscript"/>
              </w:rPr>
              <w:t>2.5</w:t>
            </w:r>
            <w:r w:rsidRPr="00943C75">
              <w:rPr>
                <w:bCs/>
                <w:sz w:val="22"/>
                <w:szCs w:val="22"/>
              </w:rPr>
              <w:t xml:space="preserve"> precursors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E0BFF" w:rsidRPr="002D0FE2" w:rsidRDefault="00EE0BFF" w:rsidP="00EE0BFF">
            <w:pPr>
              <w:spacing w:after="120"/>
              <w:rPr>
                <w:sz w:val="22"/>
                <w:szCs w:val="22"/>
              </w:rPr>
            </w:pPr>
            <w:r>
              <w:rPr>
                <w:sz w:val="22"/>
                <w:szCs w:val="22"/>
              </w:rPr>
              <w:t>The</w:t>
            </w:r>
            <w:r w:rsidRPr="002D0FE2">
              <w:rPr>
                <w:sz w:val="22"/>
                <w:szCs w:val="22"/>
              </w:rPr>
              <w:t xml:space="preserve"> baseline period for PM</w:t>
            </w:r>
            <w:r w:rsidRPr="002D0FE2">
              <w:rPr>
                <w:sz w:val="22"/>
                <w:szCs w:val="22"/>
                <w:vertAlign w:val="subscript"/>
              </w:rPr>
              <w:t>2.5</w:t>
            </w:r>
            <w:r w:rsidRPr="002D0FE2">
              <w:rPr>
                <w:sz w:val="22"/>
                <w:szCs w:val="22"/>
              </w:rPr>
              <w:t xml:space="preserve"> precursors should be consistent with the baseline period for PM</w:t>
            </w:r>
            <w:r w:rsidRPr="002D0FE2">
              <w:rPr>
                <w:sz w:val="22"/>
                <w:szCs w:val="22"/>
                <w:vertAlign w:val="subscript"/>
              </w:rPr>
              <w:t>2.5</w:t>
            </w:r>
            <w:r w:rsidR="004A0EA4">
              <w:rPr>
                <w:sz w:val="22"/>
                <w:szCs w:val="22"/>
              </w:rPr>
              <w:t xml:space="preserve">. </w:t>
            </w:r>
            <w:r w:rsidRPr="002D0FE2">
              <w:rPr>
                <w:sz w:val="22"/>
                <w:szCs w:val="22"/>
              </w:rPr>
              <w:t>Otherwise, sources will be routinely forced into PSEL review, PSD or nonattainment NSR for PM</w:t>
            </w:r>
            <w:r w:rsidRPr="002D0FE2">
              <w:rPr>
                <w:sz w:val="22"/>
                <w:szCs w:val="22"/>
                <w:vertAlign w:val="subscript"/>
              </w:rPr>
              <w:t>2.5</w:t>
            </w:r>
            <w:r w:rsidRPr="002D0FE2">
              <w:rPr>
                <w:sz w:val="22"/>
                <w:szCs w:val="22"/>
              </w:rPr>
              <w:t xml:space="preserve"> precursors even though PM</w:t>
            </w:r>
            <w:r w:rsidRPr="002D0FE2">
              <w:rPr>
                <w:sz w:val="22"/>
                <w:szCs w:val="22"/>
                <w:vertAlign w:val="subscript"/>
              </w:rPr>
              <w:t>2.5</w:t>
            </w:r>
            <w:r w:rsidRPr="002D0FE2">
              <w:rPr>
                <w:sz w:val="22"/>
                <w:szCs w:val="22"/>
              </w:rPr>
              <w:t xml:space="preserve"> does not trigger the same review</w:t>
            </w:r>
            <w:r w:rsidR="004A0EA4">
              <w:rPr>
                <w:sz w:val="22"/>
                <w:szCs w:val="22"/>
              </w:rPr>
              <w:t xml:space="preserve">. </w:t>
            </w:r>
            <w:r w:rsidRPr="00340FD1">
              <w:rPr>
                <w:sz w:val="22"/>
                <w:szCs w:val="22"/>
              </w:rPr>
              <w:t>(1, 2, 4, 11, 13, 14, 15, 17)</w:t>
            </w:r>
          </w:p>
          <w:p w:rsidR="00EE0BFF" w:rsidRDefault="00EE0BFF" w:rsidP="00EE0BFF">
            <w:pPr>
              <w:autoSpaceDE w:val="0"/>
              <w:autoSpaceDN w:val="0"/>
              <w:adjustRightInd w:val="0"/>
              <w:spacing w:after="120"/>
              <w:ind w:right="-180"/>
              <w:rPr>
                <w:i/>
                <w:sz w:val="22"/>
                <w:szCs w:val="22"/>
              </w:rPr>
            </w:pPr>
            <w:r w:rsidRPr="002D0FE2">
              <w:rPr>
                <w:i/>
                <w:sz w:val="22"/>
                <w:szCs w:val="22"/>
              </w:rPr>
              <w:t xml:space="preserve">Response: </w:t>
            </w:r>
          </w:p>
          <w:p w:rsidR="00EE0BFF" w:rsidRPr="002D0FE2" w:rsidRDefault="00EE0BFF" w:rsidP="00524E82">
            <w:pPr>
              <w:spacing w:after="120"/>
              <w:rPr>
                <w:b/>
                <w:sz w:val="22"/>
                <w:szCs w:val="22"/>
                <w:u w:val="single"/>
              </w:rPr>
            </w:pPr>
            <w:r>
              <w:rPr>
                <w:i/>
                <w:sz w:val="22"/>
                <w:szCs w:val="22"/>
              </w:rPr>
              <w:t>P</w:t>
            </w:r>
            <w:r w:rsidRPr="008D56AC">
              <w:rPr>
                <w:i/>
                <w:sz w:val="22"/>
                <w:szCs w:val="22"/>
              </w:rPr>
              <w:t>M</w:t>
            </w:r>
            <w:r w:rsidRPr="008D56AC">
              <w:rPr>
                <w:i/>
                <w:sz w:val="22"/>
                <w:szCs w:val="22"/>
                <w:vertAlign w:val="subscript"/>
              </w:rPr>
              <w:t>2.5</w:t>
            </w:r>
            <w:r>
              <w:rPr>
                <w:i/>
                <w:sz w:val="22"/>
                <w:szCs w:val="22"/>
              </w:rPr>
              <w:t xml:space="preserve"> precursors </w:t>
            </w:r>
            <w:r w:rsidRPr="008D56AC">
              <w:rPr>
                <w:i/>
                <w:sz w:val="22"/>
                <w:szCs w:val="22"/>
              </w:rPr>
              <w:t>(S</w:t>
            </w:r>
            <w:r w:rsidRPr="002D0FE2">
              <w:rPr>
                <w:i/>
                <w:sz w:val="22"/>
                <w:szCs w:val="22"/>
              </w:rPr>
              <w:t>O</w:t>
            </w:r>
            <w:r w:rsidRPr="002D0FE2">
              <w:rPr>
                <w:i/>
                <w:sz w:val="22"/>
                <w:szCs w:val="22"/>
                <w:vertAlign w:val="subscript"/>
              </w:rPr>
              <w:t>2</w:t>
            </w:r>
            <w:r w:rsidRPr="002D0FE2">
              <w:rPr>
                <w:i/>
                <w:sz w:val="22"/>
                <w:szCs w:val="22"/>
              </w:rPr>
              <w:t xml:space="preserve"> and NO</w:t>
            </w:r>
            <w:r w:rsidRPr="002D0FE2">
              <w:rPr>
                <w:i/>
                <w:sz w:val="22"/>
                <w:szCs w:val="22"/>
                <w:vertAlign w:val="subscript"/>
              </w:rPr>
              <w:t>x</w:t>
            </w:r>
            <w:r w:rsidRPr="002D0FE2">
              <w:rPr>
                <w:i/>
                <w:sz w:val="22"/>
                <w:szCs w:val="22"/>
              </w:rPr>
              <w:t>) are already regulated criteria pollutants under the NSR/PSD program</w:t>
            </w:r>
            <w:r w:rsidR="004A0EA4">
              <w:rPr>
                <w:i/>
                <w:sz w:val="22"/>
                <w:szCs w:val="22"/>
              </w:rPr>
              <w:t xml:space="preserve">. </w:t>
            </w:r>
            <w:r>
              <w:rPr>
                <w:i/>
                <w:sz w:val="22"/>
                <w:szCs w:val="22"/>
              </w:rPr>
              <w:t>Since the initial PM</w:t>
            </w:r>
            <w:r>
              <w:rPr>
                <w:i/>
                <w:sz w:val="22"/>
                <w:szCs w:val="22"/>
                <w:vertAlign w:val="subscript"/>
              </w:rPr>
              <w:t>2.5</w:t>
            </w:r>
            <w:r>
              <w:rPr>
                <w:i/>
                <w:sz w:val="22"/>
                <w:szCs w:val="22"/>
              </w:rPr>
              <w:t xml:space="preserve"> </w:t>
            </w:r>
            <w:r w:rsidRPr="00385C0F">
              <w:rPr>
                <w:i/>
                <w:sz w:val="22"/>
                <w:szCs w:val="22"/>
              </w:rPr>
              <w:t>netting basis is the PM</w:t>
            </w:r>
            <w:r w:rsidRPr="00385C0F">
              <w:rPr>
                <w:i/>
                <w:sz w:val="22"/>
                <w:szCs w:val="22"/>
                <w:vertAlign w:val="subscript"/>
              </w:rPr>
              <w:t>2.5</w:t>
            </w:r>
            <w:r w:rsidRPr="00385C0F">
              <w:rPr>
                <w:i/>
                <w:sz w:val="22"/>
                <w:szCs w:val="22"/>
              </w:rPr>
              <w:t xml:space="preserve"> fraction of the PM</w:t>
            </w:r>
            <w:r w:rsidRPr="00385C0F">
              <w:rPr>
                <w:i/>
                <w:sz w:val="22"/>
                <w:szCs w:val="22"/>
                <w:vertAlign w:val="subscript"/>
              </w:rPr>
              <w:t>10</w:t>
            </w:r>
            <w:r w:rsidRPr="00385C0F">
              <w:rPr>
                <w:i/>
                <w:sz w:val="22"/>
                <w:szCs w:val="22"/>
              </w:rPr>
              <w:t xml:space="preserve"> netting basis</w:t>
            </w:r>
            <w:r>
              <w:rPr>
                <w:i/>
                <w:sz w:val="22"/>
                <w:szCs w:val="22"/>
              </w:rPr>
              <w:t>, PM</w:t>
            </w:r>
            <w:r>
              <w:rPr>
                <w:i/>
                <w:sz w:val="22"/>
                <w:szCs w:val="22"/>
                <w:vertAlign w:val="subscript"/>
              </w:rPr>
              <w:t>2.5</w:t>
            </w:r>
            <w:r>
              <w:rPr>
                <w:i/>
                <w:sz w:val="22"/>
                <w:szCs w:val="22"/>
              </w:rPr>
              <w:t>, PM</w:t>
            </w:r>
            <w:r>
              <w:rPr>
                <w:i/>
                <w:sz w:val="22"/>
                <w:szCs w:val="22"/>
                <w:vertAlign w:val="subscript"/>
              </w:rPr>
              <w:t>10</w:t>
            </w:r>
            <w:r>
              <w:rPr>
                <w:i/>
                <w:sz w:val="22"/>
                <w:szCs w:val="22"/>
              </w:rPr>
              <w:t>, SO</w:t>
            </w:r>
            <w:r>
              <w:rPr>
                <w:i/>
                <w:sz w:val="22"/>
                <w:szCs w:val="22"/>
                <w:vertAlign w:val="subscript"/>
              </w:rPr>
              <w:t>2</w:t>
            </w:r>
            <w:r>
              <w:rPr>
                <w:i/>
                <w:sz w:val="22"/>
                <w:szCs w:val="22"/>
              </w:rPr>
              <w:t>, and NO</w:t>
            </w:r>
            <w:r>
              <w:rPr>
                <w:i/>
                <w:sz w:val="22"/>
                <w:szCs w:val="22"/>
                <w:vertAlign w:val="subscript"/>
              </w:rPr>
              <w:t>x</w:t>
            </w:r>
            <w:r>
              <w:rPr>
                <w:i/>
                <w:sz w:val="22"/>
                <w:szCs w:val="22"/>
              </w:rPr>
              <w:t xml:space="preserve"> will all have the same baseline period for most sources</w:t>
            </w:r>
            <w:r w:rsidR="004A0EA4">
              <w:rPr>
                <w:i/>
                <w:sz w:val="22"/>
                <w:szCs w:val="22"/>
              </w:rPr>
              <w:t xml:space="preserve">. </w:t>
            </w:r>
            <w:r>
              <w:rPr>
                <w:i/>
                <w:sz w:val="22"/>
                <w:szCs w:val="22"/>
              </w:rPr>
              <w:t xml:space="preserve">If a source has triggered NSR/PSD for one pollutant and not the others, the netting basis will be based on different production rates for different pollutants, </w:t>
            </w:r>
            <w:r w:rsidR="00524E82">
              <w:rPr>
                <w:i/>
                <w:sz w:val="22"/>
                <w:szCs w:val="22"/>
              </w:rPr>
              <w:t>which is consistent with</w:t>
            </w:r>
            <w:r>
              <w:rPr>
                <w:i/>
                <w:sz w:val="22"/>
                <w:szCs w:val="22"/>
              </w:rPr>
              <w:t xml:space="preserve"> how the program is currently implemented</w:t>
            </w:r>
            <w:r w:rsidR="004A0EA4">
              <w:rPr>
                <w:i/>
                <w:sz w:val="22"/>
                <w:szCs w:val="22"/>
              </w:rPr>
              <w:t xml:space="preserve">. </w:t>
            </w:r>
            <w:r w:rsidRPr="002D0FE2">
              <w:rPr>
                <w:i/>
                <w:sz w:val="22"/>
                <w:szCs w:val="22"/>
              </w:rPr>
              <w:t xml:space="preserve">Introducing different baseline years for precursors would </w:t>
            </w:r>
            <w:r>
              <w:rPr>
                <w:i/>
                <w:sz w:val="22"/>
                <w:szCs w:val="22"/>
              </w:rPr>
              <w:t>be administratively impractical</w:t>
            </w:r>
            <w:r w:rsidR="004A0EA4">
              <w:rPr>
                <w:i/>
                <w:sz w:val="22"/>
                <w:szCs w:val="22"/>
              </w:rPr>
              <w:t xml:space="preserve">. </w:t>
            </w:r>
            <w:r w:rsidR="004158AE">
              <w:rPr>
                <w:i/>
                <w:sz w:val="22"/>
                <w:szCs w:val="22"/>
              </w:rPr>
              <w:t>No change to the rule is proposed in response to this comment.</w:t>
            </w:r>
          </w:p>
        </w:tc>
      </w:tr>
      <w:tr w:rsidR="00DC3DE0"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6E628C" w:rsidRDefault="00D02C93" w:rsidP="00386F1F">
            <w:pPr>
              <w:pStyle w:val="ListParagraph"/>
              <w:numPr>
                <w:ilvl w:val="0"/>
                <w:numId w:val="13"/>
              </w:numPr>
              <w:ind w:right="-115"/>
            </w:pPr>
            <w:bookmarkStart w:id="4" w:name="_Ref283934738"/>
            <w:r w:rsidRPr="006E628C">
              <w:br w:type="page"/>
            </w:r>
            <w:r w:rsidR="00DC3DE0" w:rsidRPr="006E628C">
              <w:br w:type="page"/>
            </w:r>
            <w:bookmarkEnd w:id="4"/>
          </w:p>
          <w:p w:rsidR="00DC3DE0" w:rsidRPr="006E628C" w:rsidRDefault="00DC3DE0" w:rsidP="00386F1F">
            <w:pPr>
              <w:ind w:right="-115"/>
              <w:rPr>
                <w:bCs/>
                <w:sz w:val="22"/>
                <w:szCs w:val="22"/>
              </w:rPr>
            </w:pPr>
            <w:r w:rsidRPr="006E628C">
              <w:rPr>
                <w:bCs/>
                <w:sz w:val="22"/>
                <w:szCs w:val="22"/>
              </w:rPr>
              <w:t>Baseline period tied to baseline concentration year</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C3DE0" w:rsidRPr="00A05684" w:rsidRDefault="00DC3DE0" w:rsidP="005C5841">
            <w:pPr>
              <w:spacing w:after="120"/>
              <w:rPr>
                <w:sz w:val="22"/>
                <w:szCs w:val="22"/>
              </w:rPr>
            </w:pPr>
            <w:r w:rsidRPr="00A05684">
              <w:rPr>
                <w:sz w:val="22"/>
                <w:szCs w:val="22"/>
              </w:rPr>
              <w:t>We are concerned that DEQ’s proposal fails to adequately match the baseline period and baseline concentrations. If individual emissions levels are not set from the same date range as the monitoring data, then DEQ’s rules will not ensure compliance with the national ambient air quality standards (NAAQS) or PSD increment. If DEQ decides to implement the PM2.5 PSD program through the PSEL program, DEQ should mandate that the baseline emission rate be set for the same period for which DEQ has monitoring data, or at the very least implement stringent guidelines that direct the limited instances when a different baseline period may be chosen. (12)</w:t>
            </w:r>
          </w:p>
          <w:p w:rsidR="00DC3DE0" w:rsidRPr="00A05684" w:rsidRDefault="00DC3DE0" w:rsidP="005C5841">
            <w:pPr>
              <w:autoSpaceDE w:val="0"/>
              <w:autoSpaceDN w:val="0"/>
              <w:adjustRightInd w:val="0"/>
              <w:spacing w:after="120"/>
              <w:ind w:right="-180"/>
              <w:rPr>
                <w:i/>
                <w:sz w:val="22"/>
                <w:szCs w:val="22"/>
              </w:rPr>
            </w:pPr>
            <w:r w:rsidRPr="00A05684">
              <w:rPr>
                <w:i/>
                <w:sz w:val="22"/>
                <w:szCs w:val="22"/>
              </w:rPr>
              <w:t>Response:</w:t>
            </w:r>
          </w:p>
          <w:p w:rsidR="00414F4A" w:rsidRPr="00A05684" w:rsidRDefault="00524E82" w:rsidP="005C5841">
            <w:pPr>
              <w:autoSpaceDE w:val="0"/>
              <w:autoSpaceDN w:val="0"/>
              <w:adjustRightInd w:val="0"/>
              <w:spacing w:after="120"/>
              <w:rPr>
                <w:i/>
                <w:sz w:val="22"/>
                <w:szCs w:val="22"/>
              </w:rPr>
            </w:pPr>
            <w:r w:rsidRPr="00A05684">
              <w:rPr>
                <w:i/>
                <w:sz w:val="22"/>
                <w:szCs w:val="22"/>
              </w:rPr>
              <w:t xml:space="preserve">DEQ believes </w:t>
            </w:r>
            <w:r w:rsidR="00414F4A" w:rsidRPr="00A05684">
              <w:rPr>
                <w:i/>
                <w:sz w:val="22"/>
                <w:szCs w:val="22"/>
              </w:rPr>
              <w:t>that it is not feasible</w:t>
            </w:r>
            <w:r w:rsidRPr="00A05684">
              <w:rPr>
                <w:i/>
                <w:sz w:val="22"/>
                <w:szCs w:val="22"/>
              </w:rPr>
              <w:t xml:space="preserve"> to </w:t>
            </w:r>
            <w:r w:rsidR="00375407" w:rsidRPr="00A05684">
              <w:rPr>
                <w:i/>
                <w:sz w:val="22"/>
                <w:szCs w:val="22"/>
              </w:rPr>
              <w:t>link the baseline period and the baseline concentration year</w:t>
            </w:r>
            <w:r w:rsidR="008D538C" w:rsidRPr="00A05684">
              <w:rPr>
                <w:i/>
                <w:sz w:val="22"/>
                <w:szCs w:val="22"/>
              </w:rPr>
              <w:t xml:space="preserve">. </w:t>
            </w:r>
            <w:r w:rsidR="00414F4A" w:rsidRPr="00A05684">
              <w:rPr>
                <w:i/>
                <w:sz w:val="22"/>
                <w:szCs w:val="22"/>
              </w:rPr>
              <w:t xml:space="preserve">Instead, DEQ </w:t>
            </w:r>
            <w:r w:rsidR="00AB5679" w:rsidRPr="00A05684">
              <w:rPr>
                <w:i/>
                <w:sz w:val="22"/>
                <w:szCs w:val="22"/>
              </w:rPr>
              <w:t xml:space="preserve">determines the actual emissions of sources </w:t>
            </w:r>
            <w:r w:rsidR="00414F4A" w:rsidRPr="00A05684">
              <w:rPr>
                <w:i/>
                <w:sz w:val="22"/>
                <w:szCs w:val="22"/>
              </w:rPr>
              <w:t>during the baseline concentration year at the time that a PSD increment analysis is conducted.</w:t>
            </w:r>
          </w:p>
          <w:p w:rsidR="00A24CCF" w:rsidRPr="00A05684" w:rsidRDefault="00A24CCF" w:rsidP="005C5841">
            <w:pPr>
              <w:autoSpaceDE w:val="0"/>
              <w:autoSpaceDN w:val="0"/>
              <w:adjustRightInd w:val="0"/>
              <w:spacing w:after="120"/>
              <w:rPr>
                <w:i/>
                <w:sz w:val="22"/>
                <w:szCs w:val="22"/>
              </w:rPr>
            </w:pPr>
            <w:r w:rsidRPr="00A05684">
              <w:rPr>
                <w:i/>
                <w:sz w:val="22"/>
                <w:szCs w:val="22"/>
              </w:rPr>
              <w:lastRenderedPageBreak/>
              <w:t>The baseline period for emissions is the year that DEQ starts counting emissions increases and decreases from a source toward applicability of the NSR/PSD program.</w:t>
            </w:r>
            <w:r w:rsidR="00414F4A" w:rsidRPr="00A05684">
              <w:rPr>
                <w:i/>
                <w:sz w:val="22"/>
                <w:szCs w:val="22"/>
              </w:rPr>
              <w:t xml:space="preserve"> It is a fixed period for each pollutant, regardless of the source’s location</w:t>
            </w:r>
            <w:r w:rsidR="008D538C" w:rsidRPr="00A05684">
              <w:rPr>
                <w:i/>
                <w:sz w:val="22"/>
                <w:szCs w:val="22"/>
              </w:rPr>
              <w:t xml:space="preserve">. </w:t>
            </w:r>
          </w:p>
          <w:p w:rsidR="00403368" w:rsidRPr="00A05684" w:rsidRDefault="00403368" w:rsidP="00403368">
            <w:pPr>
              <w:autoSpaceDE w:val="0"/>
              <w:autoSpaceDN w:val="0"/>
              <w:adjustRightInd w:val="0"/>
              <w:spacing w:after="120"/>
              <w:rPr>
                <w:i/>
                <w:sz w:val="22"/>
                <w:szCs w:val="22"/>
              </w:rPr>
            </w:pPr>
            <w:r w:rsidRPr="00A05684">
              <w:rPr>
                <w:i/>
                <w:sz w:val="22"/>
                <w:szCs w:val="22"/>
              </w:rPr>
              <w:t xml:space="preserve">The baseline concentration year is the year that DEQ starts counting emissions increases and decreases in an area for assessing </w:t>
            </w:r>
            <w:r w:rsidR="00F506AB" w:rsidRPr="00A05684">
              <w:rPr>
                <w:i/>
                <w:sz w:val="22"/>
                <w:szCs w:val="22"/>
              </w:rPr>
              <w:t>consumption of</w:t>
            </w:r>
            <w:r w:rsidRPr="00A05684">
              <w:rPr>
                <w:i/>
                <w:sz w:val="22"/>
                <w:szCs w:val="22"/>
              </w:rPr>
              <w:t xml:space="preserve"> the PSD increment</w:t>
            </w:r>
            <w:r w:rsidR="00AB5679" w:rsidRPr="00A05684">
              <w:rPr>
                <w:i/>
                <w:sz w:val="22"/>
                <w:szCs w:val="22"/>
              </w:rPr>
              <w:t>, and it varies by pollutant and area of the state</w:t>
            </w:r>
            <w:r w:rsidR="008D538C" w:rsidRPr="00A05684">
              <w:rPr>
                <w:i/>
                <w:sz w:val="22"/>
                <w:szCs w:val="22"/>
              </w:rPr>
              <w:t xml:space="preserve">. </w:t>
            </w:r>
            <w:r w:rsidR="00AB5679" w:rsidRPr="00A05684">
              <w:rPr>
                <w:i/>
                <w:sz w:val="22"/>
                <w:szCs w:val="22"/>
              </w:rPr>
              <w:t xml:space="preserve"> </w:t>
            </w:r>
            <w:r w:rsidRPr="00A05684">
              <w:rPr>
                <w:i/>
                <w:sz w:val="22"/>
                <w:szCs w:val="22"/>
              </w:rPr>
              <w:t>Default baseline concentration years for assessing degradation of air quality are based on when DEQ initially made the determination</w:t>
            </w:r>
            <w:r w:rsidR="00E8059B" w:rsidRPr="00A05684">
              <w:rPr>
                <w:i/>
                <w:sz w:val="22"/>
                <w:szCs w:val="22"/>
              </w:rPr>
              <w:t xml:space="preserve"> that</w:t>
            </w:r>
            <w:r w:rsidRPr="00A05684">
              <w:rPr>
                <w:i/>
                <w:sz w:val="22"/>
                <w:szCs w:val="22"/>
              </w:rPr>
              <w:t xml:space="preserve"> areas </w:t>
            </w:r>
            <w:r w:rsidR="00AB5679" w:rsidRPr="00A05684">
              <w:rPr>
                <w:i/>
                <w:sz w:val="22"/>
                <w:szCs w:val="22"/>
              </w:rPr>
              <w:t xml:space="preserve">of the state </w:t>
            </w:r>
            <w:r w:rsidRPr="00A05684">
              <w:rPr>
                <w:i/>
                <w:sz w:val="22"/>
                <w:szCs w:val="22"/>
              </w:rPr>
              <w:t>were in attainment or nonattainment with an ambient air quality standard</w:t>
            </w:r>
            <w:r w:rsidR="008D538C" w:rsidRPr="00A05684">
              <w:rPr>
                <w:i/>
                <w:sz w:val="22"/>
                <w:szCs w:val="22"/>
              </w:rPr>
              <w:t xml:space="preserve">. </w:t>
            </w:r>
            <w:r w:rsidRPr="00A05684">
              <w:rPr>
                <w:i/>
                <w:sz w:val="22"/>
                <w:szCs w:val="22"/>
              </w:rPr>
              <w:t xml:space="preserve">Baseline concentration years have also been established for specific areas that were not in attainment with a standard but subsequently were re-designated to attainment. </w:t>
            </w:r>
          </w:p>
          <w:p w:rsidR="00403368" w:rsidRPr="00A05684" w:rsidRDefault="00403368" w:rsidP="00403368">
            <w:pPr>
              <w:autoSpaceDE w:val="0"/>
              <w:autoSpaceDN w:val="0"/>
              <w:adjustRightInd w:val="0"/>
              <w:spacing w:after="120"/>
              <w:rPr>
                <w:i/>
                <w:sz w:val="22"/>
                <w:szCs w:val="22"/>
              </w:rPr>
            </w:pPr>
            <w:r w:rsidRPr="00A05684">
              <w:rPr>
                <w:i/>
                <w:sz w:val="22"/>
                <w:szCs w:val="22"/>
              </w:rPr>
              <w:t>Because the baseline concentration years are different for different pollutants and the baseline periods do not correspond to the baseline concentration years, DEQ does not rely on the baseline emission rates associated with a baseline period to assess the impacts of emission increases in an area</w:t>
            </w:r>
            <w:r w:rsidR="008D538C" w:rsidRPr="00A05684">
              <w:rPr>
                <w:i/>
                <w:sz w:val="22"/>
                <w:szCs w:val="22"/>
              </w:rPr>
              <w:t xml:space="preserve">. </w:t>
            </w:r>
            <w:r w:rsidRPr="00A05684">
              <w:rPr>
                <w:i/>
                <w:sz w:val="22"/>
                <w:szCs w:val="22"/>
              </w:rPr>
              <w:t>The analysis is case-by-case depending on the source and the range of influence of its emissions</w:t>
            </w:r>
            <w:r w:rsidR="008D538C" w:rsidRPr="00A05684">
              <w:rPr>
                <w:i/>
                <w:sz w:val="22"/>
                <w:szCs w:val="22"/>
              </w:rPr>
              <w:t xml:space="preserve">. </w:t>
            </w:r>
            <w:r w:rsidRPr="00A05684">
              <w:rPr>
                <w:i/>
                <w:sz w:val="22"/>
                <w:szCs w:val="22"/>
              </w:rPr>
              <w:t>If the emission increases from a new or modified source cause an impact greater than the significant impact level for a pollutant, then the emission increases since the baseline concentration year from other nearby sources must be evaluated along with the emissions from the new or modified source to determine whether a PSD increment could potentially be exceeded</w:t>
            </w:r>
            <w:r w:rsidR="008D538C" w:rsidRPr="00A05684">
              <w:rPr>
                <w:i/>
                <w:sz w:val="22"/>
                <w:szCs w:val="22"/>
              </w:rPr>
              <w:t xml:space="preserve">. </w:t>
            </w:r>
            <w:r w:rsidRPr="00A05684">
              <w:rPr>
                <w:i/>
                <w:sz w:val="22"/>
                <w:szCs w:val="22"/>
              </w:rPr>
              <w:t>Only the emission increases (and decreases) since the baseline concentration year must be evaluated, but in many cases, the total allowable emissions of the sources is used to evaluate the impacts as a conservative analysis</w:t>
            </w:r>
            <w:r w:rsidR="008D538C" w:rsidRPr="00A05684">
              <w:rPr>
                <w:i/>
                <w:sz w:val="22"/>
                <w:szCs w:val="22"/>
              </w:rPr>
              <w:t xml:space="preserve">. </w:t>
            </w:r>
            <w:r w:rsidRPr="00A05684">
              <w:rPr>
                <w:i/>
                <w:sz w:val="22"/>
                <w:szCs w:val="22"/>
              </w:rPr>
              <w:t xml:space="preserve">The inventory of emission increases since the baseline period may be evaluated in more detail if the initial conservative analysis indicates that the PSD increment could potentially be exceeded. </w:t>
            </w:r>
          </w:p>
          <w:p w:rsidR="00AB5679" w:rsidRPr="00A05684" w:rsidRDefault="00AB5679" w:rsidP="005C5841">
            <w:pPr>
              <w:autoSpaceDE w:val="0"/>
              <w:autoSpaceDN w:val="0"/>
              <w:adjustRightInd w:val="0"/>
              <w:spacing w:after="120"/>
              <w:rPr>
                <w:i/>
                <w:sz w:val="22"/>
                <w:szCs w:val="22"/>
              </w:rPr>
            </w:pPr>
            <w:r w:rsidRPr="00A05684">
              <w:rPr>
                <w:i/>
                <w:sz w:val="22"/>
                <w:szCs w:val="22"/>
              </w:rPr>
              <w:t xml:space="preserve">In this rulemaking DEQ </w:t>
            </w:r>
            <w:r w:rsidR="008536B5" w:rsidRPr="00A05684">
              <w:rPr>
                <w:i/>
                <w:sz w:val="22"/>
                <w:szCs w:val="22"/>
              </w:rPr>
              <w:t>proposes 2007 as the baseline concentration year for PM</w:t>
            </w:r>
            <w:r w:rsidR="008536B5" w:rsidRPr="00A05684">
              <w:rPr>
                <w:i/>
                <w:sz w:val="22"/>
                <w:szCs w:val="22"/>
                <w:vertAlign w:val="subscript"/>
              </w:rPr>
              <w:t xml:space="preserve">2.5 </w:t>
            </w:r>
            <w:r w:rsidR="008536B5" w:rsidRPr="00A05684">
              <w:rPr>
                <w:i/>
                <w:sz w:val="22"/>
                <w:szCs w:val="22"/>
              </w:rPr>
              <w:t xml:space="preserve">because 2007 is the middle year of the 3 years (2006 through 2008) when ambient monitoring was conducted to determine whether areas of the state </w:t>
            </w:r>
            <w:r w:rsidR="000672D5">
              <w:rPr>
                <w:i/>
                <w:sz w:val="22"/>
                <w:szCs w:val="22"/>
              </w:rPr>
              <w:t>ar</w:t>
            </w:r>
            <w:r w:rsidR="008536B5" w:rsidRPr="00A05684">
              <w:rPr>
                <w:i/>
                <w:sz w:val="22"/>
                <w:szCs w:val="22"/>
              </w:rPr>
              <w:t>e in attainment or nonattainment with the standards</w:t>
            </w:r>
            <w:r w:rsidR="008D538C" w:rsidRPr="00A05684">
              <w:rPr>
                <w:i/>
                <w:sz w:val="22"/>
                <w:szCs w:val="22"/>
              </w:rPr>
              <w:t xml:space="preserve">. </w:t>
            </w:r>
            <w:r w:rsidR="008536B5" w:rsidRPr="00A05684">
              <w:rPr>
                <w:i/>
                <w:sz w:val="22"/>
                <w:szCs w:val="22"/>
              </w:rPr>
              <w:t xml:space="preserve">DEQ </w:t>
            </w:r>
            <w:r w:rsidRPr="00A05684">
              <w:rPr>
                <w:i/>
                <w:sz w:val="22"/>
                <w:szCs w:val="22"/>
              </w:rPr>
              <w:t xml:space="preserve">does not propose establishing a baseline concentration year for GHG because there is no ambient air quality standard for GHG. </w:t>
            </w:r>
          </w:p>
          <w:p w:rsidR="00DC3DE0" w:rsidRPr="00A05684" w:rsidRDefault="00B332BD" w:rsidP="005C5841">
            <w:pPr>
              <w:autoSpaceDE w:val="0"/>
              <w:autoSpaceDN w:val="0"/>
              <w:adjustRightInd w:val="0"/>
              <w:spacing w:after="120"/>
              <w:rPr>
                <w:i/>
                <w:sz w:val="22"/>
                <w:szCs w:val="22"/>
              </w:rPr>
            </w:pPr>
            <w:r w:rsidRPr="00A05684">
              <w:rPr>
                <w:i/>
                <w:sz w:val="22"/>
                <w:szCs w:val="22"/>
              </w:rPr>
              <w:t>The baseline concentration year is not used in determining whether a NAAQS could potentially be exceeded. For the NAAQS analysis, the emissions from the proposed new or modified source along with other source emissions in the nearby area are modeled and the impacts are added to the background concentration to determine whether a NAAQS could potentially be exceeded.</w:t>
            </w:r>
            <w:r w:rsidR="00781511" w:rsidRPr="00A05684">
              <w:rPr>
                <w:i/>
                <w:sz w:val="22"/>
                <w:szCs w:val="22"/>
              </w:rPr>
              <w:t xml:space="preserve"> </w:t>
            </w:r>
            <w:r w:rsidR="00A21C65" w:rsidRPr="00A05684">
              <w:rPr>
                <w:i/>
                <w:sz w:val="22"/>
                <w:szCs w:val="22"/>
              </w:rPr>
              <w:t>No change to the rule is proposed in response to this comment.</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15"/>
              <w:rPr>
                <w:sz w:val="22"/>
                <w:szCs w:val="22"/>
              </w:rPr>
            </w:pPr>
          </w:p>
          <w:p w:rsidR="0051452D" w:rsidRPr="00943C75" w:rsidRDefault="00E57F86" w:rsidP="00386F1F">
            <w:pPr>
              <w:ind w:right="-115"/>
              <w:rPr>
                <w:bCs/>
                <w:sz w:val="22"/>
                <w:szCs w:val="22"/>
              </w:rPr>
            </w:pPr>
            <w:r w:rsidRPr="00943C75">
              <w:rPr>
                <w:sz w:val="22"/>
                <w:szCs w:val="22"/>
              </w:rPr>
              <w:t>F</w:t>
            </w:r>
            <w:r w:rsidR="0051452D" w:rsidRPr="00943C75">
              <w:rPr>
                <w:sz w:val="22"/>
                <w:szCs w:val="22"/>
              </w:rPr>
              <w:t>ederal</w:t>
            </w:r>
            <w:r w:rsidR="001B19BA" w:rsidRPr="00943C75">
              <w:rPr>
                <w:sz w:val="22"/>
                <w:szCs w:val="22"/>
              </w:rPr>
              <w:t xml:space="preserve"> m</w:t>
            </w:r>
            <w:r w:rsidR="0051452D" w:rsidRPr="00943C75">
              <w:rPr>
                <w:sz w:val="22"/>
                <w:szCs w:val="22"/>
              </w:rPr>
              <w:t xml:space="preserve">ajor </w:t>
            </w:r>
            <w:r w:rsidR="001B19BA" w:rsidRPr="00943C75">
              <w:rPr>
                <w:sz w:val="22"/>
                <w:szCs w:val="22"/>
              </w:rPr>
              <w:t>s</w:t>
            </w:r>
            <w:r w:rsidR="0051452D" w:rsidRPr="00943C75">
              <w:rPr>
                <w:sz w:val="22"/>
                <w:szCs w:val="22"/>
              </w:rPr>
              <w:t>ource</w:t>
            </w:r>
            <w:r w:rsidRPr="00943C75">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4454F" w:rsidRPr="002D0FE2" w:rsidRDefault="0051452D" w:rsidP="00C7143F">
            <w:pPr>
              <w:autoSpaceDE w:val="0"/>
              <w:autoSpaceDN w:val="0"/>
              <w:adjustRightInd w:val="0"/>
              <w:spacing w:after="120"/>
              <w:rPr>
                <w:sz w:val="22"/>
                <w:szCs w:val="22"/>
              </w:rPr>
            </w:pPr>
            <w:r w:rsidRPr="00E96CB3">
              <w:rPr>
                <w:bCs/>
                <w:sz w:val="22"/>
                <w:szCs w:val="22"/>
              </w:rPr>
              <w:t xml:space="preserve">OAR </w:t>
            </w:r>
            <w:r w:rsidRPr="00E96CB3">
              <w:rPr>
                <w:sz w:val="22"/>
                <w:szCs w:val="22"/>
              </w:rPr>
              <w:t xml:space="preserve">340-200-0020(54): The revision to the definition of "Federal Major Source" is not consistent with the EPA requirements as set forth in the "Tailoring Rule." Essentially, there is a two-part test in order to determine a Federal Major Source with respect to GHGs. </w:t>
            </w:r>
            <w:r w:rsidRPr="00016527">
              <w:rPr>
                <w:sz w:val="22"/>
                <w:szCs w:val="22"/>
              </w:rPr>
              <w:t>First, GHGs must be a regulated air pollutant</w:t>
            </w:r>
            <w:r w:rsidR="00D4454F" w:rsidRPr="00016527">
              <w:rPr>
                <w:sz w:val="22"/>
                <w:szCs w:val="22"/>
              </w:rPr>
              <w:t>,</w:t>
            </w:r>
            <w:r w:rsidRPr="00016527">
              <w:rPr>
                <w:sz w:val="22"/>
                <w:szCs w:val="22"/>
              </w:rPr>
              <w:t xml:space="preserve"> that is the source must have the potential to emit 100,000 tpy or more on a CO</w:t>
            </w:r>
            <w:r w:rsidRPr="00016527">
              <w:rPr>
                <w:sz w:val="22"/>
                <w:szCs w:val="22"/>
                <w:vertAlign w:val="subscript"/>
              </w:rPr>
              <w:t>2</w:t>
            </w:r>
            <w:r w:rsidRPr="00016527">
              <w:rPr>
                <w:sz w:val="22"/>
                <w:szCs w:val="22"/>
              </w:rPr>
              <w:t xml:space="preserve"> equivalent (CO</w:t>
            </w:r>
            <w:r w:rsidRPr="00016527">
              <w:rPr>
                <w:sz w:val="22"/>
                <w:szCs w:val="22"/>
                <w:vertAlign w:val="subscript"/>
              </w:rPr>
              <w:t>2</w:t>
            </w:r>
            <w:r w:rsidRPr="00016527">
              <w:rPr>
                <w:sz w:val="22"/>
                <w:szCs w:val="22"/>
              </w:rPr>
              <w:t xml:space="preserve">e) basis. Then the source must also have the potential to emit 100 or 250 tpy or more </w:t>
            </w:r>
            <w:r w:rsidR="00353084">
              <w:rPr>
                <w:sz w:val="22"/>
                <w:szCs w:val="22"/>
              </w:rPr>
              <w:t xml:space="preserve">of an individual GHG </w:t>
            </w:r>
            <w:r w:rsidRPr="00016527">
              <w:rPr>
                <w:sz w:val="22"/>
                <w:szCs w:val="22"/>
              </w:rPr>
              <w:t xml:space="preserve">on a mass basis. </w:t>
            </w:r>
            <w:r w:rsidR="00C7143F">
              <w:rPr>
                <w:sz w:val="22"/>
                <w:szCs w:val="22"/>
              </w:rPr>
              <w:t>(</w:t>
            </w:r>
            <w:r w:rsidR="00D4454F" w:rsidRPr="00195038">
              <w:rPr>
                <w:sz w:val="22"/>
                <w:szCs w:val="22"/>
              </w:rPr>
              <w:t>1, 2, 4, 7, 9, 11, 13, 14, 17</w:t>
            </w:r>
            <w:r w:rsidR="007D2A64">
              <w:rPr>
                <w:sz w:val="22"/>
                <w:szCs w:val="22"/>
              </w:rPr>
              <w:t>, 23</w:t>
            </w:r>
            <w:r w:rsidR="00D4454F" w:rsidRPr="00195038">
              <w:rPr>
                <w:sz w:val="22"/>
                <w:szCs w:val="22"/>
              </w:rPr>
              <w:t>)</w:t>
            </w:r>
          </w:p>
          <w:p w:rsidR="0051452D" w:rsidRDefault="0051452D" w:rsidP="00076541">
            <w:pPr>
              <w:autoSpaceDE w:val="0"/>
              <w:autoSpaceDN w:val="0"/>
              <w:adjustRightInd w:val="0"/>
              <w:spacing w:after="120"/>
              <w:rPr>
                <w:i/>
                <w:sz w:val="22"/>
                <w:szCs w:val="22"/>
              </w:rPr>
            </w:pPr>
            <w:r w:rsidRPr="00E96CB3">
              <w:rPr>
                <w:i/>
                <w:sz w:val="22"/>
                <w:szCs w:val="22"/>
              </w:rPr>
              <w:t>Response:</w:t>
            </w:r>
          </w:p>
          <w:p w:rsidR="00B0047C" w:rsidRPr="00E96CB3" w:rsidRDefault="000F1312" w:rsidP="00076541">
            <w:pPr>
              <w:autoSpaceDE w:val="0"/>
              <w:autoSpaceDN w:val="0"/>
              <w:adjustRightInd w:val="0"/>
              <w:spacing w:after="120"/>
              <w:rPr>
                <w:bCs/>
                <w:sz w:val="22"/>
                <w:szCs w:val="22"/>
              </w:rPr>
            </w:pPr>
            <w:r>
              <w:rPr>
                <w:i/>
                <w:sz w:val="22"/>
                <w:szCs w:val="22"/>
              </w:rPr>
              <w:t xml:space="preserve">The change was made to the proposed rule as suggested. </w:t>
            </w:r>
          </w:p>
        </w:tc>
      </w:tr>
      <w:tr w:rsidR="007F3E5D" w:rsidRPr="002D0FE2" w:rsidTr="009270A0">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rPr>
                <w:sz w:val="22"/>
                <w:szCs w:val="22"/>
              </w:rPr>
            </w:pPr>
          </w:p>
          <w:p w:rsidR="007F3E5D" w:rsidRPr="00943C75" w:rsidRDefault="00B454AB" w:rsidP="00386F1F">
            <w:pPr>
              <w:rPr>
                <w:sz w:val="22"/>
                <w:szCs w:val="22"/>
              </w:rPr>
            </w:pPr>
            <w:r w:rsidRPr="00943C75">
              <w:rPr>
                <w:sz w:val="22"/>
                <w:szCs w:val="22"/>
              </w:rPr>
              <w:t>F</w:t>
            </w:r>
            <w:r w:rsidR="007F3E5D" w:rsidRPr="00943C75">
              <w:rPr>
                <w:sz w:val="22"/>
                <w:szCs w:val="22"/>
              </w:rPr>
              <w:t xml:space="preserve">ederal major </w:t>
            </w:r>
            <w:r w:rsidR="007F3E5D" w:rsidRPr="00943C75">
              <w:rPr>
                <w:sz w:val="22"/>
                <w:szCs w:val="22"/>
              </w:rPr>
              <w:lastRenderedPageBreak/>
              <w:t>source, major source and major modification</w:t>
            </w:r>
            <w:r w:rsidR="00D6239C" w:rsidRPr="00943C75">
              <w:rPr>
                <w:sz w:val="22"/>
                <w:szCs w:val="22"/>
              </w:rPr>
              <w:t xml:space="preserve"> </w:t>
            </w:r>
            <w:r w:rsidR="001762AF" w:rsidRPr="00943C75">
              <w:rPr>
                <w:sz w:val="22"/>
                <w:szCs w:val="22"/>
              </w:rPr>
              <w:t>de</w:t>
            </w:r>
            <w:r w:rsidR="00D6239C" w:rsidRPr="00943C75">
              <w:rPr>
                <w:sz w:val="22"/>
                <w:szCs w:val="22"/>
              </w:rPr>
              <w:t xml:space="preserve">finitions regarding fugitive emissions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Pr="006E628C" w:rsidRDefault="00F65F4D" w:rsidP="008A58E0">
            <w:pPr>
              <w:spacing w:after="120"/>
              <w:rPr>
                <w:sz w:val="22"/>
                <w:szCs w:val="22"/>
              </w:rPr>
            </w:pPr>
            <w:r w:rsidRPr="006E628C">
              <w:rPr>
                <w:sz w:val="22"/>
                <w:szCs w:val="22"/>
              </w:rPr>
              <w:lastRenderedPageBreak/>
              <w:t>We</w:t>
            </w:r>
            <w:r w:rsidR="007F3E5D" w:rsidRPr="006E628C">
              <w:rPr>
                <w:sz w:val="22"/>
                <w:szCs w:val="22"/>
              </w:rPr>
              <w:t xml:space="preserve"> request that DEQ revise the definition of “major source” to exclude fugitive emissions from consideration except in relation to sources in one of the designated source categories</w:t>
            </w:r>
            <w:r w:rsidR="004A0EA4" w:rsidRPr="006E628C">
              <w:rPr>
                <w:sz w:val="22"/>
                <w:szCs w:val="22"/>
              </w:rPr>
              <w:t xml:space="preserve">. </w:t>
            </w:r>
            <w:r w:rsidR="007F3E5D" w:rsidRPr="006E628C">
              <w:rPr>
                <w:sz w:val="22"/>
                <w:szCs w:val="22"/>
              </w:rPr>
              <w:lastRenderedPageBreak/>
              <w:t>EPA’s Tailoring Rule is clear that fugitive GHG emissions need only be considered in determining PSD and Title V applicability for sources within one of the designated source categories</w:t>
            </w:r>
            <w:r w:rsidR="004A0EA4" w:rsidRPr="006E628C">
              <w:rPr>
                <w:sz w:val="22"/>
                <w:szCs w:val="22"/>
              </w:rPr>
              <w:t xml:space="preserve">. </w:t>
            </w:r>
            <w:r w:rsidR="007F3E5D" w:rsidRPr="006E628C">
              <w:rPr>
                <w:sz w:val="22"/>
                <w:szCs w:val="22"/>
              </w:rPr>
              <w:t>Nonetheless, although DEQ has stated that it intends to be no more stringent than that Tailoring Rule requires, it is proposing that fugitive GHG emissions must be included for all sources when determining PSD or Title V applicability</w:t>
            </w:r>
            <w:r w:rsidR="004A0EA4" w:rsidRPr="006E628C">
              <w:rPr>
                <w:sz w:val="22"/>
                <w:szCs w:val="22"/>
              </w:rPr>
              <w:t xml:space="preserve">. </w:t>
            </w:r>
            <w:r w:rsidR="00FC04EC" w:rsidRPr="006E628C">
              <w:rPr>
                <w:sz w:val="22"/>
                <w:szCs w:val="22"/>
              </w:rPr>
              <w:t xml:space="preserve">(1, 2, 4, </w:t>
            </w:r>
            <w:r w:rsidR="00231353" w:rsidRPr="006E628C">
              <w:rPr>
                <w:sz w:val="22"/>
                <w:szCs w:val="22"/>
              </w:rPr>
              <w:t xml:space="preserve">9, </w:t>
            </w:r>
            <w:r w:rsidR="00FC04EC" w:rsidRPr="006E628C">
              <w:rPr>
                <w:sz w:val="22"/>
                <w:szCs w:val="22"/>
              </w:rPr>
              <w:t>11, 13</w:t>
            </w:r>
            <w:r w:rsidR="00F51667" w:rsidRPr="006E628C">
              <w:rPr>
                <w:sz w:val="22"/>
                <w:szCs w:val="22"/>
              </w:rPr>
              <w:t>, 14</w:t>
            </w:r>
            <w:r w:rsidR="00231353" w:rsidRPr="006E628C">
              <w:rPr>
                <w:sz w:val="22"/>
                <w:szCs w:val="22"/>
              </w:rPr>
              <w:t>, 16, 17</w:t>
            </w:r>
            <w:r w:rsidR="007D2A64" w:rsidRPr="006E628C">
              <w:rPr>
                <w:sz w:val="22"/>
                <w:szCs w:val="22"/>
              </w:rPr>
              <w:t>, 23</w:t>
            </w:r>
            <w:r w:rsidR="00FC04EC" w:rsidRPr="006E628C">
              <w:rPr>
                <w:sz w:val="22"/>
                <w:szCs w:val="22"/>
              </w:rPr>
              <w:t>)</w:t>
            </w:r>
          </w:p>
          <w:p w:rsidR="007F3E5D" w:rsidRPr="006E628C" w:rsidRDefault="007F3E5D" w:rsidP="008A58E0">
            <w:pPr>
              <w:spacing w:after="120"/>
              <w:rPr>
                <w:i/>
                <w:sz w:val="22"/>
                <w:szCs w:val="22"/>
              </w:rPr>
            </w:pPr>
            <w:r w:rsidRPr="006E628C">
              <w:rPr>
                <w:i/>
                <w:sz w:val="22"/>
                <w:szCs w:val="22"/>
              </w:rPr>
              <w:t>Response:</w:t>
            </w:r>
          </w:p>
          <w:p w:rsidR="00480169" w:rsidRPr="006E628C" w:rsidRDefault="00480169" w:rsidP="00480169">
            <w:pPr>
              <w:pStyle w:val="NormalWeb"/>
              <w:spacing w:before="0" w:beforeAutospacing="0" w:after="120" w:afterAutospacing="0"/>
              <w:rPr>
                <w:i/>
                <w:sz w:val="22"/>
                <w:szCs w:val="22"/>
              </w:rPr>
            </w:pPr>
            <w:r w:rsidRPr="006E628C">
              <w:rPr>
                <w:i/>
                <w:sz w:val="22"/>
                <w:szCs w:val="22"/>
              </w:rPr>
              <w:t xml:space="preserve">Fugitive emissions have always been included in determining whether a source is a major source </w:t>
            </w:r>
            <w:r w:rsidR="00353084">
              <w:rPr>
                <w:i/>
                <w:sz w:val="22"/>
                <w:szCs w:val="22"/>
              </w:rPr>
              <w:t xml:space="preserve">in Oregon </w:t>
            </w:r>
            <w:r w:rsidRPr="006E628C">
              <w:rPr>
                <w:i/>
                <w:sz w:val="22"/>
                <w:szCs w:val="22"/>
              </w:rPr>
              <w:t xml:space="preserve">in accordance with OAR </w:t>
            </w:r>
            <w:r w:rsidRPr="006E628C">
              <w:rPr>
                <w:bCs/>
                <w:i/>
                <w:sz w:val="22"/>
                <w:szCs w:val="22"/>
              </w:rPr>
              <w:t>340-224-0100:</w:t>
            </w:r>
          </w:p>
          <w:p w:rsidR="007F3E5D" w:rsidRPr="006E628C" w:rsidRDefault="007F3E5D" w:rsidP="00480169">
            <w:pPr>
              <w:pStyle w:val="NormalWeb"/>
              <w:spacing w:before="0" w:beforeAutospacing="0" w:after="120" w:afterAutospacing="0"/>
              <w:ind w:left="720"/>
              <w:rPr>
                <w:i/>
                <w:sz w:val="22"/>
                <w:szCs w:val="22"/>
              </w:rPr>
            </w:pPr>
            <w:r w:rsidRPr="006E628C">
              <w:rPr>
                <w:i/>
                <w:sz w:val="22"/>
                <w:szCs w:val="22"/>
              </w:rPr>
              <w:t>“Fugitive emissions are included in the calculation of emission rates of all air contaminants. Fugitive emissions are subject to the same control requirements and analyses required for emissions from identifiable stacks or vents.”</w:t>
            </w:r>
          </w:p>
          <w:p w:rsidR="007F3E5D" w:rsidRPr="006E628C" w:rsidRDefault="008A58E0" w:rsidP="00480169">
            <w:pPr>
              <w:spacing w:after="120"/>
              <w:rPr>
                <w:rFonts w:ascii="Melior" w:eastAsiaTheme="minorHAnsi" w:hAnsi="Melior" w:cs="Melior"/>
                <w:color w:val="000000"/>
                <w:sz w:val="18"/>
                <w:szCs w:val="18"/>
              </w:rPr>
            </w:pPr>
            <w:r w:rsidRPr="006E628C">
              <w:rPr>
                <w:i/>
                <w:sz w:val="22"/>
                <w:szCs w:val="22"/>
              </w:rPr>
              <w:t>In Oregon,</w:t>
            </w:r>
            <w:r w:rsidR="00D2672C" w:rsidRPr="006E628C">
              <w:rPr>
                <w:i/>
                <w:sz w:val="22"/>
                <w:szCs w:val="22"/>
              </w:rPr>
              <w:t xml:space="preserve"> fugitive emissions</w:t>
            </w:r>
            <w:r w:rsidRPr="006E628C">
              <w:rPr>
                <w:i/>
                <w:sz w:val="22"/>
                <w:szCs w:val="22"/>
              </w:rPr>
              <w:t xml:space="preserve"> means</w:t>
            </w:r>
            <w:r w:rsidR="00C7143F" w:rsidRPr="006E628C">
              <w:rPr>
                <w:i/>
                <w:sz w:val="22"/>
                <w:szCs w:val="22"/>
              </w:rPr>
              <w:t xml:space="preserve"> emissions of any air contaminant which escape to the atmosphere from any point or area that is not identifiable as a stack, vent, duct, or equivalent opening</w:t>
            </w:r>
            <w:r w:rsidR="004A0EA4" w:rsidRPr="006E628C">
              <w:rPr>
                <w:i/>
                <w:sz w:val="22"/>
                <w:szCs w:val="22"/>
              </w:rPr>
              <w:t xml:space="preserve">. </w:t>
            </w:r>
            <w:r w:rsidRPr="006E628C">
              <w:rPr>
                <w:i/>
                <w:sz w:val="22"/>
                <w:szCs w:val="22"/>
              </w:rPr>
              <w:t>In the federal program, f</w:t>
            </w:r>
            <w:r w:rsidR="00C7143F" w:rsidRPr="006E628C">
              <w:rPr>
                <w:i/>
                <w:iCs/>
                <w:sz w:val="22"/>
                <w:szCs w:val="22"/>
              </w:rPr>
              <w:t xml:space="preserve">ugitive emissions </w:t>
            </w:r>
            <w:r w:rsidR="00C7143F" w:rsidRPr="006E628C">
              <w:rPr>
                <w:i/>
                <w:sz w:val="22"/>
                <w:szCs w:val="22"/>
              </w:rPr>
              <w:t xml:space="preserve">means those emissions which could not reasonably pass through a stack, chimney, vent, or other functionally equivalent opening. </w:t>
            </w:r>
            <w:r w:rsidR="00D2672C" w:rsidRPr="006E628C">
              <w:rPr>
                <w:i/>
                <w:sz w:val="22"/>
                <w:szCs w:val="22"/>
              </w:rPr>
              <w:t xml:space="preserve">If DEQ were to change the </w:t>
            </w:r>
            <w:r w:rsidR="00B411AF" w:rsidRPr="006E628C">
              <w:rPr>
                <w:i/>
                <w:sz w:val="22"/>
                <w:szCs w:val="22"/>
              </w:rPr>
              <w:t>way fugitive emissions are handled, then the definition would also need to be changed</w:t>
            </w:r>
            <w:r w:rsidR="004A0EA4" w:rsidRPr="006E628C">
              <w:rPr>
                <w:i/>
                <w:sz w:val="22"/>
                <w:szCs w:val="22"/>
              </w:rPr>
              <w:t xml:space="preserve">. </w:t>
            </w:r>
            <w:r w:rsidR="00480169" w:rsidRPr="006E628C">
              <w:rPr>
                <w:i/>
                <w:sz w:val="22"/>
                <w:szCs w:val="22"/>
              </w:rPr>
              <w:t xml:space="preserve">The proposed revisions to the definitions of federal major source and major source ensure that they are consistent with OAR 340-224-0100. </w:t>
            </w:r>
            <w:r w:rsidR="00B411AF" w:rsidRPr="006E628C">
              <w:rPr>
                <w:i/>
                <w:sz w:val="22"/>
                <w:szCs w:val="22"/>
              </w:rPr>
              <w:t>This is a clarification of the rules and is not a change in implementation or policy</w:t>
            </w:r>
            <w:r w:rsidR="004A0EA4" w:rsidRPr="006E628C">
              <w:rPr>
                <w:i/>
                <w:sz w:val="22"/>
                <w:szCs w:val="22"/>
              </w:rPr>
              <w:t xml:space="preserve">. </w:t>
            </w:r>
            <w:r w:rsidR="00C9026A" w:rsidRPr="006E628C">
              <w:rPr>
                <w:i/>
                <w:sz w:val="22"/>
                <w:szCs w:val="22"/>
              </w:rPr>
              <w:t>Including fugitive emissions in the calculation of all emission rates is also more protective of the environment</w:t>
            </w:r>
            <w:r w:rsidR="008D538C">
              <w:rPr>
                <w:i/>
                <w:sz w:val="22"/>
                <w:szCs w:val="22"/>
              </w:rPr>
              <w:t xml:space="preserve">. </w:t>
            </w:r>
            <w:r w:rsidR="00A21C65">
              <w:rPr>
                <w:i/>
                <w:sz w:val="22"/>
                <w:szCs w:val="22"/>
              </w:rPr>
              <w:t>No change to the rule is proposed in response to this comment.</w:t>
            </w:r>
          </w:p>
        </w:tc>
      </w:tr>
      <w:tr w:rsidR="0051452D" w:rsidRPr="002D0FE2"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08"/>
              <w:rPr>
                <w:bCs/>
                <w:sz w:val="22"/>
                <w:szCs w:val="22"/>
              </w:rPr>
            </w:pPr>
          </w:p>
          <w:p w:rsidR="0051452D" w:rsidRPr="00943C75" w:rsidRDefault="0051452D" w:rsidP="00386F1F">
            <w:pPr>
              <w:ind w:right="-108"/>
              <w:rPr>
                <w:bCs/>
                <w:sz w:val="22"/>
                <w:szCs w:val="22"/>
              </w:rPr>
            </w:pPr>
            <w:r w:rsidRPr="00943C75">
              <w:rPr>
                <w:bCs/>
                <w:sz w:val="22"/>
                <w:szCs w:val="22"/>
              </w:rPr>
              <w:t>Greenhouse gas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D5612" w:rsidRPr="00802424" w:rsidRDefault="0051452D" w:rsidP="00802424">
            <w:pPr>
              <w:spacing w:after="120"/>
              <w:rPr>
                <w:sz w:val="22"/>
                <w:szCs w:val="22"/>
              </w:rPr>
            </w:pPr>
            <w:r w:rsidRPr="00802424">
              <w:rPr>
                <w:sz w:val="22"/>
                <w:szCs w:val="22"/>
              </w:rPr>
              <w:t>DEQ should revise the proposed definition of “greenhouse gas” to exclude CO</w:t>
            </w:r>
            <w:r w:rsidRPr="00802424">
              <w:rPr>
                <w:sz w:val="22"/>
                <w:szCs w:val="22"/>
                <w:vertAlign w:val="subscript"/>
              </w:rPr>
              <w:t>2</w:t>
            </w:r>
            <w:r w:rsidRPr="00802424">
              <w:rPr>
                <w:sz w:val="22"/>
                <w:szCs w:val="22"/>
              </w:rPr>
              <w:t xml:space="preserve"> emissions from biomass effective upon the date that EPA authorizes the removal of biomass GHG emissions from PSD consideration</w:t>
            </w:r>
            <w:r w:rsidR="004A0EA4">
              <w:rPr>
                <w:sz w:val="22"/>
                <w:szCs w:val="22"/>
              </w:rPr>
              <w:t xml:space="preserve">. </w:t>
            </w:r>
            <w:r w:rsidRPr="00802424">
              <w:rPr>
                <w:sz w:val="22"/>
                <w:szCs w:val="22"/>
              </w:rPr>
              <w:t>EPA has promised to finalize its decision in 2011 on whether biomass related CO</w:t>
            </w:r>
            <w:r w:rsidRPr="00802424">
              <w:rPr>
                <w:sz w:val="22"/>
                <w:szCs w:val="22"/>
                <w:vertAlign w:val="subscript"/>
              </w:rPr>
              <w:t>2</w:t>
            </w:r>
            <w:r w:rsidRPr="00802424">
              <w:rPr>
                <w:sz w:val="22"/>
                <w:szCs w:val="22"/>
              </w:rPr>
              <w:t xml:space="preserve"> emissions must be counted in determining PSD applicability</w:t>
            </w:r>
            <w:r w:rsidR="004A0EA4">
              <w:rPr>
                <w:sz w:val="22"/>
                <w:szCs w:val="22"/>
              </w:rPr>
              <w:t xml:space="preserve">. </w:t>
            </w:r>
            <w:r w:rsidRPr="00802424">
              <w:rPr>
                <w:sz w:val="22"/>
                <w:szCs w:val="22"/>
              </w:rPr>
              <w:t>If EPA concludes that the CO</w:t>
            </w:r>
            <w:r w:rsidRPr="00802424">
              <w:rPr>
                <w:sz w:val="22"/>
                <w:szCs w:val="22"/>
                <w:vertAlign w:val="subscript"/>
              </w:rPr>
              <w:t>2</w:t>
            </w:r>
            <w:r w:rsidRPr="00802424">
              <w:rPr>
                <w:sz w:val="22"/>
                <w:szCs w:val="22"/>
              </w:rPr>
              <w:t xml:space="preserve"> emissions from biomass should not be counted, then, consistent with Oregon’s policy of promoting responsible utilization of biomass, the Oregon rules should automatically implement the EPA position</w:t>
            </w:r>
            <w:r w:rsidR="004A0EA4">
              <w:rPr>
                <w:sz w:val="22"/>
                <w:szCs w:val="22"/>
              </w:rPr>
              <w:t xml:space="preserve">. </w:t>
            </w:r>
            <w:r w:rsidR="00FC04EC" w:rsidRPr="00802424">
              <w:rPr>
                <w:sz w:val="22"/>
                <w:szCs w:val="22"/>
              </w:rPr>
              <w:t>(1, 2, 4, 11, 13</w:t>
            </w:r>
            <w:r w:rsidR="00F51667" w:rsidRPr="00802424">
              <w:rPr>
                <w:sz w:val="22"/>
                <w:szCs w:val="22"/>
              </w:rPr>
              <w:t>, 14</w:t>
            </w:r>
            <w:r w:rsidR="00231353" w:rsidRPr="00802424">
              <w:rPr>
                <w:sz w:val="22"/>
                <w:szCs w:val="22"/>
              </w:rPr>
              <w:t>, 15, 17</w:t>
            </w:r>
            <w:r w:rsidR="007D2A64">
              <w:rPr>
                <w:sz w:val="22"/>
                <w:szCs w:val="22"/>
              </w:rPr>
              <w:t>, 23</w:t>
            </w:r>
            <w:r w:rsidR="00FC04EC" w:rsidRPr="00802424">
              <w:rPr>
                <w:sz w:val="22"/>
                <w:szCs w:val="22"/>
              </w:rPr>
              <w:t>)</w:t>
            </w:r>
            <w:r w:rsidR="00DD5612" w:rsidRPr="00802424">
              <w:rPr>
                <w:sz w:val="22"/>
                <w:szCs w:val="22"/>
              </w:rPr>
              <w:t xml:space="preserve"> </w:t>
            </w:r>
          </w:p>
          <w:p w:rsidR="0051452D" w:rsidRPr="00802424" w:rsidRDefault="0051452D" w:rsidP="00802424">
            <w:pPr>
              <w:pStyle w:val="Style2"/>
              <w:widowControl/>
              <w:spacing w:after="120" w:line="240" w:lineRule="auto"/>
              <w:rPr>
                <w:rStyle w:val="FontStyle15"/>
              </w:rPr>
            </w:pPr>
            <w:r w:rsidRPr="00802424">
              <w:rPr>
                <w:rStyle w:val="FontStyle15"/>
              </w:rPr>
              <w:t xml:space="preserve">As </w:t>
            </w:r>
            <w:r w:rsidR="00DA32C4">
              <w:rPr>
                <w:rStyle w:val="FontStyle15"/>
              </w:rPr>
              <w:t xml:space="preserve">[former] </w:t>
            </w:r>
            <w:r w:rsidRPr="00802424">
              <w:rPr>
                <w:rStyle w:val="FontStyle15"/>
              </w:rPr>
              <w:t xml:space="preserve">Governor Kulongoski has repeatedly stated, biomass is key to Oregon's economic future as well as to reducing greenhouse gas emissions. DEQ should adopt rules that ensure that as soon as possible, the regulations will reflect the preference for the burning of renewable biomass as opposed to non-renewable fossil fuel. </w:t>
            </w:r>
            <w:r w:rsidR="004343C3" w:rsidRPr="00802424">
              <w:rPr>
                <w:rStyle w:val="FontStyle15"/>
              </w:rPr>
              <w:t>(16)</w:t>
            </w:r>
          </w:p>
          <w:p w:rsidR="0051452D" w:rsidRPr="00802424" w:rsidRDefault="0051452D" w:rsidP="00802424">
            <w:pPr>
              <w:pStyle w:val="Style2"/>
              <w:widowControl/>
              <w:spacing w:after="120" w:line="240" w:lineRule="auto"/>
              <w:rPr>
                <w:rStyle w:val="FontStyle15"/>
                <w:i/>
              </w:rPr>
            </w:pPr>
            <w:r w:rsidRPr="00802424">
              <w:rPr>
                <w:rStyle w:val="FontStyle15"/>
                <w:i/>
              </w:rPr>
              <w:t>Response:</w:t>
            </w:r>
          </w:p>
          <w:p w:rsidR="00802424" w:rsidRPr="00B84521" w:rsidRDefault="00802424" w:rsidP="00802424">
            <w:pPr>
              <w:autoSpaceDE w:val="0"/>
              <w:autoSpaceDN w:val="0"/>
              <w:adjustRightInd w:val="0"/>
              <w:spacing w:after="120"/>
              <w:rPr>
                <w:i/>
                <w:color w:val="000000"/>
                <w:sz w:val="22"/>
                <w:szCs w:val="22"/>
              </w:rPr>
            </w:pPr>
            <w:r w:rsidRPr="00B84521">
              <w:rPr>
                <w:i/>
                <w:color w:val="000000"/>
                <w:sz w:val="22"/>
                <w:szCs w:val="22"/>
              </w:rPr>
              <w:t xml:space="preserve">On </w:t>
            </w:r>
            <w:r w:rsidR="004C7C82" w:rsidRPr="00B84521">
              <w:rPr>
                <w:i/>
                <w:color w:val="000000"/>
                <w:sz w:val="22"/>
                <w:szCs w:val="22"/>
              </w:rPr>
              <w:t>01/12/2011</w:t>
            </w:r>
            <w:r w:rsidRPr="00B84521">
              <w:rPr>
                <w:i/>
                <w:color w:val="000000"/>
                <w:sz w:val="22"/>
                <w:szCs w:val="22"/>
              </w:rPr>
              <w:t xml:space="preserve">, </w:t>
            </w:r>
            <w:r w:rsidR="004C7C82" w:rsidRPr="00B84521">
              <w:rPr>
                <w:i/>
                <w:color w:val="000000"/>
                <w:sz w:val="22"/>
                <w:szCs w:val="22"/>
              </w:rPr>
              <w:t xml:space="preserve">EPA </w:t>
            </w:r>
            <w:r w:rsidRPr="00B84521">
              <w:rPr>
                <w:i/>
                <w:color w:val="000000"/>
                <w:sz w:val="22"/>
                <w:szCs w:val="22"/>
              </w:rPr>
              <w:t xml:space="preserve">announced </w:t>
            </w:r>
            <w:r w:rsidR="004C7C82" w:rsidRPr="00B84521">
              <w:rPr>
                <w:i/>
                <w:color w:val="000000"/>
                <w:sz w:val="22"/>
                <w:szCs w:val="22"/>
              </w:rPr>
              <w:t>its plan to defer, for three years, greenhouse gas permitting requirements for carbon dioxide (CO2) emissions from biomass-fired and other biogenic sources. By July 2011, EPA plans to complete a rulemaking</w:t>
            </w:r>
            <w:r w:rsidR="00DA32C4">
              <w:rPr>
                <w:i/>
                <w:color w:val="000000"/>
                <w:sz w:val="22"/>
                <w:szCs w:val="22"/>
              </w:rPr>
              <w:t xml:space="preserve"> to implement this deferral</w:t>
            </w:r>
            <w:r w:rsidR="004C7C82" w:rsidRPr="00B84521">
              <w:rPr>
                <w:i/>
                <w:color w:val="000000"/>
                <w:sz w:val="22"/>
                <w:szCs w:val="22"/>
              </w:rPr>
              <w:t xml:space="preserve">. During the three-year period, the </w:t>
            </w:r>
            <w:r w:rsidR="00DA32C4">
              <w:rPr>
                <w:i/>
                <w:color w:val="000000"/>
                <w:sz w:val="22"/>
                <w:szCs w:val="22"/>
              </w:rPr>
              <w:t>EPA plans to</w:t>
            </w:r>
            <w:r w:rsidR="004C7C82" w:rsidRPr="00B84521">
              <w:rPr>
                <w:i/>
                <w:color w:val="000000"/>
                <w:sz w:val="22"/>
                <w:szCs w:val="22"/>
              </w:rPr>
              <w:t xml:space="preserve"> seek input on critical scientific issues from its partners within the federal government and from outside scientists who have relevant expertise.</w:t>
            </w:r>
            <w:r w:rsidRPr="00B84521">
              <w:rPr>
                <w:i/>
                <w:color w:val="000000"/>
                <w:sz w:val="22"/>
                <w:szCs w:val="22"/>
              </w:rPr>
              <w:t xml:space="preserve"> </w:t>
            </w:r>
            <w:r w:rsidR="004C7C82" w:rsidRPr="00B84521">
              <w:rPr>
                <w:i/>
                <w:color w:val="000000"/>
                <w:sz w:val="22"/>
                <w:szCs w:val="22"/>
              </w:rPr>
              <w:t xml:space="preserve">Before the end of the three-year period, the agency intends to issue a second rulemaking that determines how these emissions should be treated or counted under GHG permitting requirements. </w:t>
            </w:r>
          </w:p>
          <w:p w:rsidR="00802424" w:rsidRPr="00B84521" w:rsidRDefault="00802424" w:rsidP="00802424">
            <w:pPr>
              <w:autoSpaceDE w:val="0"/>
              <w:autoSpaceDN w:val="0"/>
              <w:adjustRightInd w:val="0"/>
              <w:spacing w:after="120"/>
              <w:rPr>
                <w:i/>
                <w:color w:val="000000"/>
                <w:sz w:val="22"/>
                <w:szCs w:val="22"/>
              </w:rPr>
            </w:pPr>
            <w:r w:rsidRPr="00B84521">
              <w:rPr>
                <w:i/>
                <w:color w:val="000000"/>
                <w:sz w:val="22"/>
                <w:szCs w:val="22"/>
              </w:rPr>
              <w:t xml:space="preserve">EPA </w:t>
            </w:r>
            <w:r w:rsidR="004C7C82" w:rsidRPr="00B84521">
              <w:rPr>
                <w:i/>
                <w:color w:val="000000"/>
                <w:sz w:val="22"/>
                <w:szCs w:val="22"/>
              </w:rPr>
              <w:t xml:space="preserve">will also </w:t>
            </w:r>
            <w:r w:rsidR="00DA32C4">
              <w:rPr>
                <w:i/>
                <w:color w:val="000000"/>
                <w:sz w:val="22"/>
                <w:szCs w:val="22"/>
              </w:rPr>
              <w:t xml:space="preserve">plan to </w:t>
            </w:r>
            <w:r w:rsidR="004C7C82" w:rsidRPr="00B84521">
              <w:rPr>
                <w:i/>
                <w:color w:val="000000"/>
                <w:sz w:val="22"/>
                <w:szCs w:val="22"/>
              </w:rPr>
              <w:t xml:space="preserve">issue guidance shortly that will provide a basis that state or local permitting authorities may use to conclude that the use of biomass as fuel is the best available control technology for GHG emissions until the agency can complete an action on </w:t>
            </w:r>
            <w:r w:rsidR="004C7C82" w:rsidRPr="00B84521">
              <w:rPr>
                <w:i/>
                <w:color w:val="000000"/>
                <w:sz w:val="22"/>
                <w:szCs w:val="22"/>
              </w:rPr>
              <w:lastRenderedPageBreak/>
              <w:t xml:space="preserve">the three-year deferral in July. </w:t>
            </w:r>
          </w:p>
          <w:p w:rsidR="00012675" w:rsidRDefault="00B84521">
            <w:pPr>
              <w:spacing w:after="120"/>
              <w:rPr>
                <w:i/>
                <w:sz w:val="22"/>
                <w:szCs w:val="22"/>
              </w:rPr>
            </w:pPr>
            <w:r>
              <w:rPr>
                <w:i/>
                <w:sz w:val="22"/>
                <w:szCs w:val="22"/>
              </w:rPr>
              <w:t xml:space="preserve">DEQ has </w:t>
            </w:r>
            <w:r w:rsidR="00DA32C4">
              <w:rPr>
                <w:i/>
                <w:sz w:val="22"/>
                <w:szCs w:val="22"/>
              </w:rPr>
              <w:t>proposed a change to</w:t>
            </w:r>
            <w:r>
              <w:rPr>
                <w:i/>
                <w:sz w:val="22"/>
                <w:szCs w:val="22"/>
              </w:rPr>
              <w:t xml:space="preserve"> the definitions of </w:t>
            </w:r>
            <w:r w:rsidR="00A21C65">
              <w:rPr>
                <w:i/>
                <w:sz w:val="22"/>
                <w:szCs w:val="22"/>
              </w:rPr>
              <w:t>“</w:t>
            </w:r>
            <w:r w:rsidR="00524E82">
              <w:rPr>
                <w:i/>
                <w:sz w:val="22"/>
                <w:szCs w:val="22"/>
              </w:rPr>
              <w:t>greenhouse gases</w:t>
            </w:r>
            <w:r w:rsidR="00A21C65">
              <w:rPr>
                <w:i/>
                <w:sz w:val="22"/>
                <w:szCs w:val="22"/>
              </w:rPr>
              <w:t>”</w:t>
            </w:r>
            <w:r>
              <w:rPr>
                <w:i/>
                <w:sz w:val="22"/>
                <w:szCs w:val="22"/>
              </w:rPr>
              <w:t xml:space="preserve"> to</w:t>
            </w:r>
            <w:r w:rsidR="00524E82">
              <w:rPr>
                <w:i/>
                <w:sz w:val="22"/>
                <w:szCs w:val="22"/>
              </w:rPr>
              <w:t xml:space="preserve"> </w:t>
            </w:r>
            <w:r w:rsidR="00A21C65">
              <w:rPr>
                <w:i/>
                <w:sz w:val="22"/>
                <w:szCs w:val="22"/>
              </w:rPr>
              <w:t xml:space="preserve">exempt </w:t>
            </w:r>
            <w:r>
              <w:rPr>
                <w:i/>
                <w:sz w:val="22"/>
                <w:szCs w:val="22"/>
              </w:rPr>
              <w:t>CO</w:t>
            </w:r>
            <w:r>
              <w:rPr>
                <w:i/>
                <w:sz w:val="22"/>
                <w:szCs w:val="22"/>
                <w:vertAlign w:val="subscript"/>
              </w:rPr>
              <w:t>2</w:t>
            </w:r>
            <w:r>
              <w:rPr>
                <w:i/>
                <w:sz w:val="22"/>
                <w:szCs w:val="22"/>
              </w:rPr>
              <w:t xml:space="preserve"> derived from biomass</w:t>
            </w:r>
            <w:r w:rsidR="00DA32C4">
              <w:rPr>
                <w:i/>
                <w:sz w:val="22"/>
                <w:szCs w:val="22"/>
              </w:rPr>
              <w:t xml:space="preserve"> from PSD and Title V permitting during the three-year EPA deferral period</w:t>
            </w:r>
            <w:r w:rsidR="004A0EA4">
              <w:rPr>
                <w:i/>
                <w:sz w:val="22"/>
                <w:szCs w:val="22"/>
              </w:rPr>
              <w:t xml:space="preserve">. </w:t>
            </w:r>
          </w:p>
        </w:tc>
      </w:tr>
      <w:tr w:rsidR="00D6239C"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15"/>
              <w:rPr>
                <w:rStyle w:val="FontStyle15"/>
              </w:rPr>
            </w:pPr>
          </w:p>
          <w:p w:rsidR="00D6239C" w:rsidRPr="00943C75" w:rsidRDefault="00D6239C" w:rsidP="00386F1F">
            <w:pPr>
              <w:ind w:right="-115"/>
              <w:rPr>
                <w:bCs/>
                <w:sz w:val="22"/>
                <w:szCs w:val="22"/>
              </w:rPr>
            </w:pPr>
            <w:r w:rsidRPr="00943C75">
              <w:rPr>
                <w:rStyle w:val="FontStyle15"/>
              </w:rPr>
              <w:t>Sequestering of carbon based emissions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6239C" w:rsidRDefault="00D6239C" w:rsidP="00EE0BFF">
            <w:pPr>
              <w:pStyle w:val="Style5"/>
              <w:widowControl/>
              <w:spacing w:before="34" w:line="274" w:lineRule="exact"/>
              <w:rPr>
                <w:rFonts w:ascii="Times New Roman" w:hAnsi="Times New Roman" w:cs="Times New Roman"/>
                <w:sz w:val="22"/>
                <w:szCs w:val="22"/>
              </w:rPr>
            </w:pPr>
            <w:r>
              <w:rPr>
                <w:rStyle w:val="FontStyle15"/>
              </w:rPr>
              <w:t>M</w:t>
            </w:r>
            <w:r w:rsidRPr="0030422A">
              <w:rPr>
                <w:rStyle w:val="FontStyle15"/>
              </w:rPr>
              <w:t xml:space="preserve">any company owners will be faced with higher fees and administrative costs, without realizing the </w:t>
            </w:r>
            <w:r w:rsidRPr="001A61F0">
              <w:rPr>
                <w:rStyle w:val="FontStyle15"/>
              </w:rPr>
              <w:t xml:space="preserve">benefit of forest ownership that sequesters </w:t>
            </w:r>
            <w:r w:rsidRPr="001A61F0">
              <w:rPr>
                <w:rStyle w:val="FontStyle19"/>
                <w:rFonts w:ascii="Times New Roman" w:hAnsi="Times New Roman" w:cs="Times New Roman"/>
                <w:b w:val="0"/>
                <w:sz w:val="22"/>
                <w:szCs w:val="22"/>
              </w:rPr>
              <w:t>CO</w:t>
            </w:r>
            <w:r w:rsidRPr="001A61F0">
              <w:rPr>
                <w:rStyle w:val="FontStyle19"/>
                <w:rFonts w:ascii="Times New Roman" w:hAnsi="Times New Roman" w:cs="Times New Roman"/>
                <w:b w:val="0"/>
                <w:sz w:val="22"/>
                <w:szCs w:val="22"/>
                <w:vertAlign w:val="subscript"/>
              </w:rPr>
              <w:t>2</w:t>
            </w:r>
            <w:r w:rsidRPr="001A61F0">
              <w:rPr>
                <w:rStyle w:val="FontStyle19"/>
                <w:rFonts w:ascii="Times New Roman" w:hAnsi="Times New Roman" w:cs="Times New Roman"/>
                <w:sz w:val="22"/>
                <w:szCs w:val="22"/>
              </w:rPr>
              <w:t xml:space="preserve"> </w:t>
            </w:r>
            <w:r w:rsidRPr="001A61F0">
              <w:rPr>
                <w:rStyle w:val="FontStyle15"/>
              </w:rPr>
              <w:t xml:space="preserve">and GHG emissions. </w:t>
            </w:r>
            <w:r w:rsidRPr="0030422A">
              <w:rPr>
                <w:rStyle w:val="FontStyle15"/>
              </w:rPr>
              <w:t>Starting</w:t>
            </w:r>
            <w:r w:rsidR="00A21C65">
              <w:rPr>
                <w:rStyle w:val="FontStyle15"/>
              </w:rPr>
              <w:t xml:space="preserve"> in </w:t>
            </w:r>
            <w:r w:rsidRPr="0030422A">
              <w:rPr>
                <w:rStyle w:val="FontStyle15"/>
              </w:rPr>
              <w:t xml:space="preserve">2011 many forest owners in New Zealand have the options of receiving "carbon credits" and using these credits as offsets or selling them and receiving income for the sequestering of carbon based emissions. The current ODEQ and EPA policies do not take these issues into </w:t>
            </w:r>
            <w:r w:rsidR="00DA32C4">
              <w:rPr>
                <w:rStyle w:val="FontStyle15"/>
              </w:rPr>
              <w:t>account</w:t>
            </w:r>
            <w:r w:rsidR="00DA32C4" w:rsidRPr="0030422A">
              <w:rPr>
                <w:rStyle w:val="FontStyle15"/>
              </w:rPr>
              <w:t xml:space="preserve"> </w:t>
            </w:r>
            <w:r>
              <w:rPr>
                <w:rStyle w:val="FontStyle15"/>
              </w:rPr>
              <w:t>for</w:t>
            </w:r>
            <w:r w:rsidRPr="0030422A">
              <w:rPr>
                <w:rStyle w:val="FontStyle15"/>
              </w:rPr>
              <w:t xml:space="preserve"> parties that own CO</w:t>
            </w:r>
            <w:r w:rsidRPr="0030422A">
              <w:rPr>
                <w:rStyle w:val="FontStyle15"/>
                <w:vertAlign w:val="subscript"/>
              </w:rPr>
              <w:t>2</w:t>
            </w:r>
            <w:r w:rsidRPr="0030422A">
              <w:rPr>
                <w:rStyle w:val="FontStyle15"/>
              </w:rPr>
              <w:t xml:space="preserve"> sequestering assets</w:t>
            </w:r>
            <w:r w:rsidR="004A0EA4">
              <w:rPr>
                <w:rStyle w:val="FontStyle15"/>
              </w:rPr>
              <w:t xml:space="preserve">. </w:t>
            </w:r>
            <w:r w:rsidRPr="00CF664D">
              <w:rPr>
                <w:rFonts w:ascii="Times New Roman" w:hAnsi="Times New Roman" w:cs="Times New Roman"/>
                <w:sz w:val="22"/>
                <w:szCs w:val="22"/>
              </w:rPr>
              <w:t>(8)</w:t>
            </w:r>
          </w:p>
          <w:p w:rsidR="00D6239C" w:rsidRDefault="00D6239C" w:rsidP="00EE0BFF">
            <w:pPr>
              <w:pStyle w:val="Style5"/>
              <w:widowControl/>
              <w:spacing w:before="34" w:line="274" w:lineRule="exact"/>
              <w:rPr>
                <w:rFonts w:ascii="Times New Roman" w:hAnsi="Times New Roman" w:cs="Times New Roman"/>
                <w:i/>
                <w:sz w:val="22"/>
                <w:szCs w:val="22"/>
              </w:rPr>
            </w:pPr>
            <w:r>
              <w:rPr>
                <w:rFonts w:ascii="Times New Roman" w:hAnsi="Times New Roman" w:cs="Times New Roman"/>
                <w:i/>
                <w:sz w:val="22"/>
                <w:szCs w:val="22"/>
              </w:rPr>
              <w:t>Response:</w:t>
            </w:r>
          </w:p>
          <w:p w:rsidR="00012675" w:rsidRDefault="00DA32C4">
            <w:pPr>
              <w:pStyle w:val="Style5"/>
              <w:widowControl/>
              <w:spacing w:before="34" w:line="274" w:lineRule="exact"/>
              <w:rPr>
                <w:rFonts w:ascii="Times New Roman" w:hAnsi="Times New Roman" w:cs="Times New Roman"/>
                <w:i/>
                <w:sz w:val="22"/>
                <w:szCs w:val="22"/>
              </w:rPr>
            </w:pPr>
            <w:r>
              <w:rPr>
                <w:rFonts w:ascii="Times New Roman" w:hAnsi="Times New Roman" w:cs="Times New Roman"/>
                <w:i/>
                <w:sz w:val="22"/>
                <w:szCs w:val="22"/>
              </w:rPr>
              <w:t xml:space="preserve">As noted in the comment, </w:t>
            </w:r>
            <w:r w:rsidR="00D6239C" w:rsidRPr="00957A8C">
              <w:rPr>
                <w:rFonts w:ascii="Times New Roman" w:hAnsi="Times New Roman" w:cs="Times New Roman"/>
                <w:i/>
                <w:sz w:val="22"/>
                <w:szCs w:val="22"/>
              </w:rPr>
              <w:t xml:space="preserve">EPA did not address </w:t>
            </w:r>
            <w:r w:rsidR="00D6239C" w:rsidRPr="00957A8C">
              <w:rPr>
                <w:rStyle w:val="FontStyle15"/>
                <w:i/>
              </w:rPr>
              <w:t>CO</w:t>
            </w:r>
            <w:r w:rsidR="00D6239C" w:rsidRPr="00957A8C">
              <w:rPr>
                <w:rStyle w:val="FontStyle15"/>
                <w:i/>
                <w:vertAlign w:val="subscript"/>
              </w:rPr>
              <w:t>2</w:t>
            </w:r>
            <w:r w:rsidR="00D6239C" w:rsidRPr="00957A8C">
              <w:rPr>
                <w:rStyle w:val="FontStyle15"/>
                <w:i/>
              </w:rPr>
              <w:t xml:space="preserve"> sequestering in the greenhouse gas tailoring rule</w:t>
            </w:r>
            <w:r w:rsidR="00A21C65">
              <w:rPr>
                <w:rStyle w:val="FontStyle15"/>
                <w:i/>
              </w:rPr>
              <w:t xml:space="preserve">. </w:t>
            </w:r>
            <w:r w:rsidR="00E30246">
              <w:rPr>
                <w:rStyle w:val="FontStyle15"/>
                <w:i/>
              </w:rPr>
              <w:t>Because offsets are not required under the PSD program, the PSD program does not create a market for carbon credits and it is not necessary for DEQ to address CO</w:t>
            </w:r>
            <w:r w:rsidR="00064345" w:rsidRPr="00064345">
              <w:rPr>
                <w:rStyle w:val="FontStyle15"/>
                <w:rFonts w:ascii="Times New Roman Italic" w:hAnsi="Times New Roman Italic"/>
                <w:i/>
                <w:vertAlign w:val="subscript"/>
              </w:rPr>
              <w:t>2</w:t>
            </w:r>
            <w:r w:rsidR="00E30246">
              <w:rPr>
                <w:rStyle w:val="FontStyle15"/>
                <w:i/>
              </w:rPr>
              <w:t xml:space="preserve"> sequestering in this rulemaking.</w:t>
            </w:r>
            <w:r w:rsidR="00A21C65">
              <w:rPr>
                <w:rStyle w:val="FontStyle15"/>
                <w:i/>
              </w:rPr>
              <w:t xml:space="preserve"> </w:t>
            </w:r>
            <w:r w:rsidR="00D6239C">
              <w:rPr>
                <w:rStyle w:val="FontStyle15"/>
                <w:i/>
              </w:rPr>
              <w:t xml:space="preserve">If EPA </w:t>
            </w:r>
            <w:r w:rsidR="00E30246">
              <w:rPr>
                <w:rStyle w:val="FontStyle15"/>
                <w:i/>
              </w:rPr>
              <w:t>establishes a requirement for carbon credits</w:t>
            </w:r>
            <w:r w:rsidR="00D6239C">
              <w:rPr>
                <w:rStyle w:val="FontStyle15"/>
                <w:i/>
              </w:rPr>
              <w:t xml:space="preserve"> in a future rulemaking, DEQ will </w:t>
            </w:r>
            <w:r w:rsidR="00E30246">
              <w:rPr>
                <w:rStyle w:val="FontStyle15"/>
                <w:i/>
              </w:rPr>
              <w:t>assess the need for state rules at that time</w:t>
            </w:r>
            <w:r w:rsidR="004A0EA4">
              <w:rPr>
                <w:rStyle w:val="FontStyle15"/>
                <w:i/>
              </w:rPr>
              <w:t xml:space="preserve">. </w:t>
            </w:r>
            <w:r w:rsidR="00A21C65">
              <w:rPr>
                <w:rFonts w:ascii="Times New Roman" w:hAnsi="Times New Roman" w:cs="Times New Roman"/>
                <w:i/>
                <w:sz w:val="22"/>
                <w:szCs w:val="22"/>
              </w:rPr>
              <w:t>No change to the rule is proposed in response to this comment.</w:t>
            </w:r>
            <w:r w:rsidR="004A0EA4">
              <w:rPr>
                <w:rFonts w:ascii="Times New Roman" w:hAnsi="Times New Roman" w:cs="Times New Roman"/>
                <w:i/>
                <w:sz w:val="22"/>
                <w:szCs w:val="22"/>
              </w:rPr>
              <w:t xml:space="preserve"> </w:t>
            </w:r>
          </w:p>
        </w:tc>
      </w:tr>
      <w:tr w:rsidR="00255984" w:rsidRPr="002D0FE2" w:rsidTr="00F428DE">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255984" w:rsidP="00386F1F">
            <w:pPr>
              <w:pStyle w:val="ListParagraph"/>
              <w:numPr>
                <w:ilvl w:val="0"/>
                <w:numId w:val="13"/>
              </w:numPr>
              <w:ind w:right="-115"/>
            </w:pPr>
            <w:bookmarkStart w:id="5" w:name="_Ref283932866"/>
            <w:r w:rsidRPr="00943C75">
              <w:br w:type="page"/>
            </w:r>
            <w:bookmarkEnd w:id="5"/>
          </w:p>
          <w:p w:rsidR="00255984" w:rsidRPr="00943C75" w:rsidRDefault="00255984" w:rsidP="00386F1F">
            <w:pPr>
              <w:ind w:right="-115"/>
              <w:rPr>
                <w:bCs/>
                <w:sz w:val="22"/>
                <w:szCs w:val="22"/>
              </w:rPr>
            </w:pPr>
            <w:r w:rsidRPr="00943C75">
              <w:rPr>
                <w:bCs/>
                <w:sz w:val="22"/>
                <w:szCs w:val="22"/>
              </w:rPr>
              <w:t xml:space="preserve">Major modification definition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255984" w:rsidRPr="0099194E" w:rsidRDefault="00255984" w:rsidP="00F428DE">
            <w:pPr>
              <w:spacing w:after="120"/>
              <w:rPr>
                <w:sz w:val="22"/>
                <w:szCs w:val="22"/>
              </w:rPr>
            </w:pPr>
            <w:r w:rsidRPr="0099194E">
              <w:rPr>
                <w:sz w:val="22"/>
                <w:szCs w:val="22"/>
              </w:rPr>
              <w:t xml:space="preserve">In Oregon, to qualify as a major modification, a change must result in "an increase in the PSEL" over the significant emission rate over the netting basis. </w:t>
            </w:r>
            <w:r w:rsidR="009C02E9">
              <w:rPr>
                <w:sz w:val="22"/>
                <w:szCs w:val="22"/>
              </w:rPr>
              <w:t>T</w:t>
            </w:r>
            <w:r w:rsidRPr="0099194E">
              <w:rPr>
                <w:sz w:val="22"/>
                <w:szCs w:val="22"/>
              </w:rPr>
              <w:t xml:space="preserve">he </w:t>
            </w:r>
            <w:r w:rsidRPr="00545BB8">
              <w:rPr>
                <w:sz w:val="22"/>
                <w:szCs w:val="22"/>
              </w:rPr>
              <w:t>focus of the determination must be on whether actual emissions increase, not whether t</w:t>
            </w:r>
            <w:r w:rsidRPr="0099194E">
              <w:rPr>
                <w:sz w:val="22"/>
                <w:szCs w:val="22"/>
              </w:rPr>
              <w:t>he permit limit changes.</w:t>
            </w:r>
            <w:r>
              <w:rPr>
                <w:sz w:val="22"/>
                <w:szCs w:val="22"/>
              </w:rPr>
              <w:t xml:space="preserve"> </w:t>
            </w:r>
            <w:r w:rsidRPr="0099194E">
              <w:rPr>
                <w:sz w:val="22"/>
                <w:szCs w:val="22"/>
              </w:rPr>
              <w:t>(12)</w:t>
            </w:r>
          </w:p>
          <w:p w:rsidR="00255984" w:rsidRDefault="00255984" w:rsidP="00F428DE">
            <w:pPr>
              <w:spacing w:after="120"/>
              <w:rPr>
                <w:i/>
                <w:sz w:val="22"/>
                <w:szCs w:val="22"/>
              </w:rPr>
            </w:pPr>
            <w:r w:rsidRPr="0099194E">
              <w:rPr>
                <w:i/>
                <w:sz w:val="22"/>
                <w:szCs w:val="22"/>
              </w:rPr>
              <w:t>Response:</w:t>
            </w:r>
          </w:p>
          <w:p w:rsidR="00A21C65" w:rsidRPr="00474E86" w:rsidRDefault="00A21C65" w:rsidP="00474E86">
            <w:pPr>
              <w:autoSpaceDE w:val="0"/>
              <w:autoSpaceDN w:val="0"/>
              <w:adjustRightInd w:val="0"/>
              <w:spacing w:after="120"/>
              <w:rPr>
                <w:i/>
                <w:color w:val="000000"/>
                <w:sz w:val="22"/>
                <w:szCs w:val="22"/>
              </w:rPr>
            </w:pPr>
            <w:r>
              <w:rPr>
                <w:i/>
                <w:sz w:val="22"/>
                <w:szCs w:val="22"/>
              </w:rPr>
              <w:t xml:space="preserve">The use </w:t>
            </w:r>
            <w:r w:rsidR="00474E86">
              <w:rPr>
                <w:i/>
                <w:sz w:val="22"/>
                <w:szCs w:val="22"/>
              </w:rPr>
              <w:t xml:space="preserve">of </w:t>
            </w:r>
            <w:r>
              <w:rPr>
                <w:i/>
                <w:sz w:val="22"/>
                <w:szCs w:val="22"/>
              </w:rPr>
              <w:t xml:space="preserve">the PSEL to define </w:t>
            </w:r>
            <w:r w:rsidR="00474E86">
              <w:rPr>
                <w:i/>
                <w:sz w:val="22"/>
                <w:szCs w:val="22"/>
              </w:rPr>
              <w:t xml:space="preserve">whether </w:t>
            </w:r>
            <w:r>
              <w:rPr>
                <w:i/>
                <w:sz w:val="22"/>
                <w:szCs w:val="22"/>
              </w:rPr>
              <w:t xml:space="preserve">a facility’s </w:t>
            </w:r>
            <w:r w:rsidR="00474E86">
              <w:rPr>
                <w:i/>
                <w:sz w:val="22"/>
                <w:szCs w:val="22"/>
              </w:rPr>
              <w:t>changes qualify as a major modification is the basis of Oregon’s NSR/PSD program</w:t>
            </w:r>
            <w:r w:rsidR="008D538C">
              <w:rPr>
                <w:i/>
                <w:sz w:val="22"/>
                <w:szCs w:val="22"/>
              </w:rPr>
              <w:t xml:space="preserve">. </w:t>
            </w:r>
            <w:r w:rsidR="00474E86" w:rsidRPr="00837F8D">
              <w:rPr>
                <w:i/>
                <w:color w:val="000000"/>
                <w:sz w:val="22"/>
                <w:szCs w:val="22"/>
              </w:rPr>
              <w:t>EPA evaluated and initially approved the DEQ NSR program in 1982</w:t>
            </w:r>
            <w:r w:rsidR="00A744F0">
              <w:rPr>
                <w:i/>
                <w:color w:val="000000"/>
                <w:sz w:val="22"/>
                <w:szCs w:val="22"/>
              </w:rPr>
              <w:t xml:space="preserve"> </w:t>
            </w:r>
            <w:r w:rsidR="00A744F0" w:rsidRPr="00837F8D">
              <w:rPr>
                <w:i/>
                <w:color w:val="000000"/>
                <w:sz w:val="22"/>
                <w:szCs w:val="22"/>
              </w:rPr>
              <w:t xml:space="preserve">and </w:t>
            </w:r>
            <w:r w:rsidR="00987E86">
              <w:rPr>
                <w:i/>
                <w:color w:val="000000"/>
                <w:sz w:val="22"/>
                <w:szCs w:val="22"/>
              </w:rPr>
              <w:t>more recently</w:t>
            </w:r>
            <w:r w:rsidR="00A744F0" w:rsidRPr="00837F8D">
              <w:rPr>
                <w:i/>
                <w:color w:val="000000"/>
                <w:sz w:val="22"/>
                <w:szCs w:val="22"/>
              </w:rPr>
              <w:t xml:space="preserve"> in 2003</w:t>
            </w:r>
            <w:r w:rsidR="00A744F0">
              <w:rPr>
                <w:i/>
                <w:color w:val="000000"/>
                <w:sz w:val="22"/>
                <w:szCs w:val="22"/>
              </w:rPr>
              <w:t xml:space="preserve"> </w:t>
            </w:r>
            <w:r w:rsidR="00474E86" w:rsidRPr="00837F8D">
              <w:rPr>
                <w:i/>
                <w:color w:val="000000"/>
                <w:sz w:val="22"/>
                <w:szCs w:val="22"/>
              </w:rPr>
              <w:t>as being equivalent or more stringent than EPA’s regulations on a program basis</w:t>
            </w:r>
            <w:r w:rsidR="008D538C">
              <w:rPr>
                <w:i/>
                <w:color w:val="000000"/>
                <w:sz w:val="22"/>
                <w:szCs w:val="22"/>
              </w:rPr>
              <w:t xml:space="preserve">. </w:t>
            </w:r>
          </w:p>
          <w:p w:rsidR="00ED2CE1" w:rsidRDefault="00255984" w:rsidP="00F428DE">
            <w:pPr>
              <w:tabs>
                <w:tab w:val="left" w:pos="6175"/>
              </w:tabs>
              <w:spacing w:after="120"/>
              <w:rPr>
                <w:i/>
                <w:sz w:val="22"/>
                <w:szCs w:val="22"/>
              </w:rPr>
            </w:pPr>
            <w:r w:rsidRPr="0099194E">
              <w:rPr>
                <w:i/>
                <w:sz w:val="22"/>
                <w:szCs w:val="22"/>
              </w:rPr>
              <w:t>When determining whether NSR/PSD is triggered, DEQ requires sources to use projected potential emissions from the modification rather than projected actual emissions, as required by EPA</w:t>
            </w:r>
            <w:r w:rsidR="004A0EA4">
              <w:rPr>
                <w:i/>
                <w:sz w:val="22"/>
                <w:szCs w:val="22"/>
              </w:rPr>
              <w:t xml:space="preserve">. </w:t>
            </w:r>
            <w:r w:rsidRPr="0099194E">
              <w:rPr>
                <w:i/>
                <w:sz w:val="22"/>
                <w:szCs w:val="22"/>
              </w:rPr>
              <w:t xml:space="preserve">DEQ’s approach is more stringent </w:t>
            </w:r>
            <w:r w:rsidR="00216CEA">
              <w:rPr>
                <w:i/>
                <w:sz w:val="22"/>
                <w:szCs w:val="22"/>
              </w:rPr>
              <w:t>because</w:t>
            </w:r>
            <w:r w:rsidRPr="0099194E">
              <w:rPr>
                <w:i/>
                <w:sz w:val="22"/>
                <w:szCs w:val="22"/>
              </w:rPr>
              <w:t xml:space="preserve"> sources </w:t>
            </w:r>
            <w:r w:rsidR="00216CEA">
              <w:rPr>
                <w:i/>
                <w:sz w:val="22"/>
                <w:szCs w:val="22"/>
              </w:rPr>
              <w:t>would</w:t>
            </w:r>
            <w:r w:rsidRPr="0099194E">
              <w:rPr>
                <w:i/>
                <w:sz w:val="22"/>
                <w:szCs w:val="22"/>
              </w:rPr>
              <w:t xml:space="preserve"> trigger NSR/PSD earlier </w:t>
            </w:r>
            <w:r w:rsidR="00F342A7">
              <w:rPr>
                <w:i/>
                <w:sz w:val="22"/>
                <w:szCs w:val="22"/>
              </w:rPr>
              <w:t>since</w:t>
            </w:r>
            <w:r w:rsidRPr="0099194E">
              <w:rPr>
                <w:i/>
                <w:sz w:val="22"/>
                <w:szCs w:val="22"/>
              </w:rPr>
              <w:t xml:space="preserve"> potential emissions are higher than actual emissions</w:t>
            </w:r>
            <w:r w:rsidR="004A0EA4">
              <w:rPr>
                <w:i/>
                <w:sz w:val="22"/>
                <w:szCs w:val="22"/>
              </w:rPr>
              <w:t xml:space="preserve">. </w:t>
            </w:r>
          </w:p>
          <w:p w:rsidR="00A21C65" w:rsidRPr="0099194E" w:rsidRDefault="00A21C65" w:rsidP="008C77F7">
            <w:pPr>
              <w:spacing w:after="120"/>
              <w:rPr>
                <w:i/>
                <w:sz w:val="22"/>
                <w:szCs w:val="22"/>
              </w:rPr>
            </w:pPr>
            <w:r w:rsidRPr="0099194E">
              <w:rPr>
                <w:i/>
                <w:sz w:val="22"/>
                <w:szCs w:val="22"/>
              </w:rPr>
              <w:t>Changes to the definition of major modification are proposed to clarify that the trigger for NSR/PSD is a “PSEL that exceeds the netting basis by an amount that is equal to or greater than the significant emission rate.”  The current definition of major modification says that there must be a PSEL “increase” over the netting basis</w:t>
            </w:r>
            <w:r>
              <w:rPr>
                <w:i/>
                <w:sz w:val="22"/>
                <w:szCs w:val="22"/>
              </w:rPr>
              <w:t xml:space="preserve">. </w:t>
            </w:r>
            <w:r w:rsidRPr="0099194E">
              <w:rPr>
                <w:i/>
                <w:sz w:val="22"/>
                <w:szCs w:val="22"/>
              </w:rPr>
              <w:t>This change is proposed to clarify past practice in implementing the NSR/PSD program</w:t>
            </w:r>
            <w:r>
              <w:rPr>
                <w:i/>
                <w:sz w:val="22"/>
                <w:szCs w:val="22"/>
              </w:rPr>
              <w:t xml:space="preserve">. </w:t>
            </w:r>
            <w:r w:rsidRPr="0099194E">
              <w:rPr>
                <w:i/>
                <w:sz w:val="22"/>
                <w:szCs w:val="22"/>
              </w:rPr>
              <w:t xml:space="preserve">In some cases the PSEL could even decrease </w:t>
            </w:r>
            <w:r>
              <w:rPr>
                <w:i/>
                <w:sz w:val="22"/>
                <w:szCs w:val="22"/>
              </w:rPr>
              <w:t xml:space="preserve">from the permitted value </w:t>
            </w:r>
            <w:r w:rsidRPr="0099194E">
              <w:rPr>
                <w:i/>
                <w:sz w:val="22"/>
                <w:szCs w:val="22"/>
              </w:rPr>
              <w:t xml:space="preserve">and NSR/PSD would still be triggered </w:t>
            </w:r>
            <w:r>
              <w:rPr>
                <w:i/>
                <w:sz w:val="22"/>
                <w:szCs w:val="22"/>
              </w:rPr>
              <w:t>if</w:t>
            </w:r>
            <w:r w:rsidRPr="0099194E">
              <w:rPr>
                <w:i/>
                <w:sz w:val="22"/>
                <w:szCs w:val="22"/>
              </w:rPr>
              <w:t xml:space="preserve"> the </w:t>
            </w:r>
            <w:r>
              <w:rPr>
                <w:i/>
                <w:sz w:val="22"/>
                <w:szCs w:val="22"/>
              </w:rPr>
              <w:t xml:space="preserve">resultant </w:t>
            </w:r>
            <w:r w:rsidRPr="0099194E">
              <w:rPr>
                <w:i/>
                <w:sz w:val="22"/>
                <w:szCs w:val="22"/>
              </w:rPr>
              <w:t xml:space="preserve">PSEL </w:t>
            </w:r>
            <w:r>
              <w:rPr>
                <w:i/>
                <w:sz w:val="22"/>
                <w:szCs w:val="22"/>
              </w:rPr>
              <w:t xml:space="preserve">is more than </w:t>
            </w:r>
            <w:r w:rsidRPr="0099194E">
              <w:rPr>
                <w:i/>
                <w:sz w:val="22"/>
                <w:szCs w:val="22"/>
              </w:rPr>
              <w:t xml:space="preserve">the </w:t>
            </w:r>
            <w:r w:rsidRPr="008C77F7">
              <w:rPr>
                <w:i/>
                <w:sz w:val="22"/>
                <w:szCs w:val="22"/>
              </w:rPr>
              <w:t xml:space="preserve">netting basis by a SER. </w:t>
            </w:r>
            <w:r w:rsidR="008C77F7" w:rsidRPr="008C77F7">
              <w:rPr>
                <w:i/>
                <w:sz w:val="22"/>
                <w:szCs w:val="22"/>
              </w:rPr>
              <w:t xml:space="preserve">See the response to comment </w:t>
            </w:r>
            <w:r w:rsidR="00D32693">
              <w:rPr>
                <w:i/>
                <w:sz w:val="22"/>
                <w:szCs w:val="22"/>
              </w:rPr>
              <w:fldChar w:fldCharType="begin"/>
            </w:r>
            <w:r w:rsidR="00D45046">
              <w:rPr>
                <w:i/>
                <w:sz w:val="22"/>
                <w:szCs w:val="22"/>
              </w:rPr>
              <w:instrText xml:space="preserve"> REF _Ref285017732 \r \h </w:instrText>
            </w:r>
            <w:r w:rsidR="00D32693">
              <w:rPr>
                <w:i/>
                <w:sz w:val="22"/>
                <w:szCs w:val="22"/>
              </w:rPr>
            </w:r>
            <w:r w:rsidR="00D32693">
              <w:rPr>
                <w:i/>
                <w:sz w:val="22"/>
                <w:szCs w:val="22"/>
              </w:rPr>
              <w:fldChar w:fldCharType="separate"/>
            </w:r>
            <w:r w:rsidR="00D45046">
              <w:rPr>
                <w:i/>
                <w:sz w:val="22"/>
                <w:szCs w:val="22"/>
              </w:rPr>
              <w:t>25</w:t>
            </w:r>
            <w:r w:rsidR="00D32693">
              <w:rPr>
                <w:i/>
                <w:sz w:val="22"/>
                <w:szCs w:val="22"/>
              </w:rPr>
              <w:fldChar w:fldCharType="end"/>
            </w:r>
            <w:r w:rsidR="008C77F7" w:rsidRPr="008C77F7">
              <w:rPr>
                <w:i/>
                <w:sz w:val="22"/>
                <w:szCs w:val="22"/>
              </w:rPr>
              <w:t xml:space="preserve"> “</w:t>
            </w:r>
            <w:r w:rsidR="008C77F7" w:rsidRPr="008C77F7">
              <w:rPr>
                <w:bCs/>
                <w:i/>
                <w:sz w:val="22"/>
                <w:szCs w:val="22"/>
              </w:rPr>
              <w:t>Netting basis definition.”</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15"/>
              <w:rPr>
                <w:bCs/>
                <w:sz w:val="22"/>
                <w:szCs w:val="22"/>
              </w:rPr>
            </w:pPr>
          </w:p>
          <w:p w:rsidR="00487C2E" w:rsidRPr="00943C75" w:rsidRDefault="00487C2E" w:rsidP="00386F1F">
            <w:pPr>
              <w:ind w:right="-115"/>
              <w:rPr>
                <w:bCs/>
                <w:sz w:val="22"/>
                <w:szCs w:val="22"/>
              </w:rPr>
            </w:pPr>
            <w:r w:rsidRPr="00943C75">
              <w:rPr>
                <w:bCs/>
                <w:sz w:val="22"/>
                <w:szCs w:val="22"/>
              </w:rPr>
              <w:t>Major modification definition allows automatic netting</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Default="00487C2E" w:rsidP="00EE0BFF">
            <w:pPr>
              <w:spacing w:after="120"/>
              <w:rPr>
                <w:sz w:val="22"/>
                <w:szCs w:val="22"/>
              </w:rPr>
            </w:pPr>
            <w:r>
              <w:rPr>
                <w:sz w:val="22"/>
                <w:szCs w:val="22"/>
              </w:rPr>
              <w:t xml:space="preserve">A </w:t>
            </w:r>
            <w:r w:rsidRPr="002D0FE2">
              <w:rPr>
                <w:sz w:val="22"/>
                <w:szCs w:val="22"/>
              </w:rPr>
              <w:t xml:space="preserve">problem with Oregon's program is that it requires a "major modification" to result in </w:t>
            </w:r>
            <w:r w:rsidR="00EA54B3">
              <w:rPr>
                <w:sz w:val="22"/>
                <w:szCs w:val="22"/>
              </w:rPr>
              <w:t xml:space="preserve">an </w:t>
            </w:r>
            <w:r w:rsidRPr="002D0FE2">
              <w:rPr>
                <w:sz w:val="22"/>
                <w:szCs w:val="22"/>
              </w:rPr>
              <w:t xml:space="preserve">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or in the case of one of </w:t>
            </w:r>
            <w:r w:rsidR="00382E6C">
              <w:rPr>
                <w:sz w:val="22"/>
                <w:szCs w:val="22"/>
              </w:rPr>
              <w:t xml:space="preserve">the </w:t>
            </w:r>
            <w:r w:rsidRPr="002D0FE2">
              <w:rPr>
                <w:sz w:val="22"/>
                <w:szCs w:val="22"/>
              </w:rPr>
              <w:t xml:space="preserve">proposed rules, from the more </w:t>
            </w:r>
            <w:r w:rsidRPr="002D0FE2">
              <w:rPr>
                <w:sz w:val="22"/>
                <w:szCs w:val="22"/>
              </w:rPr>
              <w:lastRenderedPageBreak/>
              <w:t>recent baseline period. Thus, so long as the source had a PSEL in excess of emissions projected from the source after a physical or operational change, and never banked those emissions, no PSD permit is required.</w:t>
            </w:r>
            <w:r>
              <w:rPr>
                <w:sz w:val="22"/>
                <w:szCs w:val="22"/>
              </w:rPr>
              <w:t xml:space="preserve"> (12)</w:t>
            </w:r>
          </w:p>
          <w:p w:rsidR="00487C2E" w:rsidRDefault="00487C2E" w:rsidP="00EE0BFF">
            <w:pPr>
              <w:spacing w:after="120"/>
              <w:rPr>
                <w:i/>
                <w:sz w:val="22"/>
                <w:szCs w:val="22"/>
              </w:rPr>
            </w:pPr>
            <w:r>
              <w:rPr>
                <w:i/>
                <w:sz w:val="22"/>
                <w:szCs w:val="22"/>
              </w:rPr>
              <w:t>Response:</w:t>
            </w:r>
          </w:p>
          <w:p w:rsidR="00EA54B3" w:rsidRPr="00EA54B3" w:rsidRDefault="00487C2E" w:rsidP="00EA54B3">
            <w:pPr>
              <w:spacing w:after="120"/>
              <w:rPr>
                <w:i/>
                <w:sz w:val="22"/>
                <w:szCs w:val="22"/>
              </w:rPr>
            </w:pPr>
            <w:r w:rsidRPr="00EA54B3">
              <w:rPr>
                <w:i/>
                <w:sz w:val="22"/>
                <w:szCs w:val="22"/>
              </w:rPr>
              <w:t>Oregon’s NSR/PSD program</w:t>
            </w:r>
            <w:r w:rsidR="003234EC">
              <w:rPr>
                <w:i/>
                <w:sz w:val="22"/>
                <w:szCs w:val="22"/>
              </w:rPr>
              <w:t xml:space="preserve"> does</w:t>
            </w:r>
            <w:r w:rsidRPr="00EA54B3">
              <w:rPr>
                <w:i/>
                <w:sz w:val="22"/>
                <w:szCs w:val="22"/>
              </w:rPr>
              <w:t xml:space="preserve"> look at increases over the netting basis for the whole facility rather than individual emissions units. </w:t>
            </w:r>
            <w:r w:rsidR="003234EC">
              <w:rPr>
                <w:i/>
                <w:sz w:val="22"/>
                <w:szCs w:val="22"/>
              </w:rPr>
              <w:t>However</w:t>
            </w:r>
            <w:r w:rsidRPr="00EA54B3">
              <w:rPr>
                <w:i/>
                <w:sz w:val="22"/>
                <w:szCs w:val="22"/>
              </w:rPr>
              <w:t>, sources must accumulate ALL increases and decreases from ALL emissions units in determining whether NSR/PSD is triggered</w:t>
            </w:r>
            <w:r w:rsidR="004A0EA4">
              <w:rPr>
                <w:i/>
                <w:sz w:val="22"/>
                <w:szCs w:val="22"/>
              </w:rPr>
              <w:t xml:space="preserve">. </w:t>
            </w:r>
            <w:r w:rsidR="00EA54B3" w:rsidRPr="00EA54B3">
              <w:rPr>
                <w:i/>
                <w:sz w:val="22"/>
                <w:szCs w:val="22"/>
              </w:rPr>
              <w:t xml:space="preserve">This approach </w:t>
            </w:r>
            <w:r w:rsidR="00EA54B3">
              <w:rPr>
                <w:i/>
                <w:sz w:val="22"/>
                <w:szCs w:val="22"/>
              </w:rPr>
              <w:t>eliminates t</w:t>
            </w:r>
            <w:r w:rsidR="00EA54B3" w:rsidRPr="00EA54B3">
              <w:rPr>
                <w:i/>
                <w:sz w:val="22"/>
                <w:szCs w:val="22"/>
              </w:rPr>
              <w:t xml:space="preserve">he ability </w:t>
            </w:r>
            <w:r w:rsidR="00EA54B3">
              <w:rPr>
                <w:i/>
                <w:sz w:val="22"/>
                <w:szCs w:val="22"/>
              </w:rPr>
              <w:t xml:space="preserve">of sources </w:t>
            </w:r>
            <w:r w:rsidR="00EA54B3" w:rsidRPr="00EA54B3">
              <w:rPr>
                <w:i/>
                <w:sz w:val="22"/>
                <w:szCs w:val="22"/>
              </w:rPr>
              <w:t>to disaggregate changes at a facility that are involved in a project</w:t>
            </w:r>
            <w:r w:rsidR="00EA54B3">
              <w:rPr>
                <w:i/>
                <w:sz w:val="22"/>
                <w:szCs w:val="22"/>
              </w:rPr>
              <w:t xml:space="preserve"> (</w:t>
            </w:r>
            <w:r w:rsidR="002814D1">
              <w:rPr>
                <w:i/>
                <w:sz w:val="22"/>
                <w:szCs w:val="22"/>
              </w:rPr>
              <w:t xml:space="preserve">possible under </w:t>
            </w:r>
            <w:r w:rsidR="00EA54B3">
              <w:rPr>
                <w:i/>
                <w:sz w:val="22"/>
                <w:szCs w:val="22"/>
              </w:rPr>
              <w:t>the federal program)</w:t>
            </w:r>
            <w:r w:rsidR="002814D1">
              <w:rPr>
                <w:i/>
                <w:sz w:val="22"/>
                <w:szCs w:val="22"/>
              </w:rPr>
              <w:t xml:space="preserve"> in order to avoid NSR/PSD</w:t>
            </w:r>
            <w:r w:rsidR="008D538C">
              <w:rPr>
                <w:i/>
                <w:sz w:val="22"/>
                <w:szCs w:val="22"/>
              </w:rPr>
              <w:t xml:space="preserve">. </w:t>
            </w:r>
            <w:r w:rsidRPr="00EA54B3">
              <w:rPr>
                <w:i/>
                <w:sz w:val="22"/>
                <w:szCs w:val="22"/>
              </w:rPr>
              <w:t>If NSR/PSD is triggered, sources are required to apply retrofit Best Available Control Technology to all the emissions units that contributed to the increase, not just the current project</w:t>
            </w:r>
            <w:r w:rsidR="004A0EA4">
              <w:rPr>
                <w:i/>
                <w:sz w:val="22"/>
                <w:szCs w:val="22"/>
              </w:rPr>
              <w:t xml:space="preserve">. </w:t>
            </w:r>
          </w:p>
          <w:p w:rsidR="00487C2E" w:rsidRPr="002D0FE2" w:rsidRDefault="00766337" w:rsidP="00EE0BFF">
            <w:pPr>
              <w:autoSpaceDE w:val="0"/>
              <w:autoSpaceDN w:val="0"/>
              <w:adjustRightInd w:val="0"/>
              <w:spacing w:after="120"/>
              <w:rPr>
                <w:i/>
                <w:color w:val="000000"/>
                <w:sz w:val="22"/>
                <w:szCs w:val="22"/>
              </w:rPr>
            </w:pPr>
            <w:r>
              <w:rPr>
                <w:i/>
                <w:sz w:val="22"/>
                <w:szCs w:val="22"/>
              </w:rPr>
              <w:t xml:space="preserve">In </w:t>
            </w:r>
            <w:r w:rsidR="00390B37">
              <w:rPr>
                <w:i/>
                <w:sz w:val="22"/>
                <w:szCs w:val="22"/>
              </w:rPr>
              <w:t>2001</w:t>
            </w:r>
            <w:r>
              <w:rPr>
                <w:i/>
                <w:sz w:val="22"/>
                <w:szCs w:val="22"/>
              </w:rPr>
              <w:t xml:space="preserve">, Oregon’s PSEL and NSR rules were changed to </w:t>
            </w:r>
            <w:r w:rsidR="00390B37">
              <w:rPr>
                <w:i/>
                <w:sz w:val="22"/>
                <w:szCs w:val="22"/>
              </w:rPr>
              <w:t xml:space="preserve">reduce the concern described by the commenter as “automatic netting.” </w:t>
            </w:r>
            <w:r w:rsidR="00987E86">
              <w:rPr>
                <w:i/>
                <w:color w:val="000000"/>
                <w:sz w:val="22"/>
                <w:szCs w:val="22"/>
              </w:rPr>
              <w:t xml:space="preserve">When a source shuts down an emissions unit, those emissions can potentially make the netting basis higher than the </w:t>
            </w:r>
            <w:r w:rsidR="003E4841">
              <w:rPr>
                <w:i/>
                <w:color w:val="000000"/>
                <w:sz w:val="22"/>
                <w:szCs w:val="22"/>
              </w:rPr>
              <w:t>source’s current PTE</w:t>
            </w:r>
            <w:r w:rsidR="00987E86">
              <w:rPr>
                <w:i/>
                <w:color w:val="000000"/>
                <w:sz w:val="22"/>
                <w:szCs w:val="22"/>
              </w:rPr>
              <w:t xml:space="preserve">.  </w:t>
            </w:r>
            <w:r w:rsidR="00487C2E" w:rsidRPr="002D0FE2">
              <w:rPr>
                <w:i/>
                <w:color w:val="000000"/>
                <w:sz w:val="22"/>
                <w:szCs w:val="22"/>
              </w:rPr>
              <w:t xml:space="preserve">Unassigned emissions are the difference between the netting basis and what a source could emit based on its current physical and operational design. The PSEL rules were changed to limit unassigned emissions, and to establish the process for reducing unassigned emissions and the netting basis. </w:t>
            </w:r>
            <w:r w:rsidR="002814D1">
              <w:rPr>
                <w:i/>
                <w:color w:val="000000"/>
                <w:sz w:val="22"/>
                <w:szCs w:val="22"/>
              </w:rPr>
              <w:t>Unassigned e</w:t>
            </w:r>
            <w:r w:rsidR="00487C2E" w:rsidRPr="002D0FE2">
              <w:rPr>
                <w:i/>
                <w:color w:val="000000"/>
                <w:sz w:val="22"/>
                <w:szCs w:val="22"/>
              </w:rPr>
              <w:t>missions that are removed from the netting basis cannot be used in future netting actions</w:t>
            </w:r>
            <w:r>
              <w:rPr>
                <w:i/>
                <w:color w:val="000000"/>
                <w:sz w:val="22"/>
                <w:szCs w:val="22"/>
              </w:rPr>
              <w:t>, nor can they be sold or banked</w:t>
            </w:r>
            <w:r w:rsidR="004A0EA4">
              <w:rPr>
                <w:i/>
                <w:color w:val="000000"/>
                <w:sz w:val="22"/>
                <w:szCs w:val="22"/>
              </w:rPr>
              <w:t xml:space="preserve">. </w:t>
            </w:r>
          </w:p>
          <w:p w:rsidR="00012675" w:rsidRDefault="00487C2E">
            <w:pPr>
              <w:spacing w:after="120"/>
              <w:rPr>
                <w:i/>
                <w:sz w:val="22"/>
                <w:szCs w:val="22"/>
              </w:rPr>
            </w:pPr>
            <w:r>
              <w:rPr>
                <w:i/>
                <w:sz w:val="22"/>
                <w:szCs w:val="22"/>
              </w:rPr>
              <w:t>The propos</w:t>
            </w:r>
            <w:r w:rsidR="00390B37">
              <w:rPr>
                <w:i/>
                <w:sz w:val="22"/>
                <w:szCs w:val="22"/>
              </w:rPr>
              <w:t>al</w:t>
            </w:r>
            <w:r>
              <w:rPr>
                <w:i/>
                <w:sz w:val="22"/>
                <w:szCs w:val="22"/>
              </w:rPr>
              <w:t xml:space="preserve"> </w:t>
            </w:r>
            <w:r w:rsidR="00390B37">
              <w:rPr>
                <w:i/>
                <w:sz w:val="22"/>
                <w:szCs w:val="22"/>
              </w:rPr>
              <w:t>to reset</w:t>
            </w:r>
            <w:r>
              <w:rPr>
                <w:i/>
                <w:sz w:val="22"/>
                <w:szCs w:val="22"/>
              </w:rPr>
              <w:t xml:space="preserve"> actual emissions and netting basis </w:t>
            </w:r>
            <w:r w:rsidR="00390B37">
              <w:rPr>
                <w:i/>
                <w:sz w:val="22"/>
                <w:szCs w:val="22"/>
              </w:rPr>
              <w:t>described in response to comment 3</w:t>
            </w:r>
            <w:r>
              <w:rPr>
                <w:i/>
                <w:sz w:val="22"/>
                <w:szCs w:val="22"/>
              </w:rPr>
              <w:t xml:space="preserve"> will </w:t>
            </w:r>
            <w:r w:rsidR="003234EC">
              <w:rPr>
                <w:i/>
                <w:sz w:val="22"/>
                <w:szCs w:val="22"/>
              </w:rPr>
              <w:t xml:space="preserve">further </w:t>
            </w:r>
            <w:r>
              <w:rPr>
                <w:i/>
                <w:sz w:val="22"/>
                <w:szCs w:val="22"/>
              </w:rPr>
              <w:t>reduce the opportunity for “automatic netting.”</w:t>
            </w:r>
            <w:r w:rsidR="002814D1" w:rsidRPr="00957A8C">
              <w:rPr>
                <w:i/>
                <w:sz w:val="22"/>
                <w:szCs w:val="22"/>
              </w:rPr>
              <w:t xml:space="preserve"> </w:t>
            </w:r>
            <w:r w:rsidR="00A21C65">
              <w:rPr>
                <w:i/>
                <w:sz w:val="22"/>
                <w:szCs w:val="22"/>
              </w:rPr>
              <w:t>No change to the rule is proposed in response to this comment.</w:t>
            </w:r>
            <w:r w:rsidR="004A0EA4">
              <w:rPr>
                <w:i/>
                <w:sz w:val="22"/>
                <w:szCs w:val="22"/>
              </w:rPr>
              <w:t xml:space="preserve"> </w:t>
            </w:r>
          </w:p>
        </w:tc>
      </w:tr>
      <w:tr w:rsidR="00BD0650" w:rsidRPr="002D0FE2" w:rsidTr="00C060F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BD0650" w:rsidRPr="00837AD8" w:rsidRDefault="00BD0650" w:rsidP="00C060F1">
            <w:pPr>
              <w:pStyle w:val="ListParagraph"/>
              <w:numPr>
                <w:ilvl w:val="0"/>
                <w:numId w:val="13"/>
              </w:numPr>
              <w:ind w:right="-115"/>
              <w:rPr>
                <w:bCs/>
                <w:sz w:val="22"/>
                <w:szCs w:val="22"/>
              </w:rPr>
            </w:pPr>
          </w:p>
          <w:p w:rsidR="00BD0650" w:rsidRPr="00837AD8" w:rsidRDefault="00BD0650" w:rsidP="00C060F1">
            <w:pPr>
              <w:ind w:right="-115"/>
              <w:rPr>
                <w:bCs/>
                <w:sz w:val="22"/>
                <w:szCs w:val="22"/>
              </w:rPr>
            </w:pPr>
            <w:r w:rsidRPr="00837AD8">
              <w:rPr>
                <w:bCs/>
                <w:sz w:val="22"/>
                <w:szCs w:val="22"/>
              </w:rPr>
              <w:t xml:space="preserve">Major modification definition – before PSD program established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BD0650" w:rsidRPr="00837AD8" w:rsidRDefault="00BD0650" w:rsidP="00C060F1">
            <w:pPr>
              <w:spacing w:after="120"/>
              <w:rPr>
                <w:sz w:val="22"/>
                <w:szCs w:val="22"/>
              </w:rPr>
            </w:pPr>
            <w:r w:rsidRPr="00837AD8">
              <w:rPr>
                <w:sz w:val="22"/>
                <w:szCs w:val="22"/>
              </w:rPr>
              <w:t>What is particularly confusing is how a source could legally qualify for the definition of “major modification” that requires that source</w:t>
            </w:r>
            <w:r w:rsidR="003F48D1">
              <w:rPr>
                <w:sz w:val="22"/>
                <w:szCs w:val="22"/>
              </w:rPr>
              <w:t>s</w:t>
            </w:r>
            <w:r w:rsidRPr="00837AD8">
              <w:rPr>
                <w:sz w:val="22"/>
                <w:szCs w:val="22"/>
              </w:rPr>
              <w:t xml:space="preserve"> have “obtained all permits to construct and operate after the applicable baseline period but have not undergone New Source Review?”  </w:t>
            </w:r>
            <w:r w:rsidR="00837AD8" w:rsidRPr="00837AD8">
              <w:rPr>
                <w:sz w:val="22"/>
                <w:szCs w:val="22"/>
              </w:rPr>
              <w:t>If a source was permitted during the baseline period and had not begun normal operation, it should only get PTE if it “commenced” construction during the baseline period</w:t>
            </w:r>
            <w:r w:rsidR="008D538C">
              <w:rPr>
                <w:sz w:val="22"/>
                <w:szCs w:val="22"/>
              </w:rPr>
              <w:t xml:space="preserve">. </w:t>
            </w:r>
            <w:r w:rsidR="00837AD8" w:rsidRPr="00837AD8">
              <w:rPr>
                <w:sz w:val="22"/>
                <w:szCs w:val="22"/>
              </w:rPr>
              <w:t>(12)</w:t>
            </w:r>
          </w:p>
          <w:p w:rsidR="00BD0650" w:rsidRPr="00837AD8" w:rsidRDefault="00BD0650" w:rsidP="00C060F1">
            <w:pPr>
              <w:spacing w:after="120"/>
              <w:rPr>
                <w:i/>
                <w:sz w:val="22"/>
                <w:szCs w:val="22"/>
              </w:rPr>
            </w:pPr>
            <w:r w:rsidRPr="00837AD8">
              <w:rPr>
                <w:i/>
                <w:sz w:val="22"/>
                <w:szCs w:val="22"/>
              </w:rPr>
              <w:t xml:space="preserve">Response: </w:t>
            </w:r>
          </w:p>
          <w:p w:rsidR="00BD0650" w:rsidRPr="00837AD8" w:rsidRDefault="00BD0650" w:rsidP="00C060F1">
            <w:pPr>
              <w:spacing w:after="120"/>
              <w:rPr>
                <w:i/>
                <w:sz w:val="22"/>
                <w:szCs w:val="22"/>
              </w:rPr>
            </w:pPr>
            <w:r w:rsidRPr="00837AD8">
              <w:rPr>
                <w:i/>
                <w:sz w:val="22"/>
                <w:szCs w:val="22"/>
              </w:rPr>
              <w:t xml:space="preserve"> DEQ and EPA anticipated the possibility that a source that was permitted to construct would not begin construction immediately as provided for in OAR 340-224-0030 (2)(a):</w:t>
            </w:r>
          </w:p>
          <w:p w:rsidR="00BD0650" w:rsidRPr="00837AD8" w:rsidRDefault="00BD0650" w:rsidP="00C060F1">
            <w:pPr>
              <w:spacing w:after="120"/>
              <w:ind w:left="720"/>
              <w:rPr>
                <w:sz w:val="22"/>
                <w:szCs w:val="22"/>
              </w:rPr>
            </w:pPr>
            <w:r w:rsidRPr="00837AD8">
              <w:rPr>
                <w:i/>
                <w:sz w:val="22"/>
                <w:szCs w:val="22"/>
              </w:rPr>
              <w:t>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w:t>
            </w:r>
            <w:r w:rsidRPr="00837AD8">
              <w:rPr>
                <w:sz w:val="22"/>
                <w:szCs w:val="22"/>
              </w:rPr>
              <w:t xml:space="preserve"> </w:t>
            </w:r>
          </w:p>
          <w:p w:rsidR="00BD0650" w:rsidRPr="00837AD8" w:rsidRDefault="00BD0650" w:rsidP="0030306E">
            <w:pPr>
              <w:spacing w:after="120"/>
              <w:rPr>
                <w:i/>
                <w:sz w:val="22"/>
                <w:szCs w:val="22"/>
              </w:rPr>
            </w:pPr>
            <w:r w:rsidRPr="00837AD8">
              <w:rPr>
                <w:i/>
                <w:sz w:val="22"/>
                <w:szCs w:val="22"/>
              </w:rPr>
              <w:t>A PSD permit is valid if the above criteria are met</w:t>
            </w:r>
            <w:r w:rsidR="008D538C">
              <w:rPr>
                <w:i/>
                <w:sz w:val="22"/>
                <w:szCs w:val="22"/>
              </w:rPr>
              <w:t xml:space="preserve">. </w:t>
            </w:r>
            <w:r w:rsidRPr="00837AD8">
              <w:rPr>
                <w:i/>
                <w:sz w:val="22"/>
                <w:szCs w:val="22"/>
              </w:rPr>
              <w:t>Otherwise, the PSD permit would be terminated and a new permit would be required if construction were not commenced within the allowed time period.</w:t>
            </w:r>
            <w:r w:rsidR="0030306E">
              <w:rPr>
                <w:i/>
                <w:sz w:val="22"/>
                <w:szCs w:val="22"/>
              </w:rPr>
              <w:t xml:space="preserve"> </w:t>
            </w:r>
            <w:r w:rsidR="00A21C65">
              <w:rPr>
                <w:i/>
                <w:sz w:val="22"/>
                <w:szCs w:val="22"/>
              </w:rPr>
              <w:t>No change to the rule is proposed in response to this comment</w:t>
            </w:r>
            <w:r w:rsidR="008D538C">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487C2E" w:rsidRPr="00943C75" w:rsidRDefault="00487C2E" w:rsidP="00A62014">
            <w:pPr>
              <w:ind w:right="-115"/>
              <w:rPr>
                <w:bCs/>
                <w:sz w:val="22"/>
                <w:szCs w:val="22"/>
              </w:rPr>
            </w:pPr>
            <w:r w:rsidRPr="00943C75">
              <w:rPr>
                <w:bCs/>
                <w:sz w:val="22"/>
                <w:szCs w:val="22"/>
              </w:rPr>
              <w:t>Major modification definition</w:t>
            </w:r>
            <w:r w:rsidR="001762AF" w:rsidRPr="00943C75">
              <w:rPr>
                <w:bCs/>
                <w:sz w:val="22"/>
                <w:szCs w:val="22"/>
              </w:rPr>
              <w:t xml:space="preserve"> – revised language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Pr="00C60633" w:rsidRDefault="00487C2E" w:rsidP="00EE0BFF">
            <w:pPr>
              <w:spacing w:after="120"/>
              <w:rPr>
                <w:sz w:val="22"/>
                <w:szCs w:val="22"/>
              </w:rPr>
            </w:pPr>
            <w:r w:rsidRPr="00C60633">
              <w:rPr>
                <w:sz w:val="22"/>
                <w:szCs w:val="22"/>
              </w:rPr>
              <w:t>Under the definition of “Major Modification”, we found the new language in subparagraph (d) confusing</w:t>
            </w:r>
            <w:r w:rsidR="004A0EA4">
              <w:rPr>
                <w:sz w:val="22"/>
                <w:szCs w:val="22"/>
              </w:rPr>
              <w:t xml:space="preserve">. </w:t>
            </w:r>
            <w:r w:rsidRPr="00C60633">
              <w:rPr>
                <w:sz w:val="22"/>
                <w:szCs w:val="22"/>
              </w:rPr>
              <w:t>Based on the new language in the definition of “actual emissions” we understand that Oregon wants to allow a source to either reset the netting basis or exclude a portion of the netting basis when determining whether a new proposed change would be a major modification</w:t>
            </w:r>
            <w:r w:rsidR="004A0EA4">
              <w:rPr>
                <w:sz w:val="22"/>
                <w:szCs w:val="22"/>
              </w:rPr>
              <w:t xml:space="preserve">. </w:t>
            </w:r>
            <w:r w:rsidRPr="000329C1">
              <w:rPr>
                <w:sz w:val="22"/>
                <w:szCs w:val="22"/>
              </w:rPr>
              <w:t xml:space="preserve">We recommend that this provision more clearly spell out how a major </w:t>
            </w:r>
            <w:r w:rsidRPr="000329C1">
              <w:rPr>
                <w:sz w:val="22"/>
                <w:szCs w:val="22"/>
              </w:rPr>
              <w:lastRenderedPageBreak/>
              <w:t>modification would be determined when the netting basis hasn’t been reset (i.e., how you exclude a portion of the netting basis).</w:t>
            </w:r>
            <w:r w:rsidRPr="00C60633">
              <w:rPr>
                <w:sz w:val="22"/>
                <w:szCs w:val="22"/>
              </w:rPr>
              <w:t xml:space="preserve"> (7)</w:t>
            </w:r>
          </w:p>
          <w:p w:rsidR="00487C2E" w:rsidRDefault="00487C2E" w:rsidP="00EE0BFF">
            <w:pPr>
              <w:spacing w:after="120"/>
              <w:rPr>
                <w:i/>
                <w:sz w:val="22"/>
                <w:szCs w:val="22"/>
              </w:rPr>
            </w:pPr>
            <w:r>
              <w:rPr>
                <w:i/>
                <w:sz w:val="22"/>
                <w:szCs w:val="22"/>
              </w:rPr>
              <w:t>Response:</w:t>
            </w:r>
          </w:p>
          <w:p w:rsidR="00487C2E" w:rsidRPr="006939DC" w:rsidRDefault="00487C2E" w:rsidP="00A201AA">
            <w:pPr>
              <w:spacing w:after="120"/>
              <w:rPr>
                <w:i/>
                <w:sz w:val="22"/>
                <w:szCs w:val="22"/>
              </w:rPr>
            </w:pPr>
            <w:r>
              <w:rPr>
                <w:i/>
                <w:sz w:val="22"/>
                <w:szCs w:val="22"/>
              </w:rPr>
              <w:t xml:space="preserve">Changes have been made to this portion of the </w:t>
            </w:r>
            <w:r w:rsidR="003F48D1">
              <w:rPr>
                <w:i/>
                <w:sz w:val="22"/>
                <w:szCs w:val="22"/>
              </w:rPr>
              <w:t xml:space="preserve">proposed </w:t>
            </w:r>
            <w:r>
              <w:rPr>
                <w:i/>
                <w:sz w:val="22"/>
                <w:szCs w:val="22"/>
              </w:rPr>
              <w:t>definition of major modification to clarify the intent</w:t>
            </w:r>
            <w:r w:rsidR="004A0EA4">
              <w:rPr>
                <w:i/>
                <w:sz w:val="22"/>
                <w:szCs w:val="22"/>
              </w:rPr>
              <w:t xml:space="preserve">. </w:t>
            </w:r>
            <w:r>
              <w:rPr>
                <w:i/>
                <w:sz w:val="22"/>
                <w:szCs w:val="22"/>
              </w:rPr>
              <w:t xml:space="preserve">For existing greenhouse gas sources and sources that add new equipment that are permitted at their potential to emit, the netting basis </w:t>
            </w:r>
            <w:r w:rsidR="000329C1">
              <w:rPr>
                <w:i/>
                <w:sz w:val="22"/>
                <w:szCs w:val="22"/>
              </w:rPr>
              <w:t>an</w:t>
            </w:r>
            <w:r w:rsidR="00982A96">
              <w:rPr>
                <w:i/>
                <w:sz w:val="22"/>
                <w:szCs w:val="22"/>
              </w:rPr>
              <w:t>d</w:t>
            </w:r>
            <w:r w:rsidR="000329C1">
              <w:rPr>
                <w:i/>
                <w:sz w:val="22"/>
                <w:szCs w:val="22"/>
              </w:rPr>
              <w:t xml:space="preserve"> the PSEL </w:t>
            </w:r>
            <w:r>
              <w:rPr>
                <w:i/>
                <w:sz w:val="22"/>
                <w:szCs w:val="22"/>
              </w:rPr>
              <w:t xml:space="preserve">from these </w:t>
            </w:r>
            <w:r w:rsidR="00A201AA">
              <w:rPr>
                <w:i/>
                <w:sz w:val="22"/>
                <w:szCs w:val="22"/>
              </w:rPr>
              <w:t>equipment</w:t>
            </w:r>
            <w:r>
              <w:rPr>
                <w:i/>
                <w:sz w:val="22"/>
                <w:szCs w:val="22"/>
              </w:rPr>
              <w:t xml:space="preserve"> will need to be tracked separately from the existing netting basis </w:t>
            </w:r>
            <w:r w:rsidR="000329C1">
              <w:rPr>
                <w:i/>
                <w:sz w:val="22"/>
                <w:szCs w:val="22"/>
              </w:rPr>
              <w:t xml:space="preserve">and PSEL </w:t>
            </w:r>
            <w:r>
              <w:rPr>
                <w:i/>
                <w:sz w:val="22"/>
                <w:szCs w:val="22"/>
              </w:rPr>
              <w:t>of existing equipment</w:t>
            </w:r>
            <w:r w:rsidR="004A0EA4">
              <w:rPr>
                <w:i/>
                <w:sz w:val="22"/>
                <w:szCs w:val="22"/>
              </w:rPr>
              <w:t xml:space="preserve">. </w:t>
            </w:r>
          </w:p>
        </w:tc>
      </w:tr>
      <w:tr w:rsidR="001E1E9F" w:rsidRPr="002D0FE2" w:rsidTr="006E02A4">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1E1E9F" w:rsidRPr="00943C75" w:rsidRDefault="008D56AC" w:rsidP="00A62014">
            <w:pPr>
              <w:ind w:right="-115"/>
              <w:rPr>
                <w:bCs/>
                <w:sz w:val="22"/>
                <w:szCs w:val="22"/>
              </w:rPr>
            </w:pPr>
            <w:r w:rsidRPr="00943C75">
              <w:rPr>
                <w:sz w:val="22"/>
                <w:szCs w:val="22"/>
              </w:rPr>
              <w:t>Major s</w:t>
            </w:r>
            <w:r w:rsidR="001E1E9F" w:rsidRPr="00943C75">
              <w:rPr>
                <w:sz w:val="22"/>
                <w:szCs w:val="22"/>
              </w:rPr>
              <w:t>ource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1E1E9F" w:rsidRPr="002D0FE2" w:rsidRDefault="001E1E9F" w:rsidP="006E02A4">
            <w:pPr>
              <w:spacing w:after="120"/>
              <w:rPr>
                <w:sz w:val="22"/>
                <w:szCs w:val="22"/>
              </w:rPr>
            </w:pPr>
            <w:r w:rsidRPr="002D0FE2">
              <w:rPr>
                <w:bCs/>
                <w:sz w:val="22"/>
                <w:szCs w:val="22"/>
              </w:rPr>
              <w:t xml:space="preserve">OAR </w:t>
            </w:r>
            <w:r w:rsidRPr="002D0FE2">
              <w:rPr>
                <w:sz w:val="22"/>
                <w:szCs w:val="22"/>
              </w:rPr>
              <w:t>340-200-0020(70): The revision to the definition of "Major Source" has the same problem as the revised definition of "Federal Major Source" in that it doesn't correctly reflect the two-part test for GHGs. In addition, the 100,000 tpy threshold needs to include language specifying that it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Pr>
                <w:sz w:val="22"/>
                <w:szCs w:val="22"/>
              </w:rPr>
              <w:t xml:space="preserve">e). </w:t>
            </w:r>
            <w:r w:rsidRPr="00DA7BA4">
              <w:rPr>
                <w:sz w:val="22"/>
                <w:szCs w:val="22"/>
              </w:rPr>
              <w:t xml:space="preserve">(1, 2, 4, </w:t>
            </w:r>
            <w:r>
              <w:rPr>
                <w:sz w:val="22"/>
                <w:szCs w:val="22"/>
              </w:rPr>
              <w:t xml:space="preserve">7, </w:t>
            </w:r>
            <w:r w:rsidRPr="00DA7BA4">
              <w:rPr>
                <w:sz w:val="22"/>
                <w:szCs w:val="22"/>
              </w:rPr>
              <w:t>11, 13, 14, 15, 17)</w:t>
            </w:r>
          </w:p>
          <w:p w:rsidR="001E1E9F" w:rsidRDefault="001E1E9F" w:rsidP="006E02A4">
            <w:pPr>
              <w:autoSpaceDE w:val="0"/>
              <w:autoSpaceDN w:val="0"/>
              <w:adjustRightInd w:val="0"/>
              <w:spacing w:after="120"/>
              <w:rPr>
                <w:i/>
                <w:sz w:val="22"/>
                <w:szCs w:val="22"/>
              </w:rPr>
            </w:pPr>
            <w:r w:rsidRPr="002D0FE2">
              <w:rPr>
                <w:i/>
                <w:sz w:val="22"/>
                <w:szCs w:val="22"/>
              </w:rPr>
              <w:t>Response:</w:t>
            </w:r>
          </w:p>
          <w:p w:rsidR="001E1E9F" w:rsidRPr="002D0FE2" w:rsidRDefault="00A21C65" w:rsidP="006E02A4">
            <w:pPr>
              <w:autoSpaceDE w:val="0"/>
              <w:autoSpaceDN w:val="0"/>
              <w:adjustRightInd w:val="0"/>
              <w:spacing w:after="120"/>
              <w:rPr>
                <w:sz w:val="22"/>
                <w:szCs w:val="22"/>
              </w:rPr>
            </w:pPr>
            <w:r>
              <w:rPr>
                <w:i/>
                <w:sz w:val="22"/>
                <w:szCs w:val="22"/>
              </w:rPr>
              <w:t>The change was made to the proposed rule as suggested.</w:t>
            </w:r>
          </w:p>
        </w:tc>
      </w:tr>
      <w:tr w:rsidR="0051452D" w:rsidRPr="002D0FE2"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51452D" w:rsidP="00A62014">
            <w:pPr>
              <w:ind w:right="-115"/>
              <w:rPr>
                <w:bCs/>
                <w:sz w:val="22"/>
                <w:szCs w:val="22"/>
              </w:rPr>
            </w:pPr>
            <w:r w:rsidRPr="00943C75">
              <w:rPr>
                <w:bCs/>
                <w:sz w:val="22"/>
                <w:szCs w:val="22"/>
              </w:rPr>
              <w:t>Major source definition</w:t>
            </w:r>
            <w:r w:rsidR="001E1E9F" w:rsidRPr="00943C75">
              <w:rPr>
                <w:bCs/>
                <w:sz w:val="22"/>
                <w:szCs w:val="22"/>
              </w:rPr>
              <w:t xml:space="preserve"> to include emission decreases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Pr="002D0FE2" w:rsidRDefault="002572CF" w:rsidP="00DA7BA4">
            <w:pPr>
              <w:spacing w:after="120"/>
              <w:rPr>
                <w:sz w:val="22"/>
                <w:szCs w:val="22"/>
              </w:rPr>
            </w:pPr>
            <w:r>
              <w:rPr>
                <w:sz w:val="22"/>
                <w:szCs w:val="22"/>
              </w:rPr>
              <w:t>We</w:t>
            </w:r>
            <w:r w:rsidR="0051452D" w:rsidRPr="002D0FE2">
              <w:rPr>
                <w:sz w:val="22"/>
                <w:szCs w:val="22"/>
              </w:rPr>
              <w:t xml:space="preserve"> request that DEQ revise the proposed revisions to the definition of “major source” to allow the </w:t>
            </w:r>
            <w:r w:rsidR="0051452D" w:rsidRPr="0033798D">
              <w:rPr>
                <w:sz w:val="22"/>
                <w:szCs w:val="22"/>
              </w:rPr>
              <w:t>inclusion of emissions decreases</w:t>
            </w:r>
            <w:r w:rsidR="004A0EA4">
              <w:rPr>
                <w:sz w:val="22"/>
                <w:szCs w:val="22"/>
              </w:rPr>
              <w:t xml:space="preserve">. </w:t>
            </w:r>
            <w:r w:rsidR="0051452D" w:rsidRPr="002D0FE2">
              <w:rPr>
                <w:sz w:val="22"/>
                <w:szCs w:val="22"/>
              </w:rPr>
              <w:t>Given Oregon’s unique means of applying the term “major source” including future increases and excluding future decreases in emissions would force sources that were making net reductions to be considered major sources and be subject to requirements such as nonattainment new source review</w:t>
            </w:r>
            <w:r w:rsidR="004A0EA4">
              <w:rPr>
                <w:sz w:val="22"/>
                <w:szCs w:val="22"/>
              </w:rPr>
              <w:t xml:space="preserve">. </w:t>
            </w:r>
            <w:r w:rsidR="00FC04EC" w:rsidRPr="00DA7BA4">
              <w:rPr>
                <w:sz w:val="22"/>
                <w:szCs w:val="22"/>
              </w:rPr>
              <w:t>(1, 2, 4, 11, 13</w:t>
            </w:r>
            <w:r w:rsidR="00F51667" w:rsidRPr="00DA7BA4">
              <w:rPr>
                <w:sz w:val="22"/>
                <w:szCs w:val="22"/>
              </w:rPr>
              <w:t>, 14</w:t>
            </w:r>
            <w:r w:rsidR="00231353" w:rsidRPr="00DA7BA4">
              <w:rPr>
                <w:sz w:val="22"/>
                <w:szCs w:val="22"/>
              </w:rPr>
              <w:t>, 15, 17</w:t>
            </w:r>
            <w:r w:rsidR="007D2A64">
              <w:rPr>
                <w:sz w:val="22"/>
                <w:szCs w:val="22"/>
              </w:rPr>
              <w:t>, 23</w:t>
            </w:r>
            <w:r w:rsidR="00FC04EC" w:rsidRPr="00DA7BA4">
              <w:rPr>
                <w:sz w:val="22"/>
                <w:szCs w:val="22"/>
              </w:rPr>
              <w:t>)</w:t>
            </w:r>
          </w:p>
          <w:p w:rsidR="0007654E" w:rsidRPr="0007654E" w:rsidRDefault="0007654E" w:rsidP="00DA7BA4">
            <w:pPr>
              <w:spacing w:after="120"/>
              <w:rPr>
                <w:i/>
                <w:sz w:val="22"/>
                <w:szCs w:val="22"/>
              </w:rPr>
            </w:pPr>
            <w:r w:rsidRPr="0007654E">
              <w:rPr>
                <w:i/>
                <w:sz w:val="22"/>
                <w:szCs w:val="22"/>
              </w:rPr>
              <w:t>Response:</w:t>
            </w:r>
          </w:p>
          <w:p w:rsidR="00D70EFC" w:rsidRPr="00DA7BA4" w:rsidRDefault="002C126B" w:rsidP="002C126B">
            <w:pPr>
              <w:spacing w:after="120"/>
              <w:rPr>
                <w:i/>
                <w:sz w:val="22"/>
                <w:szCs w:val="22"/>
              </w:rPr>
            </w:pPr>
            <w:r w:rsidRPr="00A62D39">
              <w:rPr>
                <w:i/>
                <w:sz w:val="22"/>
                <w:szCs w:val="22"/>
              </w:rPr>
              <w:t>DEQ agrees that emission decreases should be in the calculation of potential to emit of a source</w:t>
            </w:r>
            <w:r w:rsidR="004A0EA4">
              <w:rPr>
                <w:i/>
                <w:sz w:val="22"/>
                <w:szCs w:val="22"/>
              </w:rPr>
              <w:t xml:space="preserve">. </w:t>
            </w:r>
            <w:r>
              <w:rPr>
                <w:i/>
                <w:sz w:val="22"/>
                <w:szCs w:val="22"/>
              </w:rPr>
              <w:t>The change will also be made to the definition of federal major source</w:t>
            </w:r>
            <w:r w:rsidR="004A0EA4">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sz w:val="22"/>
                <w:szCs w:val="22"/>
              </w:rPr>
            </w:pPr>
            <w:bookmarkStart w:id="6" w:name="_Ref283934858"/>
          </w:p>
          <w:bookmarkEnd w:id="6"/>
          <w:p w:rsidR="00487C2E" w:rsidRPr="0007371B" w:rsidRDefault="00487C2E" w:rsidP="00A62014">
            <w:pPr>
              <w:ind w:right="-115"/>
              <w:rPr>
                <w:bCs/>
                <w:sz w:val="22"/>
                <w:szCs w:val="22"/>
              </w:rPr>
            </w:pPr>
            <w:r w:rsidRPr="0007371B">
              <w:rPr>
                <w:sz w:val="22"/>
                <w:szCs w:val="22"/>
              </w:rPr>
              <w:t>Netting basis definition allows thirty-year "lookback" period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CC17DA" w:rsidRPr="007B44E6" w:rsidRDefault="00487C2E" w:rsidP="00CC17DA">
            <w:pPr>
              <w:spacing w:after="120"/>
              <w:rPr>
                <w:sz w:val="22"/>
                <w:szCs w:val="22"/>
              </w:rPr>
            </w:pPr>
            <w:r w:rsidRPr="007B44E6">
              <w:rPr>
                <w:sz w:val="22"/>
                <w:szCs w:val="22"/>
              </w:rPr>
              <w:t xml:space="preserve">Another problem with Oregon's PSEL approach is that the PSEL is not based on projected or actual emissions during a time-frame that is contemporaneous with the physical or operational change in question, but during the "baseline period."  The baseline emission rate is then adjusted as rules change and future permitting decisions are made. The adjusted baseline is referred to as the “netting basis.”  The resultant "netting basis" in many cases may not reflect actual emissions at any time that is reasonably contemporaneous with the physical or operational change in question. In fact, the "netting basis" reflects a thirty-year "lookback" period, in clear contravention of the federal regulatory floor. </w:t>
            </w:r>
            <w:r w:rsidR="00CC17DA" w:rsidRPr="007B44E6">
              <w:rPr>
                <w:sz w:val="22"/>
                <w:szCs w:val="22"/>
              </w:rPr>
              <w:t>Thus, the PSELs are unenforceable on a practical level. (12)</w:t>
            </w:r>
          </w:p>
          <w:p w:rsidR="00CC17DA" w:rsidRPr="007B44E6" w:rsidRDefault="00CC17DA" w:rsidP="00CC17DA">
            <w:pPr>
              <w:spacing w:after="120"/>
              <w:rPr>
                <w:i/>
                <w:sz w:val="22"/>
                <w:szCs w:val="22"/>
              </w:rPr>
            </w:pPr>
            <w:r w:rsidRPr="007B44E6">
              <w:rPr>
                <w:i/>
                <w:sz w:val="22"/>
                <w:szCs w:val="22"/>
              </w:rPr>
              <w:t>Response:</w:t>
            </w:r>
          </w:p>
          <w:p w:rsidR="00CC17DA" w:rsidRPr="00A97E54" w:rsidRDefault="00CC17DA" w:rsidP="00474C09">
            <w:pPr>
              <w:pStyle w:val="Style2"/>
              <w:widowControl/>
              <w:spacing w:after="120" w:line="269" w:lineRule="exact"/>
              <w:rPr>
                <w:rFonts w:ascii="Times New Roman" w:hAnsi="Times New Roman" w:cs="Times New Roman"/>
                <w:i/>
                <w:sz w:val="22"/>
                <w:szCs w:val="22"/>
              </w:rPr>
            </w:pPr>
            <w:r w:rsidRPr="00A97E54">
              <w:rPr>
                <w:rFonts w:ascii="Times New Roman" w:hAnsi="Times New Roman" w:cs="Times New Roman"/>
                <w:i/>
                <w:sz w:val="22"/>
                <w:szCs w:val="22"/>
              </w:rPr>
              <w:t xml:space="preserve">DEQ </w:t>
            </w:r>
            <w:r w:rsidR="00A32488" w:rsidRPr="00A97E54">
              <w:rPr>
                <w:rFonts w:ascii="Times New Roman" w:hAnsi="Times New Roman" w:cs="Times New Roman"/>
                <w:i/>
                <w:sz w:val="22"/>
                <w:szCs w:val="22"/>
              </w:rPr>
              <w:t xml:space="preserve">does </w:t>
            </w:r>
            <w:r w:rsidRPr="00A97E54">
              <w:rPr>
                <w:rFonts w:ascii="Times New Roman" w:hAnsi="Times New Roman" w:cs="Times New Roman"/>
                <w:i/>
                <w:sz w:val="22"/>
                <w:szCs w:val="22"/>
              </w:rPr>
              <w:t xml:space="preserve">agree that the netting basis may or may not reflect actual emissions that are contemporaneous with the physical or operational change in question. However, </w:t>
            </w:r>
            <w:r w:rsidR="00A32488" w:rsidRPr="00A97E54">
              <w:rPr>
                <w:rFonts w:ascii="Times New Roman" w:hAnsi="Times New Roman" w:cs="Times New Roman"/>
                <w:i/>
                <w:sz w:val="22"/>
                <w:szCs w:val="22"/>
              </w:rPr>
              <w:t>this does not mean the federal program is more stringent than the Oregon program.</w:t>
            </w:r>
            <w:r w:rsidR="003F48D1">
              <w:rPr>
                <w:rFonts w:ascii="Times New Roman" w:hAnsi="Times New Roman" w:cs="Times New Roman"/>
                <w:i/>
                <w:sz w:val="22"/>
                <w:szCs w:val="22"/>
              </w:rPr>
              <w:t xml:space="preserve"> While modifications at individual facilities may be evaluated differently under the federal and Oregon programs, EPA has determined that the</w:t>
            </w:r>
            <w:r w:rsidR="00E718D3">
              <w:rPr>
                <w:rFonts w:ascii="Times New Roman" w:hAnsi="Times New Roman" w:cs="Times New Roman"/>
                <w:i/>
                <w:sz w:val="22"/>
                <w:szCs w:val="22"/>
              </w:rPr>
              <w:t xml:space="preserve"> programs are equivalent overall</w:t>
            </w:r>
            <w:r w:rsidR="008D538C">
              <w:rPr>
                <w:rFonts w:ascii="Times New Roman" w:hAnsi="Times New Roman" w:cs="Times New Roman"/>
                <w:i/>
                <w:sz w:val="22"/>
                <w:szCs w:val="22"/>
              </w:rPr>
              <w:t xml:space="preserve">. </w:t>
            </w:r>
            <w:r w:rsidRPr="00A97E54">
              <w:rPr>
                <w:rFonts w:ascii="Times New Roman" w:hAnsi="Times New Roman" w:cs="Times New Roman"/>
                <w:i/>
                <w:sz w:val="22"/>
                <w:szCs w:val="22"/>
              </w:rPr>
              <w:t>PSELs and netting basis provide a simple and enforceable mechanism for evaluating whether sources are subject to NSR/PSD as a result of physical changes or changes in the method of operation</w:t>
            </w:r>
            <w:r w:rsidR="008D538C">
              <w:rPr>
                <w:rFonts w:ascii="Times New Roman" w:hAnsi="Times New Roman" w:cs="Times New Roman"/>
                <w:i/>
                <w:sz w:val="22"/>
                <w:szCs w:val="22"/>
              </w:rPr>
              <w:t xml:space="preserve">. </w:t>
            </w:r>
          </w:p>
          <w:p w:rsidR="00CC17DA" w:rsidRPr="00803D81" w:rsidRDefault="00841E05" w:rsidP="00CC17DA">
            <w:pPr>
              <w:spacing w:after="120"/>
              <w:rPr>
                <w:i/>
                <w:sz w:val="22"/>
                <w:szCs w:val="22"/>
              </w:rPr>
            </w:pPr>
            <w:r>
              <w:rPr>
                <w:i/>
                <w:sz w:val="22"/>
                <w:szCs w:val="22"/>
              </w:rPr>
              <w:t>At the time of a</w:t>
            </w:r>
            <w:r w:rsidR="00CC17DA" w:rsidRPr="00803D81">
              <w:rPr>
                <w:i/>
                <w:sz w:val="22"/>
                <w:szCs w:val="22"/>
              </w:rPr>
              <w:t xml:space="preserve"> physical or operational change</w:t>
            </w:r>
            <w:r>
              <w:rPr>
                <w:i/>
                <w:sz w:val="22"/>
                <w:szCs w:val="22"/>
              </w:rPr>
              <w:t>, actual emissions</w:t>
            </w:r>
            <w:r w:rsidR="00CC17DA" w:rsidRPr="00803D81">
              <w:rPr>
                <w:i/>
                <w:sz w:val="22"/>
                <w:szCs w:val="22"/>
              </w:rPr>
              <w:t xml:space="preserve"> may be more or less than </w:t>
            </w:r>
            <w:r w:rsidR="00CC17DA" w:rsidRPr="00803D81">
              <w:rPr>
                <w:i/>
                <w:sz w:val="22"/>
                <w:szCs w:val="22"/>
              </w:rPr>
              <w:lastRenderedPageBreak/>
              <w:t>the netting basis</w:t>
            </w:r>
            <w:r w:rsidR="008D538C">
              <w:rPr>
                <w:i/>
                <w:sz w:val="22"/>
                <w:szCs w:val="22"/>
              </w:rPr>
              <w:t xml:space="preserve">. </w:t>
            </w:r>
            <w:r w:rsidR="00CC17DA" w:rsidRPr="00803D81">
              <w:rPr>
                <w:i/>
                <w:sz w:val="22"/>
                <w:szCs w:val="22"/>
              </w:rPr>
              <w:t>This is because the PSEL could have been increased to allow utilization of existing capacity</w:t>
            </w:r>
            <w:r w:rsidR="005A4F45" w:rsidRPr="00803D81">
              <w:rPr>
                <w:i/>
                <w:sz w:val="22"/>
                <w:szCs w:val="22"/>
              </w:rPr>
              <w:t>,</w:t>
            </w:r>
            <w:r w:rsidR="00CC17DA" w:rsidRPr="00803D81">
              <w:rPr>
                <w:i/>
                <w:sz w:val="22"/>
                <w:szCs w:val="22"/>
              </w:rPr>
              <w:t xml:space="preserve"> and the source may be operating at higher capacity than in the baseline period</w:t>
            </w:r>
            <w:r w:rsidR="00E718D3">
              <w:rPr>
                <w:i/>
                <w:sz w:val="22"/>
                <w:szCs w:val="22"/>
              </w:rPr>
              <w:t xml:space="preserve"> or the emissions may have decreased due to voluntary reductions</w:t>
            </w:r>
            <w:r w:rsidR="008D538C">
              <w:rPr>
                <w:i/>
                <w:sz w:val="22"/>
                <w:szCs w:val="22"/>
              </w:rPr>
              <w:t xml:space="preserve">. </w:t>
            </w:r>
            <w:r w:rsidR="00CC17DA" w:rsidRPr="00803D81">
              <w:rPr>
                <w:i/>
                <w:sz w:val="22"/>
                <w:szCs w:val="22"/>
              </w:rPr>
              <w:t xml:space="preserve">If the </w:t>
            </w:r>
            <w:r w:rsidR="005A4F45" w:rsidRPr="00803D81">
              <w:rPr>
                <w:i/>
                <w:sz w:val="22"/>
                <w:szCs w:val="22"/>
              </w:rPr>
              <w:t xml:space="preserve">contemporaneous </w:t>
            </w:r>
            <w:r w:rsidR="00CC17DA" w:rsidRPr="00803D81">
              <w:rPr>
                <w:i/>
                <w:sz w:val="22"/>
                <w:szCs w:val="22"/>
              </w:rPr>
              <w:t xml:space="preserve">actual emissions are greater than the netting basis, </w:t>
            </w:r>
            <w:r w:rsidR="00792C31">
              <w:rPr>
                <w:i/>
                <w:sz w:val="22"/>
                <w:szCs w:val="22"/>
              </w:rPr>
              <w:t xml:space="preserve">this component of </w:t>
            </w:r>
            <w:r w:rsidR="00CC17DA" w:rsidRPr="00803D81">
              <w:rPr>
                <w:i/>
                <w:sz w:val="22"/>
                <w:szCs w:val="22"/>
              </w:rPr>
              <w:t xml:space="preserve">the </w:t>
            </w:r>
            <w:r w:rsidR="00E718D3">
              <w:rPr>
                <w:i/>
                <w:sz w:val="22"/>
                <w:szCs w:val="22"/>
              </w:rPr>
              <w:t xml:space="preserve">Oregon </w:t>
            </w:r>
            <w:r w:rsidR="00CC17DA" w:rsidRPr="00803D81">
              <w:rPr>
                <w:i/>
                <w:sz w:val="22"/>
                <w:szCs w:val="22"/>
              </w:rPr>
              <w:t xml:space="preserve">NSR/PSD test is a more </w:t>
            </w:r>
            <w:r w:rsidR="00E718D3">
              <w:rPr>
                <w:i/>
                <w:sz w:val="22"/>
                <w:szCs w:val="22"/>
              </w:rPr>
              <w:t>stringent</w:t>
            </w:r>
            <w:r w:rsidR="00CC17DA" w:rsidRPr="00803D81">
              <w:rPr>
                <w:i/>
                <w:sz w:val="22"/>
                <w:szCs w:val="22"/>
              </w:rPr>
              <w:t xml:space="preserve"> test</w:t>
            </w:r>
            <w:r w:rsidR="00E718D3">
              <w:rPr>
                <w:i/>
                <w:sz w:val="22"/>
                <w:szCs w:val="22"/>
              </w:rPr>
              <w:t xml:space="preserve"> than the federal</w:t>
            </w:r>
            <w:r w:rsidR="00205B45" w:rsidRPr="00803D81">
              <w:rPr>
                <w:i/>
                <w:sz w:val="22"/>
                <w:szCs w:val="22"/>
              </w:rPr>
              <w:t>.</w:t>
            </w:r>
            <w:r w:rsidR="00CC17DA" w:rsidRPr="00803D81">
              <w:rPr>
                <w:i/>
                <w:sz w:val="22"/>
                <w:szCs w:val="22"/>
              </w:rPr>
              <w:t xml:space="preserve"> If the </w:t>
            </w:r>
            <w:r w:rsidR="00803D81" w:rsidRPr="00803D81">
              <w:rPr>
                <w:i/>
                <w:sz w:val="22"/>
                <w:szCs w:val="22"/>
              </w:rPr>
              <w:t xml:space="preserve">contemporaneous </w:t>
            </w:r>
            <w:r w:rsidR="00CC17DA" w:rsidRPr="00803D81">
              <w:rPr>
                <w:i/>
                <w:sz w:val="22"/>
                <w:szCs w:val="22"/>
              </w:rPr>
              <w:t>actual emissions are less than the netting basis</w:t>
            </w:r>
            <w:r w:rsidR="00E718D3">
              <w:rPr>
                <w:i/>
                <w:sz w:val="22"/>
                <w:szCs w:val="22"/>
              </w:rPr>
              <w:t>,</w:t>
            </w:r>
            <w:r w:rsidR="00CC17DA" w:rsidRPr="00803D81">
              <w:rPr>
                <w:i/>
                <w:sz w:val="22"/>
                <w:szCs w:val="22"/>
              </w:rPr>
              <w:t xml:space="preserve"> </w:t>
            </w:r>
            <w:r w:rsidR="00792C31">
              <w:rPr>
                <w:i/>
                <w:sz w:val="22"/>
                <w:szCs w:val="22"/>
              </w:rPr>
              <w:t xml:space="preserve">this component of </w:t>
            </w:r>
            <w:r w:rsidR="00CC17DA" w:rsidRPr="00803D81">
              <w:rPr>
                <w:i/>
                <w:sz w:val="22"/>
                <w:szCs w:val="22"/>
              </w:rPr>
              <w:t xml:space="preserve">the </w:t>
            </w:r>
            <w:r w:rsidR="00E718D3">
              <w:rPr>
                <w:i/>
                <w:sz w:val="22"/>
                <w:szCs w:val="22"/>
              </w:rPr>
              <w:t xml:space="preserve">Oregon </w:t>
            </w:r>
            <w:r w:rsidR="00CC17DA" w:rsidRPr="00803D81">
              <w:rPr>
                <w:i/>
                <w:sz w:val="22"/>
                <w:szCs w:val="22"/>
              </w:rPr>
              <w:t xml:space="preserve">NSR/PSD test may be less </w:t>
            </w:r>
            <w:r w:rsidR="00E718D3">
              <w:rPr>
                <w:i/>
                <w:sz w:val="22"/>
                <w:szCs w:val="22"/>
              </w:rPr>
              <w:t>stringent than the federal</w:t>
            </w:r>
            <w:r w:rsidR="008D538C">
              <w:rPr>
                <w:i/>
                <w:sz w:val="22"/>
                <w:szCs w:val="22"/>
              </w:rPr>
              <w:t xml:space="preserve">. </w:t>
            </w:r>
            <w:r w:rsidR="00CC17DA" w:rsidRPr="00803D81">
              <w:rPr>
                <w:i/>
                <w:sz w:val="22"/>
                <w:szCs w:val="22"/>
              </w:rPr>
              <w:t xml:space="preserve">In </w:t>
            </w:r>
            <w:r w:rsidR="00792C31">
              <w:rPr>
                <w:i/>
                <w:sz w:val="22"/>
                <w:szCs w:val="22"/>
              </w:rPr>
              <w:t>both cases, however</w:t>
            </w:r>
            <w:r w:rsidR="00CC17DA" w:rsidRPr="00803D81">
              <w:rPr>
                <w:i/>
                <w:sz w:val="22"/>
                <w:szCs w:val="22"/>
              </w:rPr>
              <w:t xml:space="preserve">, using the PTE after the physical change in the NSR/PSD test makes the </w:t>
            </w:r>
            <w:r w:rsidR="00792C31">
              <w:rPr>
                <w:i/>
                <w:sz w:val="22"/>
                <w:szCs w:val="22"/>
              </w:rPr>
              <w:t xml:space="preserve">Oregon </w:t>
            </w:r>
            <w:r w:rsidR="00CC17DA" w:rsidRPr="00803D81">
              <w:rPr>
                <w:i/>
                <w:sz w:val="22"/>
                <w:szCs w:val="22"/>
              </w:rPr>
              <w:t xml:space="preserve">test more likely to trigger NSR/PSD than if the projected actual emissions were used </w:t>
            </w:r>
            <w:r w:rsidR="00792C31">
              <w:rPr>
                <w:i/>
                <w:sz w:val="22"/>
                <w:szCs w:val="22"/>
              </w:rPr>
              <w:t xml:space="preserve">as </w:t>
            </w:r>
            <w:r w:rsidR="00CC17DA" w:rsidRPr="00803D81">
              <w:rPr>
                <w:i/>
                <w:sz w:val="22"/>
                <w:szCs w:val="22"/>
              </w:rPr>
              <w:t xml:space="preserve">in the </w:t>
            </w:r>
            <w:r w:rsidR="00792C31">
              <w:rPr>
                <w:i/>
                <w:sz w:val="22"/>
                <w:szCs w:val="22"/>
              </w:rPr>
              <w:t xml:space="preserve">federal </w:t>
            </w:r>
            <w:r w:rsidR="00CC17DA" w:rsidRPr="00803D81">
              <w:rPr>
                <w:i/>
                <w:sz w:val="22"/>
                <w:szCs w:val="22"/>
              </w:rPr>
              <w:t>test.</w:t>
            </w:r>
          </w:p>
          <w:p w:rsidR="007B44E6" w:rsidRPr="007B44E6" w:rsidRDefault="007B44E6" w:rsidP="00623B37">
            <w:pPr>
              <w:spacing w:after="120"/>
              <w:rPr>
                <w:i/>
                <w:sz w:val="22"/>
                <w:szCs w:val="22"/>
                <w:highlight w:val="yellow"/>
              </w:rPr>
            </w:pPr>
            <w:r w:rsidRPr="007B44E6">
              <w:rPr>
                <w:i/>
                <w:sz w:val="22"/>
                <w:szCs w:val="22"/>
              </w:rPr>
              <w:t>DEQ does not agree that PSELs are unenforceable</w:t>
            </w:r>
            <w:r w:rsidR="008D538C">
              <w:rPr>
                <w:i/>
                <w:sz w:val="22"/>
                <w:szCs w:val="22"/>
              </w:rPr>
              <w:t xml:space="preserve">. </w:t>
            </w:r>
            <w:r w:rsidRPr="007B44E6">
              <w:rPr>
                <w:i/>
                <w:sz w:val="22"/>
                <w:szCs w:val="22"/>
              </w:rPr>
              <w:t>Each permit includes compliance monitoring in accordance with OAR 340-222-0080</w:t>
            </w:r>
            <w:r w:rsidR="008D538C">
              <w:rPr>
                <w:i/>
                <w:sz w:val="22"/>
                <w:szCs w:val="22"/>
              </w:rPr>
              <w:t xml:space="preserve">. </w:t>
            </w:r>
            <w:r w:rsidR="00841E05">
              <w:rPr>
                <w:i/>
                <w:sz w:val="22"/>
                <w:szCs w:val="22"/>
              </w:rPr>
              <w:t>This monitoring meets the federal requirement to be practically enforceable because it can be determined on at least a monthly basis</w:t>
            </w:r>
            <w:r w:rsidR="008D538C">
              <w:rPr>
                <w:i/>
                <w:sz w:val="22"/>
                <w:szCs w:val="22"/>
              </w:rPr>
              <w:t xml:space="preserve">. </w:t>
            </w:r>
            <w:r w:rsidRPr="007B44E6">
              <w:rPr>
                <w:i/>
                <w:sz w:val="22"/>
                <w:szCs w:val="22"/>
              </w:rPr>
              <w:t>If a source violates the PSEL, DEQ is able to take direct enforcement action against the source</w:t>
            </w:r>
            <w:r w:rsidR="008D538C">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bCs/>
                <w:sz w:val="22"/>
                <w:szCs w:val="22"/>
              </w:rPr>
            </w:pPr>
            <w:bookmarkStart w:id="7" w:name="_Ref285017732"/>
          </w:p>
          <w:bookmarkEnd w:id="7"/>
          <w:p w:rsidR="00487C2E" w:rsidRPr="0007371B" w:rsidRDefault="00487C2E" w:rsidP="00A62014">
            <w:pPr>
              <w:ind w:right="-115"/>
              <w:rPr>
                <w:bCs/>
                <w:sz w:val="22"/>
                <w:szCs w:val="22"/>
              </w:rPr>
            </w:pPr>
            <w:r w:rsidRPr="0007371B">
              <w:rPr>
                <w:bCs/>
                <w:sz w:val="22"/>
                <w:szCs w:val="22"/>
              </w:rPr>
              <w:t>Netting basis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Pr="00452C6C" w:rsidRDefault="00487C2E" w:rsidP="00816B16">
            <w:pPr>
              <w:spacing w:after="120"/>
              <w:rPr>
                <w:sz w:val="22"/>
                <w:szCs w:val="22"/>
              </w:rPr>
            </w:pPr>
            <w:r w:rsidRPr="00452C6C">
              <w:rPr>
                <w:sz w:val="22"/>
                <w:szCs w:val="22"/>
              </w:rPr>
              <w:t>DEQ recently released an interpretation of “netting basis” in regards to PGE’s Boardman plant. This interpretation stated that decreases required by rule would take effect on the netting basis upon adoption by the agency. PGE had announced plans to build an entirely new generating facility at the Boardman site. Without this new DEQ interpretation of netting basis, PGE could have constructed that new facility without ever subjecting it to PSD review because their actual emissions were massively below their allowable emissions</w:t>
            </w:r>
            <w:r w:rsidR="008D538C">
              <w:rPr>
                <w:sz w:val="22"/>
                <w:szCs w:val="22"/>
              </w:rPr>
              <w:t xml:space="preserve">. </w:t>
            </w:r>
            <w:r w:rsidR="00452C6C" w:rsidRPr="00452C6C">
              <w:rPr>
                <w:sz w:val="22"/>
                <w:szCs w:val="22"/>
              </w:rPr>
              <w:t>P</w:t>
            </w:r>
            <w:r w:rsidRPr="00452C6C">
              <w:rPr>
                <w:sz w:val="22"/>
                <w:szCs w:val="22"/>
              </w:rPr>
              <w:t>GE would not have had to increase their PSEL to allow operation of the new facility, and therefore would not trigger PSD review.</w:t>
            </w:r>
          </w:p>
          <w:p w:rsidR="00487C2E" w:rsidRPr="00452C6C" w:rsidRDefault="00487C2E" w:rsidP="00816B16">
            <w:pPr>
              <w:spacing w:after="120"/>
              <w:rPr>
                <w:sz w:val="22"/>
                <w:szCs w:val="22"/>
              </w:rPr>
            </w:pPr>
            <w:r w:rsidRPr="00452C6C">
              <w:rPr>
                <w:sz w:val="22"/>
                <w:szCs w:val="22"/>
              </w:rPr>
              <w:t>As commenters pointed out in response to DEQ’s proposed permit for PGE Boardman</w:t>
            </w:r>
            <w:r w:rsidR="00672F9B">
              <w:rPr>
                <w:sz w:val="22"/>
                <w:szCs w:val="22"/>
              </w:rPr>
              <w:t>,</w:t>
            </w:r>
            <w:r w:rsidRPr="00452C6C">
              <w:rPr>
                <w:sz w:val="22"/>
                <w:szCs w:val="22"/>
              </w:rPr>
              <w:t xml:space="preserve"> which advanced this new interpretation, the interpretation would lead to absurd results, potentially subjecting facilities to PSD review for projects that decreased emissions.</w:t>
            </w:r>
            <w:r w:rsidR="00623B37" w:rsidRPr="00452C6C">
              <w:rPr>
                <w:sz w:val="22"/>
                <w:szCs w:val="22"/>
              </w:rPr>
              <w:t xml:space="preserve"> </w:t>
            </w:r>
            <w:r w:rsidRPr="00452C6C">
              <w:rPr>
                <w:sz w:val="22"/>
                <w:szCs w:val="22"/>
              </w:rPr>
              <w:t>(12)</w:t>
            </w:r>
          </w:p>
          <w:p w:rsidR="00487C2E" w:rsidRPr="00452C6C" w:rsidRDefault="00487C2E" w:rsidP="00816B16">
            <w:pPr>
              <w:spacing w:after="120"/>
              <w:rPr>
                <w:i/>
                <w:sz w:val="22"/>
                <w:szCs w:val="22"/>
              </w:rPr>
            </w:pPr>
            <w:r w:rsidRPr="00452C6C">
              <w:rPr>
                <w:i/>
                <w:sz w:val="22"/>
                <w:szCs w:val="22"/>
              </w:rPr>
              <w:t>Response:</w:t>
            </w:r>
          </w:p>
          <w:p w:rsidR="00C454F1" w:rsidRDefault="00672F9B" w:rsidP="00C454F1">
            <w:pPr>
              <w:spacing w:after="120"/>
              <w:rPr>
                <w:i/>
                <w:sz w:val="22"/>
                <w:szCs w:val="22"/>
              </w:rPr>
            </w:pPr>
            <w:r>
              <w:rPr>
                <w:i/>
                <w:sz w:val="22"/>
                <w:szCs w:val="22"/>
              </w:rPr>
              <w:t>A combination of existing rules together require that the netting basis be reduced at the time an emission standard is adopted, whereas the PSEL is reduced at the time a source is required to comply with the new emission standard. In response to the situation noted in the comment, DEQ developed an internal management directive to clarify how these rules work together</w:t>
            </w:r>
            <w:r w:rsidR="008D538C">
              <w:rPr>
                <w:i/>
                <w:sz w:val="22"/>
                <w:szCs w:val="22"/>
              </w:rPr>
              <w:t xml:space="preserve">. </w:t>
            </w:r>
            <w:r w:rsidR="007013DF">
              <w:rPr>
                <w:i/>
                <w:sz w:val="22"/>
                <w:szCs w:val="22"/>
              </w:rPr>
              <w:t>I</w:t>
            </w:r>
            <w:r w:rsidR="00C454F1">
              <w:rPr>
                <w:i/>
                <w:sz w:val="22"/>
                <w:szCs w:val="22"/>
              </w:rPr>
              <w:t>f the netting basis is not reduced at the time the rule requiring a reduction is adopted, the source could reduce emissions prior to the compliance date (in this case, up to 7 years later) and use the emission reductions to avoid PSD for other projects</w:t>
            </w:r>
            <w:r w:rsidR="008D538C">
              <w:rPr>
                <w:i/>
                <w:sz w:val="22"/>
                <w:szCs w:val="22"/>
              </w:rPr>
              <w:t xml:space="preserve">. </w:t>
            </w:r>
            <w:r w:rsidR="007013DF">
              <w:rPr>
                <w:i/>
                <w:sz w:val="22"/>
                <w:szCs w:val="22"/>
              </w:rPr>
              <w:t>This would result in a source using a rule-required reduction in netting, which is not allowed under Oregon’s federally approved State Implementation Plan</w:t>
            </w:r>
            <w:r w:rsidR="008D538C">
              <w:rPr>
                <w:i/>
                <w:sz w:val="22"/>
                <w:szCs w:val="22"/>
              </w:rPr>
              <w:t xml:space="preserve">. </w:t>
            </w:r>
          </w:p>
          <w:p w:rsidR="00797A80" w:rsidRDefault="00816B16" w:rsidP="005209E1">
            <w:pPr>
              <w:spacing w:after="120"/>
              <w:rPr>
                <w:i/>
                <w:sz w:val="22"/>
                <w:szCs w:val="22"/>
              </w:rPr>
            </w:pPr>
            <w:r w:rsidRPr="00452C6C">
              <w:rPr>
                <w:i/>
                <w:sz w:val="22"/>
                <w:szCs w:val="22"/>
              </w:rPr>
              <w:t>The commenter mentioned that facilities could be subject to PSD review for projects that decreased emissions</w:t>
            </w:r>
            <w:r w:rsidR="00452C6C">
              <w:rPr>
                <w:i/>
                <w:sz w:val="22"/>
                <w:szCs w:val="22"/>
              </w:rPr>
              <w:t>, which</w:t>
            </w:r>
            <w:r w:rsidRPr="00452C6C">
              <w:rPr>
                <w:i/>
                <w:sz w:val="22"/>
                <w:szCs w:val="22"/>
              </w:rPr>
              <w:t xml:space="preserve"> is correct. The two part test for whether a major modification is triggered is a physical change or a change in the method of operation and a PSEL that results in an increase over the netting basis by more than the significant emission rate. A source’s projected PSEL from the major modification could actually decrease from its current PSEL and still trigger NSR/PS</w:t>
            </w:r>
            <w:r w:rsidR="00F13228">
              <w:rPr>
                <w:i/>
                <w:sz w:val="22"/>
                <w:szCs w:val="22"/>
              </w:rPr>
              <w:t>D</w:t>
            </w:r>
            <w:r w:rsidR="008D538C">
              <w:rPr>
                <w:i/>
                <w:sz w:val="22"/>
                <w:szCs w:val="22"/>
              </w:rPr>
              <w:t xml:space="preserve">. </w:t>
            </w:r>
            <w:r w:rsidR="00F13228">
              <w:rPr>
                <w:i/>
                <w:sz w:val="22"/>
                <w:szCs w:val="22"/>
              </w:rPr>
              <w:t>This is because a source</w:t>
            </w:r>
            <w:r w:rsidR="005209E1">
              <w:rPr>
                <w:i/>
                <w:sz w:val="22"/>
                <w:szCs w:val="22"/>
              </w:rPr>
              <w:t>’s</w:t>
            </w:r>
            <w:r w:rsidR="00F13228">
              <w:rPr>
                <w:i/>
                <w:sz w:val="22"/>
                <w:szCs w:val="22"/>
              </w:rPr>
              <w:t xml:space="preserve"> </w:t>
            </w:r>
            <w:r w:rsidR="005209E1">
              <w:rPr>
                <w:i/>
                <w:sz w:val="22"/>
                <w:szCs w:val="22"/>
              </w:rPr>
              <w:t xml:space="preserve">PSEL can be higher than the netting basis due to the </w:t>
            </w:r>
            <w:r w:rsidR="00F13228">
              <w:rPr>
                <w:i/>
                <w:sz w:val="22"/>
                <w:szCs w:val="22"/>
              </w:rPr>
              <w:t>us</w:t>
            </w:r>
            <w:r w:rsidR="005209E1">
              <w:rPr>
                <w:i/>
                <w:sz w:val="22"/>
                <w:szCs w:val="22"/>
              </w:rPr>
              <w:t xml:space="preserve">e of </w:t>
            </w:r>
            <w:r w:rsidR="00F13228">
              <w:rPr>
                <w:i/>
                <w:sz w:val="22"/>
                <w:szCs w:val="22"/>
              </w:rPr>
              <w:t xml:space="preserve">existing capacity as long as </w:t>
            </w:r>
            <w:r w:rsidR="00672F9B">
              <w:rPr>
                <w:i/>
                <w:sz w:val="22"/>
                <w:szCs w:val="22"/>
              </w:rPr>
              <w:t>it</w:t>
            </w:r>
            <w:r w:rsidR="00F13228">
              <w:rPr>
                <w:i/>
                <w:sz w:val="22"/>
                <w:szCs w:val="22"/>
              </w:rPr>
              <w:t xml:space="preserve"> </w:t>
            </w:r>
            <w:r w:rsidR="00672F9B">
              <w:rPr>
                <w:i/>
                <w:sz w:val="22"/>
                <w:szCs w:val="22"/>
              </w:rPr>
              <w:t>has</w:t>
            </w:r>
            <w:r w:rsidR="00F13228">
              <w:rPr>
                <w:i/>
                <w:sz w:val="22"/>
                <w:szCs w:val="22"/>
              </w:rPr>
              <w:t xml:space="preserve"> not made a physical change or a change in the method of operation at the facility</w:t>
            </w:r>
            <w:r w:rsidR="008D538C">
              <w:rPr>
                <w:i/>
                <w:sz w:val="22"/>
                <w:szCs w:val="22"/>
              </w:rPr>
              <w:t xml:space="preserve">. </w:t>
            </w:r>
            <w:r w:rsidR="005209E1">
              <w:rPr>
                <w:i/>
                <w:sz w:val="22"/>
                <w:szCs w:val="22"/>
              </w:rPr>
              <w:t xml:space="preserve">The PSEL can also be higher than the netting basis because of previously approved increases </w:t>
            </w:r>
            <w:r w:rsidR="00255965">
              <w:rPr>
                <w:i/>
                <w:sz w:val="22"/>
                <w:szCs w:val="22"/>
              </w:rPr>
              <w:t xml:space="preserve">due to physical modifications </w:t>
            </w:r>
            <w:r w:rsidR="005209E1">
              <w:rPr>
                <w:i/>
                <w:sz w:val="22"/>
                <w:szCs w:val="22"/>
              </w:rPr>
              <w:t>that did not trigger NSR/PSD</w:t>
            </w:r>
            <w:r w:rsidR="008D538C">
              <w:rPr>
                <w:i/>
                <w:sz w:val="22"/>
                <w:szCs w:val="22"/>
              </w:rPr>
              <w:t xml:space="preserve">. </w:t>
            </w:r>
            <w:r w:rsidR="005209E1">
              <w:rPr>
                <w:i/>
                <w:sz w:val="22"/>
                <w:szCs w:val="22"/>
              </w:rPr>
              <w:t xml:space="preserve">If the source then makes a physical change or change in the method of operation, the new PSEL can be lower than the existing PSEL but </w:t>
            </w:r>
            <w:r w:rsidR="005209E1">
              <w:rPr>
                <w:i/>
                <w:sz w:val="22"/>
                <w:szCs w:val="22"/>
              </w:rPr>
              <w:lastRenderedPageBreak/>
              <w:t>over the netting basis by more than a significant emission rate</w:t>
            </w:r>
            <w:r w:rsidR="008D538C">
              <w:rPr>
                <w:i/>
                <w:sz w:val="22"/>
                <w:szCs w:val="22"/>
              </w:rPr>
              <w:t xml:space="preserve">. </w:t>
            </w:r>
            <w:r w:rsidR="005209E1">
              <w:rPr>
                <w:i/>
                <w:sz w:val="22"/>
                <w:szCs w:val="22"/>
              </w:rPr>
              <w:t>Increases in the PSEL from the use of existing capacity must be tracked separately from increases due to physical modifications</w:t>
            </w:r>
            <w:r w:rsidR="008D538C">
              <w:rPr>
                <w:i/>
                <w:sz w:val="22"/>
                <w:szCs w:val="22"/>
              </w:rPr>
              <w:t xml:space="preserve">. </w:t>
            </w:r>
          </w:p>
          <w:p w:rsidR="00672F9B" w:rsidRDefault="00672F9B" w:rsidP="005209E1">
            <w:pPr>
              <w:spacing w:after="120"/>
              <w:rPr>
                <w:i/>
                <w:sz w:val="22"/>
                <w:szCs w:val="22"/>
              </w:rPr>
            </w:pPr>
            <w:r>
              <w:rPr>
                <w:i/>
                <w:sz w:val="22"/>
                <w:szCs w:val="22"/>
              </w:rPr>
              <w:t>Example:</w:t>
            </w:r>
          </w:p>
          <w:tbl>
            <w:tblPr>
              <w:tblStyle w:val="TableGrid"/>
              <w:tblW w:w="8070" w:type="dxa"/>
              <w:tblLayout w:type="fixed"/>
              <w:tblLook w:val="04A0"/>
            </w:tblPr>
            <w:tblGrid>
              <w:gridCol w:w="780"/>
              <w:gridCol w:w="1260"/>
              <w:gridCol w:w="2070"/>
              <w:gridCol w:w="1800"/>
              <w:gridCol w:w="1080"/>
              <w:gridCol w:w="1080"/>
            </w:tblGrid>
            <w:tr w:rsidR="001F0131" w:rsidTr="00797A80">
              <w:trPr>
                <w:trHeight w:val="917"/>
              </w:trPr>
              <w:tc>
                <w:tcPr>
                  <w:tcW w:w="780" w:type="dxa"/>
                </w:tcPr>
                <w:p w:rsidR="001F0131" w:rsidRDefault="001F0131" w:rsidP="00AC25FF">
                  <w:pPr>
                    <w:jc w:val="center"/>
                    <w:rPr>
                      <w:i/>
                    </w:rPr>
                  </w:pPr>
                  <w:r>
                    <w:rPr>
                      <w:i/>
                    </w:rPr>
                    <w:t>Year</w:t>
                  </w:r>
                </w:p>
              </w:tc>
              <w:tc>
                <w:tcPr>
                  <w:tcW w:w="1260" w:type="dxa"/>
                </w:tcPr>
                <w:p w:rsidR="001F0131" w:rsidRDefault="001F0131" w:rsidP="00AC25FF">
                  <w:pPr>
                    <w:jc w:val="center"/>
                    <w:rPr>
                      <w:i/>
                    </w:rPr>
                  </w:pPr>
                  <w:r>
                    <w:rPr>
                      <w:i/>
                    </w:rPr>
                    <w:t>Netting Basis</w:t>
                  </w:r>
                </w:p>
                <w:p w:rsidR="001F0131" w:rsidRDefault="001F0131" w:rsidP="00AC25FF">
                  <w:pPr>
                    <w:jc w:val="center"/>
                    <w:rPr>
                      <w:i/>
                    </w:rPr>
                  </w:pPr>
                  <w:r>
                    <w:rPr>
                      <w:i/>
                    </w:rPr>
                    <w:t>(tpy)</w:t>
                  </w:r>
                </w:p>
              </w:tc>
              <w:tc>
                <w:tcPr>
                  <w:tcW w:w="2070" w:type="dxa"/>
                </w:tcPr>
                <w:p w:rsidR="00AC25FF" w:rsidRDefault="001F0131" w:rsidP="00AC25FF">
                  <w:pPr>
                    <w:jc w:val="center"/>
                    <w:rPr>
                      <w:i/>
                    </w:rPr>
                  </w:pPr>
                  <w:r>
                    <w:rPr>
                      <w:i/>
                    </w:rPr>
                    <w:t xml:space="preserve">PSEL increase </w:t>
                  </w:r>
                  <w:r w:rsidR="00AC25FF">
                    <w:rPr>
                      <w:i/>
                    </w:rPr>
                    <w:t>[</w:t>
                  </w:r>
                  <w:r>
                    <w:rPr>
                      <w:i/>
                    </w:rPr>
                    <w:t>existing capacity</w:t>
                  </w:r>
                  <w:r w:rsidR="00AC25FF">
                    <w:rPr>
                      <w:i/>
                    </w:rPr>
                    <w:t>]</w:t>
                  </w:r>
                </w:p>
                <w:p w:rsidR="001F0131" w:rsidRDefault="001F0131" w:rsidP="00AC25FF">
                  <w:pPr>
                    <w:jc w:val="center"/>
                    <w:rPr>
                      <w:i/>
                    </w:rPr>
                  </w:pPr>
                  <w:r>
                    <w:rPr>
                      <w:i/>
                    </w:rPr>
                    <w:t>(tpy)</w:t>
                  </w:r>
                </w:p>
              </w:tc>
              <w:tc>
                <w:tcPr>
                  <w:tcW w:w="1800" w:type="dxa"/>
                </w:tcPr>
                <w:p w:rsidR="00AC25FF" w:rsidRDefault="001F0131" w:rsidP="00AC25FF">
                  <w:pPr>
                    <w:jc w:val="center"/>
                    <w:rPr>
                      <w:i/>
                    </w:rPr>
                  </w:pPr>
                  <w:r>
                    <w:rPr>
                      <w:i/>
                    </w:rPr>
                    <w:t xml:space="preserve">PSEL increase </w:t>
                  </w:r>
                  <w:r w:rsidR="00AC25FF">
                    <w:rPr>
                      <w:i/>
                    </w:rPr>
                    <w:t>[</w:t>
                  </w:r>
                  <w:r>
                    <w:rPr>
                      <w:i/>
                    </w:rPr>
                    <w:t>new equipment</w:t>
                  </w:r>
                  <w:r w:rsidR="00AC25FF">
                    <w:rPr>
                      <w:i/>
                    </w:rPr>
                    <w:t>]</w:t>
                  </w:r>
                </w:p>
                <w:p w:rsidR="001F0131" w:rsidRDefault="001F0131" w:rsidP="00AC25FF">
                  <w:pPr>
                    <w:jc w:val="center"/>
                    <w:rPr>
                      <w:i/>
                    </w:rPr>
                  </w:pPr>
                  <w:r>
                    <w:rPr>
                      <w:i/>
                    </w:rPr>
                    <w:t>(tpy)</w:t>
                  </w:r>
                </w:p>
              </w:tc>
              <w:tc>
                <w:tcPr>
                  <w:tcW w:w="1080" w:type="dxa"/>
                </w:tcPr>
                <w:p w:rsidR="00AC25FF" w:rsidRDefault="001F0131" w:rsidP="00AC25FF">
                  <w:pPr>
                    <w:jc w:val="center"/>
                    <w:rPr>
                      <w:i/>
                    </w:rPr>
                  </w:pPr>
                  <w:r>
                    <w:rPr>
                      <w:i/>
                    </w:rPr>
                    <w:t>PSEL</w:t>
                  </w:r>
                </w:p>
                <w:p w:rsidR="001F0131" w:rsidRDefault="001F0131" w:rsidP="00AC25FF">
                  <w:pPr>
                    <w:jc w:val="center"/>
                    <w:rPr>
                      <w:i/>
                    </w:rPr>
                  </w:pPr>
                  <w:r>
                    <w:rPr>
                      <w:i/>
                    </w:rPr>
                    <w:t>(tpy)</w:t>
                  </w:r>
                </w:p>
              </w:tc>
              <w:tc>
                <w:tcPr>
                  <w:tcW w:w="1080" w:type="dxa"/>
                </w:tcPr>
                <w:p w:rsidR="00AC25FF" w:rsidRDefault="001F0131" w:rsidP="00AC25FF">
                  <w:pPr>
                    <w:jc w:val="center"/>
                    <w:rPr>
                      <w:i/>
                    </w:rPr>
                  </w:pPr>
                  <w:r>
                    <w:rPr>
                      <w:i/>
                    </w:rPr>
                    <w:t>SER</w:t>
                  </w:r>
                </w:p>
                <w:p w:rsidR="001F0131" w:rsidRDefault="001F0131" w:rsidP="00AC25FF">
                  <w:pPr>
                    <w:jc w:val="center"/>
                    <w:rPr>
                      <w:i/>
                    </w:rPr>
                  </w:pPr>
                  <w:r>
                    <w:rPr>
                      <w:i/>
                    </w:rPr>
                    <w:t>(tpy)</w:t>
                  </w:r>
                </w:p>
              </w:tc>
            </w:tr>
            <w:tr w:rsidR="001F0131" w:rsidTr="00797A80">
              <w:tc>
                <w:tcPr>
                  <w:tcW w:w="780" w:type="dxa"/>
                </w:tcPr>
                <w:p w:rsidR="001F0131" w:rsidRDefault="001F0131" w:rsidP="00D55F8C">
                  <w:pPr>
                    <w:spacing w:after="120"/>
                    <w:rPr>
                      <w:i/>
                    </w:rPr>
                  </w:pPr>
                  <w:r>
                    <w:rPr>
                      <w:i/>
                    </w:rPr>
                    <w:t>2000</w:t>
                  </w:r>
                </w:p>
              </w:tc>
              <w:tc>
                <w:tcPr>
                  <w:tcW w:w="1260" w:type="dxa"/>
                </w:tcPr>
                <w:p w:rsidR="001F0131" w:rsidRDefault="001F0131" w:rsidP="005209E1">
                  <w:pPr>
                    <w:spacing w:after="120"/>
                    <w:rPr>
                      <w:i/>
                    </w:rPr>
                  </w:pPr>
                  <w:r>
                    <w:rPr>
                      <w:i/>
                    </w:rPr>
                    <w:t>100</w:t>
                  </w:r>
                </w:p>
              </w:tc>
              <w:tc>
                <w:tcPr>
                  <w:tcW w:w="2070" w:type="dxa"/>
                </w:tcPr>
                <w:p w:rsidR="001F0131" w:rsidRDefault="001F0131" w:rsidP="005209E1">
                  <w:pPr>
                    <w:spacing w:after="120"/>
                    <w:rPr>
                      <w:i/>
                    </w:rPr>
                  </w:pPr>
                  <w:r>
                    <w:rPr>
                      <w:i/>
                    </w:rPr>
                    <w:t>30</w:t>
                  </w:r>
                </w:p>
              </w:tc>
              <w:tc>
                <w:tcPr>
                  <w:tcW w:w="1800" w:type="dxa"/>
                </w:tcPr>
                <w:p w:rsidR="001F0131" w:rsidRDefault="001F0131" w:rsidP="005209E1">
                  <w:pPr>
                    <w:spacing w:after="120"/>
                    <w:rPr>
                      <w:i/>
                    </w:rPr>
                  </w:pPr>
                  <w:r>
                    <w:rPr>
                      <w:i/>
                    </w:rPr>
                    <w:t>20</w:t>
                  </w:r>
                </w:p>
              </w:tc>
              <w:tc>
                <w:tcPr>
                  <w:tcW w:w="1080" w:type="dxa"/>
                </w:tcPr>
                <w:p w:rsidR="001F0131" w:rsidRDefault="001F0131" w:rsidP="00AC25FF">
                  <w:pPr>
                    <w:spacing w:after="120"/>
                    <w:rPr>
                      <w:i/>
                    </w:rPr>
                  </w:pPr>
                  <w:r>
                    <w:rPr>
                      <w:i/>
                    </w:rPr>
                    <w:t xml:space="preserve">150 </w:t>
                  </w:r>
                </w:p>
              </w:tc>
              <w:tc>
                <w:tcPr>
                  <w:tcW w:w="1080" w:type="dxa"/>
                </w:tcPr>
                <w:p w:rsidR="001F0131" w:rsidRDefault="001F0131" w:rsidP="005209E1">
                  <w:pPr>
                    <w:spacing w:after="120"/>
                    <w:rPr>
                      <w:i/>
                    </w:rPr>
                  </w:pPr>
                  <w:r>
                    <w:rPr>
                      <w:i/>
                    </w:rPr>
                    <w:t>40</w:t>
                  </w:r>
                </w:p>
              </w:tc>
            </w:tr>
            <w:tr w:rsidR="001F0131" w:rsidTr="00797A80">
              <w:tc>
                <w:tcPr>
                  <w:tcW w:w="780" w:type="dxa"/>
                </w:tcPr>
                <w:p w:rsidR="001F0131" w:rsidRDefault="001F0131" w:rsidP="00D55F8C">
                  <w:pPr>
                    <w:spacing w:after="120"/>
                    <w:rPr>
                      <w:i/>
                    </w:rPr>
                  </w:pPr>
                  <w:r>
                    <w:rPr>
                      <w:i/>
                    </w:rPr>
                    <w:t>2009</w:t>
                  </w:r>
                </w:p>
              </w:tc>
              <w:tc>
                <w:tcPr>
                  <w:tcW w:w="1260" w:type="dxa"/>
                </w:tcPr>
                <w:p w:rsidR="001F0131" w:rsidRDefault="001F0131" w:rsidP="005209E1">
                  <w:pPr>
                    <w:spacing w:after="120"/>
                    <w:rPr>
                      <w:i/>
                    </w:rPr>
                  </w:pPr>
                  <w:r>
                    <w:rPr>
                      <w:i/>
                    </w:rPr>
                    <w:t>100</w:t>
                  </w:r>
                </w:p>
              </w:tc>
              <w:tc>
                <w:tcPr>
                  <w:tcW w:w="2070" w:type="dxa"/>
                </w:tcPr>
                <w:p w:rsidR="001F0131" w:rsidRDefault="001F0131" w:rsidP="005209E1">
                  <w:pPr>
                    <w:spacing w:after="120"/>
                    <w:rPr>
                      <w:i/>
                    </w:rPr>
                  </w:pPr>
                  <w:r>
                    <w:rPr>
                      <w:i/>
                    </w:rPr>
                    <w:t>0</w:t>
                  </w:r>
                </w:p>
              </w:tc>
              <w:tc>
                <w:tcPr>
                  <w:tcW w:w="1800" w:type="dxa"/>
                </w:tcPr>
                <w:p w:rsidR="001F0131" w:rsidRDefault="001F0131" w:rsidP="005209E1">
                  <w:pPr>
                    <w:spacing w:after="120"/>
                    <w:rPr>
                      <w:i/>
                    </w:rPr>
                  </w:pPr>
                  <w:r>
                    <w:rPr>
                      <w:i/>
                    </w:rPr>
                    <w:t>45</w:t>
                  </w:r>
                </w:p>
              </w:tc>
              <w:tc>
                <w:tcPr>
                  <w:tcW w:w="1080" w:type="dxa"/>
                </w:tcPr>
                <w:p w:rsidR="001F0131" w:rsidRDefault="001F0131" w:rsidP="00AC25FF">
                  <w:pPr>
                    <w:spacing w:after="120"/>
                    <w:rPr>
                      <w:i/>
                    </w:rPr>
                  </w:pPr>
                  <w:r>
                    <w:rPr>
                      <w:i/>
                    </w:rPr>
                    <w:t xml:space="preserve">145 </w:t>
                  </w:r>
                </w:p>
              </w:tc>
              <w:tc>
                <w:tcPr>
                  <w:tcW w:w="1080" w:type="dxa"/>
                </w:tcPr>
                <w:p w:rsidR="001F0131" w:rsidRDefault="001F0131" w:rsidP="005209E1">
                  <w:pPr>
                    <w:spacing w:after="120"/>
                    <w:rPr>
                      <w:i/>
                    </w:rPr>
                  </w:pPr>
                  <w:r>
                    <w:rPr>
                      <w:i/>
                    </w:rPr>
                    <w:t>40</w:t>
                  </w:r>
                </w:p>
              </w:tc>
            </w:tr>
          </w:tbl>
          <w:p w:rsidR="00487C2E" w:rsidRPr="00452C6C" w:rsidRDefault="005F7C3A" w:rsidP="00797A80">
            <w:pPr>
              <w:spacing w:before="120" w:after="120"/>
              <w:rPr>
                <w:i/>
                <w:sz w:val="22"/>
                <w:szCs w:val="22"/>
              </w:rPr>
            </w:pPr>
            <w:r>
              <w:rPr>
                <w:i/>
                <w:sz w:val="22"/>
                <w:szCs w:val="22"/>
              </w:rPr>
              <w:t>In the example above, NSR/PSD was not triggered in 2000 because the increase in PSEL over the netting basis for new equipment (20 tpy) was not over the SER</w:t>
            </w:r>
            <w:r w:rsidR="008D538C">
              <w:rPr>
                <w:i/>
                <w:sz w:val="22"/>
                <w:szCs w:val="22"/>
              </w:rPr>
              <w:t xml:space="preserve">. </w:t>
            </w:r>
            <w:r>
              <w:rPr>
                <w:i/>
                <w:sz w:val="22"/>
                <w:szCs w:val="22"/>
              </w:rPr>
              <w:t>The change in 2009 did trigger NSR/PSD since the increase in the PSEL over the netting basis for new equipment (45 tpy) was greater than the SER</w:t>
            </w:r>
            <w:r w:rsidR="00E43EE9">
              <w:rPr>
                <w:i/>
                <w:sz w:val="22"/>
                <w:szCs w:val="22"/>
              </w:rPr>
              <w:t xml:space="preserve"> even though the PSEL decreased from 150 tpy to 145 tpy</w:t>
            </w:r>
            <w:r w:rsidR="008D538C">
              <w:rPr>
                <w:i/>
                <w:sz w:val="22"/>
                <w:szCs w:val="22"/>
              </w:rPr>
              <w:t xml:space="preserve">. </w:t>
            </w:r>
            <w:r w:rsidR="00452C6C">
              <w:rPr>
                <w:i/>
                <w:sz w:val="22"/>
                <w:szCs w:val="22"/>
              </w:rPr>
              <w:t>This clarification was made in the definition of major modification</w:t>
            </w:r>
            <w:r w:rsidR="00B14540">
              <w:rPr>
                <w:i/>
                <w:sz w:val="22"/>
                <w:szCs w:val="22"/>
              </w:rPr>
              <w:t xml:space="preserve"> </w:t>
            </w:r>
            <w:r w:rsidR="00B14540" w:rsidRPr="007A7817">
              <w:rPr>
                <w:i/>
                <w:sz w:val="22"/>
                <w:szCs w:val="22"/>
              </w:rPr>
              <w:t>(s</w:t>
            </w:r>
            <w:r w:rsidR="00816B16" w:rsidRPr="007A7817">
              <w:rPr>
                <w:i/>
                <w:sz w:val="22"/>
                <w:szCs w:val="22"/>
              </w:rPr>
              <w:t xml:space="preserve">ee the </w:t>
            </w:r>
            <w:r w:rsidR="00B14540" w:rsidRPr="007A7817">
              <w:rPr>
                <w:i/>
                <w:sz w:val="22"/>
                <w:szCs w:val="22"/>
              </w:rPr>
              <w:t>response</w:t>
            </w:r>
            <w:r w:rsidR="00816B16" w:rsidRPr="007A7817">
              <w:rPr>
                <w:i/>
                <w:sz w:val="22"/>
                <w:szCs w:val="22"/>
              </w:rPr>
              <w:t xml:space="preserve"> in </w:t>
            </w:r>
            <w:r w:rsidR="00452C6C" w:rsidRPr="007A7817">
              <w:rPr>
                <w:i/>
                <w:sz w:val="22"/>
                <w:szCs w:val="22"/>
              </w:rPr>
              <w:t>comment</w:t>
            </w:r>
            <w:r w:rsidR="00B14540" w:rsidRPr="007A7817">
              <w:rPr>
                <w:i/>
                <w:sz w:val="22"/>
                <w:szCs w:val="22"/>
              </w:rPr>
              <w:t xml:space="preserve"> </w:t>
            </w:r>
            <w:fldSimple w:instr=" REF _Ref283932866 \r \h  \* MERGEFORMAT ">
              <w:r w:rsidR="008C77F7" w:rsidRPr="008C77F7">
                <w:rPr>
                  <w:i/>
                  <w:sz w:val="22"/>
                  <w:szCs w:val="22"/>
                </w:rPr>
                <w:t>18</w:t>
              </w:r>
            </w:fldSimple>
            <w:r w:rsidR="00B14540" w:rsidRPr="007A7817">
              <w:rPr>
                <w:i/>
                <w:sz w:val="22"/>
                <w:szCs w:val="22"/>
              </w:rPr>
              <w:t xml:space="preserve"> “major modification definition</w:t>
            </w:r>
            <w:r w:rsidR="00B14540">
              <w:rPr>
                <w:i/>
                <w:sz w:val="22"/>
                <w:szCs w:val="22"/>
              </w:rPr>
              <w:t>”)</w:t>
            </w:r>
            <w:r w:rsidR="008D538C">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DA15C7" w:rsidP="00A62014">
            <w:pPr>
              <w:ind w:right="-115"/>
              <w:rPr>
                <w:bCs/>
                <w:sz w:val="22"/>
                <w:szCs w:val="22"/>
              </w:rPr>
            </w:pPr>
            <w:r w:rsidRPr="00943C75">
              <w:rPr>
                <w:sz w:val="22"/>
                <w:szCs w:val="22"/>
              </w:rPr>
              <w:t xml:space="preserve">Ozone </w:t>
            </w:r>
            <w:r w:rsidR="00A04D17" w:rsidRPr="00943C75">
              <w:rPr>
                <w:sz w:val="22"/>
                <w:szCs w:val="22"/>
              </w:rPr>
              <w:t>p</w:t>
            </w:r>
            <w:r w:rsidRPr="00943C75">
              <w:rPr>
                <w:sz w:val="22"/>
                <w:szCs w:val="22"/>
              </w:rPr>
              <w:t>recursor</w:t>
            </w:r>
            <w:r w:rsidR="00A04D17" w:rsidRPr="00943C75">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2D0FE2" w:rsidRDefault="0051452D" w:rsidP="00076541">
            <w:pPr>
              <w:autoSpaceDE w:val="0"/>
              <w:autoSpaceDN w:val="0"/>
              <w:adjustRightInd w:val="0"/>
              <w:spacing w:after="120"/>
              <w:rPr>
                <w:sz w:val="22"/>
                <w:szCs w:val="22"/>
              </w:rPr>
            </w:pPr>
            <w:r w:rsidRPr="002D0FE2">
              <w:rPr>
                <w:bCs/>
                <w:sz w:val="22"/>
                <w:szCs w:val="22"/>
              </w:rPr>
              <w:t xml:space="preserve">OAR </w:t>
            </w:r>
            <w:r w:rsidRPr="002D0FE2">
              <w:rPr>
                <w:sz w:val="22"/>
                <w:szCs w:val="22"/>
              </w:rPr>
              <w:t>340-200-0020(84): The new definition of "Ozone Precursor" should include language regarding the measurement methods similar to the language in the definition of "PM</w:t>
            </w:r>
            <w:r w:rsidRPr="002D0FE2">
              <w:rPr>
                <w:sz w:val="22"/>
                <w:szCs w:val="22"/>
                <w:vertAlign w:val="subscript"/>
              </w:rPr>
              <w:t>10</w:t>
            </w:r>
            <w:r w:rsidRPr="002D0FE2">
              <w:rPr>
                <w:sz w:val="22"/>
                <w:szCs w:val="22"/>
              </w:rPr>
              <w:t>" when used in context of emissions especially to distinguish between ambient NO</w:t>
            </w:r>
            <w:r w:rsidRPr="002D0FE2">
              <w:rPr>
                <w:sz w:val="22"/>
                <w:szCs w:val="22"/>
                <w:vertAlign w:val="subscript"/>
              </w:rPr>
              <w:t>2</w:t>
            </w:r>
            <w:r w:rsidRPr="002D0FE2">
              <w:rPr>
                <w:sz w:val="22"/>
                <w:szCs w:val="22"/>
              </w:rPr>
              <w:t xml:space="preserve"> and NO</w:t>
            </w:r>
            <w:r w:rsidRPr="002D0FE2">
              <w:rPr>
                <w:sz w:val="22"/>
                <w:szCs w:val="22"/>
                <w:vertAlign w:val="subscript"/>
              </w:rPr>
              <w:t>x</w:t>
            </w:r>
            <w:r w:rsidR="00D60D5D">
              <w:rPr>
                <w:sz w:val="22"/>
                <w:szCs w:val="22"/>
              </w:rPr>
              <w:t xml:space="preserve"> emissions</w:t>
            </w:r>
            <w:r w:rsidR="00D60D5D" w:rsidRPr="001E1E9F">
              <w:rPr>
                <w:sz w:val="22"/>
                <w:szCs w:val="22"/>
              </w:rPr>
              <w:t>. (7</w:t>
            </w:r>
            <w:r w:rsidRPr="001E1E9F">
              <w:rPr>
                <w:sz w:val="22"/>
                <w:szCs w:val="22"/>
              </w:rPr>
              <w:t>)</w:t>
            </w:r>
          </w:p>
          <w:p w:rsidR="0051452D" w:rsidRDefault="0051452D" w:rsidP="00076541">
            <w:pPr>
              <w:autoSpaceDE w:val="0"/>
              <w:autoSpaceDN w:val="0"/>
              <w:adjustRightInd w:val="0"/>
              <w:spacing w:after="120"/>
              <w:rPr>
                <w:i/>
                <w:sz w:val="22"/>
                <w:szCs w:val="22"/>
              </w:rPr>
            </w:pPr>
            <w:r w:rsidRPr="002D0FE2">
              <w:rPr>
                <w:i/>
                <w:sz w:val="22"/>
                <w:szCs w:val="22"/>
              </w:rPr>
              <w:t>Response:</w:t>
            </w:r>
          </w:p>
          <w:p w:rsidR="00414903" w:rsidRPr="002D0FE2" w:rsidRDefault="00A21C65" w:rsidP="00076541">
            <w:pPr>
              <w:autoSpaceDE w:val="0"/>
              <w:autoSpaceDN w:val="0"/>
              <w:adjustRightInd w:val="0"/>
              <w:spacing w:after="120"/>
              <w:rPr>
                <w:sz w:val="22"/>
                <w:szCs w:val="22"/>
              </w:rPr>
            </w:pPr>
            <w:r>
              <w:rPr>
                <w:i/>
                <w:sz w:val="22"/>
                <w:szCs w:val="22"/>
              </w:rPr>
              <w:t>The change was made to the proposed rule as suggested.</w:t>
            </w:r>
          </w:p>
        </w:tc>
      </w:tr>
      <w:tr w:rsidR="0051452D" w:rsidRPr="00DB4981"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DA15C7" w:rsidP="00A62014">
            <w:pPr>
              <w:ind w:right="-115"/>
              <w:rPr>
                <w:bCs/>
                <w:sz w:val="22"/>
                <w:szCs w:val="22"/>
              </w:rPr>
            </w:pPr>
            <w:r w:rsidRPr="00943C75">
              <w:rPr>
                <w:sz w:val="22"/>
                <w:szCs w:val="22"/>
              </w:rPr>
              <w:t>Conditional test method citation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DB4981" w:rsidRDefault="0051452D" w:rsidP="00076541">
            <w:pPr>
              <w:autoSpaceDE w:val="0"/>
              <w:autoSpaceDN w:val="0"/>
              <w:adjustRightInd w:val="0"/>
              <w:spacing w:after="120"/>
              <w:rPr>
                <w:sz w:val="22"/>
                <w:szCs w:val="22"/>
              </w:rPr>
            </w:pPr>
            <w:r w:rsidRPr="00DB4981">
              <w:rPr>
                <w:bCs/>
                <w:sz w:val="22"/>
                <w:szCs w:val="22"/>
              </w:rPr>
              <w:t xml:space="preserve">OAR </w:t>
            </w:r>
            <w:r w:rsidRPr="00DB4981">
              <w:rPr>
                <w:sz w:val="22"/>
                <w:szCs w:val="22"/>
              </w:rPr>
              <w:t>340-200-0020(95)(b): We assume ODEQ removed the conditional test method (CTM) citation because CTMs are no longer being developed. We recommend that other test method (OTM) 027 for PM</w:t>
            </w:r>
            <w:r w:rsidRPr="00DB4981">
              <w:rPr>
                <w:sz w:val="22"/>
                <w:szCs w:val="22"/>
                <w:vertAlign w:val="subscript"/>
              </w:rPr>
              <w:t>2.5</w:t>
            </w:r>
            <w:r w:rsidRPr="00DB4981">
              <w:rPr>
                <w:sz w:val="22"/>
                <w:szCs w:val="22"/>
              </w:rPr>
              <w:t xml:space="preserve"> and PM</w:t>
            </w:r>
            <w:r w:rsidRPr="00DB4981">
              <w:rPr>
                <w:sz w:val="22"/>
                <w:szCs w:val="22"/>
                <w:vertAlign w:val="subscript"/>
              </w:rPr>
              <w:t>10</w:t>
            </w:r>
            <w:r w:rsidRPr="00DB4981">
              <w:rPr>
                <w:sz w:val="22"/>
                <w:szCs w:val="22"/>
              </w:rPr>
              <w:t>, that has superceded CTM 040, be cited here. As with the current definitions of "PM" and "PM</w:t>
            </w:r>
            <w:r w:rsidRPr="00DB4981">
              <w:rPr>
                <w:sz w:val="22"/>
                <w:szCs w:val="22"/>
                <w:vertAlign w:val="subscript"/>
              </w:rPr>
              <w:t>10</w:t>
            </w:r>
            <w:r w:rsidRPr="00DB4981">
              <w:rPr>
                <w:sz w:val="22"/>
                <w:szCs w:val="22"/>
              </w:rPr>
              <w:t>," this definition needs to reference the appropriate EPA or ODEQ emissions measurement method in order to distinguish ambient PM</w:t>
            </w:r>
            <w:r w:rsidRPr="00DB4981">
              <w:rPr>
                <w:sz w:val="22"/>
                <w:szCs w:val="22"/>
                <w:vertAlign w:val="subscript"/>
              </w:rPr>
              <w:t>2.5</w:t>
            </w:r>
            <w:r w:rsidRPr="00DB4981">
              <w:rPr>
                <w:sz w:val="22"/>
                <w:szCs w:val="22"/>
              </w:rPr>
              <w:t xml:space="preserve"> from PM</w:t>
            </w:r>
            <w:r w:rsidRPr="00DB4981">
              <w:rPr>
                <w:sz w:val="22"/>
                <w:szCs w:val="22"/>
                <w:vertAlign w:val="subscript"/>
              </w:rPr>
              <w:t>2.5</w:t>
            </w:r>
            <w:r w:rsidR="00D60D5D" w:rsidRPr="00DB4981">
              <w:rPr>
                <w:sz w:val="22"/>
                <w:szCs w:val="22"/>
              </w:rPr>
              <w:t xml:space="preserve"> emissions. (7</w:t>
            </w:r>
            <w:r w:rsidRPr="00DB4981">
              <w:rPr>
                <w:sz w:val="22"/>
                <w:szCs w:val="22"/>
              </w:rPr>
              <w:t>)</w:t>
            </w:r>
          </w:p>
          <w:p w:rsidR="0051452D" w:rsidRPr="00DB4981" w:rsidRDefault="0051452D" w:rsidP="00076541">
            <w:pPr>
              <w:autoSpaceDE w:val="0"/>
              <w:autoSpaceDN w:val="0"/>
              <w:adjustRightInd w:val="0"/>
              <w:spacing w:after="120"/>
              <w:rPr>
                <w:i/>
                <w:sz w:val="22"/>
                <w:szCs w:val="22"/>
              </w:rPr>
            </w:pPr>
            <w:r w:rsidRPr="00DB4981">
              <w:rPr>
                <w:i/>
                <w:sz w:val="22"/>
                <w:szCs w:val="22"/>
              </w:rPr>
              <w:t>Response:</w:t>
            </w:r>
          </w:p>
          <w:p w:rsidR="00012675" w:rsidRDefault="00DB4981">
            <w:pPr>
              <w:autoSpaceDE w:val="0"/>
              <w:autoSpaceDN w:val="0"/>
              <w:adjustRightInd w:val="0"/>
              <w:spacing w:after="120"/>
              <w:rPr>
                <w:i/>
                <w:sz w:val="22"/>
                <w:szCs w:val="22"/>
              </w:rPr>
            </w:pPr>
            <w:r w:rsidRPr="00DB4981">
              <w:rPr>
                <w:i/>
                <w:sz w:val="22"/>
                <w:szCs w:val="22"/>
              </w:rPr>
              <w:t xml:space="preserve">EPA reference test methods </w:t>
            </w:r>
            <w:r w:rsidRPr="00DB2119">
              <w:rPr>
                <w:i/>
                <w:sz w:val="22"/>
                <w:szCs w:val="22"/>
              </w:rPr>
              <w:t>for PM</w:t>
            </w:r>
            <w:r w:rsidRPr="00DB2119">
              <w:rPr>
                <w:i/>
                <w:sz w:val="22"/>
                <w:szCs w:val="22"/>
                <w:vertAlign w:val="subscript"/>
              </w:rPr>
              <w:t>10</w:t>
            </w:r>
            <w:r w:rsidRPr="00DB2119">
              <w:rPr>
                <w:i/>
                <w:sz w:val="22"/>
                <w:szCs w:val="22"/>
              </w:rPr>
              <w:t xml:space="preserve"> and</w:t>
            </w:r>
            <w:r w:rsidRPr="00DB4981">
              <w:rPr>
                <w:i/>
                <w:sz w:val="22"/>
                <w:szCs w:val="22"/>
              </w:rPr>
              <w:t xml:space="preserve"> PM</w:t>
            </w:r>
            <w:r w:rsidRPr="00DB4981">
              <w:rPr>
                <w:i/>
                <w:sz w:val="22"/>
                <w:szCs w:val="22"/>
                <w:vertAlign w:val="subscript"/>
              </w:rPr>
              <w:t>2.5</w:t>
            </w:r>
            <w:r w:rsidRPr="00DB4981">
              <w:rPr>
                <w:i/>
                <w:sz w:val="22"/>
                <w:szCs w:val="22"/>
              </w:rPr>
              <w:t xml:space="preserve"> (</w:t>
            </w:r>
            <w:r w:rsidRPr="00DB4981">
              <w:rPr>
                <w:b/>
                <w:bCs/>
                <w:i/>
                <w:sz w:val="22"/>
                <w:szCs w:val="22"/>
              </w:rPr>
              <w:t>Methods 201A and 202 - Methods for Measurement of Filterable PM10 and PM2.5 and Measurement of Condensable PM Emissions from Stationary Sources</w:t>
            </w:r>
            <w:r w:rsidRPr="00DB4981">
              <w:rPr>
                <w:i/>
                <w:sz w:val="22"/>
                <w:szCs w:val="22"/>
              </w:rPr>
              <w:t>) were promulgated on December 1, 2010 and became effective on January 1, 2011</w:t>
            </w:r>
            <w:r w:rsidR="008D538C">
              <w:rPr>
                <w:i/>
                <w:sz w:val="22"/>
                <w:szCs w:val="22"/>
              </w:rPr>
              <w:t xml:space="preserve">. </w:t>
            </w:r>
            <w:r w:rsidRPr="00DB4981">
              <w:rPr>
                <w:i/>
                <w:sz w:val="22"/>
                <w:szCs w:val="22"/>
              </w:rPr>
              <w:t xml:space="preserve">These revised EPA methods have replaced Other Test Method (OTM) 27 and 28 and </w:t>
            </w:r>
            <w:r w:rsidR="004336F1">
              <w:rPr>
                <w:i/>
                <w:sz w:val="22"/>
                <w:szCs w:val="22"/>
              </w:rPr>
              <w:t>have been</w:t>
            </w:r>
            <w:r w:rsidRPr="00DB4981">
              <w:rPr>
                <w:i/>
                <w:sz w:val="22"/>
                <w:szCs w:val="22"/>
              </w:rPr>
              <w:t xml:space="preserve"> added to the </w:t>
            </w:r>
            <w:r w:rsidR="004336F1">
              <w:rPr>
                <w:i/>
                <w:sz w:val="22"/>
                <w:szCs w:val="22"/>
              </w:rPr>
              <w:t xml:space="preserve">proposed </w:t>
            </w:r>
            <w:r w:rsidRPr="00DB4981">
              <w:rPr>
                <w:i/>
                <w:sz w:val="22"/>
                <w:szCs w:val="22"/>
              </w:rPr>
              <w:t>definitions of PM</w:t>
            </w:r>
            <w:r w:rsidRPr="00DB4981">
              <w:rPr>
                <w:i/>
                <w:sz w:val="22"/>
                <w:szCs w:val="22"/>
                <w:vertAlign w:val="subscript"/>
              </w:rPr>
              <w:t>10</w:t>
            </w:r>
            <w:r w:rsidRPr="00DB4981">
              <w:rPr>
                <w:i/>
                <w:sz w:val="22"/>
                <w:szCs w:val="22"/>
              </w:rPr>
              <w:t xml:space="preserve"> and PM</w:t>
            </w:r>
            <w:r w:rsidRPr="00DB4981">
              <w:rPr>
                <w:i/>
                <w:sz w:val="22"/>
                <w:szCs w:val="22"/>
                <w:vertAlign w:val="subscript"/>
              </w:rPr>
              <w:t>2.5</w:t>
            </w:r>
            <w:r w:rsidRPr="00DB4981">
              <w:rPr>
                <w:i/>
                <w:sz w:val="22"/>
                <w:szCs w:val="22"/>
              </w:rPr>
              <w:t>.</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511199" w:rsidP="00A62014">
            <w:pPr>
              <w:ind w:right="-115"/>
              <w:rPr>
                <w:bCs/>
                <w:sz w:val="22"/>
                <w:szCs w:val="22"/>
              </w:rPr>
            </w:pPr>
            <w:r w:rsidRPr="00943C75">
              <w:rPr>
                <w:sz w:val="22"/>
                <w:szCs w:val="22"/>
              </w:rPr>
              <w:t>Regulated air pollutant</w:t>
            </w:r>
            <w:r w:rsidR="0095755D" w:rsidRPr="00943C75">
              <w:rPr>
                <w:sz w:val="22"/>
                <w:szCs w:val="22"/>
              </w:rPr>
              <w:t xml:space="preserve"> defin</w:t>
            </w:r>
            <w:r w:rsidR="001762AF" w:rsidRPr="00943C75">
              <w:rPr>
                <w:sz w:val="22"/>
                <w:szCs w:val="22"/>
              </w:rPr>
              <w:t>i</w:t>
            </w:r>
            <w:r w:rsidR="0095755D" w:rsidRPr="00943C75">
              <w:rPr>
                <w:sz w:val="22"/>
                <w:szCs w:val="22"/>
              </w:rPr>
              <w:t>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065341" w:rsidRDefault="0051452D" w:rsidP="00076541">
            <w:pPr>
              <w:autoSpaceDE w:val="0"/>
              <w:autoSpaceDN w:val="0"/>
              <w:adjustRightInd w:val="0"/>
              <w:spacing w:after="120"/>
              <w:rPr>
                <w:sz w:val="22"/>
                <w:szCs w:val="22"/>
              </w:rPr>
            </w:pPr>
            <w:r w:rsidRPr="00065341">
              <w:rPr>
                <w:bCs/>
                <w:sz w:val="22"/>
                <w:szCs w:val="22"/>
              </w:rPr>
              <w:t xml:space="preserve">OAR </w:t>
            </w:r>
            <w:r w:rsidRPr="00065341">
              <w:rPr>
                <w:sz w:val="22"/>
                <w:szCs w:val="22"/>
              </w:rPr>
              <w:t>340-200-0020(103)(a)(B): It isn't clear that the provision in the definition of "Regulated air pollutant" or "Regulated Pollutant" that references the national ambient air quality standards (103)(a)(B) includes any precursors to such pollutants. This sho</w:t>
            </w:r>
            <w:r w:rsidR="00D60D5D">
              <w:rPr>
                <w:sz w:val="22"/>
                <w:szCs w:val="22"/>
              </w:rPr>
              <w:t xml:space="preserve">uld be clarified in the text. </w:t>
            </w:r>
            <w:r w:rsidR="00D60D5D" w:rsidRPr="001E1E9F">
              <w:rPr>
                <w:sz w:val="22"/>
                <w:szCs w:val="22"/>
              </w:rPr>
              <w:t>(7</w:t>
            </w:r>
            <w:r w:rsidRPr="001E1E9F">
              <w:rPr>
                <w:sz w:val="22"/>
                <w:szCs w:val="22"/>
              </w:rPr>
              <w:t>)</w:t>
            </w:r>
          </w:p>
          <w:p w:rsidR="0051452D" w:rsidRDefault="0051452D" w:rsidP="00076541">
            <w:pPr>
              <w:autoSpaceDE w:val="0"/>
              <w:autoSpaceDN w:val="0"/>
              <w:adjustRightInd w:val="0"/>
              <w:spacing w:after="120"/>
              <w:ind w:right="572"/>
              <w:rPr>
                <w:i/>
                <w:sz w:val="22"/>
                <w:szCs w:val="22"/>
              </w:rPr>
            </w:pPr>
            <w:r w:rsidRPr="00065341">
              <w:rPr>
                <w:i/>
                <w:sz w:val="22"/>
                <w:szCs w:val="22"/>
              </w:rPr>
              <w:t>Response:</w:t>
            </w:r>
          </w:p>
          <w:p w:rsidR="009A2C55" w:rsidRPr="00065341" w:rsidRDefault="00A21C65" w:rsidP="00414903">
            <w:pPr>
              <w:autoSpaceDE w:val="0"/>
              <w:autoSpaceDN w:val="0"/>
              <w:adjustRightInd w:val="0"/>
              <w:spacing w:after="120"/>
              <w:ind w:right="572"/>
              <w:rPr>
                <w:sz w:val="22"/>
                <w:szCs w:val="22"/>
              </w:rPr>
            </w:pPr>
            <w:r>
              <w:rPr>
                <w:i/>
                <w:sz w:val="22"/>
                <w:szCs w:val="22"/>
              </w:rPr>
              <w:t>The change was made to the proposed rule as suggested.</w:t>
            </w:r>
            <w:r w:rsidR="009A2C55">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511199" w:rsidP="00A62014">
            <w:pPr>
              <w:ind w:right="-115"/>
              <w:rPr>
                <w:bCs/>
                <w:sz w:val="22"/>
                <w:szCs w:val="22"/>
              </w:rPr>
            </w:pPr>
            <w:r w:rsidRPr="00943C75">
              <w:rPr>
                <w:sz w:val="22"/>
                <w:szCs w:val="22"/>
              </w:rPr>
              <w:t xml:space="preserve">Volatile Organic </w:t>
            </w:r>
            <w:r w:rsidRPr="00943C75">
              <w:rPr>
                <w:sz w:val="22"/>
                <w:szCs w:val="22"/>
              </w:rPr>
              <w:lastRenderedPageBreak/>
              <w:t>Compounds</w:t>
            </w:r>
            <w:r w:rsidR="0007654E" w:rsidRPr="00943C75">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2D0FE2" w:rsidRDefault="0051452D" w:rsidP="00076541">
            <w:pPr>
              <w:autoSpaceDE w:val="0"/>
              <w:autoSpaceDN w:val="0"/>
              <w:adjustRightInd w:val="0"/>
              <w:spacing w:after="120"/>
              <w:rPr>
                <w:sz w:val="22"/>
                <w:szCs w:val="22"/>
              </w:rPr>
            </w:pPr>
            <w:r w:rsidRPr="002D0FE2">
              <w:rPr>
                <w:sz w:val="22"/>
                <w:szCs w:val="22"/>
              </w:rPr>
              <w:lastRenderedPageBreak/>
              <w:t>OAR 340-200-0020(148)(d): Note that paragraph (d) in the definition of “Volatile Organic Compounds”</w:t>
            </w:r>
            <w:r w:rsidR="00065341">
              <w:rPr>
                <w:sz w:val="22"/>
                <w:szCs w:val="22"/>
              </w:rPr>
              <w:t xml:space="preserve"> </w:t>
            </w:r>
            <w:r w:rsidRPr="002D0FE2">
              <w:rPr>
                <w:sz w:val="22"/>
                <w:szCs w:val="22"/>
              </w:rPr>
              <w:t xml:space="preserve">appears to be missing the last line. The EPA definition of </w:t>
            </w:r>
            <w:r>
              <w:rPr>
                <w:sz w:val="22"/>
                <w:szCs w:val="22"/>
              </w:rPr>
              <w:t xml:space="preserve">the term in 40 </w:t>
            </w:r>
            <w:r>
              <w:rPr>
                <w:sz w:val="22"/>
                <w:szCs w:val="22"/>
              </w:rPr>
              <w:lastRenderedPageBreak/>
              <w:t>CFR5</w:t>
            </w:r>
            <w:r w:rsidRPr="002D0FE2">
              <w:rPr>
                <w:sz w:val="22"/>
                <w:szCs w:val="22"/>
              </w:rPr>
              <w:t>l.100 includes a few more words and the identification of the actual compound subject to the provis</w:t>
            </w:r>
            <w:r w:rsidR="00FC04EC">
              <w:rPr>
                <w:sz w:val="22"/>
                <w:szCs w:val="22"/>
              </w:rPr>
              <w:t xml:space="preserve">ion. </w:t>
            </w:r>
            <w:r w:rsidR="00FC04EC" w:rsidRPr="009D18AC">
              <w:rPr>
                <w:sz w:val="22"/>
                <w:szCs w:val="22"/>
              </w:rPr>
              <w:t>(7</w:t>
            </w:r>
            <w:r w:rsidRPr="009D18AC">
              <w:rPr>
                <w:sz w:val="22"/>
                <w:szCs w:val="22"/>
              </w:rPr>
              <w:t>)</w:t>
            </w:r>
          </w:p>
          <w:p w:rsidR="0051452D" w:rsidRDefault="0051452D" w:rsidP="00076541">
            <w:pPr>
              <w:spacing w:after="120"/>
              <w:ind w:left="64" w:right="-180"/>
              <w:rPr>
                <w:i/>
                <w:sz w:val="22"/>
                <w:szCs w:val="22"/>
              </w:rPr>
            </w:pPr>
            <w:r w:rsidRPr="002D0FE2">
              <w:rPr>
                <w:i/>
                <w:sz w:val="22"/>
                <w:szCs w:val="22"/>
              </w:rPr>
              <w:t>Response:</w:t>
            </w:r>
          </w:p>
          <w:p w:rsidR="009A2C55" w:rsidRPr="002D0FE2" w:rsidRDefault="009A2C55" w:rsidP="004F263C">
            <w:pPr>
              <w:spacing w:after="120"/>
              <w:ind w:left="64" w:right="-180"/>
              <w:rPr>
                <w:i/>
                <w:sz w:val="22"/>
                <w:szCs w:val="22"/>
              </w:rPr>
            </w:pPr>
            <w:r>
              <w:rPr>
                <w:i/>
                <w:sz w:val="22"/>
                <w:szCs w:val="22"/>
              </w:rPr>
              <w:t>The c</w:t>
            </w:r>
            <w:r w:rsidR="004F263C">
              <w:rPr>
                <w:i/>
                <w:sz w:val="22"/>
                <w:szCs w:val="22"/>
              </w:rPr>
              <w:t>orrection</w:t>
            </w:r>
            <w:r>
              <w:rPr>
                <w:i/>
                <w:sz w:val="22"/>
                <w:szCs w:val="22"/>
              </w:rPr>
              <w:t xml:space="preserve"> </w:t>
            </w:r>
            <w:r w:rsidR="007B44E6">
              <w:rPr>
                <w:i/>
                <w:sz w:val="22"/>
                <w:szCs w:val="22"/>
              </w:rPr>
              <w:t>was made to the proposed rule as suggested.</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51452D" w:rsidP="00A62014">
            <w:pPr>
              <w:ind w:right="-115"/>
              <w:rPr>
                <w:bCs/>
                <w:sz w:val="22"/>
                <w:szCs w:val="22"/>
              </w:rPr>
            </w:pPr>
            <w:r w:rsidRPr="00943C75">
              <w:rPr>
                <w:bCs/>
                <w:sz w:val="22"/>
                <w:szCs w:val="22"/>
              </w:rPr>
              <w:t>Significant impact levels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0555D4" w:rsidRDefault="0051452D" w:rsidP="007A75AB">
            <w:pPr>
              <w:autoSpaceDE w:val="0"/>
              <w:autoSpaceDN w:val="0"/>
              <w:adjustRightInd w:val="0"/>
              <w:spacing w:after="120"/>
              <w:rPr>
                <w:sz w:val="22"/>
                <w:szCs w:val="22"/>
              </w:rPr>
            </w:pPr>
            <w:r w:rsidRPr="00542B32">
              <w:rPr>
                <w:sz w:val="22"/>
                <w:szCs w:val="22"/>
              </w:rPr>
              <w:t>OAR 340-200, new Table 1: The new Table 1 SIGNIFICANT AIR QUALITY IMPACT includes Class III impact levels for SO</w:t>
            </w:r>
            <w:r w:rsidRPr="00542B32">
              <w:rPr>
                <w:sz w:val="22"/>
                <w:szCs w:val="22"/>
                <w:vertAlign w:val="subscript"/>
              </w:rPr>
              <w:t>2</w:t>
            </w:r>
            <w:r w:rsidRPr="00542B32">
              <w:rPr>
                <w:sz w:val="22"/>
                <w:szCs w:val="22"/>
              </w:rPr>
              <w:t xml:space="preserve"> that are higher than the Class II impact levels est</w:t>
            </w:r>
            <w:r w:rsidR="007E46F3" w:rsidRPr="00542B32">
              <w:rPr>
                <w:sz w:val="22"/>
                <w:szCs w:val="22"/>
              </w:rPr>
              <w:t>ablished by EPA</w:t>
            </w:r>
            <w:r w:rsidRPr="00542B32">
              <w:rPr>
                <w:sz w:val="22"/>
                <w:szCs w:val="22"/>
              </w:rPr>
              <w:t xml:space="preserve">. Oregon will need to submit a demonstration that such higher levels will still ensure protection of the NAAQS in Class III areas. </w:t>
            </w:r>
          </w:p>
          <w:p w:rsidR="0051452D" w:rsidRPr="002D0FE2" w:rsidRDefault="0051452D" w:rsidP="007A75AB">
            <w:pPr>
              <w:autoSpaceDE w:val="0"/>
              <w:autoSpaceDN w:val="0"/>
              <w:adjustRightInd w:val="0"/>
              <w:spacing w:after="120"/>
              <w:rPr>
                <w:sz w:val="22"/>
                <w:szCs w:val="22"/>
              </w:rPr>
            </w:pPr>
            <w:r w:rsidRPr="000555D4">
              <w:rPr>
                <w:sz w:val="22"/>
                <w:szCs w:val="22"/>
              </w:rPr>
              <w:t>Also new Table 1 specifies Significant Air Quality Impact values for PM</w:t>
            </w:r>
            <w:r w:rsidRPr="000555D4">
              <w:rPr>
                <w:sz w:val="22"/>
                <w:szCs w:val="22"/>
                <w:vertAlign w:val="subscript"/>
              </w:rPr>
              <w:t>2.5</w:t>
            </w:r>
            <w:r w:rsidRPr="000555D4">
              <w:rPr>
                <w:sz w:val="22"/>
                <w:szCs w:val="22"/>
              </w:rPr>
              <w:t xml:space="preserve"> of 0.2 ug/m3 (annual arithmetic mean) and 1.0 ug/m3 (24-hour average) respectively. These differ from the corresponding Class II and III areas PM</w:t>
            </w:r>
            <w:r w:rsidRPr="000555D4">
              <w:rPr>
                <w:sz w:val="22"/>
                <w:szCs w:val="22"/>
                <w:vertAlign w:val="subscript"/>
              </w:rPr>
              <w:t>2.5</w:t>
            </w:r>
            <w:r w:rsidRPr="000555D4">
              <w:rPr>
                <w:sz w:val="22"/>
                <w:szCs w:val="22"/>
              </w:rPr>
              <w:t xml:space="preserve"> SILs of 0.3 ug/m3 (annual arithmetic mean) and 1.2 ug/m3 (24-hour average) established by EPA. Please clarify why these values are different</w:t>
            </w:r>
            <w:r w:rsidR="000555D4">
              <w:rPr>
                <w:sz w:val="22"/>
                <w:szCs w:val="22"/>
              </w:rPr>
              <w:t>.</w:t>
            </w:r>
            <w:r w:rsidRPr="000555D4">
              <w:rPr>
                <w:sz w:val="22"/>
                <w:szCs w:val="22"/>
              </w:rPr>
              <w:t xml:space="preserve"> (7)</w:t>
            </w:r>
          </w:p>
          <w:p w:rsidR="00FC04EC" w:rsidRPr="002D0FE2" w:rsidRDefault="00FE01C3" w:rsidP="007A75AB">
            <w:pPr>
              <w:spacing w:after="120"/>
              <w:rPr>
                <w:sz w:val="22"/>
                <w:szCs w:val="22"/>
              </w:rPr>
            </w:pPr>
            <w:r>
              <w:rPr>
                <w:sz w:val="22"/>
                <w:szCs w:val="22"/>
              </w:rPr>
              <w:t>We</w:t>
            </w:r>
            <w:r w:rsidR="0051452D" w:rsidRPr="002D0FE2">
              <w:rPr>
                <w:sz w:val="22"/>
                <w:szCs w:val="22"/>
              </w:rPr>
              <w:t xml:space="preserve"> believe that DEQ should establish PM</w:t>
            </w:r>
            <w:r w:rsidR="0051452D" w:rsidRPr="002D0FE2">
              <w:rPr>
                <w:sz w:val="22"/>
                <w:szCs w:val="22"/>
                <w:vertAlign w:val="subscript"/>
              </w:rPr>
              <w:t>2.5</w:t>
            </w:r>
            <w:r w:rsidR="0051452D" w:rsidRPr="002D0FE2">
              <w:rPr>
                <w:sz w:val="22"/>
                <w:szCs w:val="22"/>
              </w:rPr>
              <w:t xml:space="preserve"> SILs consistent with the federal SILs</w:t>
            </w:r>
            <w:r w:rsidR="004A0EA4">
              <w:rPr>
                <w:sz w:val="22"/>
                <w:szCs w:val="22"/>
              </w:rPr>
              <w:t xml:space="preserve">. </w:t>
            </w:r>
            <w:r w:rsidR="00FC04EC" w:rsidRPr="00340FD1">
              <w:rPr>
                <w:sz w:val="22"/>
                <w:szCs w:val="22"/>
              </w:rPr>
              <w:t xml:space="preserve">(1, 2, 4, </w:t>
            </w:r>
            <w:r w:rsidR="000555D4">
              <w:rPr>
                <w:sz w:val="22"/>
                <w:szCs w:val="22"/>
              </w:rPr>
              <w:t xml:space="preserve">10, </w:t>
            </w:r>
            <w:r w:rsidR="00FC04EC" w:rsidRPr="00340FD1">
              <w:rPr>
                <w:sz w:val="22"/>
                <w:szCs w:val="22"/>
              </w:rPr>
              <w:t>11, 13</w:t>
            </w:r>
            <w:r w:rsidR="00231353" w:rsidRPr="00340FD1">
              <w:rPr>
                <w:sz w:val="22"/>
                <w:szCs w:val="22"/>
              </w:rPr>
              <w:t>, 14, 15, 17</w:t>
            </w:r>
            <w:r w:rsidR="00FC04EC" w:rsidRPr="00340FD1">
              <w:rPr>
                <w:sz w:val="22"/>
                <w:szCs w:val="22"/>
              </w:rPr>
              <w:t>)</w:t>
            </w:r>
          </w:p>
          <w:p w:rsidR="0051452D" w:rsidRDefault="0051452D" w:rsidP="007A75AB">
            <w:pPr>
              <w:autoSpaceDE w:val="0"/>
              <w:autoSpaceDN w:val="0"/>
              <w:adjustRightInd w:val="0"/>
              <w:spacing w:after="120"/>
              <w:rPr>
                <w:i/>
                <w:sz w:val="22"/>
                <w:szCs w:val="22"/>
              </w:rPr>
            </w:pPr>
            <w:r w:rsidRPr="002D0FE2">
              <w:rPr>
                <w:i/>
                <w:sz w:val="22"/>
                <w:szCs w:val="22"/>
              </w:rPr>
              <w:t>Response:</w:t>
            </w:r>
          </w:p>
          <w:p w:rsidR="0051452D" w:rsidRPr="002D0FE2" w:rsidRDefault="0051452D" w:rsidP="007A75AB">
            <w:pPr>
              <w:spacing w:after="120"/>
              <w:ind w:right="-180"/>
              <w:rPr>
                <w:i/>
                <w:sz w:val="22"/>
                <w:szCs w:val="22"/>
              </w:rPr>
            </w:pPr>
            <w:r w:rsidRPr="00D74D40">
              <w:rPr>
                <w:i/>
                <w:sz w:val="22"/>
                <w:szCs w:val="22"/>
              </w:rPr>
              <w:t>The Class III SO</w:t>
            </w:r>
            <w:r w:rsidRPr="00D74D40">
              <w:rPr>
                <w:i/>
                <w:sz w:val="22"/>
                <w:szCs w:val="22"/>
                <w:vertAlign w:val="subscript"/>
              </w:rPr>
              <w:t>2</w:t>
            </w:r>
            <w:r w:rsidRPr="00D74D40">
              <w:rPr>
                <w:i/>
                <w:sz w:val="22"/>
                <w:szCs w:val="22"/>
              </w:rPr>
              <w:t xml:space="preserve"> S</w:t>
            </w:r>
            <w:r w:rsidR="00065341" w:rsidRPr="00D74D40">
              <w:rPr>
                <w:i/>
                <w:sz w:val="22"/>
                <w:szCs w:val="22"/>
              </w:rPr>
              <w:t>ILs will be changed to match EPA’s</w:t>
            </w:r>
            <w:r w:rsidRPr="00D74D40">
              <w:rPr>
                <w:i/>
                <w:sz w:val="22"/>
                <w:szCs w:val="22"/>
              </w:rPr>
              <w:t xml:space="preserve"> Class </w:t>
            </w:r>
            <w:r w:rsidR="007E5234" w:rsidRPr="00D74D40">
              <w:rPr>
                <w:i/>
                <w:sz w:val="22"/>
                <w:szCs w:val="22"/>
              </w:rPr>
              <w:t>I</w:t>
            </w:r>
            <w:r w:rsidRPr="00D74D40">
              <w:rPr>
                <w:i/>
                <w:sz w:val="22"/>
                <w:szCs w:val="22"/>
              </w:rPr>
              <w:t>I SO</w:t>
            </w:r>
            <w:r w:rsidRPr="00D74D40">
              <w:rPr>
                <w:i/>
                <w:sz w:val="22"/>
                <w:szCs w:val="22"/>
                <w:vertAlign w:val="subscript"/>
              </w:rPr>
              <w:t>2</w:t>
            </w:r>
            <w:r w:rsidRPr="00D74D40">
              <w:rPr>
                <w:i/>
                <w:sz w:val="22"/>
                <w:szCs w:val="22"/>
              </w:rPr>
              <w:t xml:space="preserve"> SILs</w:t>
            </w:r>
            <w:r w:rsidR="004A0EA4" w:rsidRPr="00D74D40">
              <w:rPr>
                <w:i/>
                <w:sz w:val="22"/>
                <w:szCs w:val="22"/>
              </w:rPr>
              <w:t>.</w:t>
            </w:r>
            <w:r w:rsidR="004A0EA4">
              <w:rPr>
                <w:i/>
                <w:sz w:val="22"/>
                <w:szCs w:val="22"/>
              </w:rPr>
              <w:t xml:space="preserve"> </w:t>
            </w:r>
          </w:p>
          <w:p w:rsidR="00012675" w:rsidRDefault="0051452D">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after="120"/>
              <w:rPr>
                <w:i/>
                <w:sz w:val="22"/>
                <w:szCs w:val="22"/>
              </w:rPr>
            </w:pPr>
            <w:r w:rsidRPr="002D0FE2">
              <w:rPr>
                <w:i/>
                <w:sz w:val="22"/>
                <w:szCs w:val="22"/>
              </w:rPr>
              <w:t>DEQ’s Class II and Class III SILs</w:t>
            </w:r>
            <w:r>
              <w:rPr>
                <w:i/>
                <w:sz w:val="22"/>
                <w:szCs w:val="22"/>
              </w:rPr>
              <w:t xml:space="preserve"> for PM</w:t>
            </w:r>
            <w:r w:rsidR="000555D4">
              <w:rPr>
                <w:i/>
                <w:sz w:val="22"/>
                <w:szCs w:val="22"/>
                <w:vertAlign w:val="subscript"/>
              </w:rPr>
              <w:t>2.5</w:t>
            </w:r>
            <w:r w:rsidRPr="002D0FE2">
              <w:rPr>
                <w:i/>
                <w:sz w:val="22"/>
                <w:szCs w:val="22"/>
              </w:rPr>
              <w:t xml:space="preserve"> </w:t>
            </w:r>
            <w:r w:rsidR="000555D4">
              <w:rPr>
                <w:i/>
                <w:sz w:val="22"/>
                <w:szCs w:val="22"/>
              </w:rPr>
              <w:t xml:space="preserve">adopted in the </w:t>
            </w:r>
            <w:r w:rsidR="004336F1">
              <w:rPr>
                <w:i/>
                <w:sz w:val="22"/>
                <w:szCs w:val="22"/>
              </w:rPr>
              <w:t>August 2010</w:t>
            </w:r>
            <w:r w:rsidR="000555D4">
              <w:rPr>
                <w:i/>
                <w:sz w:val="22"/>
                <w:szCs w:val="22"/>
              </w:rPr>
              <w:t xml:space="preserve"> temporary rules </w:t>
            </w:r>
            <w:r>
              <w:rPr>
                <w:i/>
                <w:sz w:val="22"/>
                <w:szCs w:val="22"/>
              </w:rPr>
              <w:t xml:space="preserve">are </w:t>
            </w:r>
            <w:r w:rsidRPr="002D0FE2">
              <w:rPr>
                <w:i/>
                <w:sz w:val="22"/>
                <w:szCs w:val="22"/>
              </w:rPr>
              <w:t xml:space="preserve">lower than EPA’s values </w:t>
            </w:r>
            <w:r w:rsidR="004336F1">
              <w:rPr>
                <w:i/>
                <w:sz w:val="22"/>
                <w:szCs w:val="22"/>
              </w:rPr>
              <w:t>to be consistent with the</w:t>
            </w:r>
            <w:r w:rsidRPr="002D0FE2">
              <w:rPr>
                <w:i/>
                <w:sz w:val="22"/>
                <w:szCs w:val="22"/>
              </w:rPr>
              <w:t xml:space="preserve"> lower</w:t>
            </w:r>
            <w:r w:rsidR="004336F1">
              <w:rPr>
                <w:i/>
                <w:sz w:val="22"/>
                <w:szCs w:val="22"/>
              </w:rPr>
              <w:t xml:space="preserve"> SIL</w:t>
            </w:r>
            <w:r w:rsidRPr="002D0FE2">
              <w:rPr>
                <w:i/>
                <w:sz w:val="22"/>
                <w:szCs w:val="22"/>
              </w:rPr>
              <w:t xml:space="preserve"> levels</w:t>
            </w:r>
            <w:r w:rsidR="004336F1">
              <w:rPr>
                <w:i/>
                <w:sz w:val="22"/>
                <w:szCs w:val="22"/>
              </w:rPr>
              <w:t xml:space="preserve"> adopted</w:t>
            </w:r>
            <w:r w:rsidRPr="002D0FE2">
              <w:rPr>
                <w:i/>
                <w:sz w:val="22"/>
                <w:szCs w:val="22"/>
              </w:rPr>
              <w:t xml:space="preserve"> in the early 1990’s for PM</w:t>
            </w:r>
            <w:r w:rsidRPr="002D0FE2">
              <w:rPr>
                <w:i/>
                <w:sz w:val="22"/>
                <w:szCs w:val="22"/>
                <w:vertAlign w:val="subscript"/>
              </w:rPr>
              <w:t>10</w:t>
            </w:r>
            <w:r w:rsidRPr="002D0FE2">
              <w:rPr>
                <w:i/>
                <w:sz w:val="22"/>
                <w:szCs w:val="22"/>
              </w:rPr>
              <w:t xml:space="preserve"> due to significant air quality problems in the Medford area</w:t>
            </w:r>
            <w:r w:rsidR="004A0EA4">
              <w:rPr>
                <w:i/>
                <w:sz w:val="22"/>
                <w:szCs w:val="22"/>
              </w:rPr>
              <w:t xml:space="preserve">. </w:t>
            </w:r>
            <w:r w:rsidR="000555D4">
              <w:rPr>
                <w:i/>
                <w:sz w:val="22"/>
                <w:szCs w:val="22"/>
              </w:rPr>
              <w:t xml:space="preserve">Upon reconsideration, DEQ </w:t>
            </w:r>
            <w:r w:rsidR="004336F1">
              <w:rPr>
                <w:i/>
                <w:sz w:val="22"/>
                <w:szCs w:val="22"/>
              </w:rPr>
              <w:t>proposes</w:t>
            </w:r>
            <w:r w:rsidR="000555D4">
              <w:rPr>
                <w:i/>
                <w:sz w:val="22"/>
                <w:szCs w:val="22"/>
              </w:rPr>
              <w:t xml:space="preserve"> to adopt EPA’s PM</w:t>
            </w:r>
            <w:r w:rsidR="000555D4">
              <w:rPr>
                <w:i/>
                <w:sz w:val="22"/>
                <w:szCs w:val="22"/>
                <w:vertAlign w:val="subscript"/>
              </w:rPr>
              <w:t>2.5</w:t>
            </w:r>
            <w:r w:rsidR="000555D4">
              <w:rPr>
                <w:i/>
                <w:sz w:val="22"/>
                <w:szCs w:val="22"/>
              </w:rPr>
              <w:t xml:space="preserve"> SILs for all areas</w:t>
            </w:r>
            <w:r w:rsidR="004A0EA4">
              <w:rPr>
                <w:i/>
                <w:sz w:val="22"/>
                <w:szCs w:val="22"/>
              </w:rPr>
              <w:t xml:space="preserve">. </w:t>
            </w:r>
            <w:r w:rsidR="00797A80">
              <w:rPr>
                <w:i/>
                <w:sz w:val="22"/>
                <w:szCs w:val="22"/>
              </w:rPr>
              <w:t>The change was made to the proposed rule as suggested</w:t>
            </w:r>
            <w:r w:rsidR="004A0EA4">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065341" w:rsidP="00A62014">
            <w:pPr>
              <w:ind w:right="-115"/>
              <w:rPr>
                <w:bCs/>
                <w:sz w:val="22"/>
                <w:szCs w:val="22"/>
              </w:rPr>
            </w:pPr>
            <w:r w:rsidRPr="00943C75">
              <w:rPr>
                <w:bCs/>
                <w:sz w:val="22"/>
                <w:szCs w:val="22"/>
              </w:rPr>
              <w:t>Error in Table 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Pr="002D0FE2" w:rsidRDefault="0051452D" w:rsidP="009D18AC">
            <w:pPr>
              <w:spacing w:after="120"/>
              <w:rPr>
                <w:sz w:val="22"/>
                <w:szCs w:val="22"/>
              </w:rPr>
            </w:pPr>
            <w:r w:rsidRPr="002D0FE2">
              <w:rPr>
                <w:sz w:val="22"/>
                <w:szCs w:val="22"/>
              </w:rPr>
              <w:t>OAR 340-202-0210, Table 1: There is a typo in Table 1. For Class I areas, the PM</w:t>
            </w:r>
            <w:r w:rsidRPr="002D0FE2">
              <w:rPr>
                <w:sz w:val="22"/>
                <w:szCs w:val="22"/>
                <w:vertAlign w:val="subscript"/>
              </w:rPr>
              <w:t>10</w:t>
            </w:r>
            <w:r w:rsidRPr="002D0FE2">
              <w:rPr>
                <w:sz w:val="22"/>
                <w:szCs w:val="22"/>
              </w:rPr>
              <w:t xml:space="preserve"> increments should be 4 and 8 ug/m</w:t>
            </w:r>
            <w:r w:rsidRPr="002D0FE2">
              <w:rPr>
                <w:sz w:val="22"/>
                <w:szCs w:val="22"/>
                <w:vertAlign w:val="superscript"/>
              </w:rPr>
              <w:t>3</w:t>
            </w:r>
            <w:r w:rsidRPr="002D0FE2">
              <w:rPr>
                <w:sz w:val="22"/>
                <w:szCs w:val="22"/>
              </w:rPr>
              <w:t xml:space="preserve"> respectively for the annual arithmetic mean and 24-hour maximum respectively. </w:t>
            </w:r>
            <w:r w:rsidR="00FC04EC">
              <w:rPr>
                <w:sz w:val="22"/>
                <w:szCs w:val="22"/>
              </w:rPr>
              <w:t>(1, 2, 4, 11, 13</w:t>
            </w:r>
            <w:r w:rsidR="00AF659A">
              <w:rPr>
                <w:sz w:val="22"/>
                <w:szCs w:val="22"/>
              </w:rPr>
              <w:t>, 14, 17</w:t>
            </w:r>
            <w:r w:rsidR="00FC04EC">
              <w:rPr>
                <w:sz w:val="22"/>
                <w:szCs w:val="22"/>
              </w:rPr>
              <w:t>)</w:t>
            </w:r>
          </w:p>
          <w:p w:rsidR="0051452D" w:rsidRDefault="0051452D" w:rsidP="009D18AC">
            <w:pPr>
              <w:autoSpaceDE w:val="0"/>
              <w:autoSpaceDN w:val="0"/>
              <w:adjustRightInd w:val="0"/>
              <w:spacing w:after="120"/>
              <w:ind w:right="377"/>
              <w:rPr>
                <w:i/>
                <w:sz w:val="22"/>
                <w:szCs w:val="22"/>
              </w:rPr>
            </w:pPr>
            <w:r w:rsidRPr="002D0FE2">
              <w:rPr>
                <w:i/>
                <w:sz w:val="22"/>
                <w:szCs w:val="22"/>
              </w:rPr>
              <w:t>Response:</w:t>
            </w:r>
          </w:p>
          <w:p w:rsidR="0051452D" w:rsidRPr="002D0FE2" w:rsidRDefault="0051452D" w:rsidP="007B44E6">
            <w:pPr>
              <w:autoSpaceDE w:val="0"/>
              <w:autoSpaceDN w:val="0"/>
              <w:adjustRightInd w:val="0"/>
              <w:spacing w:after="120"/>
              <w:ind w:right="377"/>
              <w:rPr>
                <w:i/>
                <w:sz w:val="22"/>
                <w:szCs w:val="22"/>
              </w:rPr>
            </w:pPr>
            <w:r>
              <w:rPr>
                <w:i/>
                <w:sz w:val="22"/>
                <w:szCs w:val="22"/>
              </w:rPr>
              <w:t xml:space="preserve">The changes </w:t>
            </w:r>
            <w:r w:rsidR="007B44E6">
              <w:rPr>
                <w:i/>
                <w:sz w:val="22"/>
                <w:szCs w:val="22"/>
              </w:rPr>
              <w:t>were made to the proposed rule as suggested.</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065341" w:rsidP="00A62014">
            <w:pPr>
              <w:ind w:right="-115"/>
              <w:rPr>
                <w:bCs/>
                <w:sz w:val="22"/>
                <w:szCs w:val="22"/>
              </w:rPr>
            </w:pPr>
            <w:r w:rsidRPr="00943C75">
              <w:rPr>
                <w:bCs/>
                <w:sz w:val="22"/>
                <w:szCs w:val="22"/>
              </w:rPr>
              <w:t>GHG in CO</w:t>
            </w:r>
            <w:r w:rsidRPr="00943C75">
              <w:rPr>
                <w:bCs/>
                <w:sz w:val="22"/>
                <w:szCs w:val="22"/>
                <w:vertAlign w:val="subscript"/>
              </w:rPr>
              <w:t>2</w:t>
            </w:r>
            <w:r w:rsidRPr="00943C75">
              <w:rPr>
                <w:bCs/>
                <w:sz w:val="22"/>
                <w:szCs w:val="22"/>
              </w:rPr>
              <w:t>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2875CA" w:rsidRDefault="0051452D" w:rsidP="002875CA">
            <w:pPr>
              <w:autoSpaceDE w:val="0"/>
              <w:autoSpaceDN w:val="0"/>
              <w:adjustRightInd w:val="0"/>
              <w:spacing w:after="120"/>
              <w:rPr>
                <w:sz w:val="22"/>
                <w:szCs w:val="22"/>
              </w:rPr>
            </w:pPr>
            <w:r w:rsidRPr="002875CA">
              <w:rPr>
                <w:sz w:val="22"/>
                <w:szCs w:val="22"/>
              </w:rPr>
              <w:t>OAR 340-216-0020, Table 1 Part C (No.5): It must be clear that the 100,000 tons of GHG here is in terms of CO</w:t>
            </w:r>
            <w:r w:rsidRPr="002875CA">
              <w:rPr>
                <w:sz w:val="22"/>
                <w:szCs w:val="22"/>
                <w:vertAlign w:val="subscript"/>
              </w:rPr>
              <w:t>2</w:t>
            </w:r>
            <w:r w:rsidRPr="002875CA">
              <w:rPr>
                <w:sz w:val="22"/>
                <w:szCs w:val="22"/>
              </w:rPr>
              <w:t xml:space="preserve"> equivalent (CO</w:t>
            </w:r>
            <w:r w:rsidRPr="002875CA">
              <w:rPr>
                <w:sz w:val="22"/>
                <w:szCs w:val="22"/>
                <w:vertAlign w:val="subscript"/>
              </w:rPr>
              <w:t>2</w:t>
            </w:r>
            <w:r w:rsidRPr="002875CA">
              <w:rPr>
                <w:sz w:val="22"/>
                <w:szCs w:val="22"/>
              </w:rPr>
              <w:t>e), not mass emissions. See comments on OAR 340-200 above regarding GHG emission thresholds. (1)</w:t>
            </w:r>
          </w:p>
          <w:p w:rsidR="0051452D" w:rsidRPr="002875CA" w:rsidRDefault="0051452D" w:rsidP="002875CA">
            <w:pPr>
              <w:spacing w:after="120"/>
              <w:ind w:left="64" w:right="-180"/>
              <w:rPr>
                <w:i/>
                <w:sz w:val="22"/>
                <w:szCs w:val="22"/>
              </w:rPr>
            </w:pPr>
            <w:r w:rsidRPr="002875CA">
              <w:rPr>
                <w:i/>
                <w:sz w:val="22"/>
                <w:szCs w:val="22"/>
              </w:rPr>
              <w:t>Response:</w:t>
            </w:r>
          </w:p>
          <w:p w:rsidR="00065341" w:rsidRPr="002875CA" w:rsidRDefault="00A21C65" w:rsidP="002875CA">
            <w:pPr>
              <w:spacing w:after="120"/>
              <w:ind w:left="64" w:right="-180"/>
              <w:rPr>
                <w:i/>
                <w:sz w:val="22"/>
                <w:szCs w:val="22"/>
              </w:rPr>
            </w:pPr>
            <w:r>
              <w:rPr>
                <w:i/>
                <w:sz w:val="22"/>
                <w:szCs w:val="22"/>
              </w:rPr>
              <w:t>The change was made to the proposed rule as suggested.</w:t>
            </w:r>
            <w:r w:rsidR="004A0EA4">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3E1F9F" w:rsidRDefault="00A62014" w:rsidP="00A62014">
            <w:pPr>
              <w:pStyle w:val="ListParagraph"/>
              <w:numPr>
                <w:ilvl w:val="0"/>
                <w:numId w:val="13"/>
              </w:numPr>
              <w:ind w:right="-115"/>
              <w:rPr>
                <w:sz w:val="22"/>
                <w:szCs w:val="22"/>
              </w:rPr>
            </w:pPr>
          </w:p>
          <w:p w:rsidR="00487C2E" w:rsidRPr="003E1F9F" w:rsidRDefault="00487C2E" w:rsidP="00A62014">
            <w:pPr>
              <w:ind w:right="-115"/>
              <w:rPr>
                <w:bCs/>
                <w:sz w:val="22"/>
                <w:szCs w:val="22"/>
              </w:rPr>
            </w:pPr>
            <w:r w:rsidRPr="003E1F9F">
              <w:rPr>
                <w:sz w:val="22"/>
                <w:szCs w:val="22"/>
              </w:rPr>
              <w:t>PM</w:t>
            </w:r>
            <w:r w:rsidRPr="003E1F9F">
              <w:rPr>
                <w:sz w:val="22"/>
                <w:szCs w:val="22"/>
                <w:vertAlign w:val="subscript"/>
              </w:rPr>
              <w:t>2.5</w:t>
            </w:r>
            <w:r w:rsidRPr="003E1F9F">
              <w:rPr>
                <w:sz w:val="22"/>
                <w:szCs w:val="22"/>
              </w:rPr>
              <w:t xml:space="preserve"> </w:t>
            </w:r>
            <w:r w:rsidRPr="003E1F9F">
              <w:rPr>
                <w:bCs/>
                <w:sz w:val="22"/>
                <w:szCs w:val="22"/>
              </w:rPr>
              <w:t>significant emission rate in Medford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Pr="00BD5BD3" w:rsidRDefault="00487C2E" w:rsidP="003E1F9F">
            <w:pPr>
              <w:spacing w:after="120"/>
              <w:rPr>
                <w:sz w:val="22"/>
                <w:szCs w:val="22"/>
              </w:rPr>
            </w:pPr>
            <w:r w:rsidRPr="00BD5BD3">
              <w:rPr>
                <w:sz w:val="22"/>
                <w:szCs w:val="22"/>
              </w:rPr>
              <w:t>We suggest that DEQ clarify the significant emission rates applicable for PM</w:t>
            </w:r>
            <w:r w:rsidRPr="00BD5BD3">
              <w:rPr>
                <w:sz w:val="22"/>
                <w:szCs w:val="22"/>
                <w:vertAlign w:val="subscript"/>
              </w:rPr>
              <w:t>2.5</w:t>
            </w:r>
            <w:r w:rsidRPr="00BD5BD3">
              <w:rPr>
                <w:sz w:val="22"/>
                <w:szCs w:val="22"/>
              </w:rPr>
              <w:t xml:space="preserve"> in Medford</w:t>
            </w:r>
            <w:r w:rsidR="004A0EA4">
              <w:rPr>
                <w:sz w:val="22"/>
                <w:szCs w:val="22"/>
              </w:rPr>
              <w:t xml:space="preserve">. </w:t>
            </w:r>
            <w:r w:rsidRPr="00BD5BD3">
              <w:rPr>
                <w:sz w:val="22"/>
                <w:szCs w:val="22"/>
              </w:rPr>
              <w:t>The rates identified are for PM</w:t>
            </w:r>
            <w:r w:rsidRPr="00BD5BD3">
              <w:rPr>
                <w:sz w:val="22"/>
                <w:szCs w:val="22"/>
                <w:vertAlign w:val="subscript"/>
              </w:rPr>
              <w:t>10</w:t>
            </w:r>
            <w:r w:rsidRPr="00BD5BD3">
              <w:rPr>
                <w:sz w:val="22"/>
                <w:szCs w:val="22"/>
              </w:rPr>
              <w:t>/PM</w:t>
            </w:r>
            <w:r w:rsidRPr="00BD5BD3">
              <w:rPr>
                <w:sz w:val="22"/>
                <w:szCs w:val="22"/>
                <w:vertAlign w:val="subscript"/>
              </w:rPr>
              <w:t>2.5</w:t>
            </w:r>
            <w:r w:rsidRPr="00BD5BD3">
              <w:rPr>
                <w:sz w:val="22"/>
                <w:szCs w:val="22"/>
              </w:rPr>
              <w:t xml:space="preserve"> without any indication as to whether that is direct PM</w:t>
            </w:r>
            <w:r w:rsidRPr="00BD5BD3">
              <w:rPr>
                <w:sz w:val="22"/>
                <w:szCs w:val="22"/>
                <w:vertAlign w:val="subscript"/>
              </w:rPr>
              <w:t>2.5</w:t>
            </w:r>
            <w:r w:rsidRPr="00BD5BD3">
              <w:rPr>
                <w:sz w:val="22"/>
                <w:szCs w:val="22"/>
              </w:rPr>
              <w:t>, precursors or some combination of the two</w:t>
            </w:r>
            <w:r w:rsidR="004A0EA4">
              <w:rPr>
                <w:sz w:val="22"/>
                <w:szCs w:val="22"/>
              </w:rPr>
              <w:t xml:space="preserve">. </w:t>
            </w:r>
            <w:r w:rsidRPr="00BD5BD3">
              <w:rPr>
                <w:sz w:val="22"/>
                <w:szCs w:val="22"/>
              </w:rPr>
              <w:t>Due to the different regulation of PM</w:t>
            </w:r>
            <w:r w:rsidRPr="00BD5BD3">
              <w:rPr>
                <w:sz w:val="22"/>
                <w:szCs w:val="22"/>
                <w:vertAlign w:val="subscript"/>
              </w:rPr>
              <w:t>2.5</w:t>
            </w:r>
            <w:r w:rsidRPr="00BD5BD3">
              <w:rPr>
                <w:sz w:val="22"/>
                <w:szCs w:val="22"/>
              </w:rPr>
              <w:t>, we do not believe that the Medford significant emission rates should include PM</w:t>
            </w:r>
            <w:r w:rsidRPr="00BD5BD3">
              <w:rPr>
                <w:sz w:val="22"/>
                <w:szCs w:val="22"/>
                <w:vertAlign w:val="subscript"/>
              </w:rPr>
              <w:t>2.5</w:t>
            </w:r>
            <w:r w:rsidRPr="00BD5BD3">
              <w:rPr>
                <w:sz w:val="22"/>
                <w:szCs w:val="22"/>
              </w:rPr>
              <w:t xml:space="preserve"> at all. </w:t>
            </w:r>
            <w:r w:rsidR="00E60FC7">
              <w:rPr>
                <w:sz w:val="22"/>
                <w:szCs w:val="22"/>
              </w:rPr>
              <w:t>(1, 3, 13, 23)</w:t>
            </w:r>
          </w:p>
          <w:p w:rsidR="00687200" w:rsidRDefault="00487C2E" w:rsidP="003E1F9F">
            <w:pPr>
              <w:spacing w:after="120"/>
              <w:rPr>
                <w:i/>
                <w:sz w:val="22"/>
                <w:szCs w:val="22"/>
              </w:rPr>
            </w:pPr>
            <w:r>
              <w:rPr>
                <w:i/>
                <w:sz w:val="22"/>
                <w:szCs w:val="22"/>
              </w:rPr>
              <w:t>Response:</w:t>
            </w:r>
          </w:p>
          <w:p w:rsidR="00487C2E" w:rsidRPr="002C1B9B" w:rsidRDefault="00A21C65" w:rsidP="003E1F9F">
            <w:pPr>
              <w:spacing w:after="120"/>
              <w:rPr>
                <w:rFonts w:ascii="Calibri" w:hAnsi="Calibri"/>
                <w:color w:val="1F497D"/>
                <w:sz w:val="22"/>
                <w:szCs w:val="22"/>
              </w:rPr>
            </w:pPr>
            <w:r>
              <w:rPr>
                <w:i/>
                <w:sz w:val="22"/>
                <w:szCs w:val="22"/>
              </w:rPr>
              <w:t>The change was made to the proposed rule as suggested.</w:t>
            </w:r>
            <w:r w:rsidR="003E1F9F">
              <w:rPr>
                <w:i/>
                <w:sz w:val="22"/>
                <w:szCs w:val="22"/>
              </w:rPr>
              <w:t xml:space="preserve"> </w:t>
            </w:r>
          </w:p>
        </w:tc>
      </w:tr>
      <w:tr w:rsidR="00D47073"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D47073" w:rsidRPr="00943C75" w:rsidRDefault="00D47073" w:rsidP="00A62014">
            <w:pPr>
              <w:ind w:right="-115"/>
              <w:rPr>
                <w:bCs/>
                <w:sz w:val="22"/>
                <w:szCs w:val="22"/>
              </w:rPr>
            </w:pPr>
            <w:r w:rsidRPr="00943C75">
              <w:rPr>
                <w:bCs/>
                <w:sz w:val="22"/>
                <w:szCs w:val="22"/>
              </w:rPr>
              <w:lastRenderedPageBreak/>
              <w:t>Reporting requirement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47073" w:rsidRPr="002D0FE2" w:rsidRDefault="00D47073" w:rsidP="00566C8D">
            <w:pPr>
              <w:spacing w:after="120"/>
              <w:rPr>
                <w:sz w:val="22"/>
                <w:szCs w:val="22"/>
              </w:rPr>
            </w:pPr>
            <w:r w:rsidRPr="008861CB">
              <w:rPr>
                <w:sz w:val="22"/>
                <w:szCs w:val="22"/>
              </w:rPr>
              <w:lastRenderedPageBreak/>
              <w:t xml:space="preserve">OAR 340-218-0040(2) requires that Title V applicants supplement their applications during </w:t>
            </w:r>
            <w:r w:rsidRPr="008861CB">
              <w:rPr>
                <w:sz w:val="22"/>
                <w:szCs w:val="22"/>
              </w:rPr>
              <w:lastRenderedPageBreak/>
              <w:t>the time period where the application is being evaluated and acted on</w:t>
            </w:r>
            <w:r w:rsidR="004A0EA4">
              <w:rPr>
                <w:sz w:val="22"/>
                <w:szCs w:val="22"/>
              </w:rPr>
              <w:t xml:space="preserve">. </w:t>
            </w:r>
            <w:r w:rsidRPr="008861CB">
              <w:rPr>
                <w:sz w:val="22"/>
                <w:szCs w:val="22"/>
              </w:rPr>
              <w:t>This is very different from the apparently open ended requirement being proposed for ACDP sources. Because of the potential</w:t>
            </w:r>
            <w:r w:rsidR="00AA2A85">
              <w:rPr>
                <w:sz w:val="22"/>
                <w:szCs w:val="22"/>
              </w:rPr>
              <w:t>ly</w:t>
            </w:r>
            <w:r w:rsidRPr="008861CB">
              <w:rPr>
                <w:sz w:val="22"/>
                <w:szCs w:val="22"/>
              </w:rPr>
              <w:t xml:space="preserve"> far reaching impacts of this regulation, and the lack of discussion about it prior to proposal, </w:t>
            </w:r>
            <w:r w:rsidR="002F0612">
              <w:rPr>
                <w:sz w:val="22"/>
                <w:szCs w:val="22"/>
              </w:rPr>
              <w:t>we strongly urge</w:t>
            </w:r>
            <w:r w:rsidRPr="008861CB">
              <w:rPr>
                <w:sz w:val="22"/>
                <w:szCs w:val="22"/>
              </w:rPr>
              <w:t xml:space="preserve"> the Department to withdraw the provision</w:t>
            </w:r>
            <w:r w:rsidR="004A0EA4">
              <w:rPr>
                <w:sz w:val="22"/>
                <w:szCs w:val="22"/>
              </w:rPr>
              <w:t xml:space="preserve">. </w:t>
            </w:r>
            <w:r w:rsidRPr="008861CB">
              <w:rPr>
                <w:sz w:val="22"/>
                <w:szCs w:val="22"/>
              </w:rPr>
              <w:t>If DEQ retains the provision, we request that similar language from the Title V rules be added so that it is clear that this requirement applies while the permit application is under review</w:t>
            </w:r>
            <w:r w:rsidR="004A0EA4">
              <w:rPr>
                <w:sz w:val="22"/>
                <w:szCs w:val="22"/>
              </w:rPr>
              <w:t xml:space="preserve">. </w:t>
            </w:r>
            <w:r w:rsidRPr="00181560">
              <w:rPr>
                <w:sz w:val="22"/>
                <w:szCs w:val="22"/>
              </w:rPr>
              <w:t>(1, 2, 4, 11, 13, 14, 15, 17)</w:t>
            </w:r>
          </w:p>
          <w:p w:rsidR="00D47073" w:rsidRPr="002D0FE2" w:rsidRDefault="00D47073" w:rsidP="00EE0BFF">
            <w:pPr>
              <w:pStyle w:val="NormalWeb"/>
              <w:spacing w:before="0" w:beforeAutospacing="0" w:after="120" w:afterAutospacing="0"/>
              <w:rPr>
                <w:i/>
                <w:sz w:val="22"/>
                <w:szCs w:val="22"/>
              </w:rPr>
            </w:pPr>
            <w:r w:rsidRPr="002D0FE2">
              <w:rPr>
                <w:i/>
                <w:sz w:val="22"/>
                <w:szCs w:val="22"/>
              </w:rPr>
              <w:t xml:space="preserve">Response:  </w:t>
            </w:r>
          </w:p>
          <w:p w:rsidR="00D47073" w:rsidRDefault="00D47073" w:rsidP="00EE0BFF">
            <w:pPr>
              <w:pStyle w:val="NormalWeb"/>
              <w:spacing w:before="0" w:beforeAutospacing="0" w:after="120" w:afterAutospacing="0"/>
              <w:rPr>
                <w:i/>
                <w:sz w:val="22"/>
                <w:szCs w:val="22"/>
              </w:rPr>
            </w:pPr>
            <w:r w:rsidRPr="002D0FE2">
              <w:rPr>
                <w:i/>
                <w:sz w:val="22"/>
                <w:szCs w:val="22"/>
              </w:rPr>
              <w:t>The added language for Air Contaminant Discharge Permit applications comes directly from the Title V permit application requirements</w:t>
            </w:r>
            <w:r w:rsidR="00D74D40">
              <w:rPr>
                <w:i/>
                <w:sz w:val="22"/>
                <w:szCs w:val="22"/>
              </w:rPr>
              <w:t xml:space="preserve"> in</w:t>
            </w:r>
            <w:r w:rsidRPr="002D0FE2">
              <w:rPr>
                <w:i/>
                <w:sz w:val="22"/>
                <w:szCs w:val="22"/>
              </w:rPr>
              <w:t xml:space="preserve"> OAR 340-218-0040(2):  Duty to supplement or correct application. </w:t>
            </w:r>
            <w:r w:rsidRPr="002D0FE2">
              <w:rPr>
                <w:i/>
                <w:sz w:val="22"/>
                <w:szCs w:val="22"/>
                <w:u w:val="single"/>
              </w:rPr>
              <w:t>Any applicant who fails to submit any relevant facts or who has submitted incorrect information in a permit application must, upon becoming aware of such failure or incorrect submittal, promptly submit such supplementary facts or corrected information.</w:t>
            </w:r>
            <w:r w:rsidRPr="002D0FE2">
              <w:rPr>
                <w:i/>
                <w:sz w:val="22"/>
                <w:szCs w:val="22"/>
              </w:rPr>
              <w:t xml:space="preserve"> In addition, an applicant must provide additional information as necessary to address any requirements that become applicable to the source after the date it filed a complete application but prior to release of a draft permit. </w:t>
            </w:r>
          </w:p>
          <w:p w:rsidR="00012675" w:rsidRDefault="00D47073">
            <w:pPr>
              <w:pStyle w:val="NormalWeb"/>
              <w:spacing w:before="0" w:beforeAutospacing="0" w:after="120" w:afterAutospacing="0"/>
              <w:rPr>
                <w:sz w:val="22"/>
                <w:szCs w:val="22"/>
              </w:rPr>
            </w:pPr>
            <w:r>
              <w:rPr>
                <w:i/>
                <w:sz w:val="22"/>
                <w:szCs w:val="22"/>
              </w:rPr>
              <w:t>T</w:t>
            </w:r>
            <w:r w:rsidRPr="005D17F1">
              <w:rPr>
                <w:i/>
                <w:sz w:val="22"/>
                <w:szCs w:val="22"/>
              </w:rPr>
              <w:t>he duty to supplement or correct</w:t>
            </w:r>
            <w:r>
              <w:rPr>
                <w:i/>
                <w:sz w:val="22"/>
                <w:szCs w:val="22"/>
              </w:rPr>
              <w:t xml:space="preserve"> information</w:t>
            </w:r>
            <w:r w:rsidRPr="005D17F1">
              <w:rPr>
                <w:i/>
                <w:sz w:val="22"/>
                <w:szCs w:val="22"/>
              </w:rPr>
              <w:t xml:space="preserve"> extends beyond the period in which the application is being considered and acted upon</w:t>
            </w:r>
            <w:r w:rsidR="004A0EA4">
              <w:rPr>
                <w:i/>
                <w:sz w:val="22"/>
                <w:szCs w:val="22"/>
              </w:rPr>
              <w:t xml:space="preserve">. </w:t>
            </w:r>
            <w:r w:rsidRPr="005D17F1">
              <w:rPr>
                <w:i/>
                <w:sz w:val="22"/>
                <w:szCs w:val="22"/>
              </w:rPr>
              <w:t>If it were limited to the evaluation period, a</w:t>
            </w:r>
            <w:r>
              <w:rPr>
                <w:i/>
                <w:sz w:val="22"/>
                <w:szCs w:val="22"/>
              </w:rPr>
              <w:t>n</w:t>
            </w:r>
            <w:r w:rsidRPr="005D17F1">
              <w:rPr>
                <w:i/>
                <w:sz w:val="22"/>
                <w:szCs w:val="22"/>
              </w:rPr>
              <w:t xml:space="preserve"> applicant could conceal certain facts and upon permit issuance could argue that is was relieved of the obligation to supplement or correct</w:t>
            </w:r>
            <w:r w:rsidR="004A0EA4">
              <w:rPr>
                <w:i/>
                <w:sz w:val="22"/>
                <w:szCs w:val="22"/>
              </w:rPr>
              <w:t xml:space="preserve">. </w:t>
            </w:r>
            <w:r w:rsidRPr="005D17F1">
              <w:rPr>
                <w:i/>
                <w:sz w:val="22"/>
                <w:szCs w:val="22"/>
              </w:rPr>
              <w:t>Or</w:t>
            </w:r>
            <w:r>
              <w:rPr>
                <w:i/>
                <w:sz w:val="22"/>
                <w:szCs w:val="22"/>
              </w:rPr>
              <w:t xml:space="preserve"> </w:t>
            </w:r>
            <w:r w:rsidRPr="005D17F1">
              <w:rPr>
                <w:i/>
                <w:sz w:val="22"/>
                <w:szCs w:val="22"/>
              </w:rPr>
              <w:t xml:space="preserve">an applicant could make a critical mistake and omit information that </w:t>
            </w:r>
            <w:r w:rsidR="00AA2A85" w:rsidRPr="005D17F1">
              <w:rPr>
                <w:i/>
                <w:sz w:val="22"/>
                <w:szCs w:val="22"/>
              </w:rPr>
              <w:t>would</w:t>
            </w:r>
            <w:r w:rsidR="00AA2A85">
              <w:rPr>
                <w:i/>
                <w:sz w:val="22"/>
                <w:szCs w:val="22"/>
              </w:rPr>
              <w:t xml:space="preserve"> have</w:t>
            </w:r>
            <w:r w:rsidR="00AA2A85" w:rsidRPr="005D17F1">
              <w:rPr>
                <w:i/>
                <w:sz w:val="22"/>
                <w:szCs w:val="22"/>
              </w:rPr>
              <w:t xml:space="preserve"> </w:t>
            </w:r>
            <w:r w:rsidRPr="005D17F1">
              <w:rPr>
                <w:i/>
                <w:sz w:val="22"/>
                <w:szCs w:val="22"/>
              </w:rPr>
              <w:t xml:space="preserve">required the source to </w:t>
            </w:r>
            <w:r w:rsidR="00BB73FD">
              <w:rPr>
                <w:i/>
                <w:sz w:val="22"/>
                <w:szCs w:val="22"/>
              </w:rPr>
              <w:t>comply with</w:t>
            </w:r>
            <w:r w:rsidRPr="005D17F1">
              <w:rPr>
                <w:i/>
                <w:sz w:val="22"/>
                <w:szCs w:val="22"/>
              </w:rPr>
              <w:t xml:space="preserve"> a </w:t>
            </w:r>
            <w:r>
              <w:rPr>
                <w:i/>
                <w:sz w:val="22"/>
                <w:szCs w:val="22"/>
              </w:rPr>
              <w:t>s</w:t>
            </w:r>
            <w:r w:rsidRPr="005D17F1">
              <w:rPr>
                <w:i/>
                <w:sz w:val="22"/>
                <w:szCs w:val="22"/>
              </w:rPr>
              <w:t>ignificant requirement and yet not be obligated to</w:t>
            </w:r>
            <w:r>
              <w:rPr>
                <w:i/>
                <w:sz w:val="22"/>
                <w:szCs w:val="22"/>
              </w:rPr>
              <w:t xml:space="preserve"> later raise the issue to DEQ</w:t>
            </w:r>
            <w:r w:rsidR="004A0EA4">
              <w:rPr>
                <w:i/>
                <w:sz w:val="22"/>
                <w:szCs w:val="22"/>
              </w:rPr>
              <w:t xml:space="preserve">. </w:t>
            </w:r>
            <w:r w:rsidRPr="002D0FE2">
              <w:rPr>
                <w:i/>
                <w:sz w:val="22"/>
                <w:szCs w:val="22"/>
              </w:rPr>
              <w:t>Based on concerns raised by the EPA</w:t>
            </w:r>
            <w:r>
              <w:rPr>
                <w:i/>
                <w:sz w:val="22"/>
                <w:szCs w:val="22"/>
              </w:rPr>
              <w:t xml:space="preserve"> in its priority sect</w:t>
            </w:r>
            <w:r w:rsidR="002C1B9B">
              <w:rPr>
                <w:i/>
                <w:sz w:val="22"/>
                <w:szCs w:val="22"/>
              </w:rPr>
              <w:t>or</w:t>
            </w:r>
            <w:r>
              <w:rPr>
                <w:i/>
                <w:sz w:val="22"/>
                <w:szCs w:val="22"/>
              </w:rPr>
              <w:t xml:space="preserve"> review</w:t>
            </w:r>
            <w:r w:rsidRPr="002D0FE2">
              <w:rPr>
                <w:i/>
                <w:sz w:val="22"/>
                <w:szCs w:val="22"/>
              </w:rPr>
              <w:t>, this language wa</w:t>
            </w:r>
            <w:r>
              <w:rPr>
                <w:i/>
                <w:sz w:val="22"/>
                <w:szCs w:val="22"/>
              </w:rPr>
              <w:t xml:space="preserve">s added to the ACDP application </w:t>
            </w:r>
            <w:r w:rsidRPr="002D0FE2">
              <w:rPr>
                <w:i/>
                <w:sz w:val="22"/>
                <w:szCs w:val="22"/>
              </w:rPr>
              <w:t>requirements</w:t>
            </w:r>
            <w:r w:rsidR="004A0EA4">
              <w:rPr>
                <w:i/>
                <w:sz w:val="22"/>
                <w:szCs w:val="22"/>
              </w:rPr>
              <w:t xml:space="preserve">. </w:t>
            </w:r>
            <w:r w:rsidR="00A21C65">
              <w:rPr>
                <w:i/>
                <w:sz w:val="22"/>
                <w:szCs w:val="22"/>
              </w:rPr>
              <w:t>No change to the rule is proposed in response to this comment.</w:t>
            </w:r>
          </w:p>
        </w:tc>
      </w:tr>
      <w:tr w:rsidR="00A62014" w:rsidRPr="00A62014"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201FC6">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sz w:val="22"/>
                <w:szCs w:val="22"/>
              </w:rPr>
              <w:t xml:space="preserve">GHG PSD applicability prior to  July 1, 2011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A62014" w:rsidRDefault="00A62014" w:rsidP="00065341">
            <w:pPr>
              <w:autoSpaceDE w:val="0"/>
              <w:autoSpaceDN w:val="0"/>
              <w:adjustRightInd w:val="0"/>
              <w:spacing w:after="120"/>
              <w:rPr>
                <w:sz w:val="22"/>
                <w:szCs w:val="22"/>
              </w:rPr>
            </w:pPr>
            <w:r w:rsidRPr="00A62014">
              <w:rPr>
                <w:sz w:val="22"/>
                <w:szCs w:val="22"/>
              </w:rPr>
              <w:t>OAR 340-224-0010(5): This new applicability provision for GHGs needs to include language indicating that the 75,000 tpy value is measured as CO</w:t>
            </w:r>
            <w:r w:rsidRPr="00A62014">
              <w:rPr>
                <w:sz w:val="22"/>
                <w:szCs w:val="22"/>
                <w:vertAlign w:val="subscript"/>
              </w:rPr>
              <w:t>2</w:t>
            </w:r>
            <w:r w:rsidRPr="00A62014">
              <w:rPr>
                <w:sz w:val="22"/>
                <w:szCs w:val="22"/>
              </w:rPr>
              <w:t xml:space="preserve"> equivalent (CO</w:t>
            </w:r>
            <w:r w:rsidRPr="00A62014">
              <w:rPr>
                <w:sz w:val="22"/>
                <w:szCs w:val="22"/>
                <w:vertAlign w:val="subscript"/>
              </w:rPr>
              <w:t>2</w:t>
            </w:r>
            <w:r w:rsidRPr="00A62014">
              <w:rPr>
                <w:sz w:val="22"/>
                <w:szCs w:val="22"/>
              </w:rPr>
              <w:t>e). (7)</w:t>
            </w:r>
          </w:p>
          <w:p w:rsidR="00A62014" w:rsidRPr="00A62014" w:rsidRDefault="002F0612" w:rsidP="00FC04EC">
            <w:pPr>
              <w:rPr>
                <w:sz w:val="22"/>
                <w:szCs w:val="22"/>
              </w:rPr>
            </w:pPr>
            <w:r>
              <w:rPr>
                <w:sz w:val="22"/>
                <w:szCs w:val="22"/>
              </w:rPr>
              <w:t>We</w:t>
            </w:r>
            <w:r w:rsidR="00A62014" w:rsidRPr="00A62014">
              <w:rPr>
                <w:sz w:val="22"/>
                <w:szCs w:val="22"/>
              </w:rPr>
              <w:t xml:space="preserve"> request that the Department revise its GHG PSD applicability provisions proposed for inclusion in OAR 340-224-0010(5). We believe that what was intended was to require new </w:t>
            </w:r>
            <w:r w:rsidR="00A62014" w:rsidRPr="00A62014">
              <w:rPr>
                <w:sz w:val="22"/>
                <w:szCs w:val="22"/>
                <w:u w:val="single"/>
              </w:rPr>
              <w:t>Federal Major Sources</w:t>
            </w:r>
            <w:r w:rsidR="00A62014" w:rsidRPr="00A62014">
              <w:rPr>
                <w:sz w:val="22"/>
                <w:szCs w:val="22"/>
              </w:rPr>
              <w:t xml:space="preserve"> that also have a GHG PTE of 75,000 tons/year to have to undergo PSD for GHGs. Likewise, we believe that existing Federal Major Sources that have a </w:t>
            </w:r>
            <w:r w:rsidR="00A62014" w:rsidRPr="00A62014">
              <w:rPr>
                <w:sz w:val="22"/>
                <w:szCs w:val="22"/>
                <w:u w:val="single"/>
              </w:rPr>
              <w:t>significant</w:t>
            </w:r>
            <w:r w:rsidR="00A62014" w:rsidRPr="00A62014">
              <w:rPr>
                <w:sz w:val="22"/>
                <w:szCs w:val="22"/>
              </w:rPr>
              <w:t xml:space="preserve"> emissions increase of a non-GHG regulated air pollutant and a GHG emissions increase of 75,000 tons/year or more </w:t>
            </w:r>
            <w:r w:rsidR="00A62014" w:rsidRPr="00A62014">
              <w:rPr>
                <w:sz w:val="22"/>
                <w:szCs w:val="22"/>
                <w:u w:val="single"/>
              </w:rPr>
              <w:t>over the netting basis</w:t>
            </w:r>
            <w:r w:rsidR="00A62014" w:rsidRPr="00A62014">
              <w:rPr>
                <w:sz w:val="22"/>
                <w:szCs w:val="22"/>
              </w:rPr>
              <w:t xml:space="preserve"> would be subject to PSD for GHGs. As proposed, the underlined elements are missing from the rule resulting in the Oregon proposed rule being far more stringent than the federal rules. (1, 2, 4, 9, 11, 13, 14, 17)</w:t>
            </w:r>
          </w:p>
          <w:p w:rsidR="00A62014" w:rsidRPr="00A62014" w:rsidRDefault="00A62014" w:rsidP="00065341">
            <w:pPr>
              <w:autoSpaceDE w:val="0"/>
              <w:autoSpaceDN w:val="0"/>
              <w:adjustRightInd w:val="0"/>
              <w:spacing w:after="120"/>
              <w:ind w:right="377"/>
              <w:rPr>
                <w:i/>
                <w:sz w:val="22"/>
                <w:szCs w:val="22"/>
              </w:rPr>
            </w:pPr>
            <w:r w:rsidRPr="00A62014">
              <w:rPr>
                <w:i/>
                <w:sz w:val="22"/>
                <w:szCs w:val="22"/>
              </w:rPr>
              <w:t>Response:</w:t>
            </w:r>
          </w:p>
          <w:p w:rsidR="00A62014" w:rsidRPr="00A62014" w:rsidRDefault="000F1312" w:rsidP="00065341">
            <w:pPr>
              <w:autoSpaceDE w:val="0"/>
              <w:autoSpaceDN w:val="0"/>
              <w:adjustRightInd w:val="0"/>
              <w:spacing w:after="120"/>
              <w:ind w:right="377"/>
              <w:rPr>
                <w:sz w:val="22"/>
                <w:szCs w:val="22"/>
              </w:rPr>
            </w:pPr>
            <w:r>
              <w:rPr>
                <w:i/>
                <w:sz w:val="22"/>
                <w:szCs w:val="22"/>
              </w:rPr>
              <w:t xml:space="preserve">The change was made to the proposed rule as suggested.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A62014">
            <w:pPr>
              <w:rPr>
                <w:bCs/>
                <w:sz w:val="22"/>
                <w:szCs w:val="22"/>
              </w:rPr>
            </w:pPr>
            <w:r w:rsidRPr="00943C75">
              <w:rPr>
                <w:sz w:val="22"/>
                <w:szCs w:val="22"/>
              </w:rPr>
              <w:t xml:space="preserve">GHG PSD applicability after July 1, 2011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7A75AB">
            <w:pPr>
              <w:autoSpaceDE w:val="0"/>
              <w:autoSpaceDN w:val="0"/>
              <w:adjustRightInd w:val="0"/>
              <w:spacing w:after="120"/>
              <w:rPr>
                <w:sz w:val="22"/>
                <w:szCs w:val="22"/>
              </w:rPr>
            </w:pPr>
            <w:r w:rsidRPr="002D0FE2">
              <w:rPr>
                <w:sz w:val="22"/>
                <w:szCs w:val="22"/>
              </w:rPr>
              <w:t>OAR 340-224-0010(6): This new applicability provision for GHGs needs to include language indicating that the 100,000 tpy value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sidRPr="002D0FE2">
              <w:rPr>
                <w:sz w:val="22"/>
                <w:szCs w:val="22"/>
              </w:rPr>
              <w:t xml:space="preserve">e) and that a new stationary source or an existing stationary source is subject to regulation when </w:t>
            </w:r>
            <w:r w:rsidRPr="00384E53">
              <w:rPr>
                <w:sz w:val="22"/>
                <w:szCs w:val="22"/>
              </w:rPr>
              <w:t>it emits, will emit, or has the potential to emit</w:t>
            </w:r>
            <w:r w:rsidRPr="002D0FE2">
              <w:rPr>
                <w:sz w:val="22"/>
                <w:szCs w:val="22"/>
              </w:rPr>
              <w:t xml:space="preserve"> 100,000 tpy or more</w:t>
            </w:r>
            <w:r>
              <w:rPr>
                <w:sz w:val="22"/>
                <w:szCs w:val="22"/>
              </w:rPr>
              <w:t>. (7)</w:t>
            </w:r>
          </w:p>
          <w:p w:rsidR="00A62014" w:rsidRPr="002D0FE2" w:rsidRDefault="002F0612" w:rsidP="007A75AB">
            <w:pPr>
              <w:spacing w:after="120"/>
              <w:rPr>
                <w:sz w:val="22"/>
                <w:szCs w:val="22"/>
              </w:rPr>
            </w:pPr>
            <w:r>
              <w:rPr>
                <w:sz w:val="22"/>
                <w:szCs w:val="22"/>
              </w:rPr>
              <w:t>We</w:t>
            </w:r>
            <w:r w:rsidR="00A62014" w:rsidRPr="002D0FE2">
              <w:rPr>
                <w:sz w:val="22"/>
                <w:szCs w:val="22"/>
              </w:rPr>
              <w:t xml:space="preserve"> request that the Department revise its GHG PSD applicability provisions proposed for inclusion in OAR 340-224-0010(6)</w:t>
            </w:r>
            <w:r w:rsidR="00A62014">
              <w:rPr>
                <w:sz w:val="22"/>
                <w:szCs w:val="22"/>
              </w:rPr>
              <w:t xml:space="preserve">. </w:t>
            </w:r>
            <w:r w:rsidR="00A62014" w:rsidRPr="002D0FE2">
              <w:rPr>
                <w:sz w:val="22"/>
                <w:szCs w:val="22"/>
              </w:rPr>
              <w:t xml:space="preserve">We believe that what was intended was to require existing Federal Major Sources to undergo PSD for GHGs only if they request a GHG </w:t>
            </w:r>
            <w:r w:rsidR="00A62014" w:rsidRPr="002D0FE2">
              <w:rPr>
                <w:sz w:val="22"/>
                <w:szCs w:val="22"/>
              </w:rPr>
              <w:lastRenderedPageBreak/>
              <w:t xml:space="preserve">emissions increase of 75,000 tons/year or more </w:t>
            </w:r>
            <w:r w:rsidR="00A62014" w:rsidRPr="002D0FE2">
              <w:rPr>
                <w:sz w:val="22"/>
                <w:szCs w:val="22"/>
                <w:u w:val="single"/>
              </w:rPr>
              <w:t>over the GHG netting basis</w:t>
            </w:r>
            <w:r w:rsidR="00A62014">
              <w:rPr>
                <w:sz w:val="22"/>
                <w:szCs w:val="22"/>
              </w:rPr>
              <w:t xml:space="preserve">. </w:t>
            </w:r>
            <w:r w:rsidR="00A62014" w:rsidRPr="002D0FE2">
              <w:rPr>
                <w:sz w:val="22"/>
                <w:szCs w:val="22"/>
              </w:rPr>
              <w:t>As proposed, the rule requires the source to be regulated even if the ultimate GHG PSEL requested does not exceed the netting basis by an SER or more</w:t>
            </w:r>
            <w:r w:rsidR="00A62014">
              <w:rPr>
                <w:sz w:val="22"/>
                <w:szCs w:val="22"/>
              </w:rPr>
              <w:t xml:space="preserve">. </w:t>
            </w:r>
            <w:r w:rsidR="00A62014" w:rsidRPr="002D0FE2">
              <w:rPr>
                <w:sz w:val="22"/>
                <w:szCs w:val="22"/>
              </w:rPr>
              <w:t>We suggest that the rule be changed to remove this possibility.</w:t>
            </w:r>
            <w:r w:rsidR="00A62014">
              <w:rPr>
                <w:sz w:val="22"/>
                <w:szCs w:val="22"/>
              </w:rPr>
              <w:t xml:space="preserve"> </w:t>
            </w:r>
            <w:r w:rsidR="00A62014" w:rsidRPr="009D18AC">
              <w:rPr>
                <w:sz w:val="22"/>
                <w:szCs w:val="22"/>
              </w:rPr>
              <w:t>(1, 2, 4, 9, 11, 13, 14, 17)</w:t>
            </w:r>
          </w:p>
          <w:p w:rsidR="00A62014" w:rsidRDefault="00A62014" w:rsidP="007A75AB">
            <w:pPr>
              <w:spacing w:after="120"/>
              <w:ind w:left="64" w:right="-180"/>
              <w:rPr>
                <w:i/>
                <w:sz w:val="22"/>
                <w:szCs w:val="22"/>
              </w:rPr>
            </w:pPr>
            <w:r>
              <w:rPr>
                <w:i/>
                <w:sz w:val="22"/>
                <w:szCs w:val="22"/>
              </w:rPr>
              <w:t>R</w:t>
            </w:r>
            <w:r w:rsidRPr="002D0FE2">
              <w:rPr>
                <w:i/>
                <w:sz w:val="22"/>
                <w:szCs w:val="22"/>
              </w:rPr>
              <w:t>esponse:</w:t>
            </w:r>
          </w:p>
          <w:p w:rsidR="00012675" w:rsidRDefault="000F1312">
            <w:pPr>
              <w:spacing w:after="120"/>
              <w:ind w:left="64" w:right="-180"/>
              <w:rPr>
                <w:i/>
                <w:sz w:val="22"/>
                <w:szCs w:val="22"/>
              </w:rPr>
            </w:pPr>
            <w:r>
              <w:rPr>
                <w:i/>
                <w:sz w:val="22"/>
                <w:szCs w:val="22"/>
              </w:rPr>
              <w:t>The change</w:t>
            </w:r>
            <w:r w:rsidR="00BB73FD">
              <w:rPr>
                <w:i/>
                <w:sz w:val="22"/>
                <w:szCs w:val="22"/>
              </w:rPr>
              <w:t>s</w:t>
            </w:r>
            <w:r>
              <w:rPr>
                <w:i/>
                <w:sz w:val="22"/>
                <w:szCs w:val="22"/>
              </w:rPr>
              <w:t xml:space="preserve"> </w:t>
            </w:r>
            <w:r w:rsidR="00BB73FD">
              <w:rPr>
                <w:i/>
                <w:sz w:val="22"/>
                <w:szCs w:val="22"/>
              </w:rPr>
              <w:t>were</w:t>
            </w:r>
            <w:r>
              <w:rPr>
                <w:i/>
                <w:sz w:val="22"/>
                <w:szCs w:val="22"/>
              </w:rPr>
              <w:t xml:space="preserve"> made to the proposed rule as suggested.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A62014" w:rsidP="00A62014">
            <w:pPr>
              <w:ind w:right="-108"/>
              <w:rPr>
                <w:bCs/>
                <w:sz w:val="22"/>
                <w:szCs w:val="22"/>
              </w:rPr>
            </w:pPr>
            <w:r w:rsidRPr="00943C75">
              <w:rPr>
                <w:sz w:val="22"/>
                <w:szCs w:val="22"/>
              </w:rPr>
              <w:t>Additional requirements for sources in nonattainment areas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65341">
            <w:pPr>
              <w:autoSpaceDE w:val="0"/>
              <w:autoSpaceDN w:val="0"/>
              <w:adjustRightInd w:val="0"/>
              <w:spacing w:after="120"/>
              <w:rPr>
                <w:sz w:val="22"/>
                <w:szCs w:val="22"/>
              </w:rPr>
            </w:pPr>
            <w:r w:rsidRPr="002D0FE2">
              <w:rPr>
                <w:sz w:val="22"/>
                <w:szCs w:val="22"/>
              </w:rPr>
              <w:t>OAR 340-224-0050(3): The additional requirements for sources in nonattainment areas are only required to apply to sources that are major for the nonattainment pollutant. Since GHGs are not criteria pollutants and never will be nonattainment pollutants, these provisions need not apply to GHGs. However, if ODEQ does include GHGs here, it needs to include language indicating that the 100,000 tpy value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sidRPr="002D0FE2">
              <w:rPr>
                <w:sz w:val="22"/>
                <w:szCs w:val="22"/>
              </w:rPr>
              <w:t xml:space="preserve">e). </w:t>
            </w:r>
            <w:r w:rsidRPr="00291E33">
              <w:rPr>
                <w:sz w:val="22"/>
                <w:szCs w:val="22"/>
              </w:rPr>
              <w:t>(7)</w:t>
            </w:r>
          </w:p>
          <w:p w:rsidR="00A62014" w:rsidRDefault="00A62014" w:rsidP="00065341">
            <w:pPr>
              <w:autoSpaceDE w:val="0"/>
              <w:autoSpaceDN w:val="0"/>
              <w:adjustRightInd w:val="0"/>
              <w:spacing w:after="120"/>
              <w:rPr>
                <w:i/>
                <w:sz w:val="22"/>
                <w:szCs w:val="22"/>
              </w:rPr>
            </w:pPr>
            <w:r w:rsidRPr="002D0FE2">
              <w:rPr>
                <w:i/>
                <w:sz w:val="22"/>
                <w:szCs w:val="22"/>
              </w:rPr>
              <w:t>Response:</w:t>
            </w:r>
          </w:p>
          <w:p w:rsidR="00012675" w:rsidRDefault="00A62014">
            <w:pPr>
              <w:autoSpaceDE w:val="0"/>
              <w:autoSpaceDN w:val="0"/>
              <w:adjustRightInd w:val="0"/>
              <w:spacing w:after="120"/>
              <w:rPr>
                <w:sz w:val="22"/>
                <w:szCs w:val="22"/>
              </w:rPr>
            </w:pPr>
            <w:r w:rsidRPr="00277FA1">
              <w:rPr>
                <w:i/>
                <w:sz w:val="22"/>
                <w:szCs w:val="22"/>
              </w:rPr>
              <w:t xml:space="preserve">GHGs </w:t>
            </w:r>
            <w:r w:rsidR="007B44E6">
              <w:rPr>
                <w:i/>
                <w:sz w:val="22"/>
                <w:szCs w:val="22"/>
              </w:rPr>
              <w:t>were</w:t>
            </w:r>
            <w:r w:rsidRPr="00277FA1">
              <w:rPr>
                <w:i/>
                <w:sz w:val="22"/>
                <w:szCs w:val="22"/>
              </w:rPr>
              <w:t xml:space="preserve"> removed from this section</w:t>
            </w:r>
            <w:r w:rsidR="00255965">
              <w:rPr>
                <w:i/>
                <w:sz w:val="22"/>
                <w:szCs w:val="22"/>
              </w:rPr>
              <w:t xml:space="preserve"> as suggested</w:t>
            </w:r>
            <w:r w:rsidRPr="00277FA1">
              <w:rPr>
                <w:i/>
                <w:sz w:val="22"/>
                <w:szCs w:val="22"/>
              </w:rPr>
              <w:t>.</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A62014" w:rsidP="00A62014">
            <w:pPr>
              <w:ind w:right="-108"/>
              <w:rPr>
                <w:bCs/>
                <w:sz w:val="22"/>
                <w:szCs w:val="22"/>
              </w:rPr>
            </w:pPr>
            <w:r w:rsidRPr="00943C75">
              <w:rPr>
                <w:sz w:val="22"/>
                <w:szCs w:val="22"/>
              </w:rPr>
              <w:t>OAR 340-224-0060(1)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076541">
            <w:pPr>
              <w:autoSpaceDE w:val="0"/>
              <w:autoSpaceDN w:val="0"/>
              <w:adjustRightInd w:val="0"/>
              <w:spacing w:after="120"/>
              <w:rPr>
                <w:sz w:val="22"/>
                <w:szCs w:val="22"/>
              </w:rPr>
            </w:pPr>
            <w:r w:rsidRPr="002D0FE2">
              <w:rPr>
                <w:sz w:val="22"/>
                <w:szCs w:val="22"/>
              </w:rPr>
              <w:t xml:space="preserve">For consistency and accuracy, the text in 0060(1) should be amended to read </w:t>
            </w:r>
            <w:r w:rsidRPr="002D0FE2">
              <w:rPr>
                <w:i/>
                <w:iCs/>
                <w:sz w:val="22"/>
                <w:szCs w:val="22"/>
              </w:rPr>
              <w:t xml:space="preserve">" ... must apply BACT </w:t>
            </w:r>
            <w:r>
              <w:rPr>
                <w:i/>
                <w:iCs/>
                <w:sz w:val="22"/>
                <w:szCs w:val="22"/>
              </w:rPr>
              <w:t>for</w:t>
            </w:r>
            <w:r w:rsidRPr="002D0FE2">
              <w:rPr>
                <w:i/>
                <w:iCs/>
                <w:sz w:val="22"/>
                <w:szCs w:val="22"/>
              </w:rPr>
              <w:t xml:space="preserve"> each maintenance pollutant or precursor(s) emitted at </w:t>
            </w:r>
            <w:r w:rsidRPr="00291E33">
              <w:rPr>
                <w:iCs/>
                <w:sz w:val="22"/>
                <w:szCs w:val="22"/>
              </w:rPr>
              <w:t>or above</w:t>
            </w:r>
            <w:r w:rsidRPr="002D0FE2">
              <w:rPr>
                <w:i/>
                <w:iCs/>
                <w:sz w:val="22"/>
                <w:szCs w:val="22"/>
              </w:rPr>
              <w:t xml:space="preserve"> a SER. " </w:t>
            </w:r>
            <w:r w:rsidRPr="002D0FE2">
              <w:rPr>
                <w:sz w:val="22"/>
                <w:szCs w:val="22"/>
              </w:rPr>
              <w:t xml:space="preserve"> </w:t>
            </w:r>
            <w:r w:rsidRPr="00291E33">
              <w:rPr>
                <w:sz w:val="22"/>
                <w:szCs w:val="22"/>
              </w:rPr>
              <w:t>(7)</w:t>
            </w:r>
          </w:p>
          <w:p w:rsidR="00A62014" w:rsidRDefault="00A62014" w:rsidP="00076541">
            <w:pPr>
              <w:autoSpaceDE w:val="0"/>
              <w:autoSpaceDN w:val="0"/>
              <w:adjustRightInd w:val="0"/>
              <w:spacing w:after="120"/>
              <w:rPr>
                <w:i/>
                <w:sz w:val="22"/>
                <w:szCs w:val="22"/>
              </w:rPr>
            </w:pPr>
            <w:r w:rsidRPr="002D0FE2">
              <w:rPr>
                <w:i/>
                <w:sz w:val="22"/>
                <w:szCs w:val="22"/>
              </w:rPr>
              <w:t>Response:</w:t>
            </w:r>
          </w:p>
          <w:p w:rsidR="00A62014" w:rsidRPr="002D0FE2" w:rsidRDefault="000F1312" w:rsidP="00076541">
            <w:pPr>
              <w:autoSpaceDE w:val="0"/>
              <w:autoSpaceDN w:val="0"/>
              <w:adjustRightInd w:val="0"/>
              <w:spacing w:after="120"/>
              <w:rPr>
                <w:sz w:val="22"/>
                <w:szCs w:val="22"/>
              </w:rPr>
            </w:pPr>
            <w:r>
              <w:rPr>
                <w:i/>
                <w:sz w:val="22"/>
                <w:szCs w:val="22"/>
              </w:rPr>
              <w:t xml:space="preserve">The change was made to the proposed rule as suggested. </w:t>
            </w:r>
          </w:p>
        </w:tc>
      </w:tr>
      <w:tr w:rsidR="00A62014"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bCs/>
                <w:sz w:val="22"/>
                <w:szCs w:val="22"/>
              </w:rPr>
            </w:pPr>
          </w:p>
          <w:p w:rsidR="00A62014" w:rsidRPr="00943C75" w:rsidRDefault="00A62014" w:rsidP="00A62014">
            <w:pPr>
              <w:ind w:right="-108"/>
              <w:rPr>
                <w:bCs/>
                <w:sz w:val="22"/>
                <w:szCs w:val="22"/>
              </w:rPr>
            </w:pPr>
            <w:r w:rsidRPr="00943C75">
              <w:rPr>
                <w:bCs/>
                <w:sz w:val="22"/>
                <w:szCs w:val="22"/>
              </w:rPr>
              <w:t>BACT for PM</w:t>
            </w:r>
            <w:r w:rsidRPr="00943C75">
              <w:rPr>
                <w:bCs/>
                <w:sz w:val="22"/>
                <w:szCs w:val="22"/>
                <w:vertAlign w:val="subscript"/>
              </w:rPr>
              <w:t>2.5</w:t>
            </w:r>
            <w:r w:rsidRPr="00943C75">
              <w:rPr>
                <w:bCs/>
                <w:sz w:val="22"/>
                <w:szCs w:val="22"/>
              </w:rPr>
              <w:t xml:space="preserve"> precursors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BD5BD3" w:rsidRDefault="00A62014" w:rsidP="00387794">
            <w:pPr>
              <w:spacing w:after="120"/>
              <w:rPr>
                <w:sz w:val="22"/>
                <w:szCs w:val="22"/>
              </w:rPr>
            </w:pPr>
            <w:r w:rsidRPr="00BD5BD3">
              <w:rPr>
                <w:sz w:val="22"/>
                <w:szCs w:val="22"/>
              </w:rPr>
              <w:t>We request that the Department revise its regulations to clarify that sources triggering BACT for a PM</w:t>
            </w:r>
            <w:r w:rsidRPr="00BD5BD3">
              <w:rPr>
                <w:sz w:val="22"/>
                <w:szCs w:val="22"/>
                <w:vertAlign w:val="subscript"/>
              </w:rPr>
              <w:t>2.5</w:t>
            </w:r>
            <w:r w:rsidRPr="00BD5BD3">
              <w:rPr>
                <w:sz w:val="22"/>
                <w:szCs w:val="22"/>
              </w:rPr>
              <w:t xml:space="preserve"> precursor (e.g. NOx out of a boiler) do not necessarily trigger BACT for direct PM</w:t>
            </w:r>
            <w:r w:rsidRPr="00BD5BD3">
              <w:rPr>
                <w:sz w:val="22"/>
                <w:szCs w:val="22"/>
                <w:vertAlign w:val="subscript"/>
              </w:rPr>
              <w:t>2.5</w:t>
            </w:r>
            <w:r w:rsidRPr="00BD5BD3">
              <w:rPr>
                <w:sz w:val="22"/>
                <w:szCs w:val="22"/>
              </w:rPr>
              <w:t xml:space="preserve"> coming out of an unrelated emission unit (e.g., a planer)</w:t>
            </w:r>
            <w:r>
              <w:rPr>
                <w:sz w:val="22"/>
                <w:szCs w:val="22"/>
              </w:rPr>
              <w:t xml:space="preserve">. </w:t>
            </w:r>
            <w:r w:rsidRPr="00BD5BD3">
              <w:rPr>
                <w:sz w:val="22"/>
                <w:szCs w:val="22"/>
              </w:rPr>
              <w:t>Due to Oregon’s program being so different from the federal program in this regard, it is necessary to clarify that triggering BACT for a PM</w:t>
            </w:r>
            <w:r w:rsidRPr="00BD5BD3">
              <w:rPr>
                <w:sz w:val="22"/>
                <w:szCs w:val="22"/>
                <w:vertAlign w:val="subscript"/>
              </w:rPr>
              <w:t>2.5</w:t>
            </w:r>
            <w:r w:rsidRPr="00BD5BD3">
              <w:rPr>
                <w:sz w:val="22"/>
                <w:szCs w:val="22"/>
              </w:rPr>
              <w:t xml:space="preserve"> precursor would not then trigger BACT for all direct PM</w:t>
            </w:r>
            <w:r w:rsidRPr="00BD5BD3">
              <w:rPr>
                <w:sz w:val="22"/>
                <w:szCs w:val="22"/>
                <w:vertAlign w:val="subscript"/>
              </w:rPr>
              <w:t>2.5</w:t>
            </w:r>
            <w:r w:rsidRPr="00BD5BD3">
              <w:rPr>
                <w:sz w:val="22"/>
                <w:szCs w:val="22"/>
              </w:rPr>
              <w:t xml:space="preserve"> emission units, and vice versa. </w:t>
            </w:r>
            <w:r>
              <w:rPr>
                <w:sz w:val="22"/>
                <w:szCs w:val="22"/>
              </w:rPr>
              <w:t>(1, 3, 13, 23)</w:t>
            </w:r>
          </w:p>
          <w:p w:rsidR="00A62014" w:rsidRDefault="00A62014" w:rsidP="00387794">
            <w:pPr>
              <w:spacing w:after="120"/>
              <w:rPr>
                <w:i/>
                <w:sz w:val="22"/>
                <w:szCs w:val="22"/>
              </w:rPr>
            </w:pPr>
            <w:r>
              <w:rPr>
                <w:i/>
                <w:sz w:val="22"/>
                <w:szCs w:val="22"/>
              </w:rPr>
              <w:t>Response:</w:t>
            </w:r>
          </w:p>
          <w:p w:rsidR="00A62014" w:rsidRPr="00387794" w:rsidRDefault="00A62014" w:rsidP="00387794">
            <w:pPr>
              <w:spacing w:after="120"/>
              <w:rPr>
                <w:rFonts w:ascii="Calibri" w:hAnsi="Calibri"/>
                <w:i/>
                <w:iCs/>
                <w:sz w:val="22"/>
                <w:szCs w:val="22"/>
              </w:rPr>
            </w:pPr>
            <w:r w:rsidRPr="00387794">
              <w:rPr>
                <w:i/>
                <w:iCs/>
                <w:sz w:val="22"/>
                <w:szCs w:val="22"/>
              </w:rPr>
              <w:t>The Department agrees that BACT does not apply to direct PM2.5 or PM2.5 precursors if they are not emitted at a SER over the netting basis</w:t>
            </w:r>
            <w:r>
              <w:rPr>
                <w:i/>
                <w:iCs/>
                <w:sz w:val="22"/>
                <w:szCs w:val="22"/>
              </w:rPr>
              <w:t xml:space="preserve">. </w:t>
            </w:r>
            <w:r w:rsidR="00A21C65">
              <w:rPr>
                <w:i/>
                <w:iCs/>
                <w:sz w:val="22"/>
                <w:szCs w:val="22"/>
              </w:rPr>
              <w:t>The change was made to the proposed rule as suggested.</w:t>
            </w:r>
            <w:r>
              <w:rPr>
                <w:i/>
                <w:iCs/>
                <w:sz w:val="22"/>
                <w:szCs w:val="22"/>
              </w:rPr>
              <w:t xml:space="preserve"> </w:t>
            </w:r>
          </w:p>
        </w:tc>
      </w:tr>
      <w:tr w:rsidR="00A62014" w:rsidRPr="00C6063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A62014">
            <w:pPr>
              <w:rPr>
                <w:sz w:val="22"/>
                <w:szCs w:val="22"/>
              </w:rPr>
            </w:pPr>
            <w:r w:rsidRPr="00943C75">
              <w:rPr>
                <w:sz w:val="22"/>
                <w:szCs w:val="22"/>
              </w:rPr>
              <w:t>BACT applicability</w:t>
            </w:r>
          </w:p>
          <w:p w:rsidR="00A62014" w:rsidRPr="00943C75" w:rsidRDefault="00A62014" w:rsidP="00A62014">
            <w:pPr>
              <w:ind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C60633" w:rsidRDefault="00A62014" w:rsidP="00EE0BFF">
            <w:pPr>
              <w:pStyle w:val="NormalWeb"/>
              <w:spacing w:before="0" w:beforeAutospacing="0" w:after="120" w:afterAutospacing="0"/>
              <w:rPr>
                <w:sz w:val="22"/>
                <w:szCs w:val="22"/>
              </w:rPr>
            </w:pPr>
            <w:r w:rsidRPr="00C60633">
              <w:rPr>
                <w:sz w:val="22"/>
                <w:szCs w:val="22"/>
              </w:rPr>
              <w:t>DEQ’s rules currently state that equipment installed after the baseline period must undergo BACT</w:t>
            </w:r>
            <w:r>
              <w:rPr>
                <w:sz w:val="22"/>
                <w:szCs w:val="22"/>
              </w:rPr>
              <w:t xml:space="preserve">. </w:t>
            </w:r>
            <w:r w:rsidRPr="00C60633">
              <w:rPr>
                <w:sz w:val="22"/>
                <w:szCs w:val="22"/>
              </w:rPr>
              <w:t xml:space="preserve">However, </w:t>
            </w:r>
            <w:r>
              <w:rPr>
                <w:sz w:val="22"/>
                <w:szCs w:val="22"/>
              </w:rPr>
              <w:t>we</w:t>
            </w:r>
            <w:r w:rsidRPr="00C60633">
              <w:rPr>
                <w:sz w:val="22"/>
                <w:szCs w:val="22"/>
              </w:rPr>
              <w:t xml:space="preserve"> believe that this regulation should be revised to recognize that equipment authorized to be installed in the baseline period should not be subject to BACT when it is constructed</w:t>
            </w:r>
            <w:r>
              <w:rPr>
                <w:sz w:val="22"/>
                <w:szCs w:val="22"/>
              </w:rPr>
              <w:t xml:space="preserve">. </w:t>
            </w:r>
            <w:r w:rsidRPr="00C60633">
              <w:rPr>
                <w:sz w:val="22"/>
                <w:szCs w:val="22"/>
              </w:rPr>
              <w:t>That would place equipment installed without authorization during the baseline period in a better position than equipment permitted, but not yet installed, during the baseline period</w:t>
            </w:r>
            <w:r>
              <w:rPr>
                <w:sz w:val="22"/>
                <w:szCs w:val="22"/>
              </w:rPr>
              <w:t xml:space="preserve">. </w:t>
            </w:r>
            <w:r w:rsidRPr="00C60633">
              <w:rPr>
                <w:sz w:val="22"/>
                <w:szCs w:val="22"/>
              </w:rPr>
              <w:t>(9)</w:t>
            </w:r>
          </w:p>
          <w:p w:rsidR="00A62014" w:rsidRDefault="00A62014" w:rsidP="00EE0BFF">
            <w:pPr>
              <w:spacing w:after="120"/>
              <w:rPr>
                <w:i/>
                <w:sz w:val="22"/>
                <w:szCs w:val="22"/>
              </w:rPr>
            </w:pPr>
            <w:r w:rsidRPr="00C60633">
              <w:rPr>
                <w:i/>
                <w:sz w:val="22"/>
                <w:szCs w:val="22"/>
              </w:rPr>
              <w:t>Response:</w:t>
            </w:r>
          </w:p>
          <w:p w:rsidR="00A62014" w:rsidRPr="00C60633" w:rsidRDefault="00A62014" w:rsidP="00B71321">
            <w:pPr>
              <w:spacing w:after="120"/>
              <w:rPr>
                <w:i/>
                <w:sz w:val="22"/>
                <w:szCs w:val="22"/>
              </w:rPr>
            </w:pPr>
            <w:r w:rsidRPr="00FD251E">
              <w:rPr>
                <w:i/>
                <w:sz w:val="22"/>
                <w:szCs w:val="22"/>
              </w:rPr>
              <w:t xml:space="preserve">DEQ agrees that </w:t>
            </w:r>
            <w:r>
              <w:rPr>
                <w:i/>
                <w:sz w:val="22"/>
                <w:szCs w:val="22"/>
              </w:rPr>
              <w:t>i</w:t>
            </w:r>
            <w:r w:rsidRPr="00FD251E">
              <w:rPr>
                <w:i/>
                <w:sz w:val="22"/>
                <w:szCs w:val="22"/>
              </w:rPr>
              <w:t>f the emissions unit was included in the netting basis because it was permitted during the baseline period, then retroactive BACT would only apply to the emissions unit if it is modified and there is an increase in emissions</w:t>
            </w:r>
            <w:r>
              <w:rPr>
                <w:i/>
                <w:sz w:val="22"/>
                <w:szCs w:val="22"/>
              </w:rPr>
              <w:t xml:space="preserve">. A change was already proposed that addressed this issue but an additional change </w:t>
            </w:r>
            <w:r w:rsidR="00B71321">
              <w:rPr>
                <w:i/>
                <w:sz w:val="22"/>
                <w:szCs w:val="22"/>
              </w:rPr>
              <w:t>was</w:t>
            </w:r>
            <w:r>
              <w:rPr>
                <w:i/>
                <w:sz w:val="22"/>
                <w:szCs w:val="22"/>
              </w:rPr>
              <w:t xml:space="preserve"> made for further clarification.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A62014" w:rsidP="00A62014">
            <w:pPr>
              <w:ind w:right="-108"/>
              <w:rPr>
                <w:bCs/>
                <w:sz w:val="22"/>
                <w:szCs w:val="22"/>
              </w:rPr>
            </w:pPr>
            <w:r w:rsidRPr="00943C75">
              <w:rPr>
                <w:sz w:val="22"/>
                <w:szCs w:val="22"/>
              </w:rPr>
              <w:lastRenderedPageBreak/>
              <w:t>OAR 340-224-0070(2)(a)</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076541">
            <w:pPr>
              <w:autoSpaceDE w:val="0"/>
              <w:autoSpaceDN w:val="0"/>
              <w:adjustRightInd w:val="0"/>
              <w:spacing w:after="120"/>
              <w:rPr>
                <w:sz w:val="22"/>
                <w:szCs w:val="22"/>
              </w:rPr>
            </w:pPr>
            <w:r w:rsidRPr="002D0FE2">
              <w:rPr>
                <w:sz w:val="22"/>
                <w:szCs w:val="22"/>
              </w:rPr>
              <w:lastRenderedPageBreak/>
              <w:t xml:space="preserve">To be consistent with paragraph 0070(2), paragraph 0070(2)(a) should be amended to read </w:t>
            </w:r>
            <w:r w:rsidRPr="002D0FE2">
              <w:rPr>
                <w:i/>
                <w:iCs/>
                <w:sz w:val="22"/>
                <w:szCs w:val="22"/>
              </w:rPr>
              <w:lastRenderedPageBreak/>
              <w:t>"For increases of PM</w:t>
            </w:r>
            <w:r w:rsidRPr="002D0FE2">
              <w:rPr>
                <w:i/>
                <w:iCs/>
                <w:sz w:val="22"/>
                <w:szCs w:val="22"/>
                <w:vertAlign w:val="subscript"/>
              </w:rPr>
              <w:t>2.5</w:t>
            </w:r>
            <w:r w:rsidRPr="002D0FE2">
              <w:rPr>
                <w:i/>
                <w:iCs/>
                <w:sz w:val="22"/>
                <w:szCs w:val="22"/>
              </w:rPr>
              <w:t xml:space="preserve"> precursors equal to or greater than the precursor significant emission rate, </w:t>
            </w:r>
            <w:r w:rsidRPr="002D0FE2">
              <w:rPr>
                <w:sz w:val="22"/>
                <w:szCs w:val="22"/>
              </w:rPr>
              <w:t xml:space="preserve">.... ". </w:t>
            </w:r>
            <w:r w:rsidRPr="00291E33">
              <w:rPr>
                <w:sz w:val="22"/>
                <w:szCs w:val="22"/>
              </w:rPr>
              <w:t>(7)</w:t>
            </w:r>
          </w:p>
          <w:p w:rsidR="00A62014" w:rsidRDefault="00A62014" w:rsidP="00076541">
            <w:pPr>
              <w:pageBreakBefore/>
              <w:autoSpaceDE w:val="0"/>
              <w:autoSpaceDN w:val="0"/>
              <w:adjustRightInd w:val="0"/>
              <w:spacing w:after="120"/>
              <w:ind w:right="240"/>
              <w:rPr>
                <w:i/>
                <w:sz w:val="22"/>
                <w:szCs w:val="22"/>
              </w:rPr>
            </w:pPr>
            <w:r w:rsidRPr="002D0FE2">
              <w:rPr>
                <w:i/>
                <w:sz w:val="22"/>
                <w:szCs w:val="22"/>
              </w:rPr>
              <w:t>Response:</w:t>
            </w:r>
          </w:p>
          <w:p w:rsidR="00A62014" w:rsidRPr="002D0FE2" w:rsidRDefault="000F1312" w:rsidP="00076541">
            <w:pPr>
              <w:pageBreakBefore/>
              <w:autoSpaceDE w:val="0"/>
              <w:autoSpaceDN w:val="0"/>
              <w:adjustRightInd w:val="0"/>
              <w:spacing w:after="120"/>
              <w:ind w:right="240"/>
              <w:rPr>
                <w:sz w:val="22"/>
                <w:szCs w:val="22"/>
              </w:rPr>
            </w:pPr>
            <w:r>
              <w:rPr>
                <w:i/>
                <w:sz w:val="22"/>
                <w:szCs w:val="22"/>
              </w:rPr>
              <w:t xml:space="preserve">The change was made to the proposed rule as suggested.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797A80" w:rsidP="00A62014">
            <w:pPr>
              <w:ind w:right="-108"/>
              <w:rPr>
                <w:bCs/>
                <w:sz w:val="22"/>
                <w:szCs w:val="22"/>
              </w:rPr>
            </w:pPr>
            <w:r>
              <w:rPr>
                <w:sz w:val="22"/>
                <w:szCs w:val="22"/>
              </w:rPr>
              <w:t>OAR 340-</w:t>
            </w:r>
            <w:r w:rsidR="00A62014" w:rsidRPr="00943C75">
              <w:rPr>
                <w:sz w:val="22"/>
                <w:szCs w:val="22"/>
              </w:rPr>
              <w:t>224-0070(5)</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44018D" w:rsidRDefault="00A62014" w:rsidP="00076541">
            <w:pPr>
              <w:autoSpaceDE w:val="0"/>
              <w:autoSpaceDN w:val="0"/>
              <w:adjustRightInd w:val="0"/>
              <w:spacing w:after="120"/>
              <w:rPr>
                <w:sz w:val="22"/>
                <w:szCs w:val="22"/>
              </w:rPr>
            </w:pPr>
            <w:r w:rsidRPr="0044018D">
              <w:rPr>
                <w:sz w:val="22"/>
                <w:szCs w:val="22"/>
              </w:rPr>
              <w:t>It is not clear why this new provision for sources impacting PM</w:t>
            </w:r>
            <w:r w:rsidRPr="0044018D">
              <w:rPr>
                <w:sz w:val="22"/>
                <w:szCs w:val="22"/>
                <w:vertAlign w:val="subscript"/>
              </w:rPr>
              <w:t>2.5</w:t>
            </w:r>
            <w:r w:rsidRPr="0044018D">
              <w:rPr>
                <w:sz w:val="22"/>
                <w:szCs w:val="22"/>
              </w:rPr>
              <w:t xml:space="preserve"> nonattainment areas is necessary. It appears to duplicate the requirement of 340-224-0070(2)(b). Since 340-224-0050(2) refers to 340-225-0090 both 0070(2)(b) and this new 0070(5) appe</w:t>
            </w:r>
            <w:r>
              <w:rPr>
                <w:sz w:val="22"/>
                <w:szCs w:val="22"/>
              </w:rPr>
              <w:t>ar to require the same thing</w:t>
            </w:r>
            <w:r w:rsidRPr="00291E33">
              <w:rPr>
                <w:sz w:val="22"/>
                <w:szCs w:val="22"/>
              </w:rPr>
              <w:t>. (7)</w:t>
            </w:r>
          </w:p>
          <w:p w:rsidR="00A62014" w:rsidRDefault="00A62014" w:rsidP="00076541">
            <w:pPr>
              <w:autoSpaceDE w:val="0"/>
              <w:autoSpaceDN w:val="0"/>
              <w:adjustRightInd w:val="0"/>
              <w:spacing w:after="120"/>
              <w:ind w:right="487"/>
              <w:rPr>
                <w:i/>
                <w:sz w:val="22"/>
                <w:szCs w:val="22"/>
              </w:rPr>
            </w:pPr>
            <w:r w:rsidRPr="0044018D">
              <w:rPr>
                <w:i/>
                <w:sz w:val="22"/>
                <w:szCs w:val="22"/>
              </w:rPr>
              <w:t>Response:</w:t>
            </w:r>
          </w:p>
          <w:p w:rsidR="00012675" w:rsidRDefault="00797A80">
            <w:pPr>
              <w:autoSpaceDE w:val="0"/>
              <w:autoSpaceDN w:val="0"/>
              <w:adjustRightInd w:val="0"/>
              <w:spacing w:after="120"/>
              <w:ind w:right="487"/>
              <w:rPr>
                <w:sz w:val="22"/>
                <w:szCs w:val="22"/>
              </w:rPr>
            </w:pPr>
            <w:r>
              <w:rPr>
                <w:i/>
                <w:sz w:val="22"/>
                <w:szCs w:val="22"/>
              </w:rPr>
              <w:t xml:space="preserve">OAR 340-224-0070(5) </w:t>
            </w:r>
            <w:r w:rsidR="00BB73FD">
              <w:rPr>
                <w:i/>
                <w:sz w:val="22"/>
                <w:szCs w:val="22"/>
              </w:rPr>
              <w:t>was</w:t>
            </w:r>
            <w:r>
              <w:rPr>
                <w:i/>
                <w:sz w:val="22"/>
                <w:szCs w:val="22"/>
              </w:rPr>
              <w:t xml:space="preserve"> deleted from the </w:t>
            </w:r>
            <w:r w:rsidR="00BB73FD">
              <w:rPr>
                <w:i/>
                <w:sz w:val="22"/>
                <w:szCs w:val="22"/>
              </w:rPr>
              <w:t xml:space="preserve">proposed </w:t>
            </w:r>
            <w:r>
              <w:rPr>
                <w:i/>
                <w:sz w:val="22"/>
                <w:szCs w:val="22"/>
              </w:rPr>
              <w:t>rule</w:t>
            </w:r>
            <w:r w:rsidR="00255965">
              <w:rPr>
                <w:i/>
                <w:sz w:val="22"/>
                <w:szCs w:val="22"/>
              </w:rPr>
              <w:t xml:space="preserve"> </w:t>
            </w:r>
            <w:r w:rsidR="00576663">
              <w:rPr>
                <w:i/>
                <w:sz w:val="22"/>
                <w:szCs w:val="22"/>
              </w:rPr>
              <w:t xml:space="preserve">as </w:t>
            </w:r>
            <w:r w:rsidR="00255965">
              <w:rPr>
                <w:i/>
                <w:sz w:val="22"/>
                <w:szCs w:val="22"/>
              </w:rPr>
              <w:t>suggested</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065341">
            <w:pPr>
              <w:rPr>
                <w:sz w:val="22"/>
                <w:szCs w:val="22"/>
                <w:vertAlign w:val="subscript"/>
              </w:rPr>
            </w:pPr>
            <w:r w:rsidRPr="00943C75">
              <w:rPr>
                <w:sz w:val="22"/>
                <w:szCs w:val="22"/>
              </w:rPr>
              <w:t>PM</w:t>
            </w:r>
            <w:r w:rsidRPr="00943C75">
              <w:rPr>
                <w:sz w:val="22"/>
                <w:szCs w:val="22"/>
                <w:vertAlign w:val="subscript"/>
              </w:rPr>
              <w:t xml:space="preserve">2.5 </w:t>
            </w:r>
            <w:r w:rsidRPr="00943C75">
              <w:rPr>
                <w:sz w:val="22"/>
                <w:szCs w:val="22"/>
              </w:rPr>
              <w:t>Precursor Air Quality Analysis</w:t>
            </w:r>
          </w:p>
          <w:p w:rsidR="00A62014" w:rsidRPr="00943C75" w:rsidRDefault="00A62014" w:rsidP="00065341">
            <w:pPr>
              <w:spacing w:after="120"/>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A543A" w:rsidRDefault="00A62014" w:rsidP="006F3C7D">
            <w:pPr>
              <w:spacing w:after="120"/>
              <w:rPr>
                <w:sz w:val="22"/>
                <w:szCs w:val="22"/>
              </w:rPr>
            </w:pPr>
            <w:r w:rsidRPr="009A543A">
              <w:rPr>
                <w:sz w:val="22"/>
                <w:szCs w:val="22"/>
              </w:rPr>
              <w:t>In OAR 340-224-0070(2)(a), DEQ proposes to require that where a federal major source or a major modification at a federal major source results in an increase of PM</w:t>
            </w:r>
            <w:r w:rsidRPr="009A543A">
              <w:rPr>
                <w:sz w:val="22"/>
                <w:szCs w:val="22"/>
                <w:vertAlign w:val="subscript"/>
              </w:rPr>
              <w:t>2.5</w:t>
            </w:r>
            <w:r w:rsidRPr="009A543A">
              <w:rPr>
                <w:sz w:val="22"/>
                <w:szCs w:val="22"/>
              </w:rPr>
              <w:t xml:space="preserve"> precursors of an SER or more, the source must provide an analysis of PM</w:t>
            </w:r>
            <w:r w:rsidRPr="009A543A">
              <w:rPr>
                <w:sz w:val="22"/>
                <w:szCs w:val="22"/>
                <w:vertAlign w:val="subscript"/>
              </w:rPr>
              <w:t>2.5</w:t>
            </w:r>
            <w:r w:rsidRPr="009A543A">
              <w:rPr>
                <w:sz w:val="22"/>
                <w:szCs w:val="22"/>
              </w:rPr>
              <w:t xml:space="preserve"> impacts</w:t>
            </w:r>
            <w:r>
              <w:rPr>
                <w:sz w:val="22"/>
                <w:szCs w:val="22"/>
              </w:rPr>
              <w:t xml:space="preserve">. </w:t>
            </w:r>
            <w:r w:rsidRPr="009A543A">
              <w:rPr>
                <w:sz w:val="22"/>
                <w:szCs w:val="22"/>
              </w:rPr>
              <w:t>However, there is no basis for an individual source to model indirect PM</w:t>
            </w:r>
            <w:r w:rsidRPr="009A543A">
              <w:rPr>
                <w:sz w:val="22"/>
                <w:szCs w:val="22"/>
                <w:vertAlign w:val="subscript"/>
              </w:rPr>
              <w:t>2.5</w:t>
            </w:r>
            <w:r w:rsidRPr="009A543A">
              <w:rPr>
                <w:sz w:val="22"/>
                <w:szCs w:val="22"/>
              </w:rPr>
              <w:t xml:space="preserve"> emissions</w:t>
            </w:r>
            <w:r>
              <w:rPr>
                <w:sz w:val="22"/>
                <w:szCs w:val="22"/>
              </w:rPr>
              <w:t xml:space="preserve">. </w:t>
            </w:r>
            <w:r w:rsidRPr="009A543A">
              <w:rPr>
                <w:sz w:val="22"/>
                <w:szCs w:val="22"/>
              </w:rPr>
              <w:t xml:space="preserve">Therefore, the rule should be revised to state that the source must provide an analysis of </w:t>
            </w:r>
            <w:r w:rsidRPr="009A543A">
              <w:rPr>
                <w:sz w:val="22"/>
                <w:szCs w:val="22"/>
              </w:rPr>
              <w:softHyphen/>
              <w:t>direct</w:t>
            </w:r>
            <w:r w:rsidRPr="009A543A">
              <w:rPr>
                <w:sz w:val="22"/>
                <w:szCs w:val="22"/>
              </w:rPr>
              <w:softHyphen/>
              <w:t xml:space="preserve"> PM</w:t>
            </w:r>
            <w:r w:rsidRPr="009A543A">
              <w:rPr>
                <w:sz w:val="22"/>
                <w:szCs w:val="22"/>
                <w:vertAlign w:val="subscript"/>
              </w:rPr>
              <w:t>2.5</w:t>
            </w:r>
            <w:r w:rsidRPr="009A543A">
              <w:rPr>
                <w:sz w:val="22"/>
                <w:szCs w:val="22"/>
              </w:rPr>
              <w:t xml:space="preserve"> air quality impacts. (1, 2, 4, 11, 13, 14, 17)</w:t>
            </w:r>
          </w:p>
          <w:p w:rsidR="00A62014" w:rsidRPr="009A543A" w:rsidRDefault="00A62014" w:rsidP="006F3C7D">
            <w:pPr>
              <w:spacing w:after="120"/>
              <w:ind w:right="-180"/>
              <w:rPr>
                <w:i/>
                <w:sz w:val="22"/>
                <w:szCs w:val="22"/>
              </w:rPr>
            </w:pPr>
            <w:r w:rsidRPr="009A543A">
              <w:rPr>
                <w:i/>
                <w:sz w:val="22"/>
                <w:szCs w:val="22"/>
              </w:rPr>
              <w:t>Response:</w:t>
            </w:r>
          </w:p>
          <w:p w:rsidR="00A62014" w:rsidRPr="009A543A" w:rsidRDefault="00A62014" w:rsidP="006F3C7D">
            <w:pPr>
              <w:autoSpaceDE w:val="0"/>
              <w:autoSpaceDN w:val="0"/>
              <w:adjustRightInd w:val="0"/>
              <w:spacing w:after="120"/>
              <w:rPr>
                <w:i/>
                <w:sz w:val="22"/>
                <w:szCs w:val="22"/>
              </w:rPr>
            </w:pPr>
            <w:r w:rsidRPr="009A543A">
              <w:rPr>
                <w:i/>
                <w:sz w:val="22"/>
                <w:szCs w:val="22"/>
              </w:rPr>
              <w:t xml:space="preserve">As EPA stated in the preamble to the final rule </w:t>
            </w:r>
            <w:r w:rsidRPr="009A543A">
              <w:rPr>
                <w:b/>
                <w:bCs/>
                <w:i/>
                <w:sz w:val="22"/>
                <w:szCs w:val="22"/>
              </w:rPr>
              <w:t>Prevention of Significant Deterioration (PSD) for Particulate Matter Less Than 2.5 Micrometers (PM2.5) – Increments, Significant Impact  Levels (SILs) and Significant Monitoring Concentration (SMC):</w:t>
            </w:r>
          </w:p>
          <w:p w:rsidR="00A62014" w:rsidRPr="009A543A" w:rsidRDefault="00A62014" w:rsidP="006F3C7D">
            <w:pPr>
              <w:autoSpaceDE w:val="0"/>
              <w:autoSpaceDN w:val="0"/>
              <w:adjustRightInd w:val="0"/>
              <w:spacing w:after="120"/>
              <w:ind w:left="720"/>
              <w:rPr>
                <w:i/>
                <w:sz w:val="22"/>
                <w:szCs w:val="22"/>
              </w:rPr>
            </w:pPr>
            <w:r w:rsidRPr="009A543A">
              <w:rPr>
                <w:i/>
                <w:sz w:val="22"/>
                <w:szCs w:val="22"/>
              </w:rPr>
              <w:t>“The impacts of PM2.5 precursors on ambient concentrations of PM2.5 cannot be determined from the dispersion models that EPA has currently approved for modeling individual PSD sources. Such models are not designed to consider chemical transformations that occur in the atmosphere after the precursor emissions have been released from the source. Consideration of these transformations is necessary to be able to add precursor impacts into the total modeled ambient PM2.5 concentrations for comparison to the SILs for PM2.5.</w:t>
            </w:r>
          </w:p>
          <w:p w:rsidR="00A62014" w:rsidRPr="009A543A" w:rsidRDefault="00A62014" w:rsidP="006F3C7D">
            <w:pPr>
              <w:autoSpaceDE w:val="0"/>
              <w:autoSpaceDN w:val="0"/>
              <w:adjustRightInd w:val="0"/>
              <w:spacing w:after="120"/>
              <w:ind w:left="720"/>
              <w:rPr>
                <w:i/>
                <w:sz w:val="22"/>
                <w:szCs w:val="22"/>
              </w:rPr>
            </w:pPr>
            <w:r w:rsidRPr="001B102D">
              <w:rPr>
                <w:i/>
                <w:sz w:val="22"/>
                <w:szCs w:val="22"/>
              </w:rPr>
              <w:t xml:space="preserve">The technical tools needed to complete a comprehensive analysis of all emissions that contribute to ambient concentrations of PM2.5 are only in the developmental stage; nevertheless, we believe that it would be inappropriate to restrict the regulatory language in such a way that future regulatory amendments would be required to enable the inclusion of precursor impacts in the PM2.5 analysis as the necessary technical tools become available. Estimating techniques are being developed that will be able to be applied to the PM2.5 analysis in the near future, which could not be required if the regulatory language precluded them. We acknowledge the concerns that have been expressed by some commenters about the shortcomings of not considering the impacts of PM2.5 precursors under the PM2.5 air quality analyses. Accordingly, we believe that the new provision for applying the SILs for PM2.5 to the required analyses for the NAAQS and increments should not be self-limiting by specifying the use of only direct PM2.5 emissions. Instead, the new provision contained in this final rule provides that the test will be based on whether “the emissions increase … would cause … air quality impacts less than [the PM2.5 SILs].” See new 40 CFR 51.166(k)(2) and 52.21(k)(2). We believe that it would be more effective to rely on interim policy and guidance as appropriate to </w:t>
            </w:r>
            <w:r w:rsidRPr="001B102D">
              <w:rPr>
                <w:i/>
                <w:sz w:val="22"/>
                <w:szCs w:val="22"/>
              </w:rPr>
              <w:lastRenderedPageBreak/>
              <w:t>help determine the best methods available to make the required assessment of source impacts on ambient PM2.5 resulting from any emissions.”</w:t>
            </w:r>
          </w:p>
          <w:p w:rsidR="00A62014" w:rsidRPr="009A543A" w:rsidRDefault="00A21C65" w:rsidP="006F3C7D">
            <w:pPr>
              <w:autoSpaceDE w:val="0"/>
              <w:autoSpaceDN w:val="0"/>
              <w:adjustRightInd w:val="0"/>
              <w:spacing w:after="120"/>
              <w:rPr>
                <w:i/>
                <w:sz w:val="22"/>
                <w:szCs w:val="22"/>
              </w:rPr>
            </w:pPr>
            <w:r>
              <w:rPr>
                <w:i/>
                <w:sz w:val="22"/>
                <w:szCs w:val="22"/>
              </w:rPr>
              <w:t>No change to the rule is proposed in response to this comment.</w:t>
            </w:r>
            <w:r w:rsidR="00A62014">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sz w:val="22"/>
                <w:szCs w:val="22"/>
              </w:rPr>
            </w:pPr>
          </w:p>
          <w:p w:rsidR="00A62014" w:rsidRPr="0007371B" w:rsidRDefault="00110C44" w:rsidP="00A62014">
            <w:pPr>
              <w:ind w:right="-115"/>
              <w:rPr>
                <w:sz w:val="22"/>
                <w:szCs w:val="22"/>
              </w:rPr>
            </w:pPr>
            <w:r w:rsidRPr="0007371B">
              <w:rPr>
                <w:sz w:val="22"/>
                <w:szCs w:val="22"/>
              </w:rPr>
              <w:t>Baseline concentration definition</w:t>
            </w:r>
          </w:p>
          <w:p w:rsidR="00CF7800" w:rsidRPr="0007371B" w:rsidRDefault="00CF7800" w:rsidP="00A62014">
            <w:pPr>
              <w:ind w:right="-115"/>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F216E" w:rsidRDefault="00A62014" w:rsidP="00696179">
            <w:pPr>
              <w:autoSpaceDE w:val="0"/>
              <w:autoSpaceDN w:val="0"/>
              <w:adjustRightInd w:val="0"/>
              <w:spacing w:after="120"/>
              <w:rPr>
                <w:sz w:val="22"/>
                <w:szCs w:val="22"/>
              </w:rPr>
            </w:pPr>
            <w:r w:rsidRPr="009F216E">
              <w:rPr>
                <w:sz w:val="22"/>
                <w:szCs w:val="22"/>
              </w:rPr>
              <w:t xml:space="preserve">The clarification to the definition of "baseline concentration" is consistent with EPA's definition and the definition in section 169 of the Act. When submitting this regulation as a SIP revision, </w:t>
            </w:r>
            <w:r w:rsidRPr="001627C9">
              <w:rPr>
                <w:i/>
                <w:sz w:val="22"/>
                <w:szCs w:val="22"/>
              </w:rPr>
              <w:t>Oregon</w:t>
            </w:r>
            <w:r w:rsidRPr="009F216E">
              <w:rPr>
                <w:sz w:val="22"/>
                <w:szCs w:val="22"/>
              </w:rPr>
              <w:t xml:space="preserve"> must demonstrate that the regulation is consistent with previous interpretations so it cannot be construed to be a relaxation. The old language could be interpreted to mean that all emission increases from new sources and modifications occurring after January 6, 1975 but before January 1, 1978 consume increment, while the new language could be interpreted to mean that only emission increases from major new sources and major modifications consume increment. (7)</w:t>
            </w:r>
          </w:p>
          <w:p w:rsidR="00A62014" w:rsidRPr="009F216E" w:rsidRDefault="00A62014" w:rsidP="00696179">
            <w:pPr>
              <w:autoSpaceDE w:val="0"/>
              <w:autoSpaceDN w:val="0"/>
              <w:adjustRightInd w:val="0"/>
              <w:spacing w:after="120"/>
              <w:rPr>
                <w:i/>
                <w:sz w:val="22"/>
                <w:szCs w:val="22"/>
              </w:rPr>
            </w:pPr>
            <w:r w:rsidRPr="009F216E">
              <w:rPr>
                <w:i/>
                <w:sz w:val="22"/>
                <w:szCs w:val="22"/>
              </w:rPr>
              <w:t>Response:</w:t>
            </w:r>
          </w:p>
          <w:p w:rsidR="009F216E" w:rsidRDefault="009F216E" w:rsidP="00696179">
            <w:pPr>
              <w:autoSpaceDE w:val="0"/>
              <w:autoSpaceDN w:val="0"/>
              <w:adjustRightInd w:val="0"/>
              <w:spacing w:after="120"/>
              <w:rPr>
                <w:i/>
                <w:sz w:val="22"/>
                <w:szCs w:val="22"/>
              </w:rPr>
            </w:pPr>
            <w:r w:rsidRPr="009F216E">
              <w:rPr>
                <w:i/>
                <w:sz w:val="22"/>
                <w:szCs w:val="22"/>
              </w:rPr>
              <w:t xml:space="preserve">The proposed rule language </w:t>
            </w:r>
            <w:r w:rsidR="00D55F8C">
              <w:rPr>
                <w:i/>
                <w:sz w:val="22"/>
                <w:szCs w:val="22"/>
              </w:rPr>
              <w:t xml:space="preserve">for the definition of “baseline concentration” </w:t>
            </w:r>
            <w:r w:rsidRPr="009F216E">
              <w:rPr>
                <w:i/>
                <w:sz w:val="22"/>
                <w:szCs w:val="22"/>
              </w:rPr>
              <w:t xml:space="preserve">states:  “Actual emission increases or decreases occurring before January 1, 1978 must be included in the baseline calculation, except that actual emission increases from any </w:t>
            </w:r>
            <w:r w:rsidR="00237A7B" w:rsidRPr="001627C9">
              <w:rPr>
                <w:i/>
                <w:color w:val="FF0000"/>
                <w:sz w:val="22"/>
                <w:szCs w:val="22"/>
                <w:u w:val="single"/>
              </w:rPr>
              <w:t>major</w:t>
            </w:r>
            <w:r w:rsidR="00237A7B" w:rsidRPr="009F216E">
              <w:rPr>
                <w:i/>
                <w:sz w:val="22"/>
                <w:szCs w:val="22"/>
              </w:rPr>
              <w:t xml:space="preserve"> </w:t>
            </w:r>
            <w:r w:rsidRPr="009F216E">
              <w:rPr>
                <w:i/>
                <w:sz w:val="22"/>
                <w:szCs w:val="22"/>
              </w:rPr>
              <w:t xml:space="preserve">source or </w:t>
            </w:r>
            <w:r w:rsidR="00237A7B" w:rsidRPr="001627C9">
              <w:rPr>
                <w:i/>
                <w:color w:val="FF0000"/>
                <w:sz w:val="22"/>
                <w:szCs w:val="22"/>
                <w:u w:val="single"/>
              </w:rPr>
              <w:t>major</w:t>
            </w:r>
            <w:r w:rsidR="00237A7B" w:rsidRPr="009F216E">
              <w:rPr>
                <w:i/>
                <w:sz w:val="22"/>
                <w:szCs w:val="22"/>
              </w:rPr>
              <w:t xml:space="preserve"> </w:t>
            </w:r>
            <w:r w:rsidRPr="009F216E">
              <w:rPr>
                <w:i/>
                <w:sz w:val="22"/>
                <w:szCs w:val="22"/>
              </w:rPr>
              <w:t>modification on which construction commenced after January 6, 1975 must not be include</w:t>
            </w:r>
            <w:r w:rsidR="00D55F8C">
              <w:rPr>
                <w:i/>
                <w:sz w:val="22"/>
                <w:szCs w:val="22"/>
              </w:rPr>
              <w:t>d in the baseline calculation;”</w:t>
            </w:r>
          </w:p>
          <w:p w:rsidR="00012675" w:rsidRDefault="00D55F8C">
            <w:pPr>
              <w:autoSpaceDE w:val="0"/>
              <w:autoSpaceDN w:val="0"/>
              <w:adjustRightInd w:val="0"/>
              <w:spacing w:after="120"/>
              <w:rPr>
                <w:i/>
                <w:sz w:val="22"/>
                <w:szCs w:val="22"/>
              </w:rPr>
            </w:pPr>
            <w:r>
              <w:rPr>
                <w:i/>
                <w:sz w:val="22"/>
                <w:szCs w:val="22"/>
              </w:rPr>
              <w:t>The word “major” was added to this definition in division 225 to make it consistent with the definition in division 202</w:t>
            </w:r>
            <w:r w:rsidR="008D538C">
              <w:rPr>
                <w:i/>
                <w:sz w:val="22"/>
                <w:szCs w:val="22"/>
              </w:rPr>
              <w:t xml:space="preserve">. </w:t>
            </w:r>
            <w:r>
              <w:rPr>
                <w:i/>
                <w:sz w:val="22"/>
                <w:szCs w:val="22"/>
              </w:rPr>
              <w:t xml:space="preserve">Upon further </w:t>
            </w:r>
            <w:r w:rsidR="008C0EB0">
              <w:rPr>
                <w:i/>
                <w:sz w:val="22"/>
                <w:szCs w:val="22"/>
              </w:rPr>
              <w:t>consideration</w:t>
            </w:r>
            <w:r>
              <w:rPr>
                <w:i/>
                <w:sz w:val="22"/>
                <w:szCs w:val="22"/>
              </w:rPr>
              <w:t>,</w:t>
            </w:r>
            <w:r w:rsidR="008C0EB0">
              <w:rPr>
                <w:i/>
                <w:sz w:val="22"/>
                <w:szCs w:val="22"/>
              </w:rPr>
              <w:t xml:space="preserve"> DEQ has concluded that</w:t>
            </w:r>
            <w:r>
              <w:rPr>
                <w:i/>
                <w:sz w:val="22"/>
                <w:szCs w:val="22"/>
              </w:rPr>
              <w:t xml:space="preserve"> “major” should not be added to source and modification in the definition of baseline concentration</w:t>
            </w:r>
            <w:r w:rsidR="008D538C">
              <w:rPr>
                <w:i/>
                <w:sz w:val="22"/>
                <w:szCs w:val="22"/>
              </w:rPr>
              <w:t xml:space="preserve">. </w:t>
            </w:r>
            <w:r>
              <w:rPr>
                <w:i/>
                <w:sz w:val="22"/>
                <w:szCs w:val="22"/>
              </w:rPr>
              <w:t xml:space="preserve">When an air quality impact analysis is required under </w:t>
            </w:r>
            <w:r w:rsidR="00696179">
              <w:rPr>
                <w:i/>
                <w:sz w:val="22"/>
                <w:szCs w:val="22"/>
              </w:rPr>
              <w:t xml:space="preserve">division 225, all </w:t>
            </w:r>
            <w:r w:rsidR="00110C44">
              <w:rPr>
                <w:i/>
                <w:sz w:val="22"/>
                <w:szCs w:val="22"/>
              </w:rPr>
              <w:t xml:space="preserve">permitted </w:t>
            </w:r>
            <w:r w:rsidR="00696179">
              <w:rPr>
                <w:i/>
                <w:sz w:val="22"/>
                <w:szCs w:val="22"/>
              </w:rPr>
              <w:t xml:space="preserve">sources, not just “major” sources, are included in the </w:t>
            </w:r>
            <w:r w:rsidR="00110C44">
              <w:rPr>
                <w:i/>
                <w:sz w:val="22"/>
                <w:szCs w:val="22"/>
              </w:rPr>
              <w:t xml:space="preserve">modeling </w:t>
            </w:r>
            <w:r w:rsidR="00696179">
              <w:rPr>
                <w:i/>
                <w:sz w:val="22"/>
                <w:szCs w:val="22"/>
              </w:rPr>
              <w:t>analysis</w:t>
            </w:r>
            <w:r w:rsidR="00110C44">
              <w:rPr>
                <w:i/>
                <w:sz w:val="22"/>
                <w:szCs w:val="22"/>
              </w:rPr>
              <w:t>, not in the baseline calculation (or background concentration)</w:t>
            </w:r>
            <w:r w:rsidR="008D538C">
              <w:rPr>
                <w:i/>
                <w:sz w:val="22"/>
                <w:szCs w:val="22"/>
              </w:rPr>
              <w:t xml:space="preserve">. </w:t>
            </w:r>
            <w:r w:rsidR="00110C44" w:rsidRPr="001627C9">
              <w:rPr>
                <w:i/>
                <w:sz w:val="22"/>
                <w:szCs w:val="22"/>
              </w:rPr>
              <w:t xml:space="preserve">DEQ will change the </w:t>
            </w:r>
            <w:r w:rsidR="008C0EB0" w:rsidRPr="001627C9">
              <w:rPr>
                <w:i/>
                <w:sz w:val="22"/>
                <w:szCs w:val="22"/>
              </w:rPr>
              <w:t xml:space="preserve">proposed </w:t>
            </w:r>
            <w:r w:rsidR="00110C44" w:rsidRPr="001627C9">
              <w:rPr>
                <w:i/>
                <w:sz w:val="22"/>
                <w:szCs w:val="22"/>
              </w:rPr>
              <w:t>definition of baseline concentration in division 202 to be consistent with the definition in division 225</w:t>
            </w:r>
            <w:r w:rsidR="008D538C" w:rsidRPr="001627C9">
              <w:rPr>
                <w:i/>
                <w:sz w:val="22"/>
                <w:szCs w:val="22"/>
              </w:rPr>
              <w:t>.</w:t>
            </w:r>
            <w:r w:rsidR="008D538C">
              <w:rPr>
                <w:i/>
                <w:sz w:val="22"/>
                <w:szCs w:val="22"/>
              </w:rPr>
              <w:t xml:space="preserve"> </w:t>
            </w:r>
          </w:p>
        </w:tc>
      </w:tr>
      <w:tr w:rsidR="00A62014" w:rsidRPr="002D0FE2"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AQRV Analysis Guidance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7A75AB">
            <w:pPr>
              <w:spacing w:after="120"/>
              <w:rPr>
                <w:sz w:val="22"/>
                <w:szCs w:val="22"/>
              </w:rPr>
            </w:pPr>
            <w:r w:rsidRPr="002D0FE2">
              <w:rPr>
                <w:sz w:val="22"/>
                <w:szCs w:val="22"/>
              </w:rPr>
              <w:t>A key impact of the regulation of PM</w:t>
            </w:r>
            <w:r w:rsidRPr="002D0FE2">
              <w:rPr>
                <w:sz w:val="22"/>
                <w:szCs w:val="22"/>
                <w:vertAlign w:val="subscript"/>
              </w:rPr>
              <w:t>2.5</w:t>
            </w:r>
            <w:r w:rsidRPr="002D0FE2">
              <w:rPr>
                <w:sz w:val="22"/>
                <w:szCs w:val="22"/>
              </w:rPr>
              <w:t xml:space="preserve"> will be the increased need to evaluate AQRVs</w:t>
            </w:r>
            <w:r>
              <w:rPr>
                <w:sz w:val="22"/>
                <w:szCs w:val="22"/>
              </w:rPr>
              <w:t xml:space="preserve">. </w:t>
            </w:r>
            <w:r w:rsidRPr="002D0FE2">
              <w:rPr>
                <w:sz w:val="22"/>
                <w:szCs w:val="22"/>
              </w:rPr>
              <w:t>Therefore, as part of this GHG/PM</w:t>
            </w:r>
            <w:r w:rsidRPr="002D0FE2">
              <w:rPr>
                <w:sz w:val="22"/>
                <w:szCs w:val="22"/>
                <w:vertAlign w:val="subscript"/>
              </w:rPr>
              <w:t>2.5</w:t>
            </w:r>
            <w:r w:rsidRPr="002D0FE2">
              <w:rPr>
                <w:sz w:val="22"/>
                <w:szCs w:val="22"/>
              </w:rPr>
              <w:t xml:space="preserve"> rulemaking, we encourage the Department to update the date reference for the definition of “FLAG” in OAR 340-225-0020(6) to reference the new version published in the October 27, 2010 Federal Register. 75 Fed. Reg. 66125 (Oct. 27, 2010). </w:t>
            </w:r>
            <w:r w:rsidRPr="00A978F0">
              <w:rPr>
                <w:sz w:val="22"/>
                <w:szCs w:val="22"/>
              </w:rPr>
              <w:t>(1, 2, 4, 11, 13, 14, 17)</w:t>
            </w:r>
          </w:p>
          <w:p w:rsidR="00A62014" w:rsidRPr="002D0FE2" w:rsidRDefault="00A62014" w:rsidP="007A75AB">
            <w:pPr>
              <w:spacing w:after="120"/>
              <w:ind w:right="-187"/>
              <w:rPr>
                <w:i/>
                <w:sz w:val="22"/>
                <w:szCs w:val="22"/>
              </w:rPr>
            </w:pPr>
            <w:r w:rsidRPr="002D0FE2">
              <w:rPr>
                <w:i/>
                <w:sz w:val="22"/>
                <w:szCs w:val="22"/>
              </w:rPr>
              <w:t>Response:</w:t>
            </w:r>
          </w:p>
          <w:p w:rsidR="00A62014" w:rsidRPr="002D0FE2" w:rsidRDefault="00A21C65" w:rsidP="007A75AB">
            <w:pPr>
              <w:spacing w:after="120"/>
              <w:ind w:right="-187"/>
              <w:rPr>
                <w:i/>
                <w:sz w:val="22"/>
                <w:szCs w:val="22"/>
              </w:rPr>
            </w:pPr>
            <w:r>
              <w:rPr>
                <w:i/>
                <w:sz w:val="22"/>
                <w:szCs w:val="22"/>
              </w:rPr>
              <w:t>The change was made to the proposed rule as suggested.</w:t>
            </w:r>
            <w:r w:rsidR="00A62014">
              <w:rPr>
                <w:i/>
                <w:sz w:val="22"/>
                <w:szCs w:val="22"/>
              </w:rPr>
              <w:t xml:space="preserve"> </w:t>
            </w:r>
          </w:p>
        </w:tc>
      </w:tr>
      <w:tr w:rsidR="00A62014"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A62014">
            <w:pPr>
              <w:rPr>
                <w:sz w:val="22"/>
                <w:szCs w:val="22"/>
              </w:rPr>
            </w:pPr>
            <w:r w:rsidRPr="00943C75">
              <w:rPr>
                <w:sz w:val="22"/>
                <w:szCs w:val="22"/>
              </w:rPr>
              <w:t>PM</w:t>
            </w:r>
            <w:r w:rsidRPr="00943C75">
              <w:rPr>
                <w:sz w:val="22"/>
                <w:szCs w:val="22"/>
                <w:vertAlign w:val="subscript"/>
              </w:rPr>
              <w:t>2.5</w:t>
            </w:r>
            <w:r w:rsidRPr="00943C75">
              <w:rPr>
                <w:sz w:val="22"/>
                <w:szCs w:val="22"/>
              </w:rPr>
              <w:t xml:space="preserve"> precursor offsetting</w:t>
            </w:r>
          </w:p>
          <w:p w:rsidR="00A62014" w:rsidRPr="00943C75" w:rsidRDefault="00A62014" w:rsidP="00A62014">
            <w:pPr>
              <w:ind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28773B">
            <w:pPr>
              <w:spacing w:after="120"/>
              <w:rPr>
                <w:sz w:val="22"/>
                <w:szCs w:val="22"/>
              </w:rPr>
            </w:pPr>
            <w:r w:rsidRPr="002D0FE2">
              <w:rPr>
                <w:sz w:val="22"/>
                <w:szCs w:val="22"/>
              </w:rPr>
              <w:t>We urge the Department to clarify what is required under its rules in terms of PM</w:t>
            </w:r>
            <w:r w:rsidRPr="002D0FE2">
              <w:rPr>
                <w:sz w:val="22"/>
                <w:szCs w:val="22"/>
                <w:vertAlign w:val="subscript"/>
              </w:rPr>
              <w:t>2.5</w:t>
            </w:r>
            <w:r>
              <w:rPr>
                <w:sz w:val="22"/>
                <w:szCs w:val="22"/>
              </w:rPr>
              <w:t xml:space="preserve"> precursor offsetting. I</w:t>
            </w:r>
            <w:r w:rsidRPr="002D0FE2">
              <w:rPr>
                <w:sz w:val="22"/>
                <w:szCs w:val="22"/>
              </w:rPr>
              <w:t>t very difficult to understand what is required in terms of precursor offsetting and what is allowed/required in the event of inter-pollutant trading</w:t>
            </w:r>
            <w:r>
              <w:rPr>
                <w:sz w:val="22"/>
                <w:szCs w:val="22"/>
              </w:rPr>
              <w:t xml:space="preserve">. </w:t>
            </w:r>
            <w:r w:rsidRPr="00181560">
              <w:rPr>
                <w:sz w:val="22"/>
                <w:szCs w:val="22"/>
              </w:rPr>
              <w:t>(1, 2, 4, 11, 13, 14, 15, 17)</w:t>
            </w:r>
          </w:p>
          <w:p w:rsidR="00A62014" w:rsidRDefault="00A62014" w:rsidP="0028773B">
            <w:pPr>
              <w:autoSpaceDE w:val="0"/>
              <w:autoSpaceDN w:val="0"/>
              <w:adjustRightInd w:val="0"/>
              <w:spacing w:after="120"/>
              <w:rPr>
                <w:i/>
                <w:sz w:val="22"/>
                <w:szCs w:val="22"/>
              </w:rPr>
            </w:pPr>
            <w:r w:rsidRPr="002D0FE2">
              <w:rPr>
                <w:i/>
                <w:sz w:val="22"/>
                <w:szCs w:val="22"/>
              </w:rPr>
              <w:t>Response:</w:t>
            </w:r>
          </w:p>
          <w:p w:rsidR="0022572B" w:rsidRPr="0028773B" w:rsidRDefault="00A62014" w:rsidP="0028773B">
            <w:pPr>
              <w:autoSpaceDE w:val="0"/>
              <w:autoSpaceDN w:val="0"/>
              <w:adjustRightInd w:val="0"/>
              <w:spacing w:after="120"/>
            </w:pPr>
            <w:r w:rsidRPr="0028773B">
              <w:rPr>
                <w:i/>
                <w:sz w:val="22"/>
                <w:szCs w:val="22"/>
              </w:rPr>
              <w:t xml:space="preserve">The </w:t>
            </w:r>
            <w:r w:rsidR="008C0EB0" w:rsidRPr="0028773B">
              <w:rPr>
                <w:i/>
                <w:sz w:val="22"/>
                <w:szCs w:val="22"/>
              </w:rPr>
              <w:t xml:space="preserve">proposed </w:t>
            </w:r>
            <w:r w:rsidR="00797A80" w:rsidRPr="0028773B">
              <w:rPr>
                <w:i/>
                <w:sz w:val="22"/>
                <w:szCs w:val="22"/>
              </w:rPr>
              <w:t>rule has been clarified as suggested</w:t>
            </w:r>
            <w:r w:rsidR="008D538C">
              <w:rPr>
                <w:i/>
                <w:sz w:val="22"/>
                <w:szCs w:val="22"/>
              </w:rPr>
              <w:t xml:space="preserve">. </w:t>
            </w:r>
            <w:r w:rsidR="0028773B" w:rsidRPr="0028773B">
              <w:rPr>
                <w:i/>
                <w:sz w:val="22"/>
                <w:szCs w:val="22"/>
              </w:rPr>
              <w:t>EPA has determined that</w:t>
            </w:r>
            <w:r w:rsidR="0028773B" w:rsidRPr="0028773B">
              <w:rPr>
                <w:i/>
                <w:color w:val="000000"/>
                <w:sz w:val="22"/>
                <w:szCs w:val="22"/>
              </w:rPr>
              <w:t xml:space="preserve"> the relative efficacy of emissions reductions varies across pollutants and that a ton of direct PM2.5 is generally more effective than a ton of precursor emissions in reducing overall PM2.5 concentrations. Therefore, t</w:t>
            </w:r>
            <w:r w:rsidR="0028773B" w:rsidRPr="0028773B">
              <w:rPr>
                <w:i/>
                <w:sz w:val="22"/>
                <w:szCs w:val="22"/>
              </w:rPr>
              <w:t>he EPA preferred trading ratios for PM</w:t>
            </w:r>
            <w:r w:rsidR="0028773B" w:rsidRPr="0028773B">
              <w:rPr>
                <w:i/>
                <w:sz w:val="22"/>
                <w:szCs w:val="22"/>
                <w:vertAlign w:val="subscript"/>
              </w:rPr>
              <w:t>2.5</w:t>
            </w:r>
            <w:r w:rsidR="0028773B" w:rsidRPr="0028773B">
              <w:rPr>
                <w:i/>
                <w:sz w:val="22"/>
                <w:szCs w:val="22"/>
              </w:rPr>
              <w:t xml:space="preserve"> and its precursors (NO</w:t>
            </w:r>
            <w:r w:rsidR="0028773B" w:rsidRPr="0028773B">
              <w:rPr>
                <w:i/>
                <w:sz w:val="22"/>
                <w:szCs w:val="22"/>
                <w:vertAlign w:val="subscript"/>
              </w:rPr>
              <w:t>x</w:t>
            </w:r>
            <w:r w:rsidR="0028773B" w:rsidRPr="0028773B">
              <w:rPr>
                <w:i/>
                <w:sz w:val="22"/>
                <w:szCs w:val="22"/>
              </w:rPr>
              <w:t xml:space="preserve"> and SO</w:t>
            </w:r>
            <w:r w:rsidR="0028773B" w:rsidRPr="0028773B">
              <w:rPr>
                <w:i/>
                <w:sz w:val="22"/>
                <w:szCs w:val="22"/>
                <w:vertAlign w:val="subscript"/>
              </w:rPr>
              <w:t>2</w:t>
            </w:r>
            <w:r w:rsidR="0028773B" w:rsidRPr="0028773B">
              <w:rPr>
                <w:i/>
                <w:sz w:val="22"/>
                <w:szCs w:val="22"/>
              </w:rPr>
              <w:t>) are included in the proposed rules</w:t>
            </w:r>
            <w:r w:rsidR="008D538C">
              <w:rPr>
                <w:i/>
                <w:sz w:val="22"/>
                <w:szCs w:val="22"/>
              </w:rPr>
              <w:t xml:space="preserve">. </w:t>
            </w:r>
            <w:r w:rsidR="0028773B">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B14540" w:rsidP="00A62014">
            <w:pPr>
              <w:ind w:right="-108"/>
              <w:rPr>
                <w:bCs/>
                <w:sz w:val="22"/>
                <w:szCs w:val="22"/>
              </w:rPr>
            </w:pPr>
            <w:r>
              <w:rPr>
                <w:sz w:val="22"/>
                <w:szCs w:val="22"/>
              </w:rPr>
              <w:t xml:space="preserve">Small-scale local </w:t>
            </w:r>
            <w:r>
              <w:rPr>
                <w:sz w:val="22"/>
                <w:szCs w:val="22"/>
              </w:rPr>
              <w:lastRenderedPageBreak/>
              <w:t>energy projects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076541">
            <w:pPr>
              <w:autoSpaceDE w:val="0"/>
              <w:autoSpaceDN w:val="0"/>
              <w:adjustRightInd w:val="0"/>
              <w:spacing w:after="120"/>
              <w:rPr>
                <w:sz w:val="22"/>
                <w:szCs w:val="22"/>
              </w:rPr>
            </w:pPr>
            <w:r w:rsidRPr="002D0FE2">
              <w:rPr>
                <w:sz w:val="22"/>
                <w:szCs w:val="22"/>
              </w:rPr>
              <w:lastRenderedPageBreak/>
              <w:t xml:space="preserve">Even with the conditions provided in this paragraph, it may be too broad an assertion to state that a small-scale local energy project and associated infrastructure provides a net air </w:t>
            </w:r>
            <w:r w:rsidRPr="002D0FE2">
              <w:rPr>
                <w:sz w:val="22"/>
                <w:szCs w:val="22"/>
              </w:rPr>
              <w:lastRenderedPageBreak/>
              <w:t>quality benefit without conducting air quality dispersion modeling to confirm this. We are not aware of similar provisions in the SIPs of other states. Therefore, before Region 10 can consider this for inclusion in the Oregon SIP, we will need to consult with EPA Hea</w:t>
            </w:r>
            <w:r>
              <w:rPr>
                <w:sz w:val="22"/>
                <w:szCs w:val="22"/>
              </w:rPr>
              <w:t>dquarters and other Regions. (7</w:t>
            </w:r>
            <w:r w:rsidRPr="002D0FE2">
              <w:rPr>
                <w:sz w:val="22"/>
                <w:szCs w:val="22"/>
              </w:rPr>
              <w:t>)</w:t>
            </w:r>
          </w:p>
          <w:p w:rsidR="00A62014" w:rsidRPr="002D0FE2" w:rsidRDefault="00A62014" w:rsidP="00703F9D">
            <w:pPr>
              <w:tabs>
                <w:tab w:val="center" w:pos="4429"/>
              </w:tabs>
              <w:spacing w:after="120"/>
              <w:ind w:left="64" w:right="-180"/>
              <w:rPr>
                <w:i/>
                <w:sz w:val="22"/>
                <w:szCs w:val="22"/>
              </w:rPr>
            </w:pPr>
            <w:r w:rsidRPr="002D0FE2">
              <w:rPr>
                <w:i/>
                <w:sz w:val="22"/>
                <w:szCs w:val="22"/>
              </w:rPr>
              <w:t>Response:</w:t>
            </w:r>
            <w:r w:rsidRPr="002D0FE2">
              <w:rPr>
                <w:i/>
                <w:sz w:val="22"/>
                <w:szCs w:val="22"/>
              </w:rPr>
              <w:tab/>
            </w:r>
          </w:p>
          <w:p w:rsidR="00A62014" w:rsidRPr="002D0FE2" w:rsidRDefault="00A62014" w:rsidP="005A0E86">
            <w:pPr>
              <w:autoSpaceDE w:val="0"/>
              <w:autoSpaceDN w:val="0"/>
              <w:adjustRightInd w:val="0"/>
              <w:rPr>
                <w:i/>
                <w:sz w:val="22"/>
                <w:szCs w:val="22"/>
              </w:rPr>
            </w:pPr>
            <w:r w:rsidRPr="002D0FE2">
              <w:rPr>
                <w:i/>
                <w:sz w:val="22"/>
                <w:szCs w:val="22"/>
              </w:rPr>
              <w:t>The proposed rules change how small scale local energy projects are evaluated under Oregon’s rules based on recent changes to Oregon’s statutes resulting from House Bill 2952</w:t>
            </w:r>
            <w:r w:rsidR="008D538C">
              <w:rPr>
                <w:i/>
                <w:sz w:val="22"/>
                <w:szCs w:val="22"/>
              </w:rPr>
              <w:t xml:space="preserve">. </w:t>
            </w:r>
            <w:r w:rsidRPr="002D0FE2">
              <w:rPr>
                <w:i/>
                <w:sz w:val="22"/>
                <w:szCs w:val="22"/>
              </w:rPr>
              <w:t>EPA requires states to have minor source construction approval programs, in addition to the major source program described above, but gives states flexibility in how to do this</w:t>
            </w:r>
            <w:r>
              <w:rPr>
                <w:i/>
                <w:sz w:val="22"/>
                <w:szCs w:val="22"/>
              </w:rPr>
              <w:t xml:space="preserve">. </w:t>
            </w:r>
            <w:r w:rsidRPr="002D0FE2">
              <w:rPr>
                <w:i/>
                <w:sz w:val="22"/>
                <w:szCs w:val="22"/>
              </w:rPr>
              <w:t>Oregon’s existing minor source construction approval program in effect</w:t>
            </w:r>
            <w:r w:rsidRPr="002D0FE2" w:rsidDel="00CF75AF">
              <w:rPr>
                <w:i/>
                <w:sz w:val="22"/>
                <w:szCs w:val="22"/>
              </w:rPr>
              <w:t xml:space="preserve"> </w:t>
            </w:r>
            <w:r w:rsidRPr="002D0FE2">
              <w:rPr>
                <w:i/>
                <w:sz w:val="22"/>
                <w:szCs w:val="22"/>
              </w:rPr>
              <w:t>applies major source NSR/PSD requirements to any source with emissions over the Significant Emission Rate</w:t>
            </w:r>
            <w:r>
              <w:rPr>
                <w:i/>
                <w:sz w:val="22"/>
                <w:szCs w:val="22"/>
              </w:rPr>
              <w:t xml:space="preserve">. </w:t>
            </w:r>
            <w:r w:rsidRPr="002D0FE2">
              <w:rPr>
                <w:i/>
                <w:sz w:val="22"/>
                <w:szCs w:val="22"/>
              </w:rPr>
              <w:t>This is above and beyond what is required by the federal rules</w:t>
            </w:r>
            <w:r>
              <w:rPr>
                <w:i/>
                <w:sz w:val="22"/>
                <w:szCs w:val="22"/>
              </w:rPr>
              <w:t xml:space="preserve">. </w:t>
            </w:r>
            <w:r w:rsidRPr="002D0FE2">
              <w:rPr>
                <w:i/>
                <w:sz w:val="22"/>
                <w:szCs w:val="22"/>
              </w:rPr>
              <w:t>HB 2952 revised how minor source construction approval works for small scale local energy projects in Oregon providing DEQ with greater flexibility on how to implement the program</w:t>
            </w:r>
            <w:r>
              <w:rPr>
                <w:i/>
                <w:sz w:val="22"/>
                <w:szCs w:val="22"/>
              </w:rPr>
              <w:t xml:space="preserve">. </w:t>
            </w:r>
            <w:r w:rsidRPr="002D0FE2">
              <w:rPr>
                <w:i/>
                <w:sz w:val="22"/>
                <w:szCs w:val="22"/>
              </w:rPr>
              <w:t>The changes in the proposed rule still meet EPA’s general requirement to have a construction app</w:t>
            </w:r>
            <w:r w:rsidR="005A0E86">
              <w:rPr>
                <w:i/>
                <w:sz w:val="22"/>
                <w:szCs w:val="22"/>
              </w:rPr>
              <w:t>roval program for minor sources and is still protective of the environment</w:t>
            </w:r>
            <w:r>
              <w:rPr>
                <w:i/>
                <w:sz w:val="22"/>
                <w:szCs w:val="22"/>
              </w:rPr>
              <w:t xml:space="preserve">. </w:t>
            </w:r>
            <w:r w:rsidR="00A21C65">
              <w:rPr>
                <w:i/>
                <w:sz w:val="22"/>
                <w:szCs w:val="22"/>
              </w:rPr>
              <w:t>No change to the rule is proposed in response to this comment.</w:t>
            </w:r>
            <w:r>
              <w:rPr>
                <w:i/>
                <w:sz w:val="22"/>
                <w:szCs w:val="22"/>
              </w:rPr>
              <w:t xml:space="preserve"> </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15"/>
              <w:rPr>
                <w:bCs/>
                <w:sz w:val="22"/>
                <w:szCs w:val="22"/>
              </w:rPr>
            </w:pPr>
            <w:bookmarkStart w:id="8" w:name="_Ref283933480"/>
          </w:p>
          <w:bookmarkEnd w:id="8"/>
          <w:p w:rsidR="00EF4FD3" w:rsidRPr="00943C75" w:rsidRDefault="00EF4FD3" w:rsidP="00DE1045">
            <w:pPr>
              <w:ind w:right="-115"/>
              <w:rPr>
                <w:bCs/>
                <w:sz w:val="22"/>
                <w:szCs w:val="22"/>
              </w:rPr>
            </w:pPr>
            <w:r w:rsidRPr="00943C75">
              <w:rPr>
                <w:bCs/>
                <w:sz w:val="22"/>
                <w:szCs w:val="22"/>
              </w:rPr>
              <w:t>Proposed option 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781F8F" w:rsidRDefault="00EF4FD3" w:rsidP="00DE1045">
            <w:pPr>
              <w:pStyle w:val="ColorfulList-Accent11"/>
              <w:spacing w:after="120"/>
              <w:ind w:left="0"/>
              <w:rPr>
                <w:sz w:val="22"/>
                <w:szCs w:val="22"/>
              </w:rPr>
            </w:pPr>
            <w:r w:rsidRPr="00781F8F">
              <w:rPr>
                <w:sz w:val="22"/>
                <w:szCs w:val="22"/>
              </w:rPr>
              <w:t>Option 1 fails to link PSELs to the baseline concentration in the air shed and therefore will not meet the PSEL program’s goal of ensuring compliance with NAAQS and PSD increment. DEQ provides little guidance on how the “fraction” will be established. There is no indication that DEQ will require further testing of the source to ensure that the fraction remains the same, potentially allowing massive increases in PM</w:t>
            </w:r>
            <w:r w:rsidRPr="00781F8F">
              <w:rPr>
                <w:sz w:val="22"/>
                <w:szCs w:val="22"/>
                <w:vertAlign w:val="subscript"/>
              </w:rPr>
              <w:t>2.5</w:t>
            </w:r>
            <w:r w:rsidRPr="00781F8F">
              <w:rPr>
                <w:sz w:val="22"/>
                <w:szCs w:val="22"/>
              </w:rPr>
              <w:t xml:space="preserve"> emissions and the result</w:t>
            </w:r>
            <w:r w:rsidR="008C0EB0">
              <w:rPr>
                <w:sz w:val="22"/>
                <w:szCs w:val="22"/>
              </w:rPr>
              <w:t>ing</w:t>
            </w:r>
            <w:r w:rsidRPr="00781F8F">
              <w:rPr>
                <w:sz w:val="22"/>
                <w:szCs w:val="22"/>
              </w:rPr>
              <w:t xml:space="preserve"> specific health effects. (12)</w:t>
            </w:r>
          </w:p>
          <w:p w:rsidR="00EF4FD3" w:rsidRPr="00781F8F" w:rsidRDefault="00EF4FD3" w:rsidP="00DE1045">
            <w:pPr>
              <w:pStyle w:val="ColorfulList-Accent11"/>
              <w:spacing w:after="120"/>
              <w:ind w:left="0"/>
              <w:rPr>
                <w:i/>
                <w:sz w:val="22"/>
                <w:szCs w:val="22"/>
              </w:rPr>
            </w:pPr>
            <w:r w:rsidRPr="00781F8F">
              <w:rPr>
                <w:i/>
                <w:sz w:val="22"/>
                <w:szCs w:val="22"/>
              </w:rPr>
              <w:t>Response:</w:t>
            </w:r>
          </w:p>
          <w:p w:rsidR="00EF4FD3" w:rsidRPr="008A2658" w:rsidRDefault="00EF4FD3" w:rsidP="00DE1045">
            <w:pPr>
              <w:pStyle w:val="ColorfulList-Accent11"/>
              <w:spacing w:after="120"/>
              <w:ind w:left="0"/>
              <w:rPr>
                <w:i/>
                <w:sz w:val="22"/>
                <w:szCs w:val="22"/>
              </w:rPr>
            </w:pPr>
            <w:r>
              <w:rPr>
                <w:i/>
                <w:sz w:val="22"/>
                <w:szCs w:val="22"/>
              </w:rPr>
              <w:t>DEQ is proposing to implement a variation of Option 1. The netting basis and PSEL for PM</w:t>
            </w:r>
            <w:r>
              <w:rPr>
                <w:i/>
                <w:sz w:val="22"/>
                <w:szCs w:val="22"/>
                <w:vertAlign w:val="subscript"/>
              </w:rPr>
              <w:t>2.5</w:t>
            </w:r>
            <w:r>
              <w:rPr>
                <w:i/>
                <w:sz w:val="22"/>
                <w:szCs w:val="22"/>
              </w:rPr>
              <w:t xml:space="preserve"> will be the fraction of the PM</w:t>
            </w:r>
            <w:r>
              <w:rPr>
                <w:i/>
                <w:sz w:val="22"/>
                <w:szCs w:val="22"/>
                <w:vertAlign w:val="subscript"/>
              </w:rPr>
              <w:t>10</w:t>
            </w:r>
            <w:r>
              <w:rPr>
                <w:i/>
                <w:sz w:val="22"/>
                <w:szCs w:val="22"/>
              </w:rPr>
              <w:t xml:space="preserve"> netting basis and PSEL. </w:t>
            </w:r>
            <w:r w:rsidRPr="003F55C1">
              <w:rPr>
                <w:i/>
                <w:sz w:val="22"/>
                <w:szCs w:val="22"/>
              </w:rPr>
              <w:t xml:space="preserve">Since there is so much </w:t>
            </w:r>
            <w:r w:rsidRPr="000E7E5B">
              <w:rPr>
                <w:i/>
                <w:sz w:val="22"/>
                <w:szCs w:val="22"/>
              </w:rPr>
              <w:t>overlap</w:t>
            </w:r>
            <w:r w:rsidRPr="003F55C1">
              <w:rPr>
                <w:i/>
                <w:sz w:val="22"/>
                <w:szCs w:val="22"/>
              </w:rPr>
              <w:t xml:space="preserve"> between these two pollutants, this ensures that the introduction of the new pollutant (PM</w:t>
            </w:r>
            <w:r w:rsidRPr="003F55C1">
              <w:rPr>
                <w:i/>
                <w:sz w:val="22"/>
                <w:szCs w:val="22"/>
                <w:vertAlign w:val="subscript"/>
              </w:rPr>
              <w:t>2.5</w:t>
            </w:r>
            <w:r w:rsidRPr="003F55C1">
              <w:rPr>
                <w:i/>
                <w:sz w:val="22"/>
                <w:szCs w:val="22"/>
              </w:rPr>
              <w:t>) doesn’t trigger any new requirements if a plant is not making any modifications or production increases</w:t>
            </w:r>
            <w:r>
              <w:rPr>
                <w:i/>
                <w:sz w:val="22"/>
                <w:szCs w:val="22"/>
              </w:rPr>
              <w:t xml:space="preserve">. </w:t>
            </w:r>
            <w:r w:rsidRPr="009E269E">
              <w:rPr>
                <w:i/>
                <w:sz w:val="22"/>
                <w:szCs w:val="22"/>
              </w:rPr>
              <w:t>The GHG baseline will be set based on the highest actual emissions in a 12-consecutive month period during the years 2000-2010</w:t>
            </w:r>
            <w:r>
              <w:rPr>
                <w:i/>
                <w:sz w:val="22"/>
                <w:szCs w:val="22"/>
              </w:rPr>
              <w:t xml:space="preserve">. </w:t>
            </w:r>
          </w:p>
          <w:p w:rsidR="00EF4FD3" w:rsidRPr="00781F8F" w:rsidRDefault="005A0E86" w:rsidP="00DE1045">
            <w:pPr>
              <w:pStyle w:val="ColorfulList-Accent11"/>
              <w:spacing w:after="120"/>
              <w:ind w:left="0"/>
              <w:rPr>
                <w:i/>
                <w:sz w:val="22"/>
                <w:szCs w:val="22"/>
              </w:rPr>
            </w:pPr>
            <w:r>
              <w:rPr>
                <w:i/>
                <w:sz w:val="22"/>
                <w:szCs w:val="22"/>
              </w:rPr>
              <w:t>DEQ does not agree that the PSEL program will not ensure compliance with the NAAQS or the PSD increment</w:t>
            </w:r>
            <w:r w:rsidR="008D538C">
              <w:rPr>
                <w:i/>
                <w:sz w:val="22"/>
                <w:szCs w:val="22"/>
              </w:rPr>
              <w:t xml:space="preserve">. </w:t>
            </w:r>
            <w:r w:rsidR="00EF4FD3" w:rsidRPr="00781F8F">
              <w:rPr>
                <w:i/>
                <w:sz w:val="22"/>
                <w:szCs w:val="22"/>
              </w:rPr>
              <w:t xml:space="preserve"> </w:t>
            </w:r>
            <w:r w:rsidR="00EF4FD3" w:rsidRPr="007A7817">
              <w:rPr>
                <w:i/>
                <w:sz w:val="22"/>
                <w:szCs w:val="22"/>
              </w:rPr>
              <w:t xml:space="preserve">See the response in comment </w:t>
            </w:r>
            <w:fldSimple w:instr=" REF _Ref283934738 \r \h  \* MERGEFORMAT ">
              <w:r w:rsidR="00856461" w:rsidRPr="00856461">
                <w:rPr>
                  <w:i/>
                  <w:sz w:val="22"/>
                  <w:szCs w:val="22"/>
                </w:rPr>
                <w:t>13</w:t>
              </w:r>
            </w:fldSimple>
            <w:r w:rsidR="00EF4FD3" w:rsidRPr="007A7817">
              <w:rPr>
                <w:i/>
                <w:sz w:val="22"/>
                <w:szCs w:val="22"/>
              </w:rPr>
              <w:t xml:space="preserve"> “</w:t>
            </w:r>
            <w:r w:rsidR="00EF4FD3" w:rsidRPr="007A7817">
              <w:rPr>
                <w:bCs/>
                <w:sz w:val="22"/>
                <w:szCs w:val="22"/>
              </w:rPr>
              <w:t>Baseline period tied to baseline concentration year</w:t>
            </w:r>
            <w:r w:rsidR="00EF4FD3" w:rsidRPr="007A7817">
              <w:rPr>
                <w:i/>
                <w:sz w:val="22"/>
                <w:szCs w:val="22"/>
              </w:rPr>
              <w:t xml:space="preserve">.” </w:t>
            </w:r>
            <w:r w:rsidR="00EF4FD3" w:rsidRPr="000415B2">
              <w:rPr>
                <w:i/>
                <w:sz w:val="22"/>
                <w:szCs w:val="22"/>
              </w:rPr>
              <w:t xml:space="preserve">See </w:t>
            </w:r>
            <w:r w:rsidR="00EF4FD3">
              <w:rPr>
                <w:i/>
                <w:sz w:val="22"/>
                <w:szCs w:val="22"/>
              </w:rPr>
              <w:t xml:space="preserve">the </w:t>
            </w:r>
            <w:r w:rsidR="00EF4FD3" w:rsidRPr="000415B2">
              <w:rPr>
                <w:i/>
                <w:sz w:val="22"/>
                <w:szCs w:val="22"/>
              </w:rPr>
              <w:t>responses in comment</w:t>
            </w:r>
            <w:r w:rsidR="00EF4FD3">
              <w:rPr>
                <w:i/>
                <w:sz w:val="22"/>
                <w:szCs w:val="22"/>
              </w:rPr>
              <w:t>s</w:t>
            </w:r>
            <w:r w:rsidR="00EF4FD3" w:rsidRPr="000415B2">
              <w:rPr>
                <w:i/>
                <w:sz w:val="22"/>
                <w:szCs w:val="22"/>
              </w:rPr>
              <w:t xml:space="preserve"> </w:t>
            </w:r>
            <w:fldSimple w:instr=" REF _Ref283933930 \r \h  \* MERGEFORMAT ">
              <w:r w:rsidR="00856461" w:rsidRPr="00856461">
                <w:rPr>
                  <w:i/>
                  <w:sz w:val="22"/>
                  <w:szCs w:val="22"/>
                </w:rPr>
                <w:t>54</w:t>
              </w:r>
            </w:fldSimple>
            <w:r w:rsidR="00EF4FD3" w:rsidRPr="000415B2">
              <w:rPr>
                <w:i/>
                <w:sz w:val="22"/>
                <w:szCs w:val="22"/>
              </w:rPr>
              <w:t xml:space="preserve"> and </w:t>
            </w:r>
            <w:fldSimple w:instr=" REF _Ref283933944 \r \h  \* MERGEFORMAT ">
              <w:r w:rsidR="00856461" w:rsidRPr="00856461">
                <w:rPr>
                  <w:i/>
                  <w:sz w:val="22"/>
                  <w:szCs w:val="22"/>
                </w:rPr>
                <w:t>55</w:t>
              </w:r>
            </w:fldSimple>
            <w:r w:rsidR="00EF4FD3" w:rsidRPr="000415B2">
              <w:rPr>
                <w:i/>
                <w:sz w:val="22"/>
                <w:szCs w:val="22"/>
              </w:rPr>
              <w:t xml:space="preserve"> regarding “Compliance with the NAAQS” and “Compliance with the PSD increment.”</w:t>
            </w:r>
            <w:r w:rsidR="00EF4FD3">
              <w:rPr>
                <w:i/>
                <w:sz w:val="22"/>
                <w:szCs w:val="22"/>
              </w:rPr>
              <w:t xml:space="preserve"> </w:t>
            </w:r>
          </w:p>
          <w:p w:rsidR="00EF4FD3" w:rsidRDefault="00EF4FD3" w:rsidP="00DE1045">
            <w:pPr>
              <w:pStyle w:val="ColorfulList-Accent11"/>
              <w:spacing w:after="120"/>
              <w:ind w:left="0"/>
              <w:rPr>
                <w:i/>
                <w:sz w:val="22"/>
                <w:szCs w:val="22"/>
              </w:rPr>
            </w:pPr>
            <w:r w:rsidRPr="004F02F9">
              <w:rPr>
                <w:i/>
                <w:sz w:val="22"/>
                <w:szCs w:val="22"/>
              </w:rPr>
              <w:t>DEQ will be providing guidance to permit writers on how the PM</w:t>
            </w:r>
            <w:r w:rsidRPr="004F02F9">
              <w:rPr>
                <w:i/>
                <w:sz w:val="22"/>
                <w:szCs w:val="22"/>
                <w:vertAlign w:val="subscript"/>
              </w:rPr>
              <w:t>2.5</w:t>
            </w:r>
            <w:r w:rsidRPr="004F02F9">
              <w:rPr>
                <w:i/>
                <w:sz w:val="22"/>
                <w:szCs w:val="22"/>
              </w:rPr>
              <w:t xml:space="preserve"> fraction of PM</w:t>
            </w:r>
            <w:r w:rsidRPr="004F02F9">
              <w:rPr>
                <w:i/>
                <w:sz w:val="22"/>
                <w:szCs w:val="22"/>
                <w:vertAlign w:val="subscript"/>
              </w:rPr>
              <w:t>10</w:t>
            </w:r>
            <w:r w:rsidRPr="004F02F9">
              <w:rPr>
                <w:i/>
                <w:sz w:val="22"/>
                <w:szCs w:val="22"/>
              </w:rPr>
              <w:t xml:space="preserve"> will </w:t>
            </w:r>
            <w:r w:rsidR="008C0EB0">
              <w:rPr>
                <w:i/>
                <w:sz w:val="22"/>
                <w:szCs w:val="22"/>
              </w:rPr>
              <w:t xml:space="preserve">normally </w:t>
            </w:r>
            <w:r w:rsidRPr="004F02F9">
              <w:rPr>
                <w:i/>
                <w:sz w:val="22"/>
                <w:szCs w:val="22"/>
              </w:rPr>
              <w:t>be established</w:t>
            </w:r>
            <w:r>
              <w:rPr>
                <w:i/>
                <w:sz w:val="22"/>
                <w:szCs w:val="22"/>
              </w:rPr>
              <w:t xml:space="preserve">. </w:t>
            </w:r>
            <w:r w:rsidRPr="004F02F9">
              <w:rPr>
                <w:i/>
                <w:sz w:val="22"/>
                <w:szCs w:val="22"/>
              </w:rPr>
              <w:t>Source test data at the facility is the most reliable way to determine the PM</w:t>
            </w:r>
            <w:r w:rsidRPr="004F02F9">
              <w:rPr>
                <w:i/>
                <w:sz w:val="22"/>
                <w:szCs w:val="22"/>
                <w:vertAlign w:val="subscript"/>
              </w:rPr>
              <w:t>2.5</w:t>
            </w:r>
            <w:r w:rsidRPr="004F02F9">
              <w:rPr>
                <w:i/>
                <w:sz w:val="22"/>
                <w:szCs w:val="22"/>
              </w:rPr>
              <w:t xml:space="preserve"> fraction of PM</w:t>
            </w:r>
            <w:r w:rsidRPr="004F02F9">
              <w:rPr>
                <w:i/>
                <w:sz w:val="22"/>
                <w:szCs w:val="22"/>
                <w:vertAlign w:val="subscript"/>
              </w:rPr>
              <w:t>10</w:t>
            </w:r>
            <w:r w:rsidRPr="004F02F9">
              <w:rPr>
                <w:i/>
                <w:sz w:val="22"/>
                <w:szCs w:val="22"/>
              </w:rPr>
              <w:t xml:space="preserve"> emissions</w:t>
            </w:r>
            <w:r>
              <w:rPr>
                <w:i/>
                <w:sz w:val="22"/>
                <w:szCs w:val="22"/>
              </w:rPr>
              <w:t xml:space="preserve">. </w:t>
            </w:r>
            <w:r w:rsidR="008719A2">
              <w:rPr>
                <w:i/>
                <w:sz w:val="22"/>
                <w:szCs w:val="22"/>
              </w:rPr>
              <w:t xml:space="preserve">The guidance will also include information on </w:t>
            </w:r>
            <w:r w:rsidR="008C0EB0">
              <w:rPr>
                <w:i/>
                <w:sz w:val="22"/>
                <w:szCs w:val="22"/>
              </w:rPr>
              <w:t>the cases when</w:t>
            </w:r>
            <w:r w:rsidR="008719A2">
              <w:rPr>
                <w:i/>
                <w:sz w:val="22"/>
                <w:szCs w:val="22"/>
              </w:rPr>
              <w:t xml:space="preserve"> source tests </w:t>
            </w:r>
            <w:r w:rsidR="008C0EB0">
              <w:rPr>
                <w:i/>
                <w:sz w:val="22"/>
                <w:szCs w:val="22"/>
              </w:rPr>
              <w:t xml:space="preserve">will normally be required, </w:t>
            </w:r>
            <w:r w:rsidR="008719A2">
              <w:rPr>
                <w:i/>
                <w:sz w:val="22"/>
                <w:szCs w:val="22"/>
              </w:rPr>
              <w:t>along with the frequency</w:t>
            </w:r>
            <w:r w:rsidRPr="004F02F9">
              <w:rPr>
                <w:i/>
                <w:sz w:val="22"/>
                <w:szCs w:val="22"/>
              </w:rPr>
              <w:t xml:space="preserve"> to verify the PM</w:t>
            </w:r>
            <w:r w:rsidRPr="004F02F9">
              <w:rPr>
                <w:i/>
                <w:sz w:val="22"/>
                <w:szCs w:val="22"/>
                <w:vertAlign w:val="subscript"/>
              </w:rPr>
              <w:t>2.5</w:t>
            </w:r>
            <w:r w:rsidRPr="004F02F9">
              <w:rPr>
                <w:i/>
                <w:sz w:val="22"/>
                <w:szCs w:val="22"/>
              </w:rPr>
              <w:t xml:space="preserve"> fraction</w:t>
            </w:r>
            <w:r>
              <w:rPr>
                <w:i/>
                <w:sz w:val="22"/>
                <w:szCs w:val="22"/>
              </w:rPr>
              <w:t xml:space="preserve">. </w:t>
            </w:r>
            <w:r w:rsidRPr="004F02F9">
              <w:rPr>
                <w:i/>
                <w:sz w:val="22"/>
                <w:szCs w:val="22"/>
              </w:rPr>
              <w:t>Smaller sources of PM</w:t>
            </w:r>
            <w:r w:rsidRPr="004F02F9">
              <w:rPr>
                <w:i/>
                <w:sz w:val="22"/>
                <w:szCs w:val="22"/>
                <w:vertAlign w:val="subscript"/>
              </w:rPr>
              <w:t>2.5</w:t>
            </w:r>
            <w:r w:rsidRPr="004F02F9">
              <w:rPr>
                <w:i/>
                <w:sz w:val="22"/>
                <w:szCs w:val="22"/>
              </w:rPr>
              <w:t xml:space="preserve"> </w:t>
            </w:r>
            <w:r>
              <w:rPr>
                <w:i/>
                <w:sz w:val="22"/>
                <w:szCs w:val="22"/>
              </w:rPr>
              <w:t xml:space="preserve">(less than 5 tons/year for each piece of equipment) </w:t>
            </w:r>
            <w:r w:rsidRPr="004F02F9">
              <w:rPr>
                <w:i/>
                <w:sz w:val="22"/>
                <w:szCs w:val="22"/>
              </w:rPr>
              <w:t xml:space="preserve">will not </w:t>
            </w:r>
            <w:r w:rsidR="008C0EB0">
              <w:rPr>
                <w:i/>
                <w:sz w:val="22"/>
                <w:szCs w:val="22"/>
              </w:rPr>
              <w:t xml:space="preserve">normally </w:t>
            </w:r>
            <w:r w:rsidRPr="004F02F9">
              <w:rPr>
                <w:i/>
                <w:sz w:val="22"/>
                <w:szCs w:val="22"/>
              </w:rPr>
              <w:t xml:space="preserve">be required to test because of the lower amount of emissions and limited resources. In this case, industry specific data available from trade associations or EPA’s </w:t>
            </w:r>
            <w:r w:rsidRPr="004F02F9">
              <w:rPr>
                <w:rStyle w:val="Strong"/>
                <w:i/>
                <w:sz w:val="22"/>
                <w:szCs w:val="22"/>
              </w:rPr>
              <w:t xml:space="preserve">AP-42, </w:t>
            </w:r>
            <w:r w:rsidRPr="004F02F9">
              <w:rPr>
                <w:rStyle w:val="Emphasis"/>
                <w:b/>
                <w:bCs/>
                <w:i w:val="0"/>
                <w:sz w:val="22"/>
                <w:szCs w:val="22"/>
              </w:rPr>
              <w:t>Compilation of Air Pollutant Emission Factors</w:t>
            </w:r>
            <w:r w:rsidRPr="004F02F9">
              <w:rPr>
                <w:i/>
                <w:sz w:val="22"/>
                <w:szCs w:val="22"/>
              </w:rPr>
              <w:t xml:space="preserve">, will </w:t>
            </w:r>
            <w:r w:rsidR="008C0EB0">
              <w:rPr>
                <w:i/>
                <w:sz w:val="22"/>
                <w:szCs w:val="22"/>
              </w:rPr>
              <w:t xml:space="preserve">normally </w:t>
            </w:r>
            <w:r w:rsidRPr="004F02F9">
              <w:rPr>
                <w:i/>
                <w:sz w:val="22"/>
                <w:szCs w:val="22"/>
              </w:rPr>
              <w:t>be used to estimate PM</w:t>
            </w:r>
            <w:r w:rsidRPr="004F02F9">
              <w:rPr>
                <w:i/>
                <w:sz w:val="22"/>
                <w:szCs w:val="22"/>
                <w:vertAlign w:val="subscript"/>
              </w:rPr>
              <w:t>2.5</w:t>
            </w:r>
            <w:r w:rsidRPr="004F02F9">
              <w:rPr>
                <w:i/>
                <w:sz w:val="22"/>
                <w:szCs w:val="22"/>
              </w:rPr>
              <w:t xml:space="preserve"> emissions. AP-42 has been published since 1972 as the primary compilation of EPA's emission factor information. It contains emission factors and process information for more than 200 air pollution source categories. A source category is a specific industry sector or group of similar emitting sources. The emission factors have been developed and compiled </w:t>
            </w:r>
            <w:r w:rsidRPr="004F02F9">
              <w:rPr>
                <w:i/>
                <w:sz w:val="22"/>
                <w:szCs w:val="22"/>
              </w:rPr>
              <w:lastRenderedPageBreak/>
              <w:t xml:space="preserve">from source test data, material balance studies, and engineering estimates. </w:t>
            </w:r>
          </w:p>
          <w:p w:rsidR="00012675" w:rsidRDefault="00EF4FD3">
            <w:pPr>
              <w:pStyle w:val="ColorfulList-Accent11"/>
              <w:spacing w:after="120"/>
              <w:ind w:left="0"/>
              <w:rPr>
                <w:sz w:val="22"/>
                <w:szCs w:val="22"/>
              </w:rPr>
            </w:pPr>
            <w:r w:rsidRPr="004F02F9">
              <w:rPr>
                <w:i/>
                <w:sz w:val="22"/>
                <w:szCs w:val="22"/>
              </w:rPr>
              <w:t>The PM</w:t>
            </w:r>
            <w:r w:rsidRPr="004F02F9">
              <w:rPr>
                <w:i/>
                <w:sz w:val="22"/>
                <w:szCs w:val="22"/>
                <w:vertAlign w:val="subscript"/>
              </w:rPr>
              <w:t>2.5</w:t>
            </w:r>
            <w:r w:rsidRPr="004F02F9">
              <w:rPr>
                <w:i/>
                <w:sz w:val="22"/>
                <w:szCs w:val="22"/>
              </w:rPr>
              <w:t xml:space="preserve"> fraction of PM</w:t>
            </w:r>
            <w:r w:rsidRPr="00BA3C87">
              <w:rPr>
                <w:i/>
                <w:sz w:val="22"/>
                <w:szCs w:val="22"/>
                <w:vertAlign w:val="subscript"/>
              </w:rPr>
              <w:t xml:space="preserve">10 </w:t>
            </w:r>
            <w:r w:rsidRPr="004F02F9">
              <w:rPr>
                <w:i/>
                <w:sz w:val="22"/>
                <w:szCs w:val="22"/>
              </w:rPr>
              <w:t>depends on the type of source</w:t>
            </w:r>
            <w:r>
              <w:rPr>
                <w:i/>
                <w:sz w:val="22"/>
                <w:szCs w:val="22"/>
              </w:rPr>
              <w:t xml:space="preserve">. </w:t>
            </w:r>
            <w:r w:rsidRPr="004F02F9">
              <w:rPr>
                <w:i/>
                <w:sz w:val="22"/>
                <w:szCs w:val="22"/>
              </w:rPr>
              <w:t>For natural gas combustion, 100% of PM</w:t>
            </w:r>
            <w:r w:rsidRPr="004F02F9">
              <w:rPr>
                <w:i/>
                <w:sz w:val="22"/>
                <w:szCs w:val="22"/>
                <w:vertAlign w:val="subscript"/>
              </w:rPr>
              <w:t>10</w:t>
            </w:r>
            <w:r w:rsidRPr="004F02F9">
              <w:rPr>
                <w:i/>
                <w:sz w:val="22"/>
                <w:szCs w:val="22"/>
              </w:rPr>
              <w:t xml:space="preserve"> is PM</w:t>
            </w:r>
            <w:r w:rsidRPr="004F02F9">
              <w:rPr>
                <w:i/>
                <w:sz w:val="22"/>
                <w:szCs w:val="22"/>
                <w:vertAlign w:val="subscript"/>
              </w:rPr>
              <w:t>2.5</w:t>
            </w:r>
            <w:r>
              <w:rPr>
                <w:i/>
                <w:sz w:val="22"/>
                <w:szCs w:val="22"/>
              </w:rPr>
              <w:t xml:space="preserve">. </w:t>
            </w:r>
            <w:r w:rsidR="008719A2">
              <w:rPr>
                <w:i/>
                <w:sz w:val="22"/>
                <w:szCs w:val="22"/>
              </w:rPr>
              <w:t>If data is not available on the PM</w:t>
            </w:r>
            <w:r w:rsidR="008719A2">
              <w:rPr>
                <w:i/>
                <w:sz w:val="22"/>
                <w:szCs w:val="22"/>
                <w:vertAlign w:val="subscript"/>
              </w:rPr>
              <w:t>2.5</w:t>
            </w:r>
            <w:r w:rsidR="008719A2">
              <w:rPr>
                <w:i/>
                <w:sz w:val="22"/>
                <w:szCs w:val="22"/>
              </w:rPr>
              <w:t xml:space="preserve"> fraction of PM</w:t>
            </w:r>
            <w:r w:rsidR="008719A2">
              <w:rPr>
                <w:i/>
                <w:sz w:val="22"/>
                <w:szCs w:val="22"/>
                <w:vertAlign w:val="subscript"/>
              </w:rPr>
              <w:t>10</w:t>
            </w:r>
            <w:r w:rsidR="008719A2">
              <w:rPr>
                <w:i/>
                <w:sz w:val="22"/>
                <w:szCs w:val="22"/>
              </w:rPr>
              <w:t xml:space="preserve"> and sources do not want to incur the expense of source testing, t</w:t>
            </w:r>
            <w:r w:rsidRPr="004F02F9">
              <w:rPr>
                <w:i/>
                <w:sz w:val="22"/>
                <w:szCs w:val="22"/>
              </w:rPr>
              <w:t>he most conservative estimate is to assume PM</w:t>
            </w:r>
            <w:r w:rsidRPr="004F02F9">
              <w:rPr>
                <w:i/>
                <w:sz w:val="22"/>
                <w:szCs w:val="22"/>
                <w:vertAlign w:val="subscript"/>
              </w:rPr>
              <w:t>10</w:t>
            </w:r>
            <w:r w:rsidR="008C0EB0">
              <w:rPr>
                <w:i/>
                <w:sz w:val="22"/>
                <w:szCs w:val="22"/>
              </w:rPr>
              <w:t xml:space="preserve">, </w:t>
            </w:r>
            <w:r w:rsidRPr="004F02F9">
              <w:rPr>
                <w:i/>
                <w:sz w:val="22"/>
                <w:szCs w:val="22"/>
              </w:rPr>
              <w:t>or even PM</w:t>
            </w:r>
            <w:r w:rsidR="008C0EB0">
              <w:rPr>
                <w:i/>
                <w:sz w:val="22"/>
                <w:szCs w:val="22"/>
              </w:rPr>
              <w:t>,</w:t>
            </w:r>
            <w:r w:rsidRPr="004F02F9">
              <w:rPr>
                <w:i/>
                <w:sz w:val="22"/>
                <w:szCs w:val="22"/>
              </w:rPr>
              <w:t xml:space="preserve"> is all PM</w:t>
            </w:r>
            <w:r w:rsidRPr="004F02F9">
              <w:rPr>
                <w:i/>
                <w:sz w:val="22"/>
                <w:szCs w:val="22"/>
                <w:vertAlign w:val="subscript"/>
              </w:rPr>
              <w:t>2.5</w:t>
            </w:r>
            <w:r>
              <w:rPr>
                <w:i/>
                <w:sz w:val="22"/>
                <w:szCs w:val="22"/>
              </w:rPr>
              <w:t xml:space="preserve">. </w:t>
            </w:r>
            <w:r w:rsidRPr="004F02F9">
              <w:rPr>
                <w:i/>
                <w:sz w:val="22"/>
                <w:szCs w:val="22"/>
              </w:rPr>
              <w:t xml:space="preserve">This approach will be easiest for sources but will also </w:t>
            </w:r>
            <w:r w:rsidR="008C0EB0">
              <w:rPr>
                <w:i/>
                <w:sz w:val="22"/>
                <w:szCs w:val="22"/>
              </w:rPr>
              <w:t>cause increases at</w:t>
            </w:r>
            <w:r w:rsidRPr="004F02F9">
              <w:rPr>
                <w:i/>
                <w:sz w:val="22"/>
                <w:szCs w:val="22"/>
              </w:rPr>
              <w:t xml:space="preserve"> the source </w:t>
            </w:r>
            <w:r w:rsidR="008C0EB0">
              <w:rPr>
                <w:i/>
                <w:sz w:val="22"/>
                <w:szCs w:val="22"/>
              </w:rPr>
              <w:t xml:space="preserve">to </w:t>
            </w:r>
            <w:r w:rsidRPr="004F02F9">
              <w:rPr>
                <w:i/>
                <w:sz w:val="22"/>
                <w:szCs w:val="22"/>
              </w:rPr>
              <w:t>trigger NSR/PSD earlier since the significant emission rate for PM</w:t>
            </w:r>
            <w:r w:rsidRPr="004F02F9">
              <w:rPr>
                <w:i/>
                <w:sz w:val="22"/>
                <w:szCs w:val="22"/>
                <w:vertAlign w:val="subscript"/>
              </w:rPr>
              <w:t>2.5</w:t>
            </w:r>
            <w:r w:rsidRPr="004F02F9">
              <w:rPr>
                <w:i/>
                <w:sz w:val="22"/>
                <w:szCs w:val="22"/>
              </w:rPr>
              <w:t xml:space="preserve"> is 10 tons</w:t>
            </w:r>
            <w:r w:rsidR="002F7A6D">
              <w:rPr>
                <w:i/>
                <w:sz w:val="22"/>
                <w:szCs w:val="22"/>
              </w:rPr>
              <w:t>/year</w:t>
            </w:r>
            <w:r w:rsidRPr="004F02F9">
              <w:rPr>
                <w:i/>
                <w:sz w:val="22"/>
                <w:szCs w:val="22"/>
              </w:rPr>
              <w:t xml:space="preserve"> (PM</w:t>
            </w:r>
            <w:r w:rsidRPr="004F02F9">
              <w:rPr>
                <w:i/>
                <w:sz w:val="22"/>
                <w:szCs w:val="22"/>
                <w:vertAlign w:val="subscript"/>
              </w:rPr>
              <w:t>10</w:t>
            </w:r>
            <w:r w:rsidRPr="004F02F9">
              <w:rPr>
                <w:i/>
                <w:sz w:val="22"/>
                <w:szCs w:val="22"/>
              </w:rPr>
              <w:t xml:space="preserve"> SER = 15 tons/year and PM SER = 25 tons/year)</w:t>
            </w:r>
            <w:r w:rsidR="008D538C">
              <w:rPr>
                <w:i/>
                <w:sz w:val="22"/>
                <w:szCs w:val="22"/>
              </w:rPr>
              <w:t xml:space="preserve">. </w:t>
            </w:r>
            <w:r w:rsidRPr="004F02F9">
              <w:rPr>
                <w:i/>
                <w:sz w:val="22"/>
                <w:szCs w:val="22"/>
              </w:rPr>
              <w:t>Once the source chooses to assume PM</w:t>
            </w:r>
            <w:r w:rsidRPr="004F02F9">
              <w:rPr>
                <w:i/>
                <w:sz w:val="22"/>
                <w:szCs w:val="22"/>
                <w:vertAlign w:val="subscript"/>
              </w:rPr>
              <w:t>2.5</w:t>
            </w:r>
            <w:r w:rsidRPr="004F02F9">
              <w:rPr>
                <w:i/>
                <w:sz w:val="22"/>
                <w:szCs w:val="22"/>
              </w:rPr>
              <w:t xml:space="preserve"> = PM</w:t>
            </w:r>
            <w:r w:rsidRPr="004F02F9">
              <w:rPr>
                <w:i/>
                <w:sz w:val="22"/>
                <w:szCs w:val="22"/>
                <w:vertAlign w:val="subscript"/>
              </w:rPr>
              <w:t>10</w:t>
            </w:r>
            <w:r w:rsidRPr="004F02F9">
              <w:rPr>
                <w:i/>
                <w:sz w:val="22"/>
                <w:szCs w:val="22"/>
              </w:rPr>
              <w:t>, that choice cannot be changed in the future, even if more accurate data is available</w:t>
            </w:r>
            <w:r>
              <w:rPr>
                <w:i/>
                <w:sz w:val="22"/>
                <w:szCs w:val="22"/>
              </w:rPr>
              <w:t xml:space="preserve">. </w:t>
            </w:r>
            <w:r w:rsidR="00A21C65">
              <w:rPr>
                <w:i/>
                <w:sz w:val="22"/>
                <w:szCs w:val="22"/>
              </w:rPr>
              <w:t>No change to the rule is proposed in response to this comment.</w:t>
            </w:r>
            <w:r>
              <w:rPr>
                <w:i/>
                <w:sz w:val="22"/>
                <w:szCs w:val="22"/>
              </w:rPr>
              <w:t xml:space="preserve"> </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15"/>
            </w:pPr>
            <w:r w:rsidRPr="00943C75">
              <w:lastRenderedPageBreak/>
              <w:br w:type="page"/>
            </w:r>
          </w:p>
          <w:p w:rsidR="00EF4FD3" w:rsidRPr="00943C75" w:rsidRDefault="00EF4FD3" w:rsidP="00DE1045">
            <w:pPr>
              <w:ind w:right="-115"/>
              <w:rPr>
                <w:bCs/>
                <w:sz w:val="22"/>
                <w:szCs w:val="22"/>
              </w:rPr>
            </w:pPr>
            <w:r w:rsidRPr="00943C75">
              <w:rPr>
                <w:bCs/>
                <w:sz w:val="22"/>
                <w:szCs w:val="22"/>
              </w:rPr>
              <w:t>Proposed option 2</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6D47DC" w:rsidRDefault="00EF4FD3" w:rsidP="00DE1045">
            <w:pPr>
              <w:pStyle w:val="ColorfulList-Accent11"/>
              <w:spacing w:after="120"/>
              <w:ind w:left="0"/>
              <w:rPr>
                <w:sz w:val="22"/>
                <w:szCs w:val="22"/>
              </w:rPr>
            </w:pPr>
            <w:r w:rsidRPr="006D47DC">
              <w:rPr>
                <w:sz w:val="22"/>
                <w:szCs w:val="22"/>
              </w:rPr>
              <w:t xml:space="preserve">Option 2 would subject facilities to PSD for any increase over current PSEL and could lead to massive increases in </w:t>
            </w:r>
            <w:r w:rsidRPr="006D47DC">
              <w:rPr>
                <w:i/>
                <w:sz w:val="22"/>
                <w:szCs w:val="22"/>
              </w:rPr>
              <w:t>actual</w:t>
            </w:r>
            <w:r w:rsidRPr="006D47DC">
              <w:rPr>
                <w:sz w:val="22"/>
                <w:szCs w:val="22"/>
              </w:rPr>
              <w:t xml:space="preserve"> pollution. By setting PSELs at PTE for ALL sources constructed after 1978, Option 2 would allow massive increases in actual emissions in the air shed and allow for violation of the NAAQS or PSD increment with impunity. Even more so than Option 1, Option 2 would wholly disconnect the PSEL program from the programs it is supposed to support, making the PSEL nothing more than a bureaucratic and accounting exercise in futility. (12)</w:t>
            </w:r>
          </w:p>
          <w:p w:rsidR="00EF4FD3" w:rsidRPr="006D47DC" w:rsidRDefault="00EF4FD3" w:rsidP="00DE1045">
            <w:pPr>
              <w:pStyle w:val="ColorfulList-Accent11"/>
              <w:spacing w:after="120"/>
              <w:ind w:left="0"/>
              <w:rPr>
                <w:i/>
                <w:sz w:val="22"/>
                <w:szCs w:val="22"/>
              </w:rPr>
            </w:pPr>
            <w:r w:rsidRPr="006D47DC">
              <w:rPr>
                <w:i/>
                <w:sz w:val="22"/>
                <w:szCs w:val="22"/>
              </w:rPr>
              <w:t xml:space="preserve">Response:  </w:t>
            </w:r>
          </w:p>
          <w:p w:rsidR="00EF4FD3" w:rsidRPr="006D47DC" w:rsidRDefault="00EF4FD3" w:rsidP="005A0E86">
            <w:pPr>
              <w:spacing w:after="120"/>
              <w:rPr>
                <w:i/>
                <w:sz w:val="22"/>
                <w:szCs w:val="22"/>
              </w:rPr>
            </w:pPr>
            <w:r w:rsidRPr="006D47DC">
              <w:rPr>
                <w:i/>
                <w:sz w:val="22"/>
                <w:szCs w:val="22"/>
              </w:rPr>
              <w:t>The commenter is correct in stating that Option 2 would disconnect GHG emissions from actual emissions today</w:t>
            </w:r>
            <w:r>
              <w:rPr>
                <w:i/>
                <w:sz w:val="22"/>
                <w:szCs w:val="22"/>
              </w:rPr>
              <w:t xml:space="preserve">. </w:t>
            </w:r>
            <w:r w:rsidRPr="006D47DC">
              <w:rPr>
                <w:i/>
                <w:sz w:val="22"/>
                <w:szCs w:val="22"/>
              </w:rPr>
              <w:t xml:space="preserve">DEQ </w:t>
            </w:r>
            <w:r w:rsidR="005A0E86">
              <w:rPr>
                <w:i/>
                <w:sz w:val="22"/>
                <w:szCs w:val="22"/>
              </w:rPr>
              <w:t xml:space="preserve">is not recommending </w:t>
            </w:r>
            <w:r w:rsidRPr="006D47DC">
              <w:rPr>
                <w:i/>
                <w:sz w:val="22"/>
                <w:szCs w:val="22"/>
              </w:rPr>
              <w:t>Option 2</w:t>
            </w:r>
            <w:r w:rsidR="005A0E86">
              <w:rPr>
                <w:i/>
                <w:sz w:val="22"/>
                <w:szCs w:val="22"/>
              </w:rPr>
              <w:t xml:space="preserve"> for adoption</w:t>
            </w:r>
            <w:r>
              <w:rPr>
                <w:i/>
                <w:sz w:val="22"/>
                <w:szCs w:val="22"/>
              </w:rPr>
              <w:t xml:space="preserve">. </w:t>
            </w:r>
            <w:r w:rsidRPr="006D47DC">
              <w:rPr>
                <w:i/>
                <w:sz w:val="22"/>
                <w:szCs w:val="22"/>
              </w:rPr>
              <w:t xml:space="preserve">Changes </w:t>
            </w:r>
            <w:r w:rsidR="005A0E86">
              <w:rPr>
                <w:i/>
                <w:sz w:val="22"/>
                <w:szCs w:val="22"/>
              </w:rPr>
              <w:t xml:space="preserve">have been </w:t>
            </w:r>
            <w:r w:rsidRPr="006D47DC">
              <w:rPr>
                <w:i/>
                <w:sz w:val="22"/>
                <w:szCs w:val="22"/>
              </w:rPr>
              <w:t>made to the proposed rules to incorporate a modified version of Option 1 (</w:t>
            </w:r>
            <w:r w:rsidRPr="00180A73">
              <w:rPr>
                <w:i/>
                <w:sz w:val="22"/>
                <w:szCs w:val="22"/>
              </w:rPr>
              <w:t xml:space="preserve">see the response in comment </w:t>
            </w:r>
            <w:fldSimple w:instr=" REF _Ref283933480 \r \h  \* MERGEFORMAT ">
              <w:r w:rsidR="00856461" w:rsidRPr="00856461">
                <w:rPr>
                  <w:i/>
                  <w:sz w:val="22"/>
                  <w:szCs w:val="22"/>
                </w:rPr>
                <w:t>48</w:t>
              </w:r>
            </w:fldSimple>
            <w:r w:rsidRPr="00180A73">
              <w:rPr>
                <w:i/>
                <w:sz w:val="22"/>
                <w:szCs w:val="22"/>
              </w:rPr>
              <w:t xml:space="preserve"> “Proposed Option 1”).</w:t>
            </w:r>
            <w:r>
              <w:rPr>
                <w:i/>
                <w:sz w:val="22"/>
                <w:szCs w:val="22"/>
              </w:rPr>
              <w:t xml:space="preserve"> </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08"/>
            </w:pPr>
            <w:r w:rsidRPr="00943C75">
              <w:br w:type="page"/>
            </w:r>
          </w:p>
          <w:p w:rsidR="00EF4FD3" w:rsidRPr="00943C75" w:rsidRDefault="00EF4FD3" w:rsidP="00DE1045">
            <w:pPr>
              <w:ind w:right="-108"/>
              <w:rPr>
                <w:bCs/>
                <w:sz w:val="22"/>
                <w:szCs w:val="22"/>
              </w:rPr>
            </w:pPr>
            <w:r w:rsidRPr="00943C75">
              <w:rPr>
                <w:bCs/>
                <w:sz w:val="22"/>
                <w:szCs w:val="22"/>
              </w:rPr>
              <w:t>Proposed option 3</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943C75" w:rsidRDefault="00EF4FD3" w:rsidP="00DE1045">
            <w:pPr>
              <w:pStyle w:val="ColorfulList-Accent11"/>
              <w:spacing w:after="120"/>
              <w:ind w:left="0"/>
              <w:rPr>
                <w:sz w:val="22"/>
                <w:szCs w:val="22"/>
              </w:rPr>
            </w:pPr>
            <w:r w:rsidRPr="00943C75">
              <w:rPr>
                <w:sz w:val="22"/>
                <w:szCs w:val="22"/>
              </w:rPr>
              <w:t>Option 3 is better because it ties the baseline period to when DEQ actually has monitoring data, ensuring that the PSEL program actually meets its goal of ensuring compliance with the NAAQS and PSD increment. If adopted, DEQ should outline very specific requirements for when DEQ will diverge from the baseline period for setting baseline emission rates. (12)</w:t>
            </w:r>
          </w:p>
          <w:p w:rsidR="00EF4FD3" w:rsidRPr="00943C75" w:rsidRDefault="00EF4FD3" w:rsidP="00DE1045">
            <w:pPr>
              <w:pStyle w:val="ColorfulList-Accent11"/>
              <w:spacing w:after="120"/>
              <w:ind w:left="0"/>
              <w:rPr>
                <w:i/>
                <w:sz w:val="22"/>
                <w:szCs w:val="22"/>
              </w:rPr>
            </w:pPr>
            <w:r w:rsidRPr="00943C75">
              <w:rPr>
                <w:i/>
                <w:sz w:val="22"/>
                <w:szCs w:val="22"/>
              </w:rPr>
              <w:t xml:space="preserve">Response:  </w:t>
            </w:r>
          </w:p>
          <w:p w:rsidR="00EF4FD3" w:rsidRPr="00E70F47" w:rsidRDefault="00EF4FD3" w:rsidP="005A0E86">
            <w:pPr>
              <w:pStyle w:val="ColorfulList-Accent11"/>
              <w:spacing w:after="120"/>
              <w:ind w:left="0"/>
              <w:rPr>
                <w:i/>
                <w:sz w:val="22"/>
                <w:szCs w:val="22"/>
              </w:rPr>
            </w:pPr>
            <w:r w:rsidRPr="00943C75">
              <w:rPr>
                <w:i/>
                <w:sz w:val="22"/>
                <w:szCs w:val="22"/>
              </w:rPr>
              <w:t xml:space="preserve">DEQ </w:t>
            </w:r>
            <w:r w:rsidR="005A0E86">
              <w:rPr>
                <w:i/>
                <w:sz w:val="22"/>
                <w:szCs w:val="22"/>
              </w:rPr>
              <w:t xml:space="preserve">is </w:t>
            </w:r>
            <w:r w:rsidRPr="00943C75">
              <w:rPr>
                <w:i/>
                <w:sz w:val="22"/>
                <w:szCs w:val="22"/>
              </w:rPr>
              <w:t xml:space="preserve">not </w:t>
            </w:r>
            <w:r w:rsidR="005A0E86">
              <w:rPr>
                <w:i/>
                <w:sz w:val="22"/>
                <w:szCs w:val="22"/>
              </w:rPr>
              <w:t xml:space="preserve">recommending </w:t>
            </w:r>
            <w:r w:rsidRPr="00943C75">
              <w:rPr>
                <w:i/>
                <w:sz w:val="22"/>
                <w:szCs w:val="22"/>
              </w:rPr>
              <w:t xml:space="preserve">Option 3 </w:t>
            </w:r>
            <w:r w:rsidR="005A0E86">
              <w:rPr>
                <w:i/>
                <w:sz w:val="22"/>
                <w:szCs w:val="22"/>
              </w:rPr>
              <w:t>for adoption because it would create a different baseline for PM</w:t>
            </w:r>
            <w:r w:rsidR="005A0E86">
              <w:rPr>
                <w:i/>
                <w:sz w:val="22"/>
                <w:szCs w:val="22"/>
                <w:vertAlign w:val="subscript"/>
              </w:rPr>
              <w:t>2.5</w:t>
            </w:r>
            <w:r w:rsidR="005A0E86">
              <w:rPr>
                <w:i/>
                <w:sz w:val="22"/>
                <w:szCs w:val="22"/>
              </w:rPr>
              <w:t xml:space="preserve"> and PM</w:t>
            </w:r>
            <w:r w:rsidR="005A0E86">
              <w:rPr>
                <w:i/>
                <w:sz w:val="22"/>
                <w:szCs w:val="22"/>
                <w:vertAlign w:val="subscript"/>
              </w:rPr>
              <w:t>10</w:t>
            </w:r>
            <w:r w:rsidR="008D538C">
              <w:rPr>
                <w:i/>
                <w:sz w:val="22"/>
                <w:szCs w:val="22"/>
              </w:rPr>
              <w:t xml:space="preserve">. </w:t>
            </w:r>
            <w:r w:rsidR="005A0E86">
              <w:rPr>
                <w:i/>
                <w:sz w:val="22"/>
                <w:szCs w:val="22"/>
              </w:rPr>
              <w:t>Since the two pollutants are so closely related, adoption of this option would create significant implementation issues</w:t>
            </w:r>
            <w:r w:rsidR="008D538C">
              <w:rPr>
                <w:i/>
                <w:sz w:val="22"/>
                <w:szCs w:val="22"/>
              </w:rPr>
              <w:t xml:space="preserve">. </w:t>
            </w:r>
            <w:r w:rsidR="005A0E86">
              <w:rPr>
                <w:i/>
                <w:sz w:val="22"/>
                <w:szCs w:val="22"/>
              </w:rPr>
              <w:t xml:space="preserve">In addition, DEQ does not believe it is necessary to align the baseline year with the baseline concentration year to </w:t>
            </w:r>
            <w:r w:rsidR="005A0E86" w:rsidRPr="00B25A93">
              <w:rPr>
                <w:i/>
                <w:sz w:val="22"/>
                <w:szCs w:val="22"/>
              </w:rPr>
              <w:t>ensure compliance with the increment</w:t>
            </w:r>
            <w:r w:rsidR="008D538C">
              <w:rPr>
                <w:i/>
                <w:sz w:val="22"/>
                <w:szCs w:val="22"/>
              </w:rPr>
              <w:t xml:space="preserve">. </w:t>
            </w:r>
            <w:r w:rsidR="00B25A93" w:rsidRPr="009E5D0B">
              <w:rPr>
                <w:i/>
                <w:sz w:val="22"/>
                <w:szCs w:val="22"/>
              </w:rPr>
              <w:t xml:space="preserve">See the responses in comment </w:t>
            </w:r>
            <w:fldSimple w:instr=" REF _Ref283933930 \r \h  \* MERGEFORMAT ">
              <w:r w:rsidR="00B25A93" w:rsidRPr="00856461">
                <w:rPr>
                  <w:i/>
                  <w:sz w:val="22"/>
                  <w:szCs w:val="22"/>
                </w:rPr>
                <w:t>54</w:t>
              </w:r>
            </w:fldSimple>
            <w:r w:rsidR="00B25A93">
              <w:rPr>
                <w:i/>
                <w:sz w:val="22"/>
                <w:szCs w:val="22"/>
              </w:rPr>
              <w:t xml:space="preserve"> “Compliance with the NAAQS</w:t>
            </w:r>
            <w:r w:rsidR="00B25A93" w:rsidRPr="009E5D0B">
              <w:rPr>
                <w:i/>
                <w:sz w:val="22"/>
                <w:szCs w:val="22"/>
              </w:rPr>
              <w:t xml:space="preserve">” </w:t>
            </w:r>
            <w:r w:rsidR="00B25A93">
              <w:rPr>
                <w:i/>
                <w:sz w:val="22"/>
                <w:szCs w:val="22"/>
              </w:rPr>
              <w:t xml:space="preserve">and </w:t>
            </w:r>
            <w:r w:rsidR="00B25A93" w:rsidRPr="009E5D0B">
              <w:rPr>
                <w:i/>
                <w:sz w:val="22"/>
                <w:szCs w:val="22"/>
              </w:rPr>
              <w:t xml:space="preserve">comment </w:t>
            </w:r>
            <w:fldSimple w:instr=" REF _Ref283933944 \r \h  \* MERGEFORMAT ">
              <w:r w:rsidR="00B25A93" w:rsidRPr="00856461">
                <w:rPr>
                  <w:i/>
                  <w:sz w:val="22"/>
                  <w:szCs w:val="22"/>
                </w:rPr>
                <w:t>55</w:t>
              </w:r>
            </w:fldSimple>
            <w:r w:rsidR="00B25A93" w:rsidRPr="009E5D0B">
              <w:rPr>
                <w:i/>
                <w:sz w:val="22"/>
                <w:szCs w:val="22"/>
              </w:rPr>
              <w:t xml:space="preserve"> “Compliance with the PSD increment</w:t>
            </w:r>
            <w:r w:rsidR="00B25A93">
              <w:rPr>
                <w:i/>
                <w:sz w:val="22"/>
                <w:szCs w:val="22"/>
              </w:rPr>
              <w:t>.</w:t>
            </w:r>
            <w:r w:rsidR="00B25A93" w:rsidRPr="00551806">
              <w:rPr>
                <w:i/>
                <w:sz w:val="22"/>
                <w:szCs w:val="22"/>
              </w:rPr>
              <w:t xml:space="preserve">” </w:t>
            </w:r>
            <w:r w:rsidR="00946DCE">
              <w:rPr>
                <w:i/>
                <w:sz w:val="22"/>
                <w:szCs w:val="22"/>
              </w:rPr>
              <w:t xml:space="preserve">Changes have been made to the proposed rules to incorporate a modified version of Option 1 </w:t>
            </w:r>
            <w:r w:rsidR="00946DCE" w:rsidRPr="006D47DC">
              <w:rPr>
                <w:i/>
                <w:sz w:val="22"/>
                <w:szCs w:val="22"/>
              </w:rPr>
              <w:t>(</w:t>
            </w:r>
            <w:r w:rsidR="00946DCE" w:rsidRPr="00180A73">
              <w:rPr>
                <w:i/>
                <w:sz w:val="22"/>
                <w:szCs w:val="22"/>
              </w:rPr>
              <w:t xml:space="preserve">see the response in comment </w:t>
            </w:r>
            <w:fldSimple w:instr=" REF _Ref283933480 \r \h  \* MERGEFORMAT ">
              <w:r w:rsidR="00946DCE" w:rsidRPr="00856461">
                <w:rPr>
                  <w:i/>
                  <w:sz w:val="22"/>
                  <w:szCs w:val="22"/>
                </w:rPr>
                <w:t>48</w:t>
              </w:r>
            </w:fldSimple>
            <w:r w:rsidR="00946DCE" w:rsidRPr="00180A73">
              <w:rPr>
                <w:i/>
                <w:sz w:val="22"/>
                <w:szCs w:val="22"/>
              </w:rPr>
              <w:t xml:space="preserve"> “Proposed Option 1”).</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08"/>
              <w:rPr>
                <w:bCs/>
                <w:sz w:val="22"/>
                <w:szCs w:val="22"/>
              </w:rPr>
            </w:pPr>
          </w:p>
          <w:p w:rsidR="00EF4FD3" w:rsidRPr="00943C75" w:rsidRDefault="00EF4FD3" w:rsidP="00DE1045">
            <w:pPr>
              <w:ind w:right="-108"/>
              <w:rPr>
                <w:bCs/>
                <w:sz w:val="22"/>
                <w:szCs w:val="22"/>
              </w:rPr>
            </w:pPr>
            <w:r w:rsidRPr="00943C75">
              <w:rPr>
                <w:bCs/>
                <w:sz w:val="22"/>
                <w:szCs w:val="22"/>
              </w:rPr>
              <w:t>Proposed option 4</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894F3B" w:rsidRDefault="00EF4FD3" w:rsidP="00DE1045">
            <w:pPr>
              <w:pStyle w:val="ColorfulList-Accent11"/>
              <w:spacing w:after="120"/>
              <w:ind w:left="0"/>
              <w:rPr>
                <w:sz w:val="22"/>
                <w:szCs w:val="22"/>
              </w:rPr>
            </w:pPr>
            <w:r w:rsidRPr="00894F3B">
              <w:rPr>
                <w:sz w:val="22"/>
                <w:szCs w:val="22"/>
              </w:rPr>
              <w:t>Option 4 is best. The PSEL program has failed to live up to what Oregonians expect and DEQ should move away from it. Option 4 is a good first step down that road.</w:t>
            </w:r>
            <w:r>
              <w:rPr>
                <w:sz w:val="22"/>
                <w:szCs w:val="22"/>
              </w:rPr>
              <w:t xml:space="preserve"> (12)</w:t>
            </w:r>
          </w:p>
          <w:p w:rsidR="00EF4FD3" w:rsidRDefault="00EF4FD3" w:rsidP="00DE1045">
            <w:pPr>
              <w:pStyle w:val="ColorfulList-Accent11"/>
              <w:spacing w:after="120"/>
              <w:ind w:left="0"/>
              <w:rPr>
                <w:i/>
                <w:sz w:val="22"/>
                <w:szCs w:val="22"/>
              </w:rPr>
            </w:pPr>
            <w:r>
              <w:rPr>
                <w:i/>
                <w:sz w:val="22"/>
                <w:szCs w:val="22"/>
              </w:rPr>
              <w:t xml:space="preserve">Response: </w:t>
            </w:r>
          </w:p>
          <w:p w:rsidR="00EF4FD3" w:rsidRPr="002D0FE2" w:rsidRDefault="00B25A93" w:rsidP="00946DCE">
            <w:pPr>
              <w:pStyle w:val="ColorfulList-Accent11"/>
              <w:spacing w:after="120"/>
              <w:ind w:left="0"/>
              <w:rPr>
                <w:sz w:val="22"/>
                <w:szCs w:val="22"/>
              </w:rPr>
            </w:pPr>
            <w:r>
              <w:rPr>
                <w:i/>
                <w:sz w:val="22"/>
                <w:szCs w:val="22"/>
              </w:rPr>
              <w:t xml:space="preserve">After consulting with EPA about the </w:t>
            </w:r>
            <w:r w:rsidR="00EF4FD3">
              <w:rPr>
                <w:i/>
                <w:sz w:val="22"/>
                <w:szCs w:val="22"/>
              </w:rPr>
              <w:t>strengths and weaknesses</w:t>
            </w:r>
            <w:r w:rsidR="00946DCE">
              <w:rPr>
                <w:i/>
                <w:sz w:val="22"/>
                <w:szCs w:val="22"/>
              </w:rPr>
              <w:t xml:space="preserve"> of the federal program</w:t>
            </w:r>
            <w:r w:rsidR="00721B6C">
              <w:rPr>
                <w:i/>
                <w:sz w:val="22"/>
                <w:szCs w:val="22"/>
              </w:rPr>
              <w:t xml:space="preserve"> and considering implementation issues</w:t>
            </w:r>
            <w:r w:rsidR="00EF4FD3">
              <w:rPr>
                <w:i/>
                <w:sz w:val="22"/>
                <w:szCs w:val="22"/>
              </w:rPr>
              <w:t xml:space="preserve">, DEQ </w:t>
            </w:r>
            <w:r w:rsidR="00946DCE">
              <w:rPr>
                <w:i/>
                <w:sz w:val="22"/>
                <w:szCs w:val="22"/>
              </w:rPr>
              <w:t xml:space="preserve">is not recommending adoption of </w:t>
            </w:r>
            <w:r w:rsidR="00EF4FD3">
              <w:rPr>
                <w:i/>
                <w:sz w:val="22"/>
                <w:szCs w:val="22"/>
              </w:rPr>
              <w:t xml:space="preserve">Option 4 (see the response in comment </w:t>
            </w:r>
            <w:r w:rsidR="00D32693">
              <w:rPr>
                <w:i/>
                <w:sz w:val="22"/>
                <w:szCs w:val="22"/>
              </w:rPr>
              <w:fldChar w:fldCharType="begin"/>
            </w:r>
            <w:r w:rsidR="00EF4FD3">
              <w:rPr>
                <w:i/>
                <w:sz w:val="22"/>
                <w:szCs w:val="22"/>
              </w:rPr>
              <w:instrText xml:space="preserve"> REF _Ref283933546 \r \h </w:instrText>
            </w:r>
            <w:r w:rsidR="00D32693">
              <w:rPr>
                <w:i/>
                <w:sz w:val="22"/>
                <w:szCs w:val="22"/>
              </w:rPr>
            </w:r>
            <w:r w:rsidR="00D32693">
              <w:rPr>
                <w:i/>
                <w:sz w:val="22"/>
                <w:szCs w:val="22"/>
              </w:rPr>
              <w:fldChar w:fldCharType="separate"/>
            </w:r>
            <w:r w:rsidR="00E765A0">
              <w:rPr>
                <w:i/>
                <w:sz w:val="22"/>
                <w:szCs w:val="22"/>
              </w:rPr>
              <w:t>52</w:t>
            </w:r>
            <w:r w:rsidR="00D32693">
              <w:rPr>
                <w:i/>
                <w:sz w:val="22"/>
                <w:szCs w:val="22"/>
              </w:rPr>
              <w:fldChar w:fldCharType="end"/>
            </w:r>
            <w:r w:rsidR="00EF4FD3">
              <w:rPr>
                <w:i/>
                <w:sz w:val="22"/>
                <w:szCs w:val="22"/>
              </w:rPr>
              <w:t xml:space="preserve"> to “State NSR/PSD program vs. federal program)</w:t>
            </w:r>
            <w:r w:rsidR="008D538C">
              <w:rPr>
                <w:i/>
                <w:sz w:val="22"/>
                <w:szCs w:val="22"/>
              </w:rPr>
              <w:t xml:space="preserve">. </w:t>
            </w:r>
            <w:r w:rsidR="00EF4FD3">
              <w:rPr>
                <w:i/>
                <w:sz w:val="22"/>
                <w:szCs w:val="22"/>
              </w:rPr>
              <w:t xml:space="preserve">Changes </w:t>
            </w:r>
            <w:r w:rsidR="00946DCE">
              <w:rPr>
                <w:i/>
                <w:sz w:val="22"/>
                <w:szCs w:val="22"/>
              </w:rPr>
              <w:t xml:space="preserve">have been made </w:t>
            </w:r>
            <w:r w:rsidR="00EF4FD3">
              <w:rPr>
                <w:i/>
                <w:sz w:val="22"/>
                <w:szCs w:val="22"/>
              </w:rPr>
              <w:t xml:space="preserve">to the proposed rules to incorporate a modified version of Option 1 </w:t>
            </w:r>
            <w:r w:rsidR="00EF4FD3" w:rsidRPr="006D47DC">
              <w:rPr>
                <w:i/>
                <w:sz w:val="22"/>
                <w:szCs w:val="22"/>
              </w:rPr>
              <w:t>(</w:t>
            </w:r>
            <w:r w:rsidR="00EF4FD3" w:rsidRPr="00180A73">
              <w:rPr>
                <w:i/>
                <w:sz w:val="22"/>
                <w:szCs w:val="22"/>
              </w:rPr>
              <w:t xml:space="preserve">see the response in comment </w:t>
            </w:r>
            <w:fldSimple w:instr=" REF _Ref283933480 \r \h  \* MERGEFORMAT ">
              <w:r w:rsidR="00856461" w:rsidRPr="00856461">
                <w:rPr>
                  <w:i/>
                  <w:sz w:val="22"/>
                  <w:szCs w:val="22"/>
                </w:rPr>
                <w:t>48</w:t>
              </w:r>
            </w:fldSimple>
            <w:r w:rsidR="00EF4FD3" w:rsidRPr="00180A73">
              <w:rPr>
                <w:i/>
                <w:sz w:val="22"/>
                <w:szCs w:val="22"/>
              </w:rPr>
              <w:t xml:space="preserve"> “Proposed Option 1”).</w:t>
            </w:r>
          </w:p>
        </w:tc>
      </w:tr>
      <w:tr w:rsidR="00A62014" w:rsidRPr="002D0FE2" w:rsidTr="005C1438">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bookmarkStart w:id="9" w:name="_Ref283933546"/>
          </w:p>
          <w:bookmarkEnd w:id="9"/>
          <w:p w:rsidR="00A62014" w:rsidRPr="00943C75" w:rsidRDefault="00A62014" w:rsidP="00A62014">
            <w:pPr>
              <w:rPr>
                <w:sz w:val="22"/>
                <w:szCs w:val="22"/>
              </w:rPr>
            </w:pPr>
            <w:r w:rsidRPr="00943C75">
              <w:rPr>
                <w:sz w:val="22"/>
                <w:szCs w:val="22"/>
              </w:rPr>
              <w:t>State NSR/PSD program  vs. federal program</w:t>
            </w:r>
          </w:p>
          <w:p w:rsidR="00A62014" w:rsidRPr="00943C75" w:rsidRDefault="00A62014" w:rsidP="00A62014">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AF129A" w:rsidRDefault="00A62014" w:rsidP="0020419F">
            <w:pPr>
              <w:spacing w:after="120"/>
              <w:rPr>
                <w:sz w:val="22"/>
                <w:szCs w:val="22"/>
              </w:rPr>
            </w:pPr>
            <w:r w:rsidRPr="00AF129A">
              <w:rPr>
                <w:sz w:val="22"/>
                <w:szCs w:val="22"/>
              </w:rPr>
              <w:t>In the PM</w:t>
            </w:r>
            <w:r w:rsidRPr="00AF129A">
              <w:rPr>
                <w:sz w:val="22"/>
                <w:szCs w:val="22"/>
                <w:vertAlign w:val="subscript"/>
              </w:rPr>
              <w:t>2.5</w:t>
            </w:r>
            <w:r w:rsidRPr="00AF129A">
              <w:rPr>
                <w:sz w:val="22"/>
                <w:szCs w:val="22"/>
              </w:rPr>
              <w:t>/GHG regulatory proposal, the Department has indicated that it is considering adopting the federal PSD rules for greenhouse gases rather than keeping GHG regulation consistent with the regulation of other regulated air pollutants</w:t>
            </w:r>
            <w:r>
              <w:rPr>
                <w:sz w:val="22"/>
                <w:szCs w:val="22"/>
              </w:rPr>
              <w:t xml:space="preserve">. </w:t>
            </w:r>
            <w:r w:rsidRPr="00AF129A">
              <w:rPr>
                <w:sz w:val="22"/>
                <w:szCs w:val="22"/>
              </w:rPr>
              <w:t>We believe that this would be bad for Oregon and therefore encourage the Department to adopt regulations that treat GHGs consistent with how other regulated air pollutants are treated for the following reasons:</w:t>
            </w:r>
          </w:p>
          <w:p w:rsidR="00A62014" w:rsidRPr="00AF129A" w:rsidRDefault="00A62014" w:rsidP="0020419F">
            <w:pPr>
              <w:pStyle w:val="ListParagraph"/>
              <w:numPr>
                <w:ilvl w:val="0"/>
                <w:numId w:val="10"/>
              </w:numPr>
              <w:spacing w:after="120"/>
              <w:rPr>
                <w:rStyle w:val="FontStyle16"/>
                <w:rFonts w:ascii="Times New Roman" w:hAnsi="Times New Roman" w:cs="Times New Roman"/>
                <w:color w:val="auto"/>
                <w:sz w:val="22"/>
                <w:szCs w:val="22"/>
              </w:rPr>
            </w:pPr>
            <w:r w:rsidRPr="00AF129A">
              <w:rPr>
                <w:rStyle w:val="FontStyle16"/>
                <w:rFonts w:ascii="Times New Roman" w:hAnsi="Times New Roman" w:cs="Times New Roman"/>
                <w:sz w:val="22"/>
                <w:szCs w:val="22"/>
              </w:rPr>
              <w:t>The Oregon program has always had incentives under the PSEL program to reduce emissions and to operate equipment in as low-emitting a manner as possible. This excludes changes from PSD when these changed can be accommodated under the PSEL</w:t>
            </w:r>
            <w:r>
              <w:rPr>
                <w:rStyle w:val="FontStyle16"/>
                <w:rFonts w:ascii="Times New Roman" w:hAnsi="Times New Roman" w:cs="Times New Roman"/>
                <w:sz w:val="22"/>
                <w:szCs w:val="22"/>
              </w:rPr>
              <w:t xml:space="preserve">. </w:t>
            </w:r>
          </w:p>
          <w:p w:rsidR="00A62014" w:rsidRPr="00AF129A" w:rsidRDefault="00A62014" w:rsidP="0020419F">
            <w:pPr>
              <w:pStyle w:val="ListParagraph"/>
              <w:numPr>
                <w:ilvl w:val="0"/>
                <w:numId w:val="10"/>
              </w:numPr>
              <w:spacing w:after="120"/>
              <w:rPr>
                <w:rStyle w:val="FontStyle16"/>
                <w:rFonts w:ascii="Times New Roman" w:hAnsi="Times New Roman" w:cs="Times New Roman"/>
                <w:color w:val="auto"/>
                <w:sz w:val="22"/>
                <w:szCs w:val="22"/>
              </w:rPr>
            </w:pPr>
            <w:r w:rsidRPr="00AF129A">
              <w:rPr>
                <w:rStyle w:val="FontStyle16"/>
                <w:rFonts w:ascii="Times New Roman" w:hAnsi="Times New Roman" w:cs="Times New Roman"/>
                <w:sz w:val="22"/>
                <w:szCs w:val="22"/>
              </w:rPr>
              <w:t>The Oregon program provides flexibility to expand production operations.</w:t>
            </w:r>
          </w:p>
          <w:p w:rsidR="00A62014" w:rsidRPr="00AF129A" w:rsidRDefault="00A62014" w:rsidP="00AF129A">
            <w:pPr>
              <w:pStyle w:val="ListParagraph"/>
              <w:numPr>
                <w:ilvl w:val="0"/>
                <w:numId w:val="10"/>
              </w:numPr>
              <w:spacing w:after="120"/>
              <w:rPr>
                <w:rStyle w:val="FontStyle14"/>
                <w:rFonts w:ascii="Times New Roman" w:hAnsi="Times New Roman" w:cs="Times New Roman"/>
                <w:color w:val="auto"/>
              </w:rPr>
            </w:pPr>
            <w:r>
              <w:rPr>
                <w:rStyle w:val="FontStyle14"/>
                <w:rFonts w:ascii="Times New Roman" w:hAnsi="Times New Roman" w:cs="Times New Roman"/>
              </w:rPr>
              <w:t xml:space="preserve">The Oregon program provides simplicity in determining NSR/PSD applicability, unlike the federal program where sources must </w:t>
            </w:r>
            <w:r w:rsidRPr="00AF129A">
              <w:rPr>
                <w:rStyle w:val="FontStyle14"/>
                <w:rFonts w:ascii="Times New Roman" w:hAnsi="Times New Roman" w:cs="Times New Roman"/>
              </w:rPr>
              <w:t>rely on consultants to assist with their applicability determinations due to the complexity of the rules</w:t>
            </w:r>
            <w:r>
              <w:rPr>
                <w:rStyle w:val="FontStyle14"/>
                <w:rFonts w:ascii="Times New Roman" w:hAnsi="Times New Roman" w:cs="Times New Roman"/>
              </w:rPr>
              <w:t xml:space="preserve">. </w:t>
            </w:r>
            <w:r w:rsidRPr="00AF129A">
              <w:rPr>
                <w:rStyle w:val="FontStyle14"/>
                <w:rFonts w:ascii="Times New Roman" w:hAnsi="Times New Roman" w:cs="Times New Roman"/>
              </w:rPr>
              <w:t xml:space="preserve">This will be especially important if the rules affect smaller businesses in the future. </w:t>
            </w:r>
            <w:r w:rsidRPr="00AF129A">
              <w:rPr>
                <w:sz w:val="22"/>
                <w:szCs w:val="22"/>
              </w:rPr>
              <w:t>(1, 2, 3, 4, 9, 11, 13, 14, 15, 16, 17, 18, 19</w:t>
            </w:r>
            <w:r>
              <w:rPr>
                <w:sz w:val="22"/>
                <w:szCs w:val="22"/>
              </w:rPr>
              <w:t>, 23</w:t>
            </w:r>
            <w:r w:rsidRPr="00AF129A">
              <w:rPr>
                <w:sz w:val="22"/>
                <w:szCs w:val="22"/>
              </w:rPr>
              <w:t>)</w:t>
            </w:r>
          </w:p>
          <w:p w:rsidR="00A62014" w:rsidRPr="002022AE" w:rsidRDefault="00A62014" w:rsidP="00AF129A">
            <w:pPr>
              <w:spacing w:after="120"/>
              <w:rPr>
                <w:sz w:val="22"/>
                <w:szCs w:val="22"/>
              </w:rPr>
            </w:pPr>
            <w:r w:rsidRPr="00AF129A">
              <w:rPr>
                <w:rStyle w:val="FontStyle14"/>
                <w:rFonts w:ascii="Times New Roman" w:hAnsi="Times New Roman" w:cs="Times New Roman"/>
              </w:rPr>
              <w:t>T</w:t>
            </w:r>
            <w:r w:rsidRPr="00AF129A">
              <w:rPr>
                <w:noProof/>
                <w:sz w:val="22"/>
                <w:szCs w:val="22"/>
              </w:rPr>
              <w:t>he commenter</w:t>
            </w:r>
            <w:r>
              <w:rPr>
                <w:noProof/>
                <w:sz w:val="22"/>
                <w:szCs w:val="22"/>
              </w:rPr>
              <w:t>s</w:t>
            </w:r>
            <w:r w:rsidRPr="00AF129A">
              <w:rPr>
                <w:noProof/>
                <w:sz w:val="22"/>
                <w:szCs w:val="22"/>
              </w:rPr>
              <w:t xml:space="preserve"> would prefer the adoption of the Federal Netting Method for GHG emissions because it does not place the facility at a competitve disadvantage when compared to other  plants in other parts of the country</w:t>
            </w:r>
            <w:r>
              <w:rPr>
                <w:noProof/>
                <w:sz w:val="22"/>
                <w:szCs w:val="22"/>
              </w:rPr>
              <w:t xml:space="preserve">. </w:t>
            </w:r>
            <w:r w:rsidRPr="00AF129A">
              <w:rPr>
                <w:sz w:val="22"/>
                <w:szCs w:val="22"/>
              </w:rPr>
              <w:t>Any</w:t>
            </w:r>
            <w:r w:rsidRPr="002022AE">
              <w:rPr>
                <w:sz w:val="22"/>
                <w:szCs w:val="22"/>
              </w:rPr>
              <w:t xml:space="preserve"> amendments to the DEQ program should bring the DEQ program closer to EPA’s Regulations</w:t>
            </w:r>
            <w:r>
              <w:rPr>
                <w:sz w:val="22"/>
                <w:szCs w:val="22"/>
              </w:rPr>
              <w:t xml:space="preserve">. </w:t>
            </w:r>
            <w:r w:rsidRPr="002022AE">
              <w:rPr>
                <w:sz w:val="22"/>
                <w:szCs w:val="22"/>
              </w:rPr>
              <w:t>(</w:t>
            </w:r>
            <w:r>
              <w:rPr>
                <w:sz w:val="22"/>
                <w:szCs w:val="22"/>
              </w:rPr>
              <w:t xml:space="preserve">6, </w:t>
            </w:r>
            <w:r w:rsidRPr="002022AE">
              <w:rPr>
                <w:sz w:val="22"/>
                <w:szCs w:val="22"/>
              </w:rPr>
              <w:t>10, 12)</w:t>
            </w:r>
          </w:p>
          <w:p w:rsidR="00A62014" w:rsidRDefault="00A62014" w:rsidP="0020419F">
            <w:pPr>
              <w:pStyle w:val="Style6"/>
              <w:widowControl/>
              <w:spacing w:after="120" w:line="240" w:lineRule="auto"/>
              <w:rPr>
                <w:rFonts w:ascii="Times New Roman" w:eastAsia="Times New Roman" w:hAnsi="Times New Roman" w:cs="Times New Roman"/>
                <w:i/>
                <w:sz w:val="22"/>
                <w:szCs w:val="22"/>
              </w:rPr>
            </w:pPr>
            <w:r w:rsidRPr="00837F8D">
              <w:rPr>
                <w:rFonts w:ascii="Times New Roman" w:eastAsia="Times New Roman" w:hAnsi="Times New Roman" w:cs="Times New Roman"/>
                <w:i/>
                <w:sz w:val="22"/>
                <w:szCs w:val="22"/>
              </w:rPr>
              <w:t>Response:</w:t>
            </w:r>
          </w:p>
          <w:p w:rsidR="004B0C1D" w:rsidRPr="00837F8D" w:rsidRDefault="004B0C1D" w:rsidP="0020419F">
            <w:pPr>
              <w:pStyle w:val="Style6"/>
              <w:widowControl/>
              <w:spacing w:after="120" w:line="240"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The comment</w:t>
            </w:r>
            <w:r w:rsidR="00F673F6">
              <w:rPr>
                <w:rFonts w:ascii="Times New Roman" w:eastAsia="Times New Roman" w:hAnsi="Times New Roman" w:cs="Times New Roman"/>
                <w:i/>
                <w:sz w:val="22"/>
                <w:szCs w:val="22"/>
              </w:rPr>
              <w:t>e</w:t>
            </w:r>
            <w:r>
              <w:rPr>
                <w:rFonts w:ascii="Times New Roman" w:eastAsia="Times New Roman" w:hAnsi="Times New Roman" w:cs="Times New Roman"/>
                <w:i/>
                <w:sz w:val="22"/>
                <w:szCs w:val="22"/>
              </w:rPr>
              <w:t xml:space="preserve">rs provide differing views on whether to </w:t>
            </w:r>
            <w:r w:rsidR="00B71321">
              <w:rPr>
                <w:rFonts w:ascii="Times New Roman" w:eastAsia="Times New Roman" w:hAnsi="Times New Roman" w:cs="Times New Roman"/>
                <w:i/>
                <w:sz w:val="22"/>
                <w:szCs w:val="22"/>
              </w:rPr>
              <w:t xml:space="preserve">use </w:t>
            </w:r>
            <w:r>
              <w:rPr>
                <w:rFonts w:ascii="Times New Roman" w:eastAsia="Times New Roman" w:hAnsi="Times New Roman" w:cs="Times New Roman"/>
                <w:i/>
                <w:sz w:val="22"/>
                <w:szCs w:val="22"/>
              </w:rPr>
              <w:t>the Oregon or federal netting approach for GHG.</w:t>
            </w:r>
          </w:p>
          <w:p w:rsidR="00A62014" w:rsidRPr="00837F8D" w:rsidRDefault="00A62014" w:rsidP="0020419F">
            <w:pPr>
              <w:pStyle w:val="Style6"/>
              <w:widowControl/>
              <w:spacing w:after="120" w:line="240" w:lineRule="auto"/>
              <w:rPr>
                <w:rFonts w:ascii="Times New Roman" w:eastAsia="Times New Roman" w:hAnsi="Times New Roman" w:cs="Times New Roman"/>
                <w:i/>
                <w:sz w:val="22"/>
                <w:szCs w:val="22"/>
                <w:u w:val="single"/>
              </w:rPr>
            </w:pPr>
            <w:r w:rsidRPr="00837F8D">
              <w:rPr>
                <w:rFonts w:ascii="Times New Roman" w:eastAsia="Times New Roman" w:hAnsi="Times New Roman" w:cs="Times New Roman"/>
                <w:i/>
                <w:sz w:val="22"/>
                <w:szCs w:val="22"/>
                <w:u w:val="single"/>
              </w:rPr>
              <w:t>Basic DEQ and EPA NSR/PSD Program Differences</w:t>
            </w:r>
          </w:p>
          <w:p w:rsidR="00A62014" w:rsidRPr="00837F8D" w:rsidRDefault="00A62014" w:rsidP="0016386B">
            <w:pPr>
              <w:autoSpaceDE w:val="0"/>
              <w:autoSpaceDN w:val="0"/>
              <w:adjustRightInd w:val="0"/>
              <w:spacing w:after="120"/>
              <w:rPr>
                <w:i/>
                <w:color w:val="000000"/>
                <w:sz w:val="22"/>
                <w:szCs w:val="22"/>
              </w:rPr>
            </w:pPr>
            <w:r w:rsidRPr="00837F8D">
              <w:rPr>
                <w:i/>
                <w:color w:val="000000"/>
                <w:sz w:val="22"/>
                <w:szCs w:val="22"/>
              </w:rPr>
              <w:t>DEQ’s NSR/PSD rules differ from EPA</w:t>
            </w:r>
            <w:r>
              <w:rPr>
                <w:i/>
                <w:color w:val="000000"/>
                <w:sz w:val="22"/>
                <w:szCs w:val="22"/>
              </w:rPr>
              <w:t>’</w:t>
            </w:r>
            <w:r w:rsidRPr="00837F8D">
              <w:rPr>
                <w:i/>
                <w:color w:val="000000"/>
                <w:sz w:val="22"/>
                <w:szCs w:val="22"/>
              </w:rPr>
              <w:t xml:space="preserve">s regulations in a number of fundamental ways.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color w:val="000000"/>
                <w:sz w:val="22"/>
                <w:szCs w:val="22"/>
              </w:rPr>
              <w:t xml:space="preserve">The DEQ program has lower major source thresholds, so smaller new sources and changes to smaller existing sources are subject to review.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color w:val="000000"/>
                <w:sz w:val="22"/>
                <w:szCs w:val="22"/>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w:t>
            </w:r>
            <w:r w:rsidR="00982A96" w:rsidRPr="00837F8D">
              <w:rPr>
                <w:i/>
                <w:color w:val="000000"/>
                <w:sz w:val="22"/>
                <w:szCs w:val="22"/>
              </w:rPr>
              <w:t>vice</w:t>
            </w:r>
            <w:r w:rsidRPr="00837F8D">
              <w:rPr>
                <w:i/>
                <w:color w:val="000000"/>
                <w:sz w:val="22"/>
                <w:szCs w:val="22"/>
              </w:rPr>
              <w:t xml:space="preserve"> versa. </w:t>
            </w:r>
          </w:p>
          <w:p w:rsidR="00A62014" w:rsidRPr="00837F8D" w:rsidRDefault="00A62014" w:rsidP="0016386B">
            <w:pPr>
              <w:pStyle w:val="ListParagraph"/>
              <w:numPr>
                <w:ilvl w:val="0"/>
                <w:numId w:val="11"/>
              </w:numPr>
              <w:autoSpaceDE w:val="0"/>
              <w:autoSpaceDN w:val="0"/>
              <w:adjustRightInd w:val="0"/>
              <w:spacing w:after="120"/>
              <w:rPr>
                <w:i/>
                <w:color w:val="000000"/>
                <w:sz w:val="22"/>
                <w:szCs w:val="22"/>
                <w:u w:val="single"/>
              </w:rPr>
            </w:pPr>
            <w:r w:rsidRPr="00837F8D">
              <w:rPr>
                <w:i/>
                <w:spacing w:val="-3"/>
                <w:sz w:val="22"/>
                <w:szCs w:val="22"/>
              </w:rPr>
              <w:t xml:space="preserve">DEQ accumulates all emissions increases and decreases from physical changes or changes </w:t>
            </w:r>
            <w:r w:rsidR="00B66334">
              <w:rPr>
                <w:i/>
                <w:spacing w:val="-3"/>
                <w:sz w:val="22"/>
                <w:szCs w:val="22"/>
              </w:rPr>
              <w:t xml:space="preserve">in the method of </w:t>
            </w:r>
            <w:r w:rsidRPr="00837F8D">
              <w:rPr>
                <w:i/>
                <w:spacing w:val="-3"/>
                <w:sz w:val="22"/>
                <w:szCs w:val="22"/>
              </w:rPr>
              <w:t>operation since the baseline year or last major source permit, whichever is more recent, rather than just during a “contemporaneous” time period</w:t>
            </w:r>
            <w:r>
              <w:rPr>
                <w:i/>
                <w:spacing w:val="-3"/>
                <w:sz w:val="22"/>
                <w:szCs w:val="22"/>
              </w:rPr>
              <w:t xml:space="preserve">. </w:t>
            </w:r>
            <w:r w:rsidRPr="00837F8D">
              <w:rPr>
                <w:i/>
                <w:spacing w:val="-3"/>
                <w:sz w:val="22"/>
                <w:szCs w:val="22"/>
              </w:rPr>
              <w:t xml:space="preserve">This aspect of DEQ’s program creates an incentive for sources to voluntarily reduce emissions in order to avoid triggering NSR/PSD. </w:t>
            </w:r>
          </w:p>
          <w:p w:rsidR="00A62014" w:rsidRPr="00837F8D" w:rsidRDefault="00A62014" w:rsidP="0016386B">
            <w:pPr>
              <w:pStyle w:val="ListParagraph"/>
              <w:numPr>
                <w:ilvl w:val="0"/>
                <w:numId w:val="11"/>
              </w:numPr>
              <w:autoSpaceDE w:val="0"/>
              <w:autoSpaceDN w:val="0"/>
              <w:adjustRightInd w:val="0"/>
              <w:spacing w:after="120"/>
              <w:rPr>
                <w:i/>
                <w:color w:val="000000"/>
                <w:sz w:val="22"/>
                <w:szCs w:val="22"/>
                <w:u w:val="single"/>
              </w:rPr>
            </w:pPr>
            <w:r w:rsidRPr="00837F8D">
              <w:rPr>
                <w:i/>
                <w:spacing w:val="-3"/>
                <w:sz w:val="22"/>
                <w:szCs w:val="22"/>
              </w:rPr>
              <w:t xml:space="preserve">The PSEL rules have provisions </w:t>
            </w:r>
            <w:r w:rsidR="00721B6C">
              <w:rPr>
                <w:i/>
                <w:spacing w:val="-3"/>
                <w:sz w:val="22"/>
                <w:szCs w:val="22"/>
              </w:rPr>
              <w:t xml:space="preserve">that require the PSEL and netting basis </w:t>
            </w:r>
            <w:r w:rsidRPr="00837F8D">
              <w:rPr>
                <w:i/>
                <w:spacing w:val="-3"/>
                <w:sz w:val="22"/>
                <w:szCs w:val="22"/>
              </w:rPr>
              <w:t>to be reduced if emission reductions at the sources occur and make the caps excessively high</w:t>
            </w:r>
            <w:r>
              <w:rPr>
                <w:i/>
                <w:spacing w:val="-3"/>
                <w:sz w:val="22"/>
                <w:szCs w:val="22"/>
              </w:rPr>
              <w:t xml:space="preserve">.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spacing w:val="-3"/>
                <w:sz w:val="22"/>
                <w:szCs w:val="22"/>
              </w:rPr>
              <w:t>The PSEL also eliminates the possibility of a gradual increase of emissions over time by piecemeal projects not triggering NSR/PSD</w:t>
            </w:r>
            <w:r>
              <w:rPr>
                <w:i/>
                <w:spacing w:val="-3"/>
                <w:sz w:val="22"/>
                <w:szCs w:val="22"/>
              </w:rPr>
              <w:t xml:space="preserve">. </w:t>
            </w:r>
            <w:r w:rsidRPr="00837F8D">
              <w:rPr>
                <w:i/>
                <w:spacing w:val="-3"/>
                <w:sz w:val="22"/>
                <w:szCs w:val="22"/>
              </w:rPr>
              <w:t>Under the federal rules, a</w:t>
            </w:r>
            <w:r w:rsidRPr="00837F8D">
              <w:rPr>
                <w:i/>
                <w:sz w:val="22"/>
                <w:szCs w:val="22"/>
              </w:rPr>
              <w:t>n increase or decrease in actual emissions is contemporaneous</w:t>
            </w:r>
            <w:r w:rsidR="008D538C">
              <w:rPr>
                <w:i/>
                <w:sz w:val="22"/>
                <w:szCs w:val="22"/>
              </w:rPr>
              <w:t xml:space="preserve">.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color w:val="000000"/>
                <w:sz w:val="22"/>
                <w:szCs w:val="22"/>
              </w:rPr>
              <w:t xml:space="preserve">Changes which would result in increased emissions, but would not be considered modifications under EPA’s rules, are reviewed for compliance with standards and increments under DEQ’s PSEL program. </w:t>
            </w:r>
          </w:p>
          <w:p w:rsidR="00A62014" w:rsidRPr="00837F8D" w:rsidRDefault="00A62014" w:rsidP="00A02541">
            <w:pPr>
              <w:autoSpaceDE w:val="0"/>
              <w:autoSpaceDN w:val="0"/>
              <w:adjustRightInd w:val="0"/>
              <w:spacing w:after="120"/>
              <w:rPr>
                <w:i/>
                <w:color w:val="000000"/>
                <w:sz w:val="22"/>
                <w:szCs w:val="22"/>
              </w:rPr>
            </w:pPr>
            <w:r w:rsidRPr="00837F8D">
              <w:rPr>
                <w:i/>
                <w:color w:val="000000"/>
                <w:sz w:val="22"/>
                <w:szCs w:val="22"/>
              </w:rPr>
              <w:t xml:space="preserve">EPA evaluated and initially approved the DEQ NSR program in 1982 as being equivalent or </w:t>
            </w:r>
            <w:r w:rsidRPr="00837F8D">
              <w:rPr>
                <w:i/>
                <w:color w:val="000000"/>
                <w:sz w:val="22"/>
                <w:szCs w:val="22"/>
              </w:rPr>
              <w:lastRenderedPageBreak/>
              <w:t xml:space="preserve">more stringent than EPA’s regulations on a program basis and </w:t>
            </w:r>
            <w:r w:rsidR="009C3957">
              <w:rPr>
                <w:i/>
                <w:color w:val="000000"/>
                <w:sz w:val="22"/>
                <w:szCs w:val="22"/>
              </w:rPr>
              <w:t>more recently</w:t>
            </w:r>
            <w:r w:rsidRPr="00837F8D">
              <w:rPr>
                <w:i/>
                <w:color w:val="000000"/>
                <w:sz w:val="22"/>
                <w:szCs w:val="22"/>
              </w:rPr>
              <w:t xml:space="preserve"> in 2003</w:t>
            </w:r>
            <w:r w:rsidR="008D538C">
              <w:rPr>
                <w:i/>
                <w:color w:val="000000"/>
                <w:sz w:val="22"/>
                <w:szCs w:val="22"/>
              </w:rPr>
              <w:t xml:space="preserve">. </w:t>
            </w:r>
          </w:p>
          <w:p w:rsidR="00A62014" w:rsidRPr="00837F8D" w:rsidRDefault="00A62014" w:rsidP="0016386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after="120"/>
              <w:rPr>
                <w:i/>
                <w:color w:val="000000"/>
                <w:sz w:val="22"/>
                <w:szCs w:val="22"/>
                <w:u w:val="single"/>
              </w:rPr>
            </w:pPr>
            <w:r w:rsidRPr="00837F8D">
              <w:rPr>
                <w:i/>
                <w:color w:val="000000"/>
                <w:sz w:val="22"/>
                <w:szCs w:val="22"/>
                <w:u w:val="single"/>
              </w:rPr>
              <w:t>Continued Implementation of Oregon NSR/PSD Program</w:t>
            </w:r>
          </w:p>
          <w:p w:rsidR="00A62014" w:rsidRPr="00837F8D" w:rsidRDefault="00721B6C" w:rsidP="0020419F">
            <w:pPr>
              <w:pStyle w:val="NormalWeb"/>
              <w:spacing w:before="0" w:beforeAutospacing="0" w:after="120" w:afterAutospacing="0"/>
              <w:rPr>
                <w:i/>
                <w:sz w:val="22"/>
                <w:szCs w:val="22"/>
              </w:rPr>
            </w:pPr>
            <w:r>
              <w:rPr>
                <w:i/>
                <w:sz w:val="22"/>
                <w:szCs w:val="22"/>
              </w:rPr>
              <w:t xml:space="preserve">After carefully considering all comments, </w:t>
            </w:r>
            <w:r w:rsidR="00A62014" w:rsidRPr="00837F8D">
              <w:rPr>
                <w:i/>
                <w:sz w:val="22"/>
                <w:szCs w:val="22"/>
              </w:rPr>
              <w:t xml:space="preserve">DEQ has decided to </w:t>
            </w:r>
            <w:r>
              <w:rPr>
                <w:i/>
                <w:sz w:val="22"/>
                <w:szCs w:val="22"/>
              </w:rPr>
              <w:t xml:space="preserve">recommend using </w:t>
            </w:r>
            <w:r w:rsidR="00A62014" w:rsidRPr="00837F8D">
              <w:rPr>
                <w:i/>
                <w:sz w:val="22"/>
                <w:szCs w:val="22"/>
              </w:rPr>
              <w:t>the Oregon NSR/PSD program for both PM</w:t>
            </w:r>
            <w:r w:rsidR="00A62014" w:rsidRPr="00837F8D">
              <w:rPr>
                <w:i/>
                <w:sz w:val="22"/>
                <w:szCs w:val="22"/>
                <w:vertAlign w:val="subscript"/>
              </w:rPr>
              <w:t>2.5</w:t>
            </w:r>
            <w:r w:rsidR="00A62014" w:rsidRPr="00837F8D">
              <w:rPr>
                <w:i/>
                <w:sz w:val="22"/>
                <w:szCs w:val="22"/>
              </w:rPr>
              <w:t xml:space="preserve"> and greenhouse gases</w:t>
            </w:r>
            <w:r w:rsidR="00A62014">
              <w:rPr>
                <w:i/>
                <w:sz w:val="22"/>
                <w:szCs w:val="22"/>
              </w:rPr>
              <w:t xml:space="preserve">. </w:t>
            </w:r>
            <w:r w:rsidR="00A62014" w:rsidRPr="00837F8D">
              <w:rPr>
                <w:i/>
                <w:sz w:val="22"/>
                <w:szCs w:val="22"/>
              </w:rPr>
              <w:t xml:space="preserve">Based on conversations with EPA Region 10, there are definite advantages of the Oregon program over the federal program, </w:t>
            </w:r>
            <w:r>
              <w:rPr>
                <w:i/>
                <w:sz w:val="22"/>
                <w:szCs w:val="22"/>
              </w:rPr>
              <w:t>including</w:t>
            </w:r>
            <w:r w:rsidR="00A62014" w:rsidRPr="00837F8D">
              <w:rPr>
                <w:i/>
                <w:sz w:val="22"/>
                <w:szCs w:val="22"/>
              </w:rPr>
              <w:t xml:space="preserve"> simplicity in determining applicability of the program</w:t>
            </w:r>
            <w:r>
              <w:rPr>
                <w:i/>
                <w:sz w:val="22"/>
                <w:szCs w:val="22"/>
              </w:rPr>
              <w:t xml:space="preserve"> as noted by </w:t>
            </w:r>
            <w:r w:rsidR="004B0C1D">
              <w:rPr>
                <w:i/>
                <w:sz w:val="22"/>
                <w:szCs w:val="22"/>
              </w:rPr>
              <w:t xml:space="preserve">some </w:t>
            </w:r>
            <w:r>
              <w:rPr>
                <w:i/>
                <w:sz w:val="22"/>
                <w:szCs w:val="22"/>
              </w:rPr>
              <w:t>comment</w:t>
            </w:r>
            <w:r w:rsidR="00F673F6">
              <w:rPr>
                <w:i/>
                <w:sz w:val="22"/>
                <w:szCs w:val="22"/>
              </w:rPr>
              <w:t>e</w:t>
            </w:r>
            <w:r>
              <w:rPr>
                <w:i/>
                <w:sz w:val="22"/>
                <w:szCs w:val="22"/>
              </w:rPr>
              <w:t>rs</w:t>
            </w:r>
            <w:r w:rsidR="00A62014">
              <w:rPr>
                <w:i/>
                <w:sz w:val="22"/>
                <w:szCs w:val="22"/>
              </w:rPr>
              <w:t xml:space="preserve">. </w:t>
            </w:r>
            <w:r w:rsidR="00A62014" w:rsidRPr="00837F8D">
              <w:rPr>
                <w:i/>
                <w:sz w:val="22"/>
                <w:szCs w:val="22"/>
              </w:rPr>
              <w:t xml:space="preserve">The following list contains elements of the federal NSR/PSD program that make it potentially less stringent </w:t>
            </w:r>
            <w:r w:rsidR="00A62014">
              <w:rPr>
                <w:i/>
                <w:sz w:val="22"/>
                <w:szCs w:val="22"/>
              </w:rPr>
              <w:t xml:space="preserve">and more complicated </w:t>
            </w:r>
            <w:r w:rsidR="00A62014" w:rsidRPr="00837F8D">
              <w:rPr>
                <w:i/>
                <w:sz w:val="22"/>
                <w:szCs w:val="22"/>
              </w:rPr>
              <w:t>than Oregon’s program:</w:t>
            </w:r>
          </w:p>
          <w:p w:rsidR="00A62014" w:rsidRPr="00837F8D" w:rsidRDefault="00A62014" w:rsidP="00C459A0">
            <w:pPr>
              <w:pStyle w:val="ListParagraph"/>
              <w:numPr>
                <w:ilvl w:val="0"/>
                <w:numId w:val="5"/>
              </w:numPr>
              <w:spacing w:after="120"/>
              <w:rPr>
                <w:i/>
                <w:sz w:val="22"/>
                <w:szCs w:val="22"/>
              </w:rPr>
            </w:pPr>
            <w:r w:rsidRPr="00837F8D">
              <w:rPr>
                <w:i/>
                <w:sz w:val="22"/>
                <w:szCs w:val="22"/>
              </w:rPr>
              <w:t>The ability to subtract from projected future actual emissions any increase due to demand growth</w:t>
            </w:r>
          </w:p>
          <w:p w:rsidR="00A62014" w:rsidRPr="00837F8D" w:rsidRDefault="00A62014" w:rsidP="00C459A0">
            <w:pPr>
              <w:pStyle w:val="ListParagraph"/>
              <w:numPr>
                <w:ilvl w:val="0"/>
                <w:numId w:val="5"/>
              </w:numPr>
              <w:spacing w:after="120"/>
              <w:rPr>
                <w:i/>
                <w:sz w:val="22"/>
                <w:szCs w:val="22"/>
              </w:rPr>
            </w:pPr>
            <w:r w:rsidRPr="00837F8D">
              <w:rPr>
                <w:i/>
                <w:sz w:val="22"/>
                <w:szCs w:val="22"/>
              </w:rPr>
              <w:t xml:space="preserve">The ability to subtract from projected future actual emissions anything </w:t>
            </w:r>
            <w:r>
              <w:rPr>
                <w:i/>
                <w:sz w:val="22"/>
                <w:szCs w:val="22"/>
              </w:rPr>
              <w:t>a source</w:t>
            </w:r>
            <w:r w:rsidRPr="00837F8D">
              <w:rPr>
                <w:i/>
                <w:sz w:val="22"/>
                <w:szCs w:val="22"/>
              </w:rPr>
              <w:t xml:space="preserve"> w</w:t>
            </w:r>
            <w:r>
              <w:rPr>
                <w:i/>
                <w:sz w:val="22"/>
                <w:szCs w:val="22"/>
              </w:rPr>
              <w:t>as</w:t>
            </w:r>
            <w:r w:rsidRPr="00837F8D">
              <w:rPr>
                <w:i/>
                <w:sz w:val="22"/>
                <w:szCs w:val="22"/>
              </w:rPr>
              <w:t xml:space="preserve"> capable of accommodating before the change that is unrelated to the change</w:t>
            </w:r>
          </w:p>
          <w:p w:rsidR="00A62014" w:rsidRPr="00837F8D" w:rsidRDefault="00A62014" w:rsidP="00C459A0">
            <w:pPr>
              <w:pStyle w:val="ListParagraph"/>
              <w:numPr>
                <w:ilvl w:val="0"/>
                <w:numId w:val="5"/>
              </w:numPr>
              <w:spacing w:after="120"/>
              <w:rPr>
                <w:i/>
                <w:sz w:val="22"/>
                <w:szCs w:val="22"/>
              </w:rPr>
            </w:pPr>
            <w:r w:rsidRPr="00837F8D">
              <w:rPr>
                <w:i/>
                <w:sz w:val="22"/>
                <w:szCs w:val="22"/>
              </w:rPr>
              <w:t xml:space="preserve">The ability to disaggregate changes at a facility that are involved in a project </w:t>
            </w:r>
          </w:p>
          <w:p w:rsidR="00A62014" w:rsidRPr="00837F8D" w:rsidRDefault="00A62014" w:rsidP="00C459A0">
            <w:pPr>
              <w:pStyle w:val="ListParagraph"/>
              <w:numPr>
                <w:ilvl w:val="0"/>
                <w:numId w:val="5"/>
              </w:numPr>
              <w:spacing w:after="120"/>
              <w:rPr>
                <w:i/>
                <w:sz w:val="22"/>
                <w:szCs w:val="22"/>
              </w:rPr>
            </w:pPr>
            <w:r w:rsidRPr="00837F8D">
              <w:rPr>
                <w:i/>
                <w:sz w:val="22"/>
                <w:szCs w:val="22"/>
              </w:rPr>
              <w:t>The question of whether emissions increases from debottlenecking should be included in the modification</w:t>
            </w:r>
          </w:p>
          <w:p w:rsidR="00A62014" w:rsidRPr="00837F8D" w:rsidRDefault="00A62014" w:rsidP="00C459A0">
            <w:pPr>
              <w:pStyle w:val="ListParagraph"/>
              <w:numPr>
                <w:ilvl w:val="0"/>
                <w:numId w:val="5"/>
              </w:numPr>
              <w:spacing w:after="120"/>
              <w:rPr>
                <w:i/>
                <w:sz w:val="22"/>
                <w:szCs w:val="22"/>
              </w:rPr>
            </w:pPr>
            <w:r w:rsidRPr="00837F8D">
              <w:rPr>
                <w:i/>
                <w:sz w:val="22"/>
                <w:szCs w:val="22"/>
              </w:rPr>
              <w:t>The fact that fugitive emissions are not included in emissions increase for all source categories</w:t>
            </w:r>
          </w:p>
          <w:p w:rsidR="00A62014" w:rsidRPr="00837F8D" w:rsidRDefault="00A62014" w:rsidP="00C459A0">
            <w:pPr>
              <w:pStyle w:val="ListParagraph"/>
              <w:numPr>
                <w:ilvl w:val="0"/>
                <w:numId w:val="5"/>
              </w:numPr>
              <w:spacing w:after="120"/>
              <w:rPr>
                <w:i/>
                <w:sz w:val="22"/>
                <w:szCs w:val="22"/>
              </w:rPr>
            </w:pPr>
            <w:r w:rsidRPr="00837F8D">
              <w:rPr>
                <w:i/>
                <w:sz w:val="22"/>
                <w:szCs w:val="22"/>
              </w:rPr>
              <w:t xml:space="preserve">Potential exemptions for routine repair and replacement </w:t>
            </w:r>
          </w:p>
          <w:p w:rsidR="00A62014" w:rsidRPr="00837F8D" w:rsidRDefault="00A62014" w:rsidP="00C459A0">
            <w:pPr>
              <w:pStyle w:val="ListParagraph"/>
              <w:numPr>
                <w:ilvl w:val="0"/>
                <w:numId w:val="5"/>
              </w:numPr>
              <w:spacing w:after="120"/>
              <w:rPr>
                <w:i/>
                <w:sz w:val="22"/>
                <w:szCs w:val="22"/>
              </w:rPr>
            </w:pPr>
            <w:r w:rsidRPr="00837F8D">
              <w:rPr>
                <w:i/>
                <w:sz w:val="22"/>
                <w:szCs w:val="22"/>
              </w:rPr>
              <w:t>The ability to pursue the netting credits approach, which involves a 5-year contemporaneous period that is plant wide</w:t>
            </w:r>
          </w:p>
          <w:p w:rsidR="00A62014" w:rsidRPr="00837F8D" w:rsidRDefault="00A62014" w:rsidP="00C459A0">
            <w:pPr>
              <w:pStyle w:val="ListParagraph"/>
              <w:numPr>
                <w:ilvl w:val="0"/>
                <w:numId w:val="5"/>
              </w:numPr>
              <w:spacing w:after="120"/>
              <w:rPr>
                <w:i/>
                <w:sz w:val="22"/>
                <w:szCs w:val="22"/>
              </w:rPr>
            </w:pPr>
            <w:r w:rsidRPr="00837F8D">
              <w:rPr>
                <w:i/>
                <w:sz w:val="22"/>
                <w:szCs w:val="22"/>
              </w:rPr>
              <w:t>The ability to pick different baseline years for each pollutant involved in a change</w:t>
            </w:r>
            <w:r>
              <w:rPr>
                <w:i/>
                <w:sz w:val="22"/>
                <w:szCs w:val="22"/>
              </w:rPr>
              <w:t xml:space="preserve">. </w:t>
            </w:r>
          </w:p>
          <w:p w:rsidR="00A62014" w:rsidRPr="00837F8D" w:rsidRDefault="00A62014" w:rsidP="00C459A0">
            <w:pPr>
              <w:pStyle w:val="ListParagraph"/>
              <w:numPr>
                <w:ilvl w:val="0"/>
                <w:numId w:val="5"/>
              </w:numPr>
              <w:spacing w:after="120"/>
              <w:rPr>
                <w:i/>
                <w:sz w:val="22"/>
                <w:szCs w:val="22"/>
              </w:rPr>
            </w:pPr>
            <w:r w:rsidRPr="00837F8D">
              <w:rPr>
                <w:i/>
                <w:sz w:val="22"/>
                <w:szCs w:val="22"/>
              </w:rPr>
              <w:t>The unenforceability of the projected actual emissions in the test of whether a major modification has occurred</w:t>
            </w:r>
          </w:p>
          <w:p w:rsidR="00A62014" w:rsidRPr="00837F8D" w:rsidRDefault="00A62014" w:rsidP="00025D38">
            <w:pPr>
              <w:pStyle w:val="NormalWeb"/>
              <w:spacing w:before="0" w:beforeAutospacing="0" w:after="120" w:afterAutospacing="0"/>
              <w:rPr>
                <w:i/>
                <w:sz w:val="22"/>
                <w:szCs w:val="22"/>
              </w:rPr>
            </w:pPr>
            <w:r w:rsidRPr="00837F8D">
              <w:rPr>
                <w:i/>
                <w:sz w:val="22"/>
                <w:szCs w:val="22"/>
              </w:rPr>
              <w:t>In an area where the Oregon program may seem less stringent than the federal program, setting actual emissions at a source’s potential to emit, DEQ is proposing a change to the existing rules</w:t>
            </w:r>
            <w:r>
              <w:rPr>
                <w:i/>
                <w:sz w:val="22"/>
                <w:szCs w:val="22"/>
              </w:rPr>
              <w:t xml:space="preserve">. </w:t>
            </w:r>
            <w:r w:rsidRPr="00180A73">
              <w:rPr>
                <w:i/>
                <w:sz w:val="22"/>
                <w:szCs w:val="22"/>
              </w:rPr>
              <w:t xml:space="preserve">See the </w:t>
            </w:r>
            <w:r w:rsidR="00180A73" w:rsidRPr="00180A73">
              <w:rPr>
                <w:i/>
                <w:sz w:val="22"/>
                <w:szCs w:val="22"/>
              </w:rPr>
              <w:t>response</w:t>
            </w:r>
            <w:r w:rsidRPr="00180A73">
              <w:rPr>
                <w:i/>
                <w:sz w:val="22"/>
                <w:szCs w:val="22"/>
              </w:rPr>
              <w:t xml:space="preserve"> in </w:t>
            </w:r>
            <w:r w:rsidR="00B14540" w:rsidRPr="00180A73">
              <w:rPr>
                <w:i/>
                <w:sz w:val="22"/>
                <w:szCs w:val="22"/>
              </w:rPr>
              <w:t xml:space="preserve">comment </w:t>
            </w:r>
            <w:fldSimple w:instr=" REF _Ref283932866 \r \h  \* MERGEFORMAT ">
              <w:r w:rsidR="00856461" w:rsidRPr="00856461">
                <w:rPr>
                  <w:i/>
                  <w:sz w:val="22"/>
                  <w:szCs w:val="22"/>
                </w:rPr>
                <w:t>18</w:t>
              </w:r>
            </w:fldSimple>
            <w:r w:rsidR="00B14540" w:rsidRPr="00180A73">
              <w:rPr>
                <w:i/>
                <w:sz w:val="22"/>
                <w:szCs w:val="22"/>
              </w:rPr>
              <w:t xml:space="preserve"> “</w:t>
            </w:r>
            <w:r w:rsidRPr="00180A73">
              <w:rPr>
                <w:i/>
                <w:sz w:val="22"/>
                <w:szCs w:val="22"/>
              </w:rPr>
              <w:t>major modification definition</w:t>
            </w:r>
            <w:r w:rsidR="00180A73" w:rsidRPr="00180A73">
              <w:rPr>
                <w:i/>
                <w:sz w:val="22"/>
                <w:szCs w:val="22"/>
              </w:rPr>
              <w:t>.</w:t>
            </w:r>
            <w:r w:rsidRPr="00180A73">
              <w:rPr>
                <w:i/>
                <w:sz w:val="22"/>
                <w:szCs w:val="22"/>
              </w:rPr>
              <w:t>”</w:t>
            </w:r>
            <w:r>
              <w:rPr>
                <w:i/>
                <w:sz w:val="22"/>
                <w:szCs w:val="22"/>
              </w:rPr>
              <w:t xml:space="preserve"> </w:t>
            </w:r>
          </w:p>
          <w:p w:rsidR="00012675" w:rsidRDefault="00A62014">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after="120"/>
              <w:rPr>
                <w:i/>
                <w:sz w:val="22"/>
                <w:szCs w:val="22"/>
                <w:highlight w:val="yellow"/>
              </w:rPr>
            </w:pPr>
            <w:r w:rsidRPr="00837F8D">
              <w:rPr>
                <w:rStyle w:val="Emphasis"/>
                <w:sz w:val="22"/>
                <w:szCs w:val="22"/>
              </w:rPr>
              <w:t xml:space="preserve">Oregon’s NSR/PSD program was used as one of the models to support the development of the </w:t>
            </w:r>
            <w:r w:rsidR="004B0C1D">
              <w:rPr>
                <w:rStyle w:val="Emphasis"/>
                <w:sz w:val="22"/>
                <w:szCs w:val="22"/>
              </w:rPr>
              <w:t>Plantwide Applicability Limit option in the federal NSR/PSD rules</w:t>
            </w:r>
            <w:r>
              <w:rPr>
                <w:rStyle w:val="Emphasis"/>
                <w:sz w:val="22"/>
                <w:szCs w:val="22"/>
              </w:rPr>
              <w:t xml:space="preserve">. </w:t>
            </w:r>
            <w:r w:rsidRPr="00837F8D">
              <w:rPr>
                <w:i/>
                <w:sz w:val="22"/>
                <w:szCs w:val="22"/>
              </w:rPr>
              <w:t>DEQ feels that the benefits of Oregon’s NSR/PSD program far outweigh any advantages of the federal program</w:t>
            </w:r>
            <w:r>
              <w:rPr>
                <w:i/>
                <w:sz w:val="22"/>
                <w:szCs w:val="22"/>
              </w:rPr>
              <w:t xml:space="preserve">. </w:t>
            </w:r>
            <w:r w:rsidRPr="00837F8D">
              <w:rPr>
                <w:i/>
                <w:sz w:val="22"/>
                <w:szCs w:val="22"/>
              </w:rPr>
              <w:t>Changes will be made to incorporate greenhouse gases into Oregon’s NSR/PSD program.</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ind w:right="-115"/>
              <w:rPr>
                <w:bCs/>
                <w:sz w:val="22"/>
                <w:szCs w:val="22"/>
              </w:rPr>
            </w:pPr>
          </w:p>
          <w:p w:rsidR="003A12D7" w:rsidRPr="00943C75" w:rsidRDefault="003A12D7" w:rsidP="00DE1045">
            <w:pPr>
              <w:ind w:right="-115"/>
              <w:rPr>
                <w:bCs/>
                <w:sz w:val="22"/>
                <w:szCs w:val="22"/>
              </w:rPr>
            </w:pPr>
            <w:r w:rsidRPr="00943C75">
              <w:rPr>
                <w:bCs/>
                <w:sz w:val="22"/>
                <w:szCs w:val="22"/>
              </w:rPr>
              <w:t>Guidance on Federal PSD Program</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2D0FE2" w:rsidRDefault="003A12D7" w:rsidP="00DE1045">
            <w:pPr>
              <w:spacing w:after="120"/>
              <w:rPr>
                <w:sz w:val="22"/>
                <w:szCs w:val="22"/>
              </w:rPr>
            </w:pPr>
            <w:r w:rsidRPr="002D0FE2">
              <w:rPr>
                <w:sz w:val="22"/>
                <w:szCs w:val="22"/>
              </w:rPr>
              <w:t>Oregon’s PSEL program, like other DEQ innovative programs, is unique under the Clean Air Act. While this may be a source of pride for DEQ, it makes implementing the program difficult because, when faced by difficult questions about the program and how it operates, DEQ consistently makes ad hoc or irrational decisions without fully anticipating all of the potential consequences. Comparatively, the federal program is implemented by most other states and by EPA and therefore has a wealth of interpretive guidance on the implementation of the program. Implementation of the federal program would therefore save DEQ time and money and would reduce the number of ad hoc decisions DEQ has to make and revise.</w:t>
            </w:r>
            <w:r>
              <w:rPr>
                <w:sz w:val="22"/>
                <w:szCs w:val="22"/>
              </w:rPr>
              <w:t xml:space="preserve"> (12)</w:t>
            </w:r>
          </w:p>
          <w:p w:rsidR="003A12D7" w:rsidRDefault="003A12D7" w:rsidP="00DE1045">
            <w:pPr>
              <w:spacing w:after="120"/>
              <w:rPr>
                <w:i/>
                <w:sz w:val="22"/>
                <w:szCs w:val="22"/>
              </w:rPr>
            </w:pPr>
            <w:r>
              <w:rPr>
                <w:i/>
                <w:sz w:val="22"/>
                <w:szCs w:val="22"/>
              </w:rPr>
              <w:t>Response:</w:t>
            </w:r>
          </w:p>
          <w:p w:rsidR="00012675" w:rsidRDefault="003A12D7">
            <w:pPr>
              <w:spacing w:after="120"/>
              <w:rPr>
                <w:i/>
                <w:sz w:val="22"/>
                <w:szCs w:val="22"/>
              </w:rPr>
            </w:pPr>
            <w:r>
              <w:rPr>
                <w:i/>
                <w:sz w:val="22"/>
                <w:szCs w:val="22"/>
              </w:rPr>
              <w:t xml:space="preserve">As stated </w:t>
            </w:r>
            <w:r w:rsidR="00525EF8">
              <w:rPr>
                <w:i/>
                <w:sz w:val="22"/>
                <w:szCs w:val="22"/>
              </w:rPr>
              <w:t xml:space="preserve">in response to comment </w:t>
            </w:r>
            <w:r w:rsidR="00D32693">
              <w:rPr>
                <w:i/>
                <w:sz w:val="22"/>
                <w:szCs w:val="22"/>
              </w:rPr>
              <w:fldChar w:fldCharType="begin"/>
            </w:r>
            <w:r w:rsidR="00525EF8">
              <w:rPr>
                <w:i/>
                <w:sz w:val="22"/>
                <w:szCs w:val="22"/>
              </w:rPr>
              <w:instrText xml:space="preserve"> REF _Ref283933546 \r \h </w:instrText>
            </w:r>
            <w:r w:rsidR="00D32693">
              <w:rPr>
                <w:i/>
                <w:sz w:val="22"/>
                <w:szCs w:val="22"/>
              </w:rPr>
            </w:r>
            <w:r w:rsidR="00D32693">
              <w:rPr>
                <w:i/>
                <w:sz w:val="22"/>
                <w:szCs w:val="22"/>
              </w:rPr>
              <w:fldChar w:fldCharType="separate"/>
            </w:r>
            <w:r w:rsidR="00525EF8">
              <w:rPr>
                <w:i/>
                <w:sz w:val="22"/>
                <w:szCs w:val="22"/>
              </w:rPr>
              <w:t>52</w:t>
            </w:r>
            <w:r w:rsidR="00D32693">
              <w:rPr>
                <w:i/>
                <w:sz w:val="22"/>
                <w:szCs w:val="22"/>
              </w:rPr>
              <w:fldChar w:fldCharType="end"/>
            </w:r>
            <w:r w:rsidR="00525EF8">
              <w:rPr>
                <w:i/>
                <w:sz w:val="22"/>
                <w:szCs w:val="22"/>
              </w:rPr>
              <w:t xml:space="preserve"> to “State NSR/PSD program vs. federal program</w:t>
            </w:r>
            <w:r w:rsidR="006E0886">
              <w:rPr>
                <w:i/>
                <w:sz w:val="22"/>
                <w:szCs w:val="22"/>
              </w:rPr>
              <w:t>”</w:t>
            </w:r>
            <w:r w:rsidR="00525EF8">
              <w:rPr>
                <w:i/>
                <w:sz w:val="22"/>
                <w:szCs w:val="22"/>
              </w:rPr>
              <w:t xml:space="preserve"> </w:t>
            </w:r>
            <w:r>
              <w:rPr>
                <w:i/>
                <w:sz w:val="22"/>
                <w:szCs w:val="22"/>
              </w:rPr>
              <w:t xml:space="preserve">above, DEQ </w:t>
            </w:r>
            <w:r w:rsidR="00525EF8">
              <w:rPr>
                <w:i/>
                <w:sz w:val="22"/>
                <w:szCs w:val="22"/>
              </w:rPr>
              <w:t xml:space="preserve">is proposing </w:t>
            </w:r>
            <w:r>
              <w:rPr>
                <w:i/>
                <w:sz w:val="22"/>
                <w:szCs w:val="22"/>
              </w:rPr>
              <w:t xml:space="preserve">to continue to </w:t>
            </w:r>
            <w:r w:rsidR="0003517A">
              <w:rPr>
                <w:i/>
                <w:sz w:val="22"/>
                <w:szCs w:val="22"/>
              </w:rPr>
              <w:t>use the Oregon approach to netting in the</w:t>
            </w:r>
            <w:r>
              <w:rPr>
                <w:i/>
                <w:sz w:val="22"/>
                <w:szCs w:val="22"/>
              </w:rPr>
              <w:t xml:space="preserve"> NSR/PSD program for PM</w:t>
            </w:r>
            <w:r>
              <w:rPr>
                <w:i/>
                <w:sz w:val="22"/>
                <w:szCs w:val="22"/>
                <w:vertAlign w:val="subscript"/>
              </w:rPr>
              <w:t>2.5</w:t>
            </w:r>
            <w:r>
              <w:rPr>
                <w:i/>
                <w:sz w:val="22"/>
                <w:szCs w:val="22"/>
              </w:rPr>
              <w:t xml:space="preserve"> and greenhouse gases. Even though there is guidance on implementation of </w:t>
            </w:r>
            <w:r w:rsidR="0003517A">
              <w:rPr>
                <w:i/>
                <w:sz w:val="22"/>
                <w:szCs w:val="22"/>
              </w:rPr>
              <w:t xml:space="preserve">many aspects of </w:t>
            </w:r>
            <w:r>
              <w:rPr>
                <w:i/>
                <w:sz w:val="22"/>
                <w:szCs w:val="22"/>
              </w:rPr>
              <w:t xml:space="preserve">the federal program, the </w:t>
            </w:r>
            <w:r w:rsidR="00525EF8">
              <w:rPr>
                <w:i/>
                <w:sz w:val="22"/>
                <w:szCs w:val="22"/>
              </w:rPr>
              <w:t>program</w:t>
            </w:r>
            <w:r w:rsidR="0003517A">
              <w:rPr>
                <w:i/>
                <w:sz w:val="22"/>
                <w:szCs w:val="22"/>
              </w:rPr>
              <w:t xml:space="preserve"> has similar complexity to the Oregon program and requires similar time and resources to implement</w:t>
            </w:r>
            <w:r w:rsidR="008D538C">
              <w:rPr>
                <w:i/>
                <w:sz w:val="22"/>
                <w:szCs w:val="22"/>
              </w:rPr>
              <w:t xml:space="preserve">. </w:t>
            </w:r>
            <w:r w:rsidR="0003517A">
              <w:rPr>
                <w:i/>
                <w:sz w:val="22"/>
                <w:szCs w:val="22"/>
              </w:rPr>
              <w:t xml:space="preserve">While implementation </w:t>
            </w:r>
            <w:r w:rsidR="0003517A">
              <w:rPr>
                <w:i/>
                <w:sz w:val="22"/>
                <w:szCs w:val="22"/>
              </w:rPr>
              <w:lastRenderedPageBreak/>
              <w:t xml:space="preserve">issues in the Oregon program often arise with regard to specific permitting actions, </w:t>
            </w:r>
            <w:r>
              <w:rPr>
                <w:i/>
                <w:sz w:val="22"/>
                <w:szCs w:val="22"/>
              </w:rPr>
              <w:t xml:space="preserve">DEQ does not make ad hoc decisions regarding permitting issues. </w:t>
            </w:r>
            <w:r w:rsidR="00525EF8">
              <w:rPr>
                <w:i/>
                <w:sz w:val="22"/>
                <w:szCs w:val="22"/>
              </w:rPr>
              <w:t>Decisions are made based on a legal review of the rules, Department guidance and past practices</w:t>
            </w:r>
            <w:r w:rsidR="008D538C">
              <w:rPr>
                <w:i/>
                <w:sz w:val="22"/>
                <w:szCs w:val="22"/>
              </w:rPr>
              <w:t xml:space="preserve">. </w:t>
            </w:r>
            <w:r w:rsidR="00A21C65">
              <w:rPr>
                <w:i/>
                <w:sz w:val="22"/>
                <w:szCs w:val="22"/>
              </w:rPr>
              <w:t>No change to the rule is proposed in response to this comment</w:t>
            </w:r>
            <w:r w:rsidR="008D538C">
              <w:rPr>
                <w:i/>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rPr>
                <w:sz w:val="22"/>
                <w:szCs w:val="22"/>
              </w:rPr>
            </w:pPr>
            <w:bookmarkStart w:id="10" w:name="_Ref283933930"/>
          </w:p>
          <w:bookmarkEnd w:id="10"/>
          <w:p w:rsidR="003A12D7" w:rsidRPr="00943C75" w:rsidRDefault="003A12D7" w:rsidP="00DE1045">
            <w:pPr>
              <w:rPr>
                <w:sz w:val="22"/>
                <w:szCs w:val="22"/>
              </w:rPr>
            </w:pPr>
            <w:r w:rsidRPr="00943C75">
              <w:rPr>
                <w:sz w:val="22"/>
                <w:szCs w:val="22"/>
              </w:rPr>
              <w:t>Compliance with the NAAQS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DE1045">
            <w:pPr>
              <w:autoSpaceDE w:val="0"/>
              <w:autoSpaceDN w:val="0"/>
              <w:adjustRightInd w:val="0"/>
              <w:spacing w:after="120"/>
              <w:ind w:right="-180"/>
              <w:rPr>
                <w:sz w:val="22"/>
                <w:szCs w:val="22"/>
              </w:rPr>
            </w:pPr>
            <w:r w:rsidRPr="001A3BF8">
              <w:rPr>
                <w:sz w:val="22"/>
                <w:szCs w:val="22"/>
              </w:rPr>
              <w:t xml:space="preserve">The PSEL program is intended to ensure compliance with the NAAQS and PSD increment. Both of these programs are based on actual emissions within the air shed. The only way that the PSEL can actually ensure compliance with these programs is if the baseline emission rates are set based on actual monitoring data from the baseline period. DEQ’s proposed options 1 and 2 do not connect the baseline emissions rate to the baseline period and these proposed </w:t>
            </w:r>
            <w:r w:rsidR="006E0886">
              <w:rPr>
                <w:sz w:val="22"/>
                <w:szCs w:val="22"/>
              </w:rPr>
              <w:t xml:space="preserve">options </w:t>
            </w:r>
            <w:r w:rsidRPr="001A3BF8">
              <w:rPr>
                <w:sz w:val="22"/>
                <w:szCs w:val="22"/>
              </w:rPr>
              <w:t>would therefore not ensure compliance with the NAAQS or PSD increment.</w:t>
            </w:r>
            <w:r>
              <w:rPr>
                <w:sz w:val="22"/>
                <w:szCs w:val="22"/>
              </w:rPr>
              <w:t xml:space="preserve"> (12)</w:t>
            </w:r>
            <w:r w:rsidRPr="00894F3B">
              <w:rPr>
                <w:sz w:val="22"/>
                <w:szCs w:val="22"/>
              </w:rPr>
              <w:t xml:space="preserve"> </w:t>
            </w:r>
          </w:p>
          <w:p w:rsidR="003A12D7" w:rsidRDefault="003A12D7" w:rsidP="00DE1045">
            <w:pPr>
              <w:autoSpaceDE w:val="0"/>
              <w:autoSpaceDN w:val="0"/>
              <w:adjustRightInd w:val="0"/>
              <w:spacing w:after="120"/>
              <w:ind w:right="-180"/>
              <w:rPr>
                <w:i/>
                <w:sz w:val="22"/>
                <w:szCs w:val="22"/>
              </w:rPr>
            </w:pPr>
            <w:r>
              <w:rPr>
                <w:i/>
                <w:sz w:val="22"/>
                <w:szCs w:val="22"/>
              </w:rPr>
              <w:t>Response:</w:t>
            </w:r>
          </w:p>
          <w:p w:rsidR="003A12D7" w:rsidRPr="00E06E48" w:rsidRDefault="003A12D7" w:rsidP="00DE1045">
            <w:pPr>
              <w:pStyle w:val="ColorfulList-Accent11"/>
              <w:spacing w:after="120"/>
              <w:ind w:left="0"/>
              <w:rPr>
                <w:i/>
                <w:sz w:val="22"/>
                <w:szCs w:val="22"/>
              </w:rPr>
            </w:pPr>
            <w:r w:rsidRPr="00E06E48">
              <w:rPr>
                <w:i/>
                <w:sz w:val="22"/>
                <w:szCs w:val="22"/>
              </w:rPr>
              <w:t xml:space="preserve">The PSEL program provides the </w:t>
            </w:r>
            <w:r w:rsidRPr="00E06E48">
              <w:rPr>
                <w:b/>
                <w:i/>
                <w:sz w:val="22"/>
                <w:szCs w:val="22"/>
              </w:rPr>
              <w:t>basis</w:t>
            </w:r>
            <w:r w:rsidRPr="00E06E48">
              <w:rPr>
                <w:i/>
                <w:sz w:val="22"/>
                <w:szCs w:val="22"/>
              </w:rPr>
              <w:t xml:space="preserve"> for assuring compliance with </w:t>
            </w:r>
            <w:r w:rsidR="00012675">
              <w:rPr>
                <w:i/>
                <w:sz w:val="22"/>
                <w:szCs w:val="22"/>
              </w:rPr>
              <w:t xml:space="preserve">emission standards, and the NSR/PSD program ensures that major new and modified sources do not cause violations of </w:t>
            </w:r>
            <w:r w:rsidRPr="00E06E48">
              <w:rPr>
                <w:i/>
                <w:sz w:val="22"/>
                <w:szCs w:val="22"/>
              </w:rPr>
              <w:t>ambient standards and PSD increments</w:t>
            </w:r>
            <w:r w:rsidR="00012675">
              <w:rPr>
                <w:i/>
                <w:sz w:val="22"/>
                <w:szCs w:val="22"/>
              </w:rPr>
              <w:t>.</w:t>
            </w:r>
            <w:r>
              <w:rPr>
                <w:i/>
                <w:sz w:val="22"/>
                <w:szCs w:val="22"/>
              </w:rPr>
              <w:t xml:space="preserve"> </w:t>
            </w:r>
            <w:r w:rsidR="00012675">
              <w:rPr>
                <w:i/>
                <w:sz w:val="22"/>
                <w:szCs w:val="22"/>
              </w:rPr>
              <w:t>However, the PSEL</w:t>
            </w:r>
            <w:r w:rsidR="00E81ECC">
              <w:rPr>
                <w:i/>
                <w:sz w:val="22"/>
                <w:szCs w:val="22"/>
              </w:rPr>
              <w:t xml:space="preserve"> is </w:t>
            </w:r>
            <w:r w:rsidR="00012675">
              <w:rPr>
                <w:i/>
                <w:sz w:val="22"/>
                <w:szCs w:val="22"/>
              </w:rPr>
              <w:t xml:space="preserve">only </w:t>
            </w:r>
            <w:r w:rsidR="00E81ECC">
              <w:rPr>
                <w:i/>
                <w:sz w:val="22"/>
                <w:szCs w:val="22"/>
              </w:rPr>
              <w:t>one element of an overall regulatory system that ensures</w:t>
            </w:r>
            <w:r>
              <w:rPr>
                <w:i/>
                <w:sz w:val="22"/>
                <w:szCs w:val="22"/>
              </w:rPr>
              <w:t xml:space="preserve"> compliance with the NAAQS. </w:t>
            </w:r>
          </w:p>
          <w:p w:rsidR="003A12D7" w:rsidRPr="00A0767C" w:rsidRDefault="003A12D7" w:rsidP="00DE1045">
            <w:pPr>
              <w:autoSpaceDE w:val="0"/>
              <w:autoSpaceDN w:val="0"/>
              <w:adjustRightInd w:val="0"/>
              <w:spacing w:after="120"/>
              <w:ind w:right="-180"/>
              <w:rPr>
                <w:i/>
                <w:sz w:val="22"/>
                <w:szCs w:val="22"/>
              </w:rPr>
            </w:pPr>
            <w:r w:rsidRPr="00A0767C">
              <w:rPr>
                <w:i/>
                <w:color w:val="000000"/>
                <w:sz w:val="22"/>
                <w:szCs w:val="22"/>
              </w:rPr>
              <w:t>The CAA requires all areas of the country to meet or strive to comply with the National Ambient Air Quality Standards set by EPA</w:t>
            </w:r>
            <w:r w:rsidRPr="006F74F1">
              <w:rPr>
                <w:i/>
                <w:color w:val="000000"/>
                <w:sz w:val="22"/>
                <w:szCs w:val="22"/>
              </w:rPr>
              <w:t xml:space="preserve">. The Clean Air Act established two types of </w:t>
            </w:r>
            <w:r w:rsidR="00BA39F6">
              <w:rPr>
                <w:i/>
                <w:color w:val="000000"/>
                <w:sz w:val="22"/>
                <w:szCs w:val="22"/>
              </w:rPr>
              <w:t>NAAQS</w:t>
            </w:r>
            <w:r w:rsidRPr="006F74F1">
              <w:rPr>
                <w:i/>
                <w:color w:val="000000"/>
                <w:sz w:val="22"/>
                <w:szCs w:val="22"/>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w:t>
            </w:r>
            <w:r>
              <w:rPr>
                <w:rFonts w:ascii="Verdana" w:hAnsi="Verdana"/>
                <w:color w:val="000000"/>
                <w:sz w:val="18"/>
                <w:szCs w:val="18"/>
              </w:rPr>
              <w:t xml:space="preserve"> </w:t>
            </w:r>
            <w:r w:rsidRPr="00A0767C">
              <w:rPr>
                <w:i/>
                <w:sz w:val="22"/>
                <w:szCs w:val="22"/>
              </w:rPr>
              <w:t xml:space="preserve">State and local governments </w:t>
            </w:r>
            <w:r w:rsidRPr="00C472BA">
              <w:rPr>
                <w:b/>
                <w:i/>
                <w:sz w:val="22"/>
                <w:szCs w:val="22"/>
              </w:rPr>
              <w:t>monitor</w:t>
            </w:r>
            <w:r w:rsidRPr="00A0767C">
              <w:rPr>
                <w:i/>
                <w:sz w:val="22"/>
                <w:szCs w:val="22"/>
              </w:rPr>
              <w:t xml:space="preserve"> the </w:t>
            </w:r>
            <w:r>
              <w:rPr>
                <w:i/>
                <w:sz w:val="22"/>
                <w:szCs w:val="22"/>
              </w:rPr>
              <w:t xml:space="preserve">ambient </w:t>
            </w:r>
            <w:r w:rsidRPr="00A0767C">
              <w:rPr>
                <w:i/>
                <w:sz w:val="22"/>
                <w:szCs w:val="22"/>
              </w:rPr>
              <w:t xml:space="preserve">air to determine </w:t>
            </w:r>
            <w:r>
              <w:rPr>
                <w:i/>
                <w:sz w:val="22"/>
                <w:szCs w:val="22"/>
              </w:rPr>
              <w:t xml:space="preserve">whether </w:t>
            </w:r>
            <w:r w:rsidRPr="00A0767C">
              <w:rPr>
                <w:i/>
                <w:sz w:val="22"/>
                <w:szCs w:val="22"/>
              </w:rPr>
              <w:t>the level</w:t>
            </w:r>
            <w:r>
              <w:rPr>
                <w:i/>
                <w:sz w:val="22"/>
                <w:szCs w:val="22"/>
              </w:rPr>
              <w:t>s</w:t>
            </w:r>
            <w:r w:rsidRPr="00A0767C">
              <w:rPr>
                <w:i/>
                <w:sz w:val="22"/>
                <w:szCs w:val="22"/>
              </w:rPr>
              <w:t xml:space="preserve"> of pollution </w:t>
            </w:r>
            <w:r>
              <w:rPr>
                <w:i/>
                <w:sz w:val="22"/>
                <w:szCs w:val="22"/>
              </w:rPr>
              <w:t xml:space="preserve">comply with the NAAQS. </w:t>
            </w:r>
            <w:r w:rsidRPr="00A0767C">
              <w:rPr>
                <w:i/>
                <w:sz w:val="22"/>
                <w:szCs w:val="22"/>
              </w:rPr>
              <w:t xml:space="preserve">A region that does not meet the standard is considered a nonattainment area. Once the EPA </w:t>
            </w:r>
            <w:r w:rsidR="00E81ECC">
              <w:rPr>
                <w:i/>
                <w:sz w:val="22"/>
                <w:szCs w:val="22"/>
              </w:rPr>
              <w:t>designates nonattainment areas</w:t>
            </w:r>
            <w:r w:rsidRPr="00A0767C">
              <w:rPr>
                <w:i/>
                <w:sz w:val="22"/>
                <w:szCs w:val="22"/>
              </w:rPr>
              <w:t>, the state works with businesses, local governments, and the public to reduce the emissions from sources contributing to the nonattainment status of the area.</w:t>
            </w:r>
          </w:p>
          <w:p w:rsidR="003A12D7" w:rsidRDefault="003A12D7" w:rsidP="00DE1045">
            <w:pPr>
              <w:spacing w:after="120"/>
              <w:rPr>
                <w:i/>
                <w:color w:val="000000"/>
                <w:sz w:val="22"/>
                <w:szCs w:val="22"/>
              </w:rPr>
            </w:pPr>
            <w:r w:rsidRPr="00A0767C">
              <w:rPr>
                <w:i/>
                <w:color w:val="000000"/>
                <w:sz w:val="22"/>
                <w:szCs w:val="22"/>
              </w:rPr>
              <w:t xml:space="preserve">One of the key programs designed to </w:t>
            </w:r>
            <w:r w:rsidR="00012675">
              <w:rPr>
                <w:i/>
                <w:color w:val="000000"/>
                <w:sz w:val="22"/>
                <w:szCs w:val="22"/>
              </w:rPr>
              <w:t xml:space="preserve">help </w:t>
            </w:r>
            <w:r w:rsidRPr="00A0767C">
              <w:rPr>
                <w:i/>
                <w:color w:val="000000"/>
                <w:sz w:val="22"/>
                <w:szCs w:val="22"/>
              </w:rPr>
              <w:t>achieve compliance with the NAAQS is the New Source Review (NSR) program, a preconstruction review process for new and modified stationary sources. The NSR program has two parts: the Prevention of Significant Deterioration (PSD) program for attainment or "clean" areas typically requires new or modified sources to install state-of-the-art pollution controls to ensure that the ambient air quality will not degrade. The non-attainment area NSR program is designed to ensure that any new industrial growth in a non-attainment area will comply with stringent emission limitations (by requiring the most protective pollution controls and emission offsets), with the goal of improving air quality overall to meet the NAAQS. The NSR program requires companies to obtain permit</w:t>
            </w:r>
            <w:r w:rsidR="00BA39F6">
              <w:rPr>
                <w:i/>
                <w:color w:val="000000"/>
                <w:sz w:val="22"/>
                <w:szCs w:val="22"/>
              </w:rPr>
              <w:t>s</w:t>
            </w:r>
            <w:r w:rsidRPr="00A0767C">
              <w:rPr>
                <w:i/>
                <w:color w:val="000000"/>
                <w:sz w:val="22"/>
                <w:szCs w:val="22"/>
              </w:rPr>
              <w:t xml:space="preserve"> for new construction or major modifications that substantially increase a facility's emissions. </w:t>
            </w:r>
          </w:p>
          <w:p w:rsidR="003A12D7" w:rsidRDefault="00E81ECC" w:rsidP="00DE1045">
            <w:pPr>
              <w:autoSpaceDE w:val="0"/>
              <w:autoSpaceDN w:val="0"/>
              <w:adjustRightInd w:val="0"/>
              <w:spacing w:after="120"/>
              <w:ind w:right="-180"/>
              <w:rPr>
                <w:i/>
                <w:color w:val="000000"/>
                <w:sz w:val="22"/>
                <w:szCs w:val="22"/>
              </w:rPr>
            </w:pPr>
            <w:r>
              <w:rPr>
                <w:i/>
                <w:sz w:val="22"/>
                <w:szCs w:val="22"/>
              </w:rPr>
              <w:t>However, regulating major new and modified sources is not sufficient to ensure compliance with the NAAQS</w:t>
            </w:r>
            <w:r w:rsidR="008D538C">
              <w:rPr>
                <w:i/>
                <w:sz w:val="22"/>
                <w:szCs w:val="22"/>
              </w:rPr>
              <w:t xml:space="preserve">. </w:t>
            </w:r>
            <w:r w:rsidR="003A12D7">
              <w:rPr>
                <w:i/>
                <w:sz w:val="22"/>
                <w:szCs w:val="22"/>
              </w:rPr>
              <w:t>S</w:t>
            </w:r>
            <w:r w:rsidR="003A12D7" w:rsidRPr="00C759C9">
              <w:rPr>
                <w:i/>
                <w:sz w:val="22"/>
                <w:szCs w:val="22"/>
              </w:rPr>
              <w:t>tate</w:t>
            </w:r>
            <w:r w:rsidR="003A12D7">
              <w:rPr>
                <w:i/>
                <w:sz w:val="22"/>
                <w:szCs w:val="22"/>
              </w:rPr>
              <w:t>s</w:t>
            </w:r>
            <w:r w:rsidR="003A12D7" w:rsidRPr="00C759C9">
              <w:rPr>
                <w:i/>
                <w:sz w:val="22"/>
                <w:szCs w:val="22"/>
              </w:rPr>
              <w:t xml:space="preserve"> must submit a plan to EPA detailing steps necessary to achieve </w:t>
            </w:r>
            <w:r w:rsidR="003A12D7">
              <w:rPr>
                <w:i/>
                <w:sz w:val="22"/>
                <w:szCs w:val="22"/>
              </w:rPr>
              <w:t xml:space="preserve">and maintain </w:t>
            </w:r>
            <w:r w:rsidR="003A12D7" w:rsidRPr="00C759C9">
              <w:rPr>
                <w:i/>
                <w:sz w:val="22"/>
                <w:szCs w:val="22"/>
              </w:rPr>
              <w:t>the</w:t>
            </w:r>
            <w:r w:rsidR="00C34758">
              <w:rPr>
                <w:i/>
                <w:sz w:val="22"/>
                <w:szCs w:val="22"/>
              </w:rPr>
              <w:t xml:space="preserve"> NAAQS.</w:t>
            </w:r>
            <w:r w:rsidR="003A12D7" w:rsidRPr="00C759C9">
              <w:rPr>
                <w:i/>
                <w:sz w:val="22"/>
                <w:szCs w:val="22"/>
              </w:rPr>
              <w:t xml:space="preserve"> This plan is referred to as the State Implementation Plan or SIP. SIPs must include an inventory of emissions, enforceable emission limitations, related control measures, and schedules and time-tables for compliance that are necessary for the area to meet the Clean Air Act standards and opportunities for public input.</w:t>
            </w:r>
            <w:r w:rsidR="003A12D7" w:rsidRPr="00C759C9">
              <w:rPr>
                <w:i/>
                <w:color w:val="000000"/>
                <w:sz w:val="22"/>
                <w:szCs w:val="22"/>
              </w:rPr>
              <w:t xml:space="preserve"> </w:t>
            </w:r>
            <w:r w:rsidR="003A12D7" w:rsidRPr="00C759C9">
              <w:rPr>
                <w:i/>
                <w:sz w:val="22"/>
                <w:szCs w:val="22"/>
              </w:rPr>
              <w:t>Air monitoring is conducted to measure whether standards are being met.</w:t>
            </w:r>
          </w:p>
          <w:p w:rsidR="003A12D7" w:rsidRDefault="003A12D7" w:rsidP="00DE1045">
            <w:pPr>
              <w:autoSpaceDE w:val="0"/>
              <w:autoSpaceDN w:val="0"/>
              <w:adjustRightInd w:val="0"/>
              <w:spacing w:after="120"/>
              <w:ind w:right="-180"/>
              <w:rPr>
                <w:i/>
                <w:sz w:val="22"/>
                <w:szCs w:val="22"/>
              </w:rPr>
            </w:pPr>
            <w:r w:rsidRPr="00C759C9">
              <w:rPr>
                <w:i/>
                <w:color w:val="000000"/>
                <w:sz w:val="22"/>
                <w:szCs w:val="22"/>
              </w:rPr>
              <w:t xml:space="preserve"> </w:t>
            </w:r>
            <w:r w:rsidRPr="00C759C9">
              <w:rPr>
                <w:i/>
                <w:sz w:val="22"/>
                <w:szCs w:val="22"/>
              </w:rPr>
              <w:t xml:space="preserve">If a state has nonattainment areas within its borders, the state must </w:t>
            </w:r>
            <w:r>
              <w:rPr>
                <w:i/>
                <w:sz w:val="22"/>
                <w:szCs w:val="22"/>
              </w:rPr>
              <w:t xml:space="preserve">develop and </w:t>
            </w:r>
            <w:r w:rsidRPr="00C759C9">
              <w:rPr>
                <w:i/>
                <w:sz w:val="22"/>
                <w:szCs w:val="22"/>
              </w:rPr>
              <w:t xml:space="preserve">submit </w:t>
            </w:r>
            <w:r>
              <w:rPr>
                <w:i/>
                <w:sz w:val="22"/>
                <w:szCs w:val="22"/>
              </w:rPr>
              <w:t>an attainment</w:t>
            </w:r>
            <w:r w:rsidRPr="00C759C9">
              <w:rPr>
                <w:i/>
                <w:sz w:val="22"/>
                <w:szCs w:val="22"/>
              </w:rPr>
              <w:t xml:space="preserve"> plan to EPA detailing steps necessary to achieve the standard. Generally, the </w:t>
            </w:r>
            <w:r>
              <w:rPr>
                <w:i/>
                <w:sz w:val="22"/>
                <w:szCs w:val="22"/>
              </w:rPr>
              <w:t>attainment plan</w:t>
            </w:r>
            <w:r w:rsidRPr="00C759C9">
              <w:rPr>
                <w:i/>
                <w:sz w:val="22"/>
                <w:szCs w:val="22"/>
              </w:rPr>
              <w:t xml:space="preserve"> includes modeling to demonstrate that the measures selected by the state will </w:t>
            </w:r>
            <w:r w:rsidRPr="00C759C9">
              <w:rPr>
                <w:i/>
                <w:sz w:val="22"/>
                <w:szCs w:val="22"/>
              </w:rPr>
              <w:lastRenderedPageBreak/>
              <w:t>reduce emissions enough for the area to meet the standard. In addition, the Clean Air Act requires major sources of air pollution to meet stricter emission control requirements in nonattainment areas than are required in areas that meet federal health standards. For example, new sources of air pollution in nonattainment areas must meet stricter permitting requirements.</w:t>
            </w:r>
          </w:p>
          <w:p w:rsidR="003A12D7" w:rsidRPr="00C759C9" w:rsidRDefault="003A12D7" w:rsidP="00DE1045">
            <w:pPr>
              <w:pStyle w:val="NormalWeb"/>
              <w:spacing w:before="0" w:beforeAutospacing="0" w:after="120" w:afterAutospacing="0"/>
              <w:rPr>
                <w:i/>
                <w:sz w:val="22"/>
                <w:szCs w:val="22"/>
              </w:rPr>
            </w:pPr>
            <w:r w:rsidRPr="00C759C9">
              <w:rPr>
                <w:i/>
                <w:sz w:val="22"/>
                <w:szCs w:val="22"/>
              </w:rPr>
              <w:t>States may ask EPA to redesignate an area back into attainment if:</w:t>
            </w:r>
          </w:p>
          <w:p w:rsidR="003A12D7" w:rsidRPr="00C759C9" w:rsidRDefault="003A12D7" w:rsidP="00DE1045">
            <w:pPr>
              <w:numPr>
                <w:ilvl w:val="0"/>
                <w:numId w:val="4"/>
              </w:numPr>
              <w:rPr>
                <w:i/>
                <w:sz w:val="22"/>
                <w:szCs w:val="22"/>
              </w:rPr>
            </w:pPr>
            <w:r w:rsidRPr="00C759C9">
              <w:rPr>
                <w:i/>
                <w:sz w:val="22"/>
                <w:szCs w:val="22"/>
              </w:rPr>
              <w:t xml:space="preserve">the area has monitored attainment of the air quality standard; </w:t>
            </w:r>
          </w:p>
          <w:p w:rsidR="003A12D7" w:rsidRPr="00C759C9" w:rsidRDefault="003A12D7" w:rsidP="00DE1045">
            <w:pPr>
              <w:numPr>
                <w:ilvl w:val="0"/>
                <w:numId w:val="4"/>
              </w:numPr>
              <w:rPr>
                <w:i/>
                <w:sz w:val="22"/>
                <w:szCs w:val="22"/>
              </w:rPr>
            </w:pPr>
            <w:r w:rsidRPr="00C759C9">
              <w:rPr>
                <w:i/>
                <w:sz w:val="22"/>
                <w:szCs w:val="22"/>
              </w:rPr>
              <w:t xml:space="preserve">EPA has determined that the improvement in air quality is due to permanent and enforceable reductions in emissions; </w:t>
            </w:r>
          </w:p>
          <w:p w:rsidR="003A12D7" w:rsidRPr="00C759C9" w:rsidRDefault="003A12D7" w:rsidP="00DE1045">
            <w:pPr>
              <w:numPr>
                <w:ilvl w:val="0"/>
                <w:numId w:val="4"/>
              </w:numPr>
              <w:rPr>
                <w:i/>
                <w:sz w:val="22"/>
                <w:szCs w:val="22"/>
              </w:rPr>
            </w:pPr>
            <w:r w:rsidRPr="00C759C9">
              <w:rPr>
                <w:i/>
                <w:sz w:val="22"/>
                <w:szCs w:val="22"/>
              </w:rPr>
              <w:t xml:space="preserve">the state has submitted, and EPA has approved, a maintenance plan for the area; and, </w:t>
            </w:r>
          </w:p>
          <w:p w:rsidR="003A12D7" w:rsidRPr="00C759C9" w:rsidRDefault="003A12D7" w:rsidP="00DE1045">
            <w:pPr>
              <w:numPr>
                <w:ilvl w:val="0"/>
                <w:numId w:val="4"/>
              </w:numPr>
              <w:spacing w:after="120"/>
              <w:rPr>
                <w:i/>
                <w:sz w:val="22"/>
                <w:szCs w:val="22"/>
              </w:rPr>
            </w:pPr>
            <w:r w:rsidRPr="00C759C9">
              <w:rPr>
                <w:i/>
                <w:sz w:val="22"/>
                <w:szCs w:val="22"/>
              </w:rPr>
              <w:t>the area has met all other applicable Clean Air Act requirements.</w:t>
            </w:r>
          </w:p>
          <w:p w:rsidR="003A12D7" w:rsidRDefault="003A12D7" w:rsidP="00DE1045">
            <w:pPr>
              <w:pStyle w:val="NormalWeb"/>
              <w:spacing w:before="0" w:beforeAutospacing="0" w:after="120" w:afterAutospacing="0"/>
              <w:rPr>
                <w:i/>
                <w:sz w:val="22"/>
                <w:szCs w:val="22"/>
              </w:rPr>
            </w:pPr>
            <w:r w:rsidRPr="00C759C9">
              <w:rPr>
                <w:i/>
                <w:sz w:val="22"/>
                <w:szCs w:val="22"/>
              </w:rPr>
              <w:t>Nonattainment areas that later are designated to attainment are considered maintenance areas. The steps to maintain air quality are defined in a maintenance plan.</w:t>
            </w:r>
            <w:r w:rsidR="002D2520">
              <w:rPr>
                <w:i/>
                <w:sz w:val="22"/>
                <w:szCs w:val="22"/>
              </w:rPr>
              <w:t xml:space="preserve"> Unless demonstrated to be no longer necessary, </w:t>
            </w:r>
            <w:r w:rsidRPr="00C759C9">
              <w:rPr>
                <w:i/>
                <w:sz w:val="22"/>
                <w:szCs w:val="22"/>
              </w:rPr>
              <w:t>the control measures used to improve air quality will remain in place</w:t>
            </w:r>
            <w:r w:rsidR="002D2520">
              <w:rPr>
                <w:i/>
                <w:sz w:val="22"/>
                <w:szCs w:val="22"/>
              </w:rPr>
              <w:t xml:space="preserve"> and additional measures could be needed</w:t>
            </w:r>
            <w:r w:rsidRPr="00C759C9">
              <w:rPr>
                <w:i/>
                <w:sz w:val="22"/>
                <w:szCs w:val="22"/>
              </w:rPr>
              <w:t>. The maintenance plan must demonstrate continued compliance, considering projected growth, for a period of ten years. If outdoor air monitors record a violation of the standard, the maintenance plan includes a commitment to determine appropriate measures to address the cause of the violation.</w:t>
            </w:r>
          </w:p>
          <w:p w:rsidR="00012675" w:rsidRDefault="003A12D7" w:rsidP="00012675">
            <w:pPr>
              <w:pStyle w:val="Default"/>
              <w:spacing w:after="120"/>
              <w:rPr>
                <w:i/>
                <w:sz w:val="22"/>
                <w:szCs w:val="22"/>
              </w:rPr>
            </w:pPr>
            <w:r w:rsidRPr="00515811">
              <w:rPr>
                <w:i/>
                <w:sz w:val="22"/>
                <w:szCs w:val="22"/>
              </w:rPr>
              <w:t>Oregon hasn’t always met the National Ambient Air Quality Standards and initially had several communities designated by the EPA as non-attainment areas</w:t>
            </w:r>
            <w:r w:rsidR="00012675">
              <w:rPr>
                <w:i/>
                <w:sz w:val="22"/>
                <w:szCs w:val="22"/>
              </w:rPr>
              <w:t xml:space="preserve"> for ozone, carbon monoxide and particulate</w:t>
            </w:r>
            <w:r w:rsidRPr="00515811">
              <w:rPr>
                <w:i/>
                <w:sz w:val="22"/>
                <w:szCs w:val="22"/>
              </w:rPr>
              <w:t xml:space="preserve">. </w:t>
            </w:r>
            <w:r w:rsidRPr="00923A7B">
              <w:rPr>
                <w:i/>
                <w:sz w:val="22"/>
                <w:szCs w:val="22"/>
              </w:rPr>
              <w:t xml:space="preserve">DEQ developed attainment plans for these areas which included more stringent controls, </w:t>
            </w:r>
            <w:r w:rsidR="00012675">
              <w:rPr>
                <w:i/>
                <w:sz w:val="22"/>
                <w:szCs w:val="22"/>
              </w:rPr>
              <w:t xml:space="preserve">such as limits on </w:t>
            </w:r>
            <w:r w:rsidR="000A0E4F">
              <w:rPr>
                <w:i/>
                <w:sz w:val="22"/>
                <w:szCs w:val="22"/>
              </w:rPr>
              <w:t>emissions of solvents and</w:t>
            </w:r>
            <w:r w:rsidRPr="00923A7B">
              <w:rPr>
                <w:i/>
                <w:sz w:val="22"/>
                <w:szCs w:val="22"/>
              </w:rPr>
              <w:t xml:space="preserve"> particulate matter limits on wood particle dryers and hardboard press vents</w:t>
            </w:r>
            <w:r>
              <w:rPr>
                <w:i/>
                <w:sz w:val="22"/>
                <w:szCs w:val="22"/>
              </w:rPr>
              <w:t xml:space="preserve">. </w:t>
            </w:r>
            <w:r w:rsidRPr="00923A7B">
              <w:rPr>
                <w:i/>
                <w:sz w:val="22"/>
                <w:szCs w:val="22"/>
              </w:rPr>
              <w:t xml:space="preserve">The more stringent controls </w:t>
            </w:r>
            <w:r w:rsidR="000A0E4F">
              <w:rPr>
                <w:i/>
                <w:sz w:val="22"/>
                <w:szCs w:val="22"/>
              </w:rPr>
              <w:t>on industrial emissions</w:t>
            </w:r>
            <w:r w:rsidR="002D2520">
              <w:rPr>
                <w:i/>
                <w:sz w:val="22"/>
                <w:szCs w:val="22"/>
              </w:rPr>
              <w:t xml:space="preserve"> resulted in reductions to the PSEL and netting basis.</w:t>
            </w:r>
            <w:r w:rsidRPr="00923A7B">
              <w:rPr>
                <w:i/>
                <w:sz w:val="22"/>
                <w:szCs w:val="22"/>
              </w:rPr>
              <w:t xml:space="preserve"> </w:t>
            </w:r>
            <w:r w:rsidR="002D2520">
              <w:rPr>
                <w:i/>
                <w:sz w:val="22"/>
                <w:szCs w:val="22"/>
              </w:rPr>
              <w:t>In this sense, the</w:t>
            </w:r>
            <w:r w:rsidRPr="00923A7B">
              <w:rPr>
                <w:i/>
                <w:sz w:val="22"/>
                <w:szCs w:val="22"/>
              </w:rPr>
              <w:t xml:space="preserve"> PSELs </w:t>
            </w:r>
            <w:r w:rsidR="002D2520">
              <w:rPr>
                <w:i/>
                <w:sz w:val="22"/>
                <w:szCs w:val="22"/>
              </w:rPr>
              <w:t>help</w:t>
            </w:r>
            <w:r w:rsidRPr="00923A7B">
              <w:rPr>
                <w:i/>
                <w:sz w:val="22"/>
                <w:szCs w:val="22"/>
              </w:rPr>
              <w:t xml:space="preserve"> achieve compliance with the NAAQS </w:t>
            </w:r>
            <w:r w:rsidR="002D2520">
              <w:rPr>
                <w:i/>
                <w:sz w:val="22"/>
                <w:szCs w:val="22"/>
              </w:rPr>
              <w:t>even though they</w:t>
            </w:r>
            <w:r w:rsidRPr="00923A7B">
              <w:rPr>
                <w:i/>
                <w:sz w:val="22"/>
                <w:szCs w:val="22"/>
              </w:rPr>
              <w:t xml:space="preserve"> are not used to demonstrate compliance with the NAAQS</w:t>
            </w:r>
            <w:r>
              <w:rPr>
                <w:i/>
                <w:sz w:val="22"/>
                <w:szCs w:val="22"/>
              </w:rPr>
              <w:t xml:space="preserve">. </w:t>
            </w:r>
            <w:r w:rsidRPr="00923A7B">
              <w:rPr>
                <w:i/>
                <w:sz w:val="22"/>
                <w:szCs w:val="22"/>
              </w:rPr>
              <w:t xml:space="preserve">With these and other control strategies, all of the nonattainment areas </w:t>
            </w:r>
            <w:r w:rsidR="002D2520">
              <w:rPr>
                <w:i/>
                <w:sz w:val="22"/>
                <w:szCs w:val="22"/>
              </w:rPr>
              <w:t xml:space="preserve">under DEQ's jurisdiction </w:t>
            </w:r>
            <w:r w:rsidRPr="00923A7B">
              <w:rPr>
                <w:i/>
                <w:sz w:val="22"/>
                <w:szCs w:val="22"/>
              </w:rPr>
              <w:t>were redesignated as maintenance areas in the 1990s and have remained in compliance ever since</w:t>
            </w:r>
            <w:r>
              <w:rPr>
                <w:i/>
                <w:sz w:val="22"/>
                <w:szCs w:val="22"/>
              </w:rPr>
              <w:t xml:space="preserve">. </w:t>
            </w:r>
          </w:p>
          <w:p w:rsidR="003A12D7" w:rsidRPr="00923A7B" w:rsidRDefault="003A12D7" w:rsidP="00DE1045">
            <w:pPr>
              <w:autoSpaceDE w:val="0"/>
              <w:autoSpaceDN w:val="0"/>
              <w:adjustRightInd w:val="0"/>
              <w:spacing w:after="120"/>
              <w:ind w:right="-180"/>
              <w:rPr>
                <w:i/>
                <w:color w:val="000000"/>
                <w:sz w:val="22"/>
                <w:szCs w:val="22"/>
              </w:rPr>
            </w:pPr>
            <w:r w:rsidRPr="00923A7B">
              <w:rPr>
                <w:i/>
                <w:color w:val="000000"/>
                <w:sz w:val="22"/>
                <w:szCs w:val="22"/>
              </w:rPr>
              <w:t>The PM</w:t>
            </w:r>
            <w:r w:rsidRPr="00923A7B">
              <w:rPr>
                <w:i/>
                <w:color w:val="000000"/>
                <w:sz w:val="22"/>
                <w:szCs w:val="22"/>
                <w:vertAlign w:val="subscript"/>
              </w:rPr>
              <w:t>10</w:t>
            </w:r>
            <w:r w:rsidRPr="00923A7B">
              <w:rPr>
                <w:i/>
                <w:color w:val="000000"/>
                <w:sz w:val="22"/>
                <w:szCs w:val="22"/>
              </w:rPr>
              <w:t xml:space="preserve"> control strategies in the maintenance plans were so effective that when EPA developed the first PM</w:t>
            </w:r>
            <w:r w:rsidRPr="00923A7B">
              <w:rPr>
                <w:i/>
                <w:color w:val="000000"/>
                <w:sz w:val="22"/>
                <w:szCs w:val="22"/>
                <w:vertAlign w:val="subscript"/>
              </w:rPr>
              <w:t>2.5</w:t>
            </w:r>
            <w:r w:rsidRPr="00923A7B">
              <w:rPr>
                <w:i/>
                <w:color w:val="000000"/>
                <w:sz w:val="22"/>
                <w:szCs w:val="22"/>
              </w:rPr>
              <w:t xml:space="preserve"> ambient air quality standards, there were no PM</w:t>
            </w:r>
            <w:r w:rsidRPr="00923A7B">
              <w:rPr>
                <w:i/>
                <w:color w:val="000000"/>
                <w:sz w:val="22"/>
                <w:szCs w:val="22"/>
                <w:vertAlign w:val="subscript"/>
              </w:rPr>
              <w:t>2.5</w:t>
            </w:r>
            <w:r w:rsidRPr="00923A7B">
              <w:rPr>
                <w:i/>
                <w:color w:val="000000"/>
                <w:sz w:val="22"/>
                <w:szCs w:val="22"/>
              </w:rPr>
              <w:t xml:space="preserve"> nonattainment areas in the state</w:t>
            </w:r>
            <w:r>
              <w:rPr>
                <w:i/>
                <w:color w:val="000000"/>
                <w:sz w:val="22"/>
                <w:szCs w:val="22"/>
              </w:rPr>
              <w:t xml:space="preserve">. </w:t>
            </w:r>
            <w:r w:rsidRPr="00923A7B">
              <w:rPr>
                <w:i/>
                <w:color w:val="000000"/>
                <w:sz w:val="22"/>
                <w:szCs w:val="22"/>
              </w:rPr>
              <w:t>Only later when EPA reduced the PM</w:t>
            </w:r>
            <w:r w:rsidRPr="00923A7B">
              <w:rPr>
                <w:i/>
                <w:color w:val="000000"/>
                <w:sz w:val="22"/>
                <w:szCs w:val="22"/>
                <w:vertAlign w:val="subscript"/>
              </w:rPr>
              <w:t>2.5</w:t>
            </w:r>
            <w:r w:rsidRPr="00923A7B">
              <w:rPr>
                <w:i/>
                <w:color w:val="000000"/>
                <w:sz w:val="22"/>
                <w:szCs w:val="22"/>
              </w:rPr>
              <w:t xml:space="preserve"> NAAQS, two areas in the state were designated as nonattainment areas</w:t>
            </w:r>
            <w:r>
              <w:rPr>
                <w:i/>
                <w:color w:val="000000"/>
                <w:sz w:val="22"/>
                <w:szCs w:val="22"/>
              </w:rPr>
              <w:t xml:space="preserve">. An additional area in the state is violating the standard based on recent monitoring data, but it has not officially been designated as a nonattainment area yet. </w:t>
            </w:r>
          </w:p>
          <w:p w:rsidR="003A12D7" w:rsidRPr="00923A7B" w:rsidRDefault="003A12D7" w:rsidP="002D2520">
            <w:pPr>
              <w:pStyle w:val="NormalWeb"/>
              <w:spacing w:before="0" w:beforeAutospacing="0" w:after="120" w:afterAutospacing="0"/>
              <w:rPr>
                <w:i/>
                <w:sz w:val="22"/>
                <w:szCs w:val="22"/>
              </w:rPr>
            </w:pPr>
            <w:r w:rsidRPr="00923A7B">
              <w:rPr>
                <w:i/>
                <w:sz w:val="22"/>
                <w:szCs w:val="22"/>
              </w:rPr>
              <w:t xml:space="preserve">Based on the fact that </w:t>
            </w:r>
            <w:r w:rsidR="002D2520">
              <w:rPr>
                <w:i/>
                <w:sz w:val="22"/>
                <w:szCs w:val="22"/>
              </w:rPr>
              <w:t>the only</w:t>
            </w:r>
            <w:r w:rsidRPr="00923A7B">
              <w:rPr>
                <w:i/>
                <w:sz w:val="22"/>
                <w:szCs w:val="22"/>
              </w:rPr>
              <w:t xml:space="preserve"> NAAQS</w:t>
            </w:r>
            <w:r w:rsidR="002D2520">
              <w:rPr>
                <w:i/>
                <w:sz w:val="22"/>
                <w:szCs w:val="22"/>
              </w:rPr>
              <w:t xml:space="preserve"> violations in the state are for a pollutant for which EPA recently lowered the NAAQS</w:t>
            </w:r>
            <w:r w:rsidRPr="00923A7B">
              <w:rPr>
                <w:i/>
                <w:sz w:val="22"/>
                <w:szCs w:val="22"/>
              </w:rPr>
              <w:t xml:space="preserve">, DEQ’s air quality program has been </w:t>
            </w:r>
            <w:r>
              <w:rPr>
                <w:i/>
                <w:sz w:val="22"/>
                <w:szCs w:val="22"/>
              </w:rPr>
              <w:t xml:space="preserve">very </w:t>
            </w:r>
            <w:r w:rsidRPr="00923A7B">
              <w:rPr>
                <w:i/>
                <w:sz w:val="22"/>
                <w:szCs w:val="22"/>
              </w:rPr>
              <w:t>successful in protecting air quality in the state</w:t>
            </w:r>
            <w:r>
              <w:rPr>
                <w:i/>
                <w:sz w:val="22"/>
                <w:szCs w:val="22"/>
              </w:rPr>
              <w:t xml:space="preserve">. </w:t>
            </w:r>
            <w:r w:rsidR="00A21C65">
              <w:rPr>
                <w:i/>
                <w:color w:val="000000"/>
                <w:sz w:val="22"/>
                <w:szCs w:val="22"/>
              </w:rPr>
              <w:t>No change to the rule is proposed in response to this comment.</w:t>
            </w:r>
            <w:r>
              <w:rPr>
                <w:i/>
                <w:color w:val="000000"/>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rPr>
                <w:sz w:val="22"/>
                <w:szCs w:val="22"/>
              </w:rPr>
            </w:pPr>
            <w:bookmarkStart w:id="11" w:name="_Ref283933944"/>
          </w:p>
          <w:bookmarkEnd w:id="11"/>
          <w:p w:rsidR="003A12D7" w:rsidRPr="00943C75" w:rsidRDefault="003A12D7" w:rsidP="00DE1045">
            <w:pPr>
              <w:rPr>
                <w:sz w:val="22"/>
                <w:szCs w:val="22"/>
              </w:rPr>
            </w:pPr>
            <w:r w:rsidRPr="00943C75">
              <w:rPr>
                <w:sz w:val="22"/>
                <w:szCs w:val="22"/>
              </w:rPr>
              <w:t>Compliance with the PSD increment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DE1045">
            <w:pPr>
              <w:autoSpaceDE w:val="0"/>
              <w:autoSpaceDN w:val="0"/>
              <w:adjustRightInd w:val="0"/>
              <w:spacing w:after="120"/>
              <w:ind w:right="-180"/>
              <w:rPr>
                <w:sz w:val="22"/>
                <w:szCs w:val="22"/>
              </w:rPr>
            </w:pPr>
            <w:r w:rsidRPr="00894F3B">
              <w:rPr>
                <w:sz w:val="22"/>
                <w:szCs w:val="22"/>
              </w:rPr>
              <w:t>DEQ’s implementation of the PSELs fails to ensure compliance with the NAAQS and PSD increment</w:t>
            </w:r>
            <w:r>
              <w:rPr>
                <w:sz w:val="22"/>
                <w:szCs w:val="22"/>
              </w:rPr>
              <w:t xml:space="preserve"> (12)</w:t>
            </w:r>
          </w:p>
          <w:p w:rsidR="003A12D7" w:rsidRDefault="003A12D7" w:rsidP="00DE1045">
            <w:pPr>
              <w:autoSpaceDE w:val="0"/>
              <w:autoSpaceDN w:val="0"/>
              <w:adjustRightInd w:val="0"/>
              <w:spacing w:after="120"/>
              <w:ind w:right="-180"/>
              <w:rPr>
                <w:i/>
                <w:sz w:val="22"/>
                <w:szCs w:val="22"/>
              </w:rPr>
            </w:pPr>
            <w:r>
              <w:rPr>
                <w:i/>
                <w:sz w:val="22"/>
                <w:szCs w:val="22"/>
              </w:rPr>
              <w:t>Response:</w:t>
            </w:r>
          </w:p>
          <w:p w:rsidR="003A12D7" w:rsidRDefault="003A12D7" w:rsidP="00DE1045">
            <w:pPr>
              <w:pStyle w:val="ColorfulList-Accent11"/>
              <w:spacing w:after="120"/>
              <w:ind w:left="0"/>
              <w:rPr>
                <w:i/>
                <w:sz w:val="22"/>
                <w:szCs w:val="22"/>
              </w:rPr>
            </w:pPr>
            <w:r w:rsidRPr="00E06E48">
              <w:rPr>
                <w:i/>
                <w:sz w:val="22"/>
                <w:szCs w:val="22"/>
              </w:rPr>
              <w:t xml:space="preserve">The PSEL program provides the </w:t>
            </w:r>
            <w:r w:rsidRPr="00E06E48">
              <w:rPr>
                <w:b/>
                <w:i/>
                <w:sz w:val="22"/>
                <w:szCs w:val="22"/>
              </w:rPr>
              <w:t>basis</w:t>
            </w:r>
            <w:r w:rsidRPr="00E06E48">
              <w:rPr>
                <w:i/>
                <w:sz w:val="22"/>
                <w:szCs w:val="22"/>
              </w:rPr>
              <w:t xml:space="preserve"> for assuring compliance with ambient standards and PSD increments but is not the actual </w:t>
            </w:r>
            <w:r>
              <w:rPr>
                <w:i/>
                <w:sz w:val="22"/>
                <w:szCs w:val="22"/>
              </w:rPr>
              <w:t>method used</w:t>
            </w:r>
            <w:r w:rsidRPr="00E06E48">
              <w:rPr>
                <w:i/>
                <w:sz w:val="22"/>
                <w:szCs w:val="22"/>
              </w:rPr>
              <w:t xml:space="preserve"> to evaluate increment consumption</w:t>
            </w:r>
            <w:r>
              <w:rPr>
                <w:i/>
                <w:sz w:val="22"/>
                <w:szCs w:val="22"/>
              </w:rPr>
              <w:t xml:space="preserve">. </w:t>
            </w:r>
          </w:p>
          <w:p w:rsidR="003A12D7" w:rsidRPr="006F74F1" w:rsidRDefault="003A12D7" w:rsidP="00DE1045">
            <w:pPr>
              <w:pStyle w:val="NormalWeb"/>
              <w:spacing w:before="0" w:beforeAutospacing="0" w:after="120" w:afterAutospacing="0"/>
              <w:rPr>
                <w:i/>
                <w:sz w:val="22"/>
                <w:szCs w:val="22"/>
              </w:rPr>
            </w:pPr>
            <w:r w:rsidRPr="006F74F1">
              <w:rPr>
                <w:i/>
                <w:sz w:val="22"/>
                <w:szCs w:val="22"/>
              </w:rPr>
              <w:lastRenderedPageBreak/>
              <w:t>A PSD increment is the</w:t>
            </w:r>
            <w:r w:rsidR="001C1EE8">
              <w:rPr>
                <w:i/>
                <w:sz w:val="22"/>
                <w:szCs w:val="22"/>
              </w:rPr>
              <w:t xml:space="preserve"> maximum concentration increase</w:t>
            </w:r>
            <w:r w:rsidRPr="006F74F1">
              <w:rPr>
                <w:i/>
                <w:sz w:val="22"/>
                <w:szCs w:val="22"/>
              </w:rPr>
              <w:t xml:space="preserve"> that is allowed to occur above a baseline concentration for a specific pollutant in </w:t>
            </w:r>
            <w:r w:rsidR="006C7E61">
              <w:rPr>
                <w:i/>
                <w:sz w:val="22"/>
                <w:szCs w:val="22"/>
              </w:rPr>
              <w:t>permitting</w:t>
            </w:r>
            <w:r w:rsidRPr="006F74F1">
              <w:rPr>
                <w:i/>
                <w:sz w:val="22"/>
                <w:szCs w:val="22"/>
              </w:rPr>
              <w:t xml:space="preserve"> a new or </w:t>
            </w:r>
            <w:r w:rsidR="006C7E61">
              <w:rPr>
                <w:i/>
                <w:sz w:val="22"/>
                <w:szCs w:val="22"/>
              </w:rPr>
              <w:t xml:space="preserve">modified </w:t>
            </w:r>
            <w:r w:rsidRPr="006F74F1">
              <w:rPr>
                <w:i/>
                <w:sz w:val="22"/>
                <w:szCs w:val="22"/>
              </w:rPr>
              <w:t>source. The baseline concentration is defined for each pollutant and, in general, is equal to the ambient concentration existing during the baseline concentration year. PSD increments prevent the air quality in clean areas from deteriorating to the level set by the NAAQS. Significant deterioration is said to occur when the amount of new pollution would exceed the applicable PSD increment. It is important to note, however, that the air quality cannot deteriorate beyond the applicable NAAQS level, even if not all of the PSD increment is consumed.</w:t>
            </w:r>
          </w:p>
          <w:p w:rsidR="003A12D7" w:rsidRPr="00F428DE" w:rsidRDefault="003A12D7" w:rsidP="00DE1045">
            <w:pPr>
              <w:autoSpaceDE w:val="0"/>
              <w:autoSpaceDN w:val="0"/>
              <w:adjustRightInd w:val="0"/>
              <w:spacing w:after="120"/>
              <w:rPr>
                <w:b/>
                <w:i/>
                <w:sz w:val="22"/>
                <w:szCs w:val="22"/>
              </w:rPr>
            </w:pPr>
            <w:r w:rsidRPr="00F428DE">
              <w:rPr>
                <w:b/>
                <w:i/>
                <w:sz w:val="22"/>
                <w:szCs w:val="22"/>
              </w:rPr>
              <w:t>General Approach to Increment Analyses</w:t>
            </w:r>
          </w:p>
          <w:p w:rsidR="003A12D7" w:rsidRPr="00F428DE" w:rsidRDefault="003A12D7" w:rsidP="00DE1045">
            <w:pPr>
              <w:autoSpaceDE w:val="0"/>
              <w:autoSpaceDN w:val="0"/>
              <w:adjustRightInd w:val="0"/>
              <w:spacing w:after="120"/>
              <w:rPr>
                <w:i/>
                <w:sz w:val="22"/>
                <w:szCs w:val="22"/>
              </w:rPr>
            </w:pPr>
            <w:r w:rsidRPr="00F428DE">
              <w:rPr>
                <w:i/>
                <w:sz w:val="22"/>
                <w:szCs w:val="22"/>
              </w:rPr>
              <w:t xml:space="preserve">The EPA and the States have generally used an emissions inventory and modeling approach to identify the degree to which an increment has been consumed or will be consumed by major source construction. </w:t>
            </w:r>
            <w:r w:rsidRPr="00EB170D">
              <w:rPr>
                <w:i/>
                <w:sz w:val="22"/>
                <w:szCs w:val="22"/>
              </w:rPr>
              <w:t>Ambient monitoring has not been used to establish baseline concentrations or to evaluate increment consumption because ambient measurements reflect emissions from all sources, including those that should be excluded from the measurements.</w:t>
            </w:r>
            <w:r w:rsidRPr="00F428DE">
              <w:rPr>
                <w:i/>
                <w:sz w:val="22"/>
                <w:szCs w:val="22"/>
              </w:rPr>
              <w:t xml:space="preserve"> EPA has not necessarily required the identification of a specific baseline concentration but rather has focused on measuring the change in concentration from the legally established baseline date to the time of the analysis. For example, in the preamble to the 1978 PSD regulation, EPA stated the following:</w:t>
            </w:r>
          </w:p>
          <w:p w:rsidR="003A12D7" w:rsidRPr="00F428DE" w:rsidRDefault="003A12D7" w:rsidP="00DE1045">
            <w:pPr>
              <w:autoSpaceDE w:val="0"/>
              <w:autoSpaceDN w:val="0"/>
              <w:adjustRightInd w:val="0"/>
              <w:spacing w:after="120"/>
              <w:ind w:left="720"/>
              <w:rPr>
                <w:i/>
                <w:sz w:val="22"/>
                <w:szCs w:val="22"/>
              </w:rPr>
            </w:pPr>
            <w:r w:rsidRPr="00F428DE">
              <w:rPr>
                <w:i/>
                <w:sz w:val="22"/>
                <w:szCs w:val="22"/>
              </w:rPr>
              <w:t>The regulations promulgated today no longer suggest that the baseline concentration be formally established. The Administrator feels that increment consumption can be best tracked by tallying changes in emissions levels of sources contributing to the baseline concentration and increases in emissions due to new sources. Data to establish baseline air quality in an absolute sense would be needed only if increment consumption were to be tracked using ambient measurements. Thus, to implement the air quality increment approach, the reviewing authority needs to verify that all changes from baseline emissions rates (decreases or increases as appropriate) in conjunction with the increased emissions associated with approved new source construction will not violate an applicable increment * * *.</w:t>
            </w:r>
          </w:p>
          <w:p w:rsidR="003A12D7" w:rsidRPr="00F428DE" w:rsidRDefault="003A12D7" w:rsidP="00DE1045">
            <w:pPr>
              <w:autoSpaceDE w:val="0"/>
              <w:autoSpaceDN w:val="0"/>
              <w:adjustRightInd w:val="0"/>
              <w:spacing w:after="120"/>
              <w:rPr>
                <w:b/>
                <w:bCs/>
                <w:i/>
                <w:sz w:val="22"/>
                <w:szCs w:val="22"/>
              </w:rPr>
            </w:pPr>
            <w:r w:rsidRPr="00F428DE">
              <w:rPr>
                <w:b/>
                <w:bCs/>
                <w:i/>
                <w:sz w:val="22"/>
                <w:szCs w:val="22"/>
              </w:rPr>
              <w:t>C</w:t>
            </w:r>
            <w:r>
              <w:rPr>
                <w:b/>
                <w:bCs/>
                <w:i/>
                <w:sz w:val="22"/>
                <w:szCs w:val="22"/>
              </w:rPr>
              <w:t xml:space="preserve">lass </w:t>
            </w:r>
            <w:r w:rsidRPr="00F428DE">
              <w:rPr>
                <w:b/>
                <w:bCs/>
                <w:i/>
                <w:sz w:val="22"/>
                <w:szCs w:val="22"/>
              </w:rPr>
              <w:t xml:space="preserve">I, II, </w:t>
            </w:r>
            <w:r>
              <w:rPr>
                <w:b/>
                <w:bCs/>
                <w:i/>
                <w:sz w:val="22"/>
                <w:szCs w:val="22"/>
              </w:rPr>
              <w:t xml:space="preserve">and </w:t>
            </w:r>
            <w:r w:rsidRPr="00F428DE">
              <w:rPr>
                <w:b/>
                <w:bCs/>
                <w:i/>
                <w:sz w:val="22"/>
                <w:szCs w:val="22"/>
              </w:rPr>
              <w:t xml:space="preserve">III </w:t>
            </w:r>
            <w:r>
              <w:rPr>
                <w:b/>
                <w:bCs/>
                <w:i/>
                <w:sz w:val="22"/>
                <w:szCs w:val="22"/>
              </w:rPr>
              <w:t>Areas and Increment.</w:t>
            </w:r>
          </w:p>
          <w:p w:rsidR="003A12D7" w:rsidRPr="00F428DE" w:rsidRDefault="003A12D7" w:rsidP="00DE1045">
            <w:pPr>
              <w:autoSpaceDE w:val="0"/>
              <w:autoSpaceDN w:val="0"/>
              <w:adjustRightInd w:val="0"/>
              <w:spacing w:after="120"/>
              <w:rPr>
                <w:i/>
                <w:sz w:val="22"/>
                <w:szCs w:val="22"/>
              </w:rPr>
            </w:pPr>
            <w:r w:rsidRPr="00F428DE">
              <w:rPr>
                <w:i/>
                <w:sz w:val="22"/>
                <w:szCs w:val="22"/>
              </w:rPr>
              <w:t xml:space="preserve">The PSD requirements provide for a system of area classifications which affords States an opportunity to </w:t>
            </w:r>
            <w:r w:rsidR="006C7E61">
              <w:rPr>
                <w:i/>
                <w:sz w:val="22"/>
                <w:szCs w:val="22"/>
              </w:rPr>
              <w:t xml:space="preserve">establish air quality goals that are consistent with </w:t>
            </w:r>
            <w:r w:rsidRPr="00F428DE">
              <w:rPr>
                <w:i/>
                <w:sz w:val="22"/>
                <w:szCs w:val="22"/>
              </w:rPr>
              <w:t>local land use goals. There are three area classifications. Each classification differs in terms of the amount of growth it will permit before significant air quality deterioration would be deemed to occur. Class I areas have the smallest increments and thus allow only a small degree of air quality deterioration. Class II areas can accommodate normal well-managed industrial growth. Class III areas have the largest increments and thereby provide for a larger amount of development than either Class I or Class II areas.</w:t>
            </w:r>
          </w:p>
          <w:p w:rsidR="003A12D7" w:rsidRPr="00F428DE" w:rsidRDefault="003A12D7" w:rsidP="00DE1045">
            <w:pPr>
              <w:autoSpaceDE w:val="0"/>
              <w:autoSpaceDN w:val="0"/>
              <w:adjustRightInd w:val="0"/>
              <w:spacing w:after="120"/>
              <w:rPr>
                <w:i/>
                <w:sz w:val="22"/>
                <w:szCs w:val="22"/>
              </w:rPr>
            </w:pPr>
            <w:r w:rsidRPr="00F428DE">
              <w:rPr>
                <w:b/>
                <w:bCs/>
                <w:i/>
                <w:sz w:val="22"/>
                <w:szCs w:val="22"/>
              </w:rPr>
              <w:t>I</w:t>
            </w:r>
            <w:r>
              <w:rPr>
                <w:b/>
                <w:bCs/>
                <w:i/>
                <w:sz w:val="22"/>
                <w:szCs w:val="22"/>
              </w:rPr>
              <w:t xml:space="preserve">ncrement </w:t>
            </w:r>
            <w:r w:rsidRPr="00F428DE">
              <w:rPr>
                <w:b/>
                <w:bCs/>
                <w:i/>
                <w:sz w:val="22"/>
                <w:szCs w:val="22"/>
              </w:rPr>
              <w:t>C</w:t>
            </w:r>
            <w:r>
              <w:rPr>
                <w:b/>
                <w:bCs/>
                <w:i/>
                <w:sz w:val="22"/>
                <w:szCs w:val="22"/>
              </w:rPr>
              <w:t xml:space="preserve">onsumption and </w:t>
            </w:r>
            <w:r w:rsidRPr="00F428DE">
              <w:rPr>
                <w:b/>
                <w:bCs/>
                <w:i/>
                <w:sz w:val="22"/>
                <w:szCs w:val="22"/>
              </w:rPr>
              <w:t>E</w:t>
            </w:r>
            <w:r>
              <w:rPr>
                <w:b/>
                <w:bCs/>
                <w:i/>
                <w:sz w:val="22"/>
                <w:szCs w:val="22"/>
              </w:rPr>
              <w:t xml:space="preserve">xpansion </w:t>
            </w:r>
          </w:p>
          <w:p w:rsidR="003A12D7" w:rsidRPr="00F428DE" w:rsidRDefault="003A12D7" w:rsidP="00DE1045">
            <w:pPr>
              <w:autoSpaceDE w:val="0"/>
              <w:autoSpaceDN w:val="0"/>
              <w:adjustRightInd w:val="0"/>
              <w:spacing w:after="120"/>
              <w:rPr>
                <w:i/>
                <w:sz w:val="22"/>
                <w:szCs w:val="22"/>
              </w:rPr>
            </w:pPr>
            <w:r w:rsidRPr="00F428DE">
              <w:rPr>
                <w:i/>
                <w:sz w:val="22"/>
                <w:szCs w:val="22"/>
              </w:rPr>
              <w:t>The amount of PSD increment that has been consumed in a PSD area is determined from the emissions increases and decreases which have occurred from sources since the applicable baseline date. It is useful to note, however, that in order to determine the amount of PSD increment consumed (or the amount of available increment)</w:t>
            </w:r>
            <w:r w:rsidR="00260ACE" w:rsidRPr="00F428DE">
              <w:rPr>
                <w:i/>
                <w:sz w:val="22"/>
                <w:szCs w:val="22"/>
              </w:rPr>
              <w:t>;</w:t>
            </w:r>
            <w:r w:rsidR="00260ACE">
              <w:rPr>
                <w:i/>
                <w:sz w:val="22"/>
                <w:szCs w:val="22"/>
              </w:rPr>
              <w:t xml:space="preserve"> </w:t>
            </w:r>
            <w:r w:rsidRPr="00F428DE">
              <w:rPr>
                <w:i/>
                <w:sz w:val="22"/>
                <w:szCs w:val="22"/>
              </w:rPr>
              <w:t xml:space="preserve">no determination of the baseline concentration needs to be made. Instead, increment consumption calculations must reflect only the ambient pollutant concentration change attributable to increment-affecting </w:t>
            </w:r>
            <w:r w:rsidRPr="00F428DE">
              <w:rPr>
                <w:i/>
                <w:sz w:val="22"/>
                <w:szCs w:val="22"/>
              </w:rPr>
              <w:lastRenderedPageBreak/>
              <w:t>emissions.</w:t>
            </w:r>
          </w:p>
          <w:p w:rsidR="003A12D7" w:rsidRPr="006F74F1" w:rsidRDefault="003A12D7" w:rsidP="00DE1045">
            <w:pPr>
              <w:autoSpaceDE w:val="0"/>
              <w:autoSpaceDN w:val="0"/>
              <w:adjustRightInd w:val="0"/>
              <w:spacing w:after="120"/>
              <w:rPr>
                <w:i/>
                <w:sz w:val="22"/>
                <w:szCs w:val="22"/>
              </w:rPr>
            </w:pPr>
            <w:r w:rsidRPr="006F74F1">
              <w:rPr>
                <w:i/>
                <w:sz w:val="22"/>
                <w:szCs w:val="22"/>
              </w:rPr>
              <w:t>Emissions increases that consume a portion of the applicable increment are, in general, all those not accounted for in the baseline concentration and specifically include</w:t>
            </w:r>
            <w:r>
              <w:rPr>
                <w:i/>
                <w:sz w:val="22"/>
                <w:szCs w:val="22"/>
              </w:rPr>
              <w:t xml:space="preserve"> </w:t>
            </w:r>
            <w:r w:rsidRPr="006F74F1">
              <w:rPr>
                <w:i/>
                <w:iCs/>
                <w:sz w:val="22"/>
                <w:szCs w:val="22"/>
              </w:rPr>
              <w:t xml:space="preserve">actual emissions increases at any stationary source, area source, or mobile source occurring after the </w:t>
            </w:r>
            <w:r w:rsidR="005776C0" w:rsidRPr="00D30BB4">
              <w:rPr>
                <w:bCs/>
                <w:i/>
                <w:iCs/>
                <w:sz w:val="22"/>
                <w:szCs w:val="22"/>
              </w:rPr>
              <w:t>baseline concentration year</w:t>
            </w:r>
            <w:r w:rsidRPr="00D30BB4">
              <w:rPr>
                <w:i/>
                <w:sz w:val="22"/>
                <w:szCs w:val="22"/>
              </w:rPr>
              <w:t>. The amount of available increment may be added to, or "expanded," through the reduction of actual emissions from any source after the baseline</w:t>
            </w:r>
            <w:r w:rsidR="00D30BB4" w:rsidRPr="00D30BB4">
              <w:rPr>
                <w:i/>
                <w:sz w:val="22"/>
                <w:szCs w:val="22"/>
              </w:rPr>
              <w:t xml:space="preserve"> concentration year</w:t>
            </w:r>
            <w:r w:rsidRPr="00D30BB4">
              <w:rPr>
                <w:i/>
                <w:sz w:val="22"/>
                <w:szCs w:val="22"/>
              </w:rPr>
              <w:t>.</w:t>
            </w:r>
            <w:r w:rsidRPr="006F74F1">
              <w:rPr>
                <w:i/>
                <w:sz w:val="22"/>
                <w:szCs w:val="22"/>
              </w:rPr>
              <w:t xml:space="preserve"> </w:t>
            </w:r>
          </w:p>
          <w:p w:rsidR="003A12D7" w:rsidRPr="00F428DE" w:rsidRDefault="003A12D7" w:rsidP="00DE1045">
            <w:pPr>
              <w:autoSpaceDE w:val="0"/>
              <w:autoSpaceDN w:val="0"/>
              <w:adjustRightInd w:val="0"/>
              <w:spacing w:after="120"/>
              <w:ind w:right="-180"/>
              <w:rPr>
                <w:i/>
                <w:sz w:val="22"/>
                <w:szCs w:val="22"/>
              </w:rPr>
            </w:pPr>
            <w:r>
              <w:rPr>
                <w:b/>
                <w:i/>
                <w:sz w:val="22"/>
                <w:szCs w:val="22"/>
              </w:rPr>
              <w:t>Oregon’s Approach to Increment Analyses</w:t>
            </w:r>
          </w:p>
          <w:p w:rsidR="003A12D7" w:rsidRPr="00FC654F" w:rsidRDefault="003A12D7" w:rsidP="00260ACE">
            <w:pPr>
              <w:autoSpaceDE w:val="0"/>
              <w:autoSpaceDN w:val="0"/>
              <w:adjustRightInd w:val="0"/>
              <w:spacing w:after="120"/>
              <w:ind w:right="-180"/>
              <w:rPr>
                <w:i/>
                <w:sz w:val="22"/>
                <w:szCs w:val="22"/>
              </w:rPr>
            </w:pPr>
            <w:r w:rsidRPr="00FC654F">
              <w:rPr>
                <w:i/>
                <w:sz w:val="22"/>
                <w:szCs w:val="22"/>
              </w:rPr>
              <w:t>Sources that trigger Prevention of Significant Deterioration for PM</w:t>
            </w:r>
            <w:r w:rsidRPr="00FC654F">
              <w:rPr>
                <w:i/>
                <w:sz w:val="22"/>
                <w:szCs w:val="22"/>
                <w:vertAlign w:val="subscript"/>
              </w:rPr>
              <w:t>2.5</w:t>
            </w:r>
            <w:r>
              <w:rPr>
                <w:i/>
                <w:sz w:val="22"/>
                <w:szCs w:val="22"/>
              </w:rPr>
              <w:t xml:space="preserve"> must</w:t>
            </w:r>
            <w:r w:rsidRPr="00FC654F">
              <w:rPr>
                <w:i/>
                <w:sz w:val="22"/>
                <w:szCs w:val="22"/>
              </w:rPr>
              <w:t xml:space="preserve"> model air quality impacts from emissions increases </w:t>
            </w:r>
            <w:r>
              <w:rPr>
                <w:i/>
                <w:sz w:val="22"/>
                <w:szCs w:val="22"/>
              </w:rPr>
              <w:t xml:space="preserve">due to the project that are </w:t>
            </w:r>
            <w:r w:rsidRPr="00FC654F">
              <w:rPr>
                <w:i/>
                <w:sz w:val="22"/>
                <w:szCs w:val="22"/>
              </w:rPr>
              <w:t>above emissions in 2007</w:t>
            </w:r>
            <w:r>
              <w:rPr>
                <w:i/>
                <w:sz w:val="22"/>
                <w:szCs w:val="22"/>
              </w:rPr>
              <w:t>, the baseline concentration year</w:t>
            </w:r>
            <w:r w:rsidRPr="00FC654F">
              <w:rPr>
                <w:i/>
                <w:sz w:val="22"/>
                <w:szCs w:val="22"/>
              </w:rPr>
              <w:t xml:space="preserve">, regardless of </w:t>
            </w:r>
            <w:r w:rsidR="006C7E61">
              <w:rPr>
                <w:i/>
                <w:sz w:val="22"/>
                <w:szCs w:val="22"/>
              </w:rPr>
              <w:t>the</w:t>
            </w:r>
            <w:r w:rsidRPr="00FC654F">
              <w:rPr>
                <w:i/>
                <w:sz w:val="22"/>
                <w:szCs w:val="22"/>
              </w:rPr>
              <w:t xml:space="preserve"> year </w:t>
            </w:r>
            <w:r w:rsidR="006C7E61">
              <w:rPr>
                <w:i/>
                <w:sz w:val="22"/>
                <w:szCs w:val="22"/>
              </w:rPr>
              <w:t xml:space="preserve">of </w:t>
            </w:r>
            <w:r w:rsidRPr="00FC654F">
              <w:rPr>
                <w:i/>
                <w:sz w:val="22"/>
                <w:szCs w:val="22"/>
              </w:rPr>
              <w:t>their ba</w:t>
            </w:r>
            <w:r>
              <w:rPr>
                <w:i/>
                <w:sz w:val="22"/>
                <w:szCs w:val="22"/>
              </w:rPr>
              <w:t>seline emission</w:t>
            </w:r>
            <w:r w:rsidR="00837990">
              <w:rPr>
                <w:i/>
                <w:sz w:val="22"/>
                <w:szCs w:val="22"/>
              </w:rPr>
              <w:t xml:space="preserve"> period. </w:t>
            </w:r>
            <w:r>
              <w:rPr>
                <w:i/>
                <w:sz w:val="22"/>
                <w:szCs w:val="22"/>
              </w:rPr>
              <w:t>This is also true for NO</w:t>
            </w:r>
            <w:r w:rsidR="008D538C">
              <w:rPr>
                <w:i/>
                <w:sz w:val="22"/>
                <w:szCs w:val="22"/>
                <w:vertAlign w:val="subscript"/>
              </w:rPr>
              <w:t>x</w:t>
            </w:r>
            <w:r w:rsidR="008D538C">
              <w:rPr>
                <w:i/>
                <w:sz w:val="22"/>
                <w:szCs w:val="22"/>
              </w:rPr>
              <w:t>,</w:t>
            </w:r>
            <w:r w:rsidR="005D6FC5">
              <w:rPr>
                <w:i/>
                <w:sz w:val="22"/>
                <w:szCs w:val="22"/>
              </w:rPr>
              <w:t xml:space="preserve"> </w:t>
            </w:r>
            <w:r>
              <w:rPr>
                <w:i/>
                <w:sz w:val="22"/>
                <w:szCs w:val="22"/>
              </w:rPr>
              <w:t xml:space="preserve">since the baseline concentration year (1988) does not correspond to the baseline </w:t>
            </w:r>
            <w:r w:rsidR="005D6FC5">
              <w:rPr>
                <w:i/>
                <w:sz w:val="22"/>
                <w:szCs w:val="22"/>
              </w:rPr>
              <w:t xml:space="preserve">emission </w:t>
            </w:r>
            <w:r>
              <w:rPr>
                <w:i/>
                <w:sz w:val="22"/>
                <w:szCs w:val="22"/>
              </w:rPr>
              <w:t>year (1977</w:t>
            </w:r>
            <w:r w:rsidR="009D6393">
              <w:rPr>
                <w:i/>
                <w:sz w:val="22"/>
                <w:szCs w:val="22"/>
              </w:rPr>
              <w:t>-</w:t>
            </w:r>
            <w:r w:rsidR="005D6FC5">
              <w:rPr>
                <w:i/>
                <w:sz w:val="22"/>
                <w:szCs w:val="22"/>
              </w:rPr>
              <w:t>19</w:t>
            </w:r>
            <w:r>
              <w:rPr>
                <w:i/>
                <w:sz w:val="22"/>
                <w:szCs w:val="22"/>
              </w:rPr>
              <w:t xml:space="preserve">78). These modeled ambient concentrations will be compared </w:t>
            </w:r>
            <w:r w:rsidRPr="00FC654F">
              <w:rPr>
                <w:i/>
                <w:sz w:val="22"/>
                <w:szCs w:val="22"/>
              </w:rPr>
              <w:t>to the maximum allowable increases (PSD increments)</w:t>
            </w:r>
            <w:r w:rsidRPr="00F428DE">
              <w:rPr>
                <w:i/>
                <w:sz w:val="22"/>
                <w:szCs w:val="22"/>
              </w:rPr>
              <w:t xml:space="preserve"> to identify the degree to which an increment has been consumed or will be consumed by major source construction</w:t>
            </w:r>
            <w:r>
              <w:rPr>
                <w:i/>
                <w:sz w:val="22"/>
                <w:szCs w:val="22"/>
              </w:rPr>
              <w:t xml:space="preserve">. </w:t>
            </w:r>
            <w:r w:rsidR="005D6FC5">
              <w:rPr>
                <w:i/>
                <w:sz w:val="22"/>
                <w:szCs w:val="22"/>
              </w:rPr>
              <w:t>Because the</w:t>
            </w:r>
            <w:r>
              <w:rPr>
                <w:i/>
                <w:sz w:val="22"/>
                <w:szCs w:val="22"/>
              </w:rPr>
              <w:t xml:space="preserve"> baseline year for emissions different from the baseline concentration year</w:t>
            </w:r>
            <w:r w:rsidR="005D6FC5">
              <w:rPr>
                <w:i/>
                <w:sz w:val="22"/>
                <w:szCs w:val="22"/>
              </w:rPr>
              <w:t>,</w:t>
            </w:r>
            <w:r>
              <w:rPr>
                <w:i/>
                <w:sz w:val="22"/>
                <w:szCs w:val="22"/>
              </w:rPr>
              <w:t xml:space="preserve"> </w:t>
            </w:r>
            <w:r w:rsidRPr="00FC654F">
              <w:rPr>
                <w:i/>
                <w:sz w:val="22"/>
                <w:szCs w:val="22"/>
              </w:rPr>
              <w:t xml:space="preserve">sources that trigger NSR/PSD </w:t>
            </w:r>
            <w:r w:rsidR="005D6FC5">
              <w:rPr>
                <w:i/>
                <w:sz w:val="22"/>
                <w:szCs w:val="22"/>
              </w:rPr>
              <w:t>must</w:t>
            </w:r>
            <w:r w:rsidRPr="00FC654F">
              <w:rPr>
                <w:i/>
                <w:sz w:val="22"/>
                <w:szCs w:val="22"/>
              </w:rPr>
              <w:t xml:space="preserve"> establish actual emissions in 2007 for modeling to show compliance with the PSD increment</w:t>
            </w:r>
            <w:r>
              <w:rPr>
                <w:i/>
                <w:sz w:val="22"/>
                <w:szCs w:val="22"/>
              </w:rPr>
              <w:t xml:space="preserve">. </w:t>
            </w:r>
            <w:r w:rsidRPr="00FC654F">
              <w:rPr>
                <w:i/>
                <w:sz w:val="22"/>
                <w:szCs w:val="22"/>
              </w:rPr>
              <w:t xml:space="preserve">This </w:t>
            </w:r>
            <w:r w:rsidR="005D6FC5">
              <w:rPr>
                <w:i/>
                <w:sz w:val="22"/>
                <w:szCs w:val="22"/>
              </w:rPr>
              <w:t>is</w:t>
            </w:r>
            <w:r w:rsidRPr="00FC654F">
              <w:rPr>
                <w:i/>
                <w:sz w:val="22"/>
                <w:szCs w:val="22"/>
              </w:rPr>
              <w:t xml:space="preserve"> also done for competing source modeling </w:t>
            </w:r>
            <w:r w:rsidR="005D6FC5">
              <w:rPr>
                <w:i/>
                <w:sz w:val="22"/>
                <w:szCs w:val="22"/>
              </w:rPr>
              <w:t>because a source's individual impact is significant</w:t>
            </w:r>
            <w:r>
              <w:rPr>
                <w:i/>
                <w:sz w:val="22"/>
                <w:szCs w:val="22"/>
              </w:rPr>
              <w:t xml:space="preserve">. </w:t>
            </w:r>
            <w:r w:rsidRPr="00FC654F">
              <w:rPr>
                <w:i/>
                <w:sz w:val="22"/>
                <w:szCs w:val="22"/>
              </w:rPr>
              <w:t>Therefore, it is not imperative that the baseline emissions year be the same as the baseline concentration year</w:t>
            </w:r>
            <w:r w:rsidR="00733F50">
              <w:rPr>
                <w:i/>
                <w:sz w:val="22"/>
                <w:szCs w:val="22"/>
              </w:rPr>
              <w:t>,</w:t>
            </w:r>
            <w:r w:rsidRPr="00FC654F">
              <w:rPr>
                <w:i/>
                <w:sz w:val="22"/>
                <w:szCs w:val="22"/>
              </w:rPr>
              <w:t xml:space="preserve"> because modeled emissions are always actual emissions in the baseline concentration year</w:t>
            </w:r>
            <w:r>
              <w:rPr>
                <w:i/>
                <w:sz w:val="22"/>
                <w:szCs w:val="22"/>
              </w:rPr>
              <w:t xml:space="preserve">. </w:t>
            </w:r>
            <w:r w:rsidR="00A21C65">
              <w:rPr>
                <w:i/>
                <w:sz w:val="22"/>
                <w:szCs w:val="22"/>
              </w:rPr>
              <w:t>No change to the rule is proposed in response to this comment.</w:t>
            </w:r>
            <w:r>
              <w:rPr>
                <w:i/>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ind w:right="-115"/>
              <w:rPr>
                <w:bCs/>
                <w:sz w:val="22"/>
                <w:szCs w:val="22"/>
              </w:rPr>
            </w:pPr>
          </w:p>
          <w:p w:rsidR="003A12D7" w:rsidRPr="00943C75" w:rsidRDefault="003A12D7" w:rsidP="00DE1045">
            <w:pPr>
              <w:ind w:right="-115"/>
              <w:rPr>
                <w:bCs/>
                <w:sz w:val="22"/>
                <w:szCs w:val="22"/>
              </w:rPr>
            </w:pPr>
            <w:r w:rsidRPr="00943C75">
              <w:rPr>
                <w:sz w:val="22"/>
                <w:szCs w:val="22"/>
              </w:rPr>
              <w:t>PSEL program fails to meet goals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08779B" w:rsidRDefault="003A12D7" w:rsidP="00DE1045">
            <w:pPr>
              <w:pStyle w:val="ColorfulList-Accent11"/>
              <w:spacing w:after="120"/>
              <w:ind w:left="0"/>
              <w:rPr>
                <w:sz w:val="22"/>
                <w:szCs w:val="22"/>
              </w:rPr>
            </w:pPr>
            <w:r w:rsidRPr="0008779B">
              <w:rPr>
                <w:sz w:val="22"/>
                <w:szCs w:val="22"/>
              </w:rPr>
              <w:t xml:space="preserve">The PSEL program has failed to meet DEQ’s own goals as stated below: </w:t>
            </w:r>
          </w:p>
          <w:p w:rsidR="003A12D7" w:rsidRPr="0008779B" w:rsidRDefault="003A12D7" w:rsidP="00DE1045">
            <w:pPr>
              <w:rPr>
                <w:sz w:val="22"/>
                <w:szCs w:val="22"/>
              </w:rPr>
            </w:pPr>
            <w:r w:rsidRPr="0008779B">
              <w:rPr>
                <w:sz w:val="22"/>
                <w:szCs w:val="22"/>
              </w:rPr>
              <w:t xml:space="preserve">1) assuring reasonable further progress towards attainment of ambient standards; </w:t>
            </w:r>
          </w:p>
          <w:p w:rsidR="003A12D7" w:rsidRPr="0008779B" w:rsidRDefault="003A12D7" w:rsidP="00DE1045">
            <w:pPr>
              <w:rPr>
                <w:sz w:val="22"/>
                <w:szCs w:val="22"/>
              </w:rPr>
            </w:pPr>
            <w:r w:rsidRPr="0008779B">
              <w:rPr>
                <w:sz w:val="22"/>
                <w:szCs w:val="22"/>
              </w:rPr>
              <w:t>2) assuring compliance with ambient standards and PSD increments;</w:t>
            </w:r>
          </w:p>
          <w:p w:rsidR="003A12D7" w:rsidRPr="0008779B" w:rsidRDefault="003A12D7" w:rsidP="00DE1045">
            <w:pPr>
              <w:rPr>
                <w:sz w:val="22"/>
                <w:szCs w:val="22"/>
              </w:rPr>
            </w:pPr>
            <w:r w:rsidRPr="0008779B">
              <w:rPr>
                <w:sz w:val="22"/>
                <w:szCs w:val="22"/>
              </w:rPr>
              <w:t xml:space="preserve">3) administering the emissions trading program; and </w:t>
            </w:r>
          </w:p>
          <w:p w:rsidR="003A12D7" w:rsidRPr="0008779B" w:rsidRDefault="003A12D7" w:rsidP="00DE1045">
            <w:pPr>
              <w:spacing w:after="120"/>
              <w:rPr>
                <w:sz w:val="22"/>
                <w:szCs w:val="22"/>
              </w:rPr>
            </w:pPr>
            <w:r w:rsidRPr="0008779B">
              <w:rPr>
                <w:sz w:val="22"/>
                <w:szCs w:val="22"/>
              </w:rPr>
              <w:t xml:space="preserve">4) tracking PSD increment consumption. </w:t>
            </w:r>
          </w:p>
          <w:p w:rsidR="003A12D7" w:rsidRPr="0008779B" w:rsidRDefault="003A12D7" w:rsidP="00DE1045">
            <w:pPr>
              <w:spacing w:after="120"/>
              <w:rPr>
                <w:sz w:val="22"/>
                <w:szCs w:val="22"/>
              </w:rPr>
            </w:pPr>
            <w:r w:rsidRPr="0008779B">
              <w:rPr>
                <w:sz w:val="22"/>
                <w:szCs w:val="22"/>
              </w:rPr>
              <w:t xml:space="preserve">The PSEL program is only concerned with a specific source’s “allowable” emissions, while both the NAAQS and PSD increments are tied directly to “actual” emissions because they are concerned with “actual” concentrations of pollutants in the air shed. From the start, then, the administration of the PSEL program is disconnected with goals it is intended to achieve. </w:t>
            </w:r>
          </w:p>
          <w:p w:rsidR="003A12D7" w:rsidRPr="00193EE6" w:rsidRDefault="003A12D7" w:rsidP="00DE1045">
            <w:pPr>
              <w:spacing w:after="120"/>
              <w:rPr>
                <w:sz w:val="22"/>
                <w:szCs w:val="22"/>
              </w:rPr>
            </w:pPr>
            <w:r w:rsidRPr="0008779B">
              <w:rPr>
                <w:sz w:val="22"/>
                <w:szCs w:val="22"/>
              </w:rPr>
              <w:t xml:space="preserve">For instance, a facility that only runs two 8-hour shifts, but has the </w:t>
            </w:r>
            <w:r w:rsidRPr="0008779B">
              <w:rPr>
                <w:i/>
                <w:sz w:val="22"/>
                <w:szCs w:val="22"/>
              </w:rPr>
              <w:t>potential</w:t>
            </w:r>
            <w:r w:rsidRPr="0008779B">
              <w:rPr>
                <w:sz w:val="22"/>
                <w:szCs w:val="22"/>
              </w:rPr>
              <w:t xml:space="preserve"> to run three 8-hour shifts, even the source never has and never intends to, could increase actual emissions from their two shifts by 50%, which would be up to their “allowable emissions,” without triggering the PSD program under Oregon’s current rules. Conversely, assuming this increase in actual emissions was over the significant emission rate, the federal program would be triggered and the source would be required to meet the requirements of the PSD program. This highlights how the Oregon PSEL program is inconsistent with the federal program. (12)</w:t>
            </w:r>
            <w:r w:rsidRPr="00193EE6">
              <w:rPr>
                <w:sz w:val="22"/>
                <w:szCs w:val="22"/>
              </w:rPr>
              <w:t xml:space="preserve"> </w:t>
            </w:r>
          </w:p>
          <w:p w:rsidR="0010042F" w:rsidRDefault="003A12D7" w:rsidP="00837990">
            <w:pPr>
              <w:spacing w:after="120"/>
              <w:rPr>
                <w:i/>
                <w:sz w:val="22"/>
                <w:szCs w:val="22"/>
              </w:rPr>
            </w:pPr>
            <w:r w:rsidRPr="00193EE6">
              <w:rPr>
                <w:i/>
                <w:sz w:val="22"/>
                <w:szCs w:val="22"/>
              </w:rPr>
              <w:t>Response:</w:t>
            </w:r>
          </w:p>
          <w:p w:rsidR="00A07FC6" w:rsidRPr="00837990" w:rsidRDefault="006E0886" w:rsidP="00837990">
            <w:pPr>
              <w:spacing w:after="120"/>
              <w:rPr>
                <w:i/>
                <w:sz w:val="22"/>
                <w:szCs w:val="22"/>
              </w:rPr>
            </w:pPr>
            <w:r w:rsidRPr="00837990">
              <w:rPr>
                <w:i/>
                <w:sz w:val="22"/>
                <w:szCs w:val="22"/>
              </w:rPr>
              <w:t>The PSEL program has not failed to meet DEQ’s goals</w:t>
            </w:r>
            <w:r w:rsidR="008D538C">
              <w:rPr>
                <w:i/>
                <w:sz w:val="22"/>
                <w:szCs w:val="22"/>
              </w:rPr>
              <w:t xml:space="preserve">. </w:t>
            </w:r>
            <w:r w:rsidR="003A12D7" w:rsidRPr="00837990">
              <w:rPr>
                <w:i/>
                <w:sz w:val="22"/>
                <w:szCs w:val="22"/>
              </w:rPr>
              <w:t xml:space="preserve">See the responses in comment </w:t>
            </w:r>
            <w:fldSimple w:instr=" REF _Ref283933930 \r \h  \* MERGEFORMAT ">
              <w:r w:rsidR="00856461" w:rsidRPr="00837990">
                <w:rPr>
                  <w:i/>
                  <w:sz w:val="22"/>
                  <w:szCs w:val="22"/>
                </w:rPr>
                <w:t>54</w:t>
              </w:r>
            </w:fldSimple>
            <w:r w:rsidR="003A12D7" w:rsidRPr="00837990">
              <w:rPr>
                <w:i/>
                <w:sz w:val="22"/>
                <w:szCs w:val="22"/>
              </w:rPr>
              <w:t xml:space="preserve"> “Compliance with the NAAQS,” comment </w:t>
            </w:r>
            <w:fldSimple w:instr=" REF _Ref283933944 \r \h  \* MERGEFORMAT ">
              <w:r w:rsidR="00856461" w:rsidRPr="00837990">
                <w:rPr>
                  <w:i/>
                  <w:sz w:val="22"/>
                  <w:szCs w:val="22"/>
                </w:rPr>
                <w:t>55</w:t>
              </w:r>
            </w:fldSimple>
            <w:r w:rsidR="003A12D7" w:rsidRPr="00837990">
              <w:rPr>
                <w:i/>
                <w:sz w:val="22"/>
                <w:szCs w:val="22"/>
              </w:rPr>
              <w:t xml:space="preserve"> “Compliance with the PSD increment” and comment </w:t>
            </w:r>
            <w:fldSimple w:instr=" REF _Ref283934858 \r \h  \* MERGEFORMAT ">
              <w:r w:rsidR="00856461" w:rsidRPr="00837990">
                <w:rPr>
                  <w:i/>
                  <w:sz w:val="22"/>
                  <w:szCs w:val="22"/>
                </w:rPr>
                <w:t>24</w:t>
              </w:r>
            </w:fldSimple>
            <w:r w:rsidR="003A12D7" w:rsidRPr="00837990">
              <w:rPr>
                <w:i/>
                <w:sz w:val="22"/>
                <w:szCs w:val="22"/>
              </w:rPr>
              <w:t xml:space="preserve"> “Netting basis definition allows thirty-year "lookback" period”. </w:t>
            </w:r>
          </w:p>
          <w:p w:rsidR="00A07FC6" w:rsidRPr="00837990" w:rsidRDefault="003A12D7" w:rsidP="00837990">
            <w:pPr>
              <w:spacing w:after="120"/>
              <w:rPr>
                <w:i/>
                <w:sz w:val="22"/>
                <w:szCs w:val="22"/>
              </w:rPr>
            </w:pPr>
            <w:r w:rsidRPr="00837990">
              <w:rPr>
                <w:i/>
                <w:sz w:val="22"/>
                <w:szCs w:val="22"/>
              </w:rPr>
              <w:t xml:space="preserve">Regarding the example mentioned above, if a source was only operating two shifts during </w:t>
            </w:r>
            <w:r w:rsidRPr="00837990">
              <w:rPr>
                <w:i/>
                <w:sz w:val="22"/>
                <w:szCs w:val="22"/>
              </w:rPr>
              <w:lastRenderedPageBreak/>
              <w:t>the baseline period, the baseline emission would be established on two shifts</w:t>
            </w:r>
            <w:r w:rsidR="008D538C">
              <w:rPr>
                <w:i/>
                <w:sz w:val="22"/>
                <w:szCs w:val="22"/>
              </w:rPr>
              <w:t xml:space="preserve">. </w:t>
            </w:r>
            <w:r w:rsidRPr="00837990">
              <w:rPr>
                <w:i/>
                <w:sz w:val="22"/>
                <w:szCs w:val="22"/>
              </w:rPr>
              <w:t>Subsequently, if the source wanted to increase to three shifts, they would have to request an increase in their PSEL</w:t>
            </w:r>
            <w:r w:rsidR="008D538C">
              <w:rPr>
                <w:i/>
                <w:sz w:val="22"/>
                <w:szCs w:val="22"/>
              </w:rPr>
              <w:t xml:space="preserve">. </w:t>
            </w:r>
            <w:r w:rsidRPr="00837990">
              <w:rPr>
                <w:i/>
                <w:sz w:val="22"/>
                <w:szCs w:val="22"/>
              </w:rPr>
              <w:t>If that increase was more than the SER, it would require an air quality impact analysis under the PSEL rule (OAR 340-222-0041)</w:t>
            </w:r>
            <w:r w:rsidR="008D538C">
              <w:rPr>
                <w:i/>
                <w:sz w:val="22"/>
                <w:szCs w:val="22"/>
              </w:rPr>
              <w:t xml:space="preserve">. </w:t>
            </w:r>
            <w:r w:rsidRPr="00837990">
              <w:rPr>
                <w:i/>
                <w:sz w:val="22"/>
                <w:szCs w:val="22"/>
              </w:rPr>
              <w:t>The source would be required to prove that the increase in emissions would not violate any air quality standards and if it did, the increase would not be allowed</w:t>
            </w:r>
            <w:r w:rsidR="008D538C">
              <w:rPr>
                <w:i/>
                <w:sz w:val="22"/>
                <w:szCs w:val="22"/>
              </w:rPr>
              <w:t xml:space="preserve">. </w:t>
            </w:r>
            <w:r w:rsidRPr="00837990">
              <w:rPr>
                <w:i/>
                <w:sz w:val="22"/>
                <w:szCs w:val="22"/>
              </w:rPr>
              <w:t>The increase would not be subject to PSD because there is no physical modification; the source is merely using existing capacity</w:t>
            </w:r>
            <w:r w:rsidR="008D538C">
              <w:rPr>
                <w:i/>
                <w:sz w:val="22"/>
                <w:szCs w:val="22"/>
              </w:rPr>
              <w:t xml:space="preserve">. </w:t>
            </w:r>
            <w:r w:rsidRPr="00837990">
              <w:rPr>
                <w:i/>
                <w:sz w:val="22"/>
                <w:szCs w:val="22"/>
              </w:rPr>
              <w:t>Under the federal program, this type of change in operation would also not be subject to PSD because there is no physical change</w:t>
            </w:r>
            <w:r w:rsidR="008D538C">
              <w:rPr>
                <w:i/>
                <w:sz w:val="22"/>
                <w:szCs w:val="22"/>
              </w:rPr>
              <w:t xml:space="preserve">. </w:t>
            </w:r>
            <w:r w:rsidRPr="00837990">
              <w:rPr>
                <w:i/>
                <w:sz w:val="22"/>
                <w:szCs w:val="22"/>
              </w:rPr>
              <w:t>The federal program would not even require an air quality impact analysis for the actual increase in emissions</w:t>
            </w:r>
            <w:r w:rsidR="008D538C">
              <w:rPr>
                <w:i/>
                <w:sz w:val="22"/>
                <w:szCs w:val="22"/>
              </w:rPr>
              <w:t xml:space="preserve">. </w:t>
            </w:r>
            <w:r w:rsidR="006E0886" w:rsidRPr="00837990">
              <w:rPr>
                <w:i/>
                <w:sz w:val="22"/>
                <w:szCs w:val="22"/>
              </w:rPr>
              <w:t>In this regard,</w:t>
            </w:r>
            <w:r w:rsidRPr="00837990">
              <w:rPr>
                <w:i/>
                <w:sz w:val="22"/>
                <w:szCs w:val="22"/>
              </w:rPr>
              <w:t xml:space="preserve"> Oregon’s PSEL program goes beyond the federal program in protecting the environment</w:t>
            </w:r>
            <w:r w:rsidR="008D538C">
              <w:rPr>
                <w:i/>
                <w:sz w:val="22"/>
                <w:szCs w:val="22"/>
              </w:rPr>
              <w:t xml:space="preserve">. </w:t>
            </w:r>
          </w:p>
          <w:p w:rsidR="003A12D7" w:rsidRPr="00610FD1" w:rsidRDefault="00A21C65" w:rsidP="00DE1045">
            <w:pPr>
              <w:spacing w:after="120"/>
              <w:rPr>
                <w:i/>
                <w:sz w:val="22"/>
                <w:szCs w:val="22"/>
              </w:rPr>
            </w:pPr>
            <w:r>
              <w:rPr>
                <w:i/>
                <w:sz w:val="22"/>
                <w:szCs w:val="22"/>
              </w:rPr>
              <w:t>No change to the rule is proposed in response to this comment</w:t>
            </w:r>
            <w:r w:rsidR="008D538C">
              <w:rPr>
                <w:i/>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CF7800" w:rsidRDefault="003A12D7" w:rsidP="00DE1045">
            <w:pPr>
              <w:pStyle w:val="ListParagraph"/>
              <w:numPr>
                <w:ilvl w:val="0"/>
                <w:numId w:val="13"/>
              </w:numPr>
              <w:ind w:right="-115"/>
              <w:rPr>
                <w:bCs/>
                <w:sz w:val="22"/>
                <w:szCs w:val="22"/>
              </w:rPr>
            </w:pPr>
            <w:r w:rsidRPr="00CF7800">
              <w:lastRenderedPageBreak/>
              <w:br w:type="page"/>
            </w:r>
          </w:p>
          <w:p w:rsidR="003A12D7" w:rsidRPr="00CF7800" w:rsidRDefault="003A12D7" w:rsidP="00455E86">
            <w:pPr>
              <w:ind w:right="-115"/>
              <w:rPr>
                <w:bCs/>
                <w:sz w:val="22"/>
                <w:szCs w:val="22"/>
              </w:rPr>
            </w:pPr>
            <w:r w:rsidRPr="00CF7800">
              <w:rPr>
                <w:bCs/>
                <w:sz w:val="22"/>
                <w:szCs w:val="22"/>
              </w:rPr>
              <w:t xml:space="preserve">Continued operation of </w:t>
            </w:r>
            <w:r w:rsidR="00455E86">
              <w:rPr>
                <w:bCs/>
                <w:sz w:val="22"/>
                <w:szCs w:val="22"/>
              </w:rPr>
              <w:t>high-emitting</w:t>
            </w:r>
            <w:r w:rsidRPr="00CF7800">
              <w:rPr>
                <w:bCs/>
                <w:sz w:val="22"/>
                <w:szCs w:val="22"/>
              </w:rPr>
              <w:t>, old sources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A90A53" w:rsidRDefault="003A12D7" w:rsidP="0010042F">
            <w:pPr>
              <w:pStyle w:val="ColorfulList-Accent11"/>
              <w:spacing w:after="120"/>
              <w:ind w:left="0"/>
              <w:rPr>
                <w:sz w:val="22"/>
                <w:szCs w:val="22"/>
              </w:rPr>
            </w:pPr>
            <w:r w:rsidRPr="00A90A53">
              <w:rPr>
                <w:color w:val="auto"/>
                <w:sz w:val="22"/>
                <w:szCs w:val="22"/>
              </w:rPr>
              <w:t xml:space="preserve">The PSEL program encourages the continued operation of old, dirty sources when they would otherwise be replaced with new, cleaner sources. </w:t>
            </w:r>
            <w:r w:rsidRPr="00A90A53">
              <w:rPr>
                <w:sz w:val="22"/>
                <w:szCs w:val="22"/>
              </w:rPr>
              <w:t xml:space="preserve">The current PSEL program places too much concern on “creep” instead of focusing on the larger problem of “slippage” with old, dirty sources in the region. Slippage is where a source has slowly deteriorated to the point where it can no longer function at what was its original design capacity. Old sources whose retrofits would trigger the federal PSD program, instead simply have their life extended and keep polluting indefinitely because the PSEL program lets these inefficient sources run forever, so long as their allowable emissions do not increase. By allowing these older, inefficient, and dirty sources to operate, in essence, indefinitely, the PSEL program undermines incentives that the facility has to replace older sources with newer, cleaner, more efficient sources. </w:t>
            </w:r>
          </w:p>
          <w:p w:rsidR="003A12D7" w:rsidRPr="00A90A53" w:rsidRDefault="003A12D7" w:rsidP="0010042F">
            <w:pPr>
              <w:spacing w:after="120"/>
              <w:rPr>
                <w:sz w:val="22"/>
                <w:szCs w:val="22"/>
              </w:rPr>
            </w:pPr>
            <w:r w:rsidRPr="00A90A53">
              <w:rPr>
                <w:sz w:val="22"/>
                <w:szCs w:val="22"/>
              </w:rPr>
              <w:t>DEQ has indicated that their main concern is not with slippage, but is instead with “creep” which is overblown</w:t>
            </w:r>
            <w:r w:rsidR="008D538C">
              <w:rPr>
                <w:sz w:val="22"/>
                <w:szCs w:val="22"/>
              </w:rPr>
              <w:t xml:space="preserve">. </w:t>
            </w:r>
            <w:r w:rsidRPr="00A90A53">
              <w:rPr>
                <w:sz w:val="22"/>
                <w:szCs w:val="22"/>
              </w:rPr>
              <w:t xml:space="preserve"> Creep is the process by which a source could systematically increase their potential emissions without triggering the federal PSD program. Under the federal program, only emission increases within ten years are considered. A source could then increase emissions, so long as the increase is below the significant emission rate, every ten years without triggering the federal PSD program. </w:t>
            </w:r>
          </w:p>
          <w:p w:rsidR="003A12D7" w:rsidRPr="00A90A53" w:rsidRDefault="003A12D7" w:rsidP="0010042F">
            <w:pPr>
              <w:pStyle w:val="FootnoteText1"/>
              <w:spacing w:after="120"/>
              <w:rPr>
                <w:sz w:val="22"/>
                <w:szCs w:val="22"/>
              </w:rPr>
            </w:pPr>
            <w:r w:rsidRPr="00A90A53">
              <w:rPr>
                <w:sz w:val="22"/>
                <w:szCs w:val="22"/>
              </w:rPr>
              <w:t>The PSEL program also subsidizes current facilities to the detriment of facilities that may want to move into Oregon. Because the PSEL program allows current facilities to operate almost indefinitely without meeting the strictest requirements of the Clean Air Act, these facilities have a competitive advantage over any facilities that wish to be located in Oregon in the same industry that would have to meet these, sometimes costly, requirements. In this light, the PSEL program can be seen, not only as undermining the goals of the Clean Air Act, but also stifling business opportunities in Oregon. (12)</w:t>
            </w:r>
          </w:p>
          <w:p w:rsidR="003A12D7" w:rsidRPr="00A90A53" w:rsidRDefault="003A12D7" w:rsidP="0010042F">
            <w:pPr>
              <w:pStyle w:val="ColorfulList-Accent11"/>
              <w:spacing w:after="120"/>
              <w:ind w:left="0"/>
              <w:rPr>
                <w:i/>
                <w:sz w:val="22"/>
                <w:szCs w:val="22"/>
              </w:rPr>
            </w:pPr>
            <w:r w:rsidRPr="00A90A53">
              <w:rPr>
                <w:i/>
                <w:sz w:val="22"/>
                <w:szCs w:val="22"/>
              </w:rPr>
              <w:t xml:space="preserve">Response: </w:t>
            </w:r>
          </w:p>
          <w:p w:rsidR="00A90A53" w:rsidRDefault="002D6498" w:rsidP="0010042F">
            <w:pPr>
              <w:pStyle w:val="PlainText"/>
              <w:spacing w:after="120"/>
              <w:rPr>
                <w:rFonts w:ascii="Times New Roman" w:hAnsi="Times New Roman"/>
                <w:i/>
                <w:sz w:val="22"/>
                <w:szCs w:val="22"/>
              </w:rPr>
            </w:pPr>
            <w:r>
              <w:rPr>
                <w:rFonts w:ascii="Times New Roman" w:hAnsi="Times New Roman"/>
                <w:i/>
                <w:sz w:val="22"/>
                <w:szCs w:val="22"/>
              </w:rPr>
              <w:t>DEQ believes that "slippage" is</w:t>
            </w:r>
            <w:r w:rsidR="00625F49">
              <w:rPr>
                <w:rFonts w:ascii="Times New Roman" w:hAnsi="Times New Roman"/>
                <w:i/>
                <w:sz w:val="22"/>
                <w:szCs w:val="22"/>
              </w:rPr>
              <w:t xml:space="preserve"> as likely or</w:t>
            </w:r>
            <w:r>
              <w:rPr>
                <w:rFonts w:ascii="Times New Roman" w:hAnsi="Times New Roman"/>
                <w:i/>
                <w:sz w:val="22"/>
                <w:szCs w:val="22"/>
              </w:rPr>
              <w:t xml:space="preserve"> more likely to occur under the federal program than under Oregon's approach to netting. Under the federal program, sources can avoid triggering NSR/PSD by delaying emission reductions until just before an increase is needed</w:t>
            </w:r>
            <w:r w:rsidR="008D538C">
              <w:rPr>
                <w:rFonts w:ascii="Times New Roman" w:hAnsi="Times New Roman"/>
                <w:i/>
                <w:sz w:val="22"/>
                <w:szCs w:val="22"/>
              </w:rPr>
              <w:t xml:space="preserve">. </w:t>
            </w:r>
            <w:r>
              <w:rPr>
                <w:rFonts w:ascii="Times New Roman" w:hAnsi="Times New Roman"/>
                <w:i/>
                <w:sz w:val="22"/>
                <w:szCs w:val="22"/>
              </w:rPr>
              <w:t>In the scenario described in the comment, a high-polluting older source would likely be closed at the same time that its replacement is permitted so that the reduction from closing the older source could be used to net the replacement out of NSR</w:t>
            </w:r>
            <w:r w:rsidR="008D538C">
              <w:rPr>
                <w:rFonts w:ascii="Times New Roman" w:hAnsi="Times New Roman"/>
                <w:i/>
                <w:sz w:val="22"/>
                <w:szCs w:val="22"/>
              </w:rPr>
              <w:t xml:space="preserve">. </w:t>
            </w:r>
            <w:r>
              <w:rPr>
                <w:rFonts w:ascii="Times New Roman" w:hAnsi="Times New Roman"/>
                <w:i/>
                <w:sz w:val="22"/>
                <w:szCs w:val="22"/>
              </w:rPr>
              <w:t>For example, a high emitting boiler could be closed in a netting action to permit a lower-emitting new boiler without triggering NSR/PSD</w:t>
            </w:r>
            <w:r w:rsidR="008D538C">
              <w:rPr>
                <w:rFonts w:ascii="Times New Roman" w:hAnsi="Times New Roman"/>
                <w:i/>
                <w:sz w:val="22"/>
                <w:szCs w:val="22"/>
              </w:rPr>
              <w:t xml:space="preserve">. </w:t>
            </w:r>
            <w:r>
              <w:rPr>
                <w:rFonts w:ascii="Times New Roman" w:hAnsi="Times New Roman"/>
                <w:i/>
                <w:sz w:val="22"/>
                <w:szCs w:val="22"/>
              </w:rPr>
              <w:t xml:space="preserve">The </w:t>
            </w:r>
            <w:r w:rsidR="00EF64E6">
              <w:rPr>
                <w:rFonts w:ascii="Times New Roman" w:hAnsi="Times New Roman"/>
                <w:i/>
                <w:sz w:val="22"/>
                <w:szCs w:val="22"/>
              </w:rPr>
              <w:t xml:space="preserve">same outcome could be achieved under the Oregon program, but the source would be able to voluntarily reduce the emissions from the older </w:t>
            </w:r>
            <w:r w:rsidR="00EF64E6">
              <w:rPr>
                <w:rFonts w:ascii="Times New Roman" w:hAnsi="Times New Roman"/>
                <w:i/>
                <w:sz w:val="22"/>
                <w:szCs w:val="22"/>
              </w:rPr>
              <w:lastRenderedPageBreak/>
              <w:t>source earlier without losing the ability to use the reduction in netting.</w:t>
            </w:r>
          </w:p>
          <w:p w:rsidR="003A12D7" w:rsidRPr="00A90A53" w:rsidRDefault="00EF64E6" w:rsidP="0010042F">
            <w:pPr>
              <w:pStyle w:val="PlainText"/>
              <w:spacing w:after="120"/>
              <w:rPr>
                <w:rFonts w:ascii="Times New Roman" w:hAnsi="Times New Roman"/>
                <w:sz w:val="22"/>
                <w:szCs w:val="22"/>
              </w:rPr>
            </w:pPr>
            <w:r>
              <w:rPr>
                <w:rFonts w:ascii="Times New Roman" w:hAnsi="Times New Roman"/>
                <w:i/>
                <w:sz w:val="22"/>
                <w:szCs w:val="22"/>
              </w:rPr>
              <w:t>Under either the federal or Oregon approach to netting, NSR/PSD is only triggered if a physical change or change in the method of operation results in a net significant emission rate increase</w:t>
            </w:r>
            <w:r w:rsidR="008D538C">
              <w:rPr>
                <w:rFonts w:ascii="Times New Roman" w:hAnsi="Times New Roman"/>
                <w:i/>
                <w:sz w:val="22"/>
                <w:szCs w:val="22"/>
              </w:rPr>
              <w:t xml:space="preserve">. </w:t>
            </w:r>
            <w:r>
              <w:rPr>
                <w:rFonts w:ascii="Times New Roman" w:hAnsi="Times New Roman"/>
                <w:i/>
                <w:sz w:val="22"/>
                <w:szCs w:val="22"/>
              </w:rPr>
              <w:t>If a source is modified because its capacity has slowly deteriorated over time, but the modification does not increase emissions by more than a significant emission rate above the netting basis, it would not trigger NSR/PSD</w:t>
            </w:r>
            <w:r w:rsidR="008D538C">
              <w:rPr>
                <w:rFonts w:ascii="Times New Roman" w:hAnsi="Times New Roman"/>
                <w:i/>
                <w:sz w:val="22"/>
                <w:szCs w:val="22"/>
              </w:rPr>
              <w:t xml:space="preserve">. </w:t>
            </w:r>
            <w:r>
              <w:rPr>
                <w:rFonts w:ascii="Times New Roman" w:hAnsi="Times New Roman"/>
                <w:i/>
                <w:sz w:val="22"/>
                <w:szCs w:val="22"/>
              </w:rPr>
              <w:t>Depending on whether the source has increased or decreased emissions since the baseline period, the netting basis</w:t>
            </w:r>
            <w:r w:rsidR="00625F49">
              <w:rPr>
                <w:rFonts w:ascii="Times New Roman" w:hAnsi="Times New Roman"/>
                <w:i/>
                <w:sz w:val="22"/>
                <w:szCs w:val="22"/>
              </w:rPr>
              <w:t xml:space="preserve"> under the Oregon program could be higher or lower than under the federal program</w:t>
            </w:r>
            <w:r w:rsidR="00625F49" w:rsidRPr="0010042F">
              <w:rPr>
                <w:rFonts w:ascii="Times New Roman" w:hAnsi="Times New Roman"/>
                <w:i/>
                <w:sz w:val="22"/>
                <w:szCs w:val="22"/>
              </w:rPr>
              <w:t>.</w:t>
            </w:r>
            <w:r w:rsidR="007E70DB" w:rsidRPr="0010042F">
              <w:rPr>
                <w:rFonts w:ascii="Times New Roman" w:hAnsi="Times New Roman"/>
                <w:i/>
                <w:sz w:val="22"/>
                <w:szCs w:val="22"/>
              </w:rPr>
              <w:t xml:space="preserve"> </w:t>
            </w:r>
            <w:r w:rsidR="0010042F" w:rsidRPr="0010042F">
              <w:rPr>
                <w:rFonts w:ascii="Times New Roman" w:hAnsi="Times New Roman"/>
                <w:i/>
                <w:sz w:val="22"/>
                <w:szCs w:val="22"/>
              </w:rPr>
              <w:t>No change to the rule is proposed in response to this comment.</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ind w:right="-115"/>
              <w:rPr>
                <w:bCs/>
                <w:sz w:val="22"/>
                <w:szCs w:val="22"/>
              </w:rPr>
            </w:pPr>
          </w:p>
          <w:p w:rsidR="003A12D7" w:rsidRPr="00943C75" w:rsidRDefault="003A12D7" w:rsidP="00DE1045">
            <w:pPr>
              <w:ind w:right="-115"/>
              <w:rPr>
                <w:bCs/>
                <w:sz w:val="22"/>
                <w:szCs w:val="22"/>
              </w:rPr>
            </w:pPr>
            <w:r w:rsidRPr="00943C75">
              <w:rPr>
                <w:bCs/>
                <w:sz w:val="22"/>
                <w:szCs w:val="22"/>
              </w:rPr>
              <w:t>PSELs are unenforceable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DE1045">
            <w:pPr>
              <w:pStyle w:val="ColorfulList-Accent11"/>
              <w:spacing w:after="120"/>
              <w:ind w:left="0"/>
              <w:rPr>
                <w:sz w:val="22"/>
                <w:szCs w:val="22"/>
              </w:rPr>
            </w:pPr>
            <w:r>
              <w:rPr>
                <w:sz w:val="22"/>
                <w:szCs w:val="22"/>
              </w:rPr>
              <w:t>We are</w:t>
            </w:r>
            <w:r w:rsidRPr="002D0FE2">
              <w:rPr>
                <w:sz w:val="22"/>
                <w:szCs w:val="22"/>
              </w:rPr>
              <w:t xml:space="preserve"> worried about the unenforceable nature of the PSELs. As applied to PM</w:t>
            </w:r>
            <w:r w:rsidRPr="001743DA">
              <w:rPr>
                <w:sz w:val="22"/>
                <w:szCs w:val="22"/>
                <w:vertAlign w:val="subscript"/>
              </w:rPr>
              <w:t>2.5</w:t>
            </w:r>
            <w:r w:rsidRPr="002D0FE2">
              <w:rPr>
                <w:sz w:val="22"/>
                <w:szCs w:val="22"/>
              </w:rPr>
              <w:t>, the unenforceable nature of these regulations is highlighted by DEQ’s atte</w:t>
            </w:r>
            <w:r>
              <w:rPr>
                <w:sz w:val="22"/>
                <w:szCs w:val="22"/>
              </w:rPr>
              <w:t xml:space="preserve">mpt to estimate the level of </w:t>
            </w:r>
            <w:r w:rsidRPr="002D0FE2">
              <w:rPr>
                <w:sz w:val="22"/>
                <w:szCs w:val="22"/>
              </w:rPr>
              <w:t>PM</w:t>
            </w:r>
            <w:r w:rsidRPr="001743DA">
              <w:rPr>
                <w:sz w:val="22"/>
                <w:szCs w:val="22"/>
                <w:vertAlign w:val="subscript"/>
              </w:rPr>
              <w:t>2.5</w:t>
            </w:r>
            <w:r>
              <w:rPr>
                <w:sz w:val="22"/>
                <w:szCs w:val="22"/>
              </w:rPr>
              <w:t xml:space="preserve"> </w:t>
            </w:r>
            <w:r w:rsidRPr="001743DA">
              <w:rPr>
                <w:sz w:val="22"/>
                <w:szCs w:val="22"/>
              </w:rPr>
              <w:t>at</w:t>
            </w:r>
            <w:r w:rsidRPr="002D0FE2">
              <w:rPr>
                <w:sz w:val="22"/>
                <w:szCs w:val="22"/>
              </w:rPr>
              <w:t xml:space="preserve"> sources in relation to the source’s PM10 levels. However, without adequate monitoring and reporting requirements</w:t>
            </w:r>
            <w:r>
              <w:rPr>
                <w:sz w:val="22"/>
                <w:szCs w:val="22"/>
              </w:rPr>
              <w:t>,</w:t>
            </w:r>
            <w:r w:rsidRPr="002D0FE2">
              <w:rPr>
                <w:sz w:val="22"/>
                <w:szCs w:val="22"/>
              </w:rPr>
              <w:t xml:space="preserve"> sources are able to avoid the permitting requirements needed to protect the health of Oregon residents from the specific harms caused by PM</w:t>
            </w:r>
            <w:r w:rsidRPr="001743DA">
              <w:rPr>
                <w:sz w:val="22"/>
                <w:szCs w:val="22"/>
                <w:vertAlign w:val="subscript"/>
              </w:rPr>
              <w:t>2.5</w:t>
            </w:r>
            <w:r w:rsidRPr="002D0FE2">
              <w:rPr>
                <w:sz w:val="22"/>
                <w:szCs w:val="22"/>
              </w:rPr>
              <w:t xml:space="preserve">. </w:t>
            </w:r>
            <w:r>
              <w:rPr>
                <w:sz w:val="22"/>
                <w:szCs w:val="22"/>
              </w:rPr>
              <w:t>(12)</w:t>
            </w:r>
          </w:p>
          <w:p w:rsidR="003A12D7" w:rsidRPr="00AE16BB" w:rsidRDefault="003A12D7" w:rsidP="00DE1045">
            <w:pPr>
              <w:pStyle w:val="ColorfulList-Accent11"/>
              <w:spacing w:after="120"/>
              <w:ind w:left="0"/>
              <w:rPr>
                <w:rFonts w:ascii="Times New Roman Italic" w:hAnsi="Times New Roman Italic"/>
                <w:i/>
                <w:sz w:val="22"/>
                <w:szCs w:val="22"/>
              </w:rPr>
            </w:pPr>
            <w:r w:rsidRPr="00AE16BB">
              <w:rPr>
                <w:i/>
                <w:sz w:val="22"/>
                <w:szCs w:val="22"/>
              </w:rPr>
              <w:t xml:space="preserve">Response: </w:t>
            </w:r>
          </w:p>
          <w:p w:rsidR="003A12D7" w:rsidRPr="005351D5" w:rsidRDefault="00D76703" w:rsidP="00D76703">
            <w:pPr>
              <w:spacing w:after="120"/>
              <w:rPr>
                <w:i/>
                <w:sz w:val="22"/>
                <w:szCs w:val="22"/>
              </w:rPr>
            </w:pPr>
            <w:r>
              <w:rPr>
                <w:i/>
                <w:sz w:val="22"/>
                <w:szCs w:val="22"/>
              </w:rPr>
              <w:t>Once established, compliance with the PM2.5 PSEL will be determined by a compliance method involving monitoring of emissions, production or other parameters</w:t>
            </w:r>
            <w:r w:rsidR="008D538C">
              <w:rPr>
                <w:i/>
                <w:sz w:val="22"/>
                <w:szCs w:val="22"/>
              </w:rPr>
              <w:t xml:space="preserve">. </w:t>
            </w:r>
            <w:r>
              <w:rPr>
                <w:i/>
                <w:sz w:val="22"/>
                <w:szCs w:val="22"/>
              </w:rPr>
              <w:t>Like other PSELs, the PM</w:t>
            </w:r>
            <w:r w:rsidR="00064345" w:rsidRPr="00064345">
              <w:rPr>
                <w:rFonts w:ascii="Times New Roman Italic" w:hAnsi="Times New Roman Italic"/>
                <w:i/>
                <w:sz w:val="22"/>
                <w:szCs w:val="22"/>
                <w:vertAlign w:val="subscript"/>
              </w:rPr>
              <w:t>2.5</w:t>
            </w:r>
            <w:r>
              <w:rPr>
                <w:i/>
                <w:sz w:val="22"/>
                <w:szCs w:val="22"/>
              </w:rPr>
              <w:t xml:space="preserve"> PSELs will meet EPA's requirements for practical enforceability because the limits are set on </w:t>
            </w:r>
            <w:r w:rsidR="003A12D7" w:rsidRPr="00AE16BB">
              <w:rPr>
                <w:i/>
                <w:sz w:val="22"/>
                <w:szCs w:val="22"/>
              </w:rPr>
              <w:t>a rolling 12-month period and the compliance determination is done every month</w:t>
            </w:r>
            <w:r w:rsidR="003A12D7">
              <w:rPr>
                <w:i/>
                <w:sz w:val="22"/>
                <w:szCs w:val="22"/>
              </w:rPr>
              <w:t xml:space="preserve">. </w:t>
            </w:r>
            <w:r w:rsidR="003A12D7" w:rsidRPr="00AE16BB">
              <w:rPr>
                <w:i/>
                <w:sz w:val="22"/>
                <w:szCs w:val="22"/>
              </w:rPr>
              <w:t xml:space="preserve">Even though the PSEL is an annual limit, the monitoring is monthly and in many cases hourly when CEMS are available. </w:t>
            </w:r>
            <w:r w:rsidR="00A32488">
              <w:rPr>
                <w:i/>
                <w:sz w:val="22"/>
                <w:szCs w:val="22"/>
              </w:rPr>
              <w:t>If a source violates the PSEL, DEQ is able to take direct enforcement action against the source</w:t>
            </w:r>
            <w:r w:rsidR="008D538C">
              <w:rPr>
                <w:i/>
                <w:sz w:val="22"/>
                <w:szCs w:val="22"/>
              </w:rPr>
              <w:t xml:space="preserve">. </w:t>
            </w:r>
            <w:r w:rsidR="00A21C65">
              <w:rPr>
                <w:i/>
                <w:sz w:val="22"/>
                <w:szCs w:val="22"/>
              </w:rPr>
              <w:t>No change to the rule is proposed in response to this comment</w:t>
            </w:r>
            <w:r w:rsidR="008D538C">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bCs/>
                <w:sz w:val="22"/>
                <w:szCs w:val="22"/>
              </w:rPr>
            </w:pPr>
          </w:p>
          <w:p w:rsidR="00A62014" w:rsidRPr="0007371B" w:rsidRDefault="00A62014" w:rsidP="00A62014">
            <w:pPr>
              <w:ind w:right="-115"/>
              <w:rPr>
                <w:bCs/>
                <w:sz w:val="22"/>
                <w:szCs w:val="22"/>
              </w:rPr>
            </w:pPr>
            <w:r w:rsidRPr="0007371B">
              <w:rPr>
                <w:bCs/>
                <w:sz w:val="22"/>
                <w:szCs w:val="22"/>
              </w:rPr>
              <w:t>Minimum requirements and program stringency</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A68CD" w:rsidRDefault="00A62014" w:rsidP="005818FB">
            <w:pPr>
              <w:spacing w:after="120"/>
              <w:rPr>
                <w:rStyle w:val="FontStyle17"/>
                <w:sz w:val="22"/>
                <w:szCs w:val="22"/>
              </w:rPr>
            </w:pPr>
            <w:r w:rsidRPr="002A68CD">
              <w:rPr>
                <w:sz w:val="22"/>
                <w:szCs w:val="22"/>
              </w:rPr>
              <w:t xml:space="preserve">The proposed amendments go beyond what is required to “update state regulations for fine particulate pollution and greenhouse gases in order to align them with new federal regulations” and will affect the stringency of the program. </w:t>
            </w:r>
            <w:r w:rsidRPr="002A68CD">
              <w:rPr>
                <w:rStyle w:val="FontStyle17"/>
                <w:sz w:val="22"/>
                <w:szCs w:val="22"/>
              </w:rPr>
              <w:t>Allowing this to continue increases the costs and complexity of the program, without any defined benefits.</w:t>
            </w:r>
            <w:r w:rsidRPr="002A68CD">
              <w:rPr>
                <w:sz w:val="22"/>
                <w:szCs w:val="22"/>
              </w:rPr>
              <w:t xml:space="preserve"> (10)</w:t>
            </w:r>
            <w:r w:rsidRPr="002A68CD">
              <w:rPr>
                <w:rStyle w:val="FontStyle17"/>
                <w:sz w:val="22"/>
                <w:szCs w:val="22"/>
              </w:rPr>
              <w:t xml:space="preserve"> </w:t>
            </w:r>
          </w:p>
          <w:p w:rsidR="00A62014" w:rsidRPr="002A68CD" w:rsidRDefault="00A62014" w:rsidP="005818FB">
            <w:pPr>
              <w:spacing w:after="120"/>
              <w:rPr>
                <w:i/>
                <w:sz w:val="22"/>
                <w:szCs w:val="22"/>
              </w:rPr>
            </w:pPr>
            <w:r w:rsidRPr="002A68CD">
              <w:rPr>
                <w:i/>
                <w:sz w:val="22"/>
                <w:szCs w:val="22"/>
              </w:rPr>
              <w:t xml:space="preserve">Response:  </w:t>
            </w:r>
          </w:p>
          <w:p w:rsidR="00A62014" w:rsidRPr="002A68CD" w:rsidRDefault="00664D70" w:rsidP="00B111CC">
            <w:pPr>
              <w:pStyle w:val="Style2"/>
              <w:widowControl/>
              <w:spacing w:after="120" w:line="269" w:lineRule="exact"/>
              <w:rPr>
                <w:rFonts w:ascii="Times New Roman" w:hAnsi="Times New Roman" w:cs="Times New Roman"/>
                <w:i/>
                <w:sz w:val="22"/>
                <w:szCs w:val="22"/>
              </w:rPr>
            </w:pPr>
            <w:r w:rsidRPr="002A68CD">
              <w:rPr>
                <w:rFonts w:ascii="Times New Roman" w:hAnsi="Times New Roman" w:cs="Times New Roman"/>
                <w:i/>
                <w:sz w:val="22"/>
                <w:szCs w:val="22"/>
              </w:rPr>
              <w:t>The</w:t>
            </w:r>
            <w:r w:rsidR="00A62014" w:rsidRPr="002A68CD">
              <w:rPr>
                <w:rFonts w:ascii="Times New Roman" w:hAnsi="Times New Roman" w:cs="Times New Roman"/>
                <w:i/>
                <w:sz w:val="22"/>
                <w:szCs w:val="22"/>
              </w:rPr>
              <w:t xml:space="preserve"> proposed regulations </w:t>
            </w:r>
            <w:r w:rsidR="006E0886" w:rsidRPr="002A68CD">
              <w:rPr>
                <w:rFonts w:ascii="Times New Roman" w:hAnsi="Times New Roman" w:cs="Times New Roman"/>
                <w:i/>
                <w:sz w:val="22"/>
                <w:szCs w:val="22"/>
              </w:rPr>
              <w:t xml:space="preserve">are necessary to </w:t>
            </w:r>
            <w:r w:rsidR="00A62014" w:rsidRPr="002A68CD">
              <w:rPr>
                <w:rFonts w:ascii="Times New Roman" w:hAnsi="Times New Roman" w:cs="Times New Roman"/>
                <w:i/>
                <w:sz w:val="22"/>
                <w:szCs w:val="22"/>
              </w:rPr>
              <w:t xml:space="preserve">update state regulations for fine particulate pollution </w:t>
            </w:r>
            <w:r w:rsidR="006E0886" w:rsidRPr="002A68CD">
              <w:rPr>
                <w:rFonts w:ascii="Times New Roman" w:hAnsi="Times New Roman" w:cs="Times New Roman"/>
                <w:i/>
                <w:sz w:val="22"/>
                <w:szCs w:val="22"/>
              </w:rPr>
              <w:t xml:space="preserve">and </w:t>
            </w:r>
            <w:r w:rsidR="00A62014" w:rsidRPr="002A68CD">
              <w:rPr>
                <w:rFonts w:ascii="Times New Roman" w:hAnsi="Times New Roman" w:cs="Times New Roman"/>
                <w:i/>
                <w:sz w:val="22"/>
                <w:szCs w:val="22"/>
              </w:rPr>
              <w:t>greenhouse gases</w:t>
            </w:r>
            <w:r w:rsidR="008D538C">
              <w:rPr>
                <w:rFonts w:ascii="Times New Roman" w:hAnsi="Times New Roman" w:cs="Times New Roman"/>
                <w:i/>
                <w:sz w:val="22"/>
                <w:szCs w:val="22"/>
              </w:rPr>
              <w:t xml:space="preserve">. </w:t>
            </w:r>
            <w:r w:rsidR="006E0886" w:rsidRPr="002A68CD">
              <w:rPr>
                <w:rFonts w:ascii="Times New Roman" w:hAnsi="Times New Roman" w:cs="Times New Roman"/>
                <w:i/>
                <w:sz w:val="22"/>
                <w:szCs w:val="22"/>
              </w:rPr>
              <w:t xml:space="preserve">The </w:t>
            </w:r>
            <w:r w:rsidR="00061462" w:rsidRPr="002A68CD">
              <w:rPr>
                <w:rFonts w:ascii="Times New Roman" w:hAnsi="Times New Roman" w:cs="Times New Roman"/>
                <w:i/>
                <w:sz w:val="22"/>
                <w:szCs w:val="22"/>
              </w:rPr>
              <w:t xml:space="preserve">area where the </w:t>
            </w:r>
            <w:r w:rsidR="006E0886" w:rsidRPr="002A68CD">
              <w:rPr>
                <w:rFonts w:ascii="Times New Roman" w:hAnsi="Times New Roman" w:cs="Times New Roman"/>
                <w:i/>
                <w:sz w:val="22"/>
                <w:szCs w:val="22"/>
              </w:rPr>
              <w:t xml:space="preserve">rules are being tightened </w:t>
            </w:r>
            <w:r w:rsidR="00061462" w:rsidRPr="002A68CD">
              <w:rPr>
                <w:rFonts w:ascii="Times New Roman" w:hAnsi="Times New Roman" w:cs="Times New Roman"/>
                <w:i/>
                <w:sz w:val="22"/>
                <w:szCs w:val="22"/>
              </w:rPr>
              <w:t>is in resetting PTE to actual emissions for sources that were permitted but not operating in the baseline period and for sources that will go through NSR/PSD in the future</w:t>
            </w:r>
            <w:r w:rsidR="008D538C">
              <w:rPr>
                <w:rFonts w:ascii="Times New Roman" w:hAnsi="Times New Roman" w:cs="Times New Roman"/>
                <w:i/>
                <w:sz w:val="22"/>
                <w:szCs w:val="22"/>
              </w:rPr>
              <w:t xml:space="preserve">. </w:t>
            </w:r>
            <w:r w:rsidR="00061462" w:rsidRPr="002A68CD">
              <w:rPr>
                <w:rFonts w:ascii="Times New Roman" w:hAnsi="Times New Roman" w:cs="Times New Roman"/>
                <w:i/>
                <w:sz w:val="22"/>
                <w:szCs w:val="22"/>
              </w:rPr>
              <w:t xml:space="preserve">This change is proposed to </w:t>
            </w:r>
            <w:r w:rsidR="00B111CC">
              <w:rPr>
                <w:rFonts w:ascii="Times New Roman" w:hAnsi="Times New Roman" w:cs="Times New Roman"/>
                <w:i/>
                <w:sz w:val="22"/>
                <w:szCs w:val="22"/>
              </w:rPr>
              <w:t>better align this aspect of Oregon's program with the federal program</w:t>
            </w:r>
            <w:r w:rsidR="008D538C">
              <w:rPr>
                <w:rFonts w:ascii="Times New Roman" w:hAnsi="Times New Roman" w:cs="Times New Roman"/>
                <w:i/>
                <w:sz w:val="22"/>
                <w:szCs w:val="22"/>
              </w:rPr>
              <w:t xml:space="preserve">. </w:t>
            </w:r>
            <w:r w:rsidR="00061462" w:rsidRPr="002A68CD">
              <w:rPr>
                <w:rFonts w:ascii="Times New Roman" w:hAnsi="Times New Roman" w:cs="Times New Roman"/>
                <w:i/>
                <w:sz w:val="22"/>
                <w:szCs w:val="22"/>
              </w:rPr>
              <w:t xml:space="preserve">See the response in comment </w:t>
            </w:r>
            <w:fldSimple w:instr=" REF _Ref283934552 \r \h  \* MERGEFORMAT ">
              <w:r w:rsidR="00061462" w:rsidRPr="002A68CD">
                <w:rPr>
                  <w:rFonts w:ascii="Times New Roman" w:eastAsia="Times New Roman" w:hAnsi="Times New Roman" w:cs="Times New Roman"/>
                  <w:i/>
                  <w:sz w:val="22"/>
                  <w:szCs w:val="22"/>
                </w:rPr>
                <w:t>3</w:t>
              </w:r>
            </w:fldSimple>
            <w:r w:rsidR="00061462" w:rsidRPr="002A68CD">
              <w:rPr>
                <w:rFonts w:ascii="Times New Roman" w:hAnsi="Times New Roman" w:cs="Times New Roman"/>
                <w:i/>
                <w:sz w:val="22"/>
                <w:szCs w:val="22"/>
              </w:rPr>
              <w:t xml:space="preserve"> “Actual emissions as PTE used to net out of PSD.” </w:t>
            </w:r>
            <w:r w:rsidR="00A21C65" w:rsidRPr="002A68CD">
              <w:rPr>
                <w:rFonts w:ascii="Times New Roman" w:hAnsi="Times New Roman" w:cs="Times New Roman"/>
                <w:i/>
                <w:sz w:val="22"/>
                <w:szCs w:val="22"/>
              </w:rPr>
              <w:t>No change to the rule is proposed in response to this comment.</w:t>
            </w:r>
            <w:r w:rsidR="00A62014" w:rsidRPr="002A68CD">
              <w:rPr>
                <w:rFonts w:ascii="Times New Roman" w:hAnsi="Times New Roman" w:cs="Times New Roman"/>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Regulation of greenhouse gases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CD4256" w:rsidRDefault="00A62014" w:rsidP="0010042F">
            <w:pPr>
              <w:spacing w:after="120"/>
              <w:rPr>
                <w:sz w:val="22"/>
                <w:szCs w:val="22"/>
              </w:rPr>
            </w:pPr>
            <w:r w:rsidRPr="00CD4256">
              <w:rPr>
                <w:sz w:val="22"/>
                <w:szCs w:val="22"/>
              </w:rPr>
              <w:t>The designation on Greenhouse Gases and Global Warming is based on flawed scientific research and conclusions. This legislation and/or rulemaking wi</w:t>
            </w:r>
            <w:r w:rsidR="0010238A">
              <w:rPr>
                <w:sz w:val="22"/>
                <w:szCs w:val="22"/>
              </w:rPr>
              <w:t>ll do nothing but to significantly raise costs to business and thereby to the consumer, and create more bureaucracy and inefficiency with the DEQ, all because of fear and false research. I call upon the DEQ to cease all further efforts supporting and establishing Greenhouse Gas and Global Warming regulation, rulings and enforcement. (22)</w:t>
            </w:r>
          </w:p>
          <w:p w:rsidR="00A62014" w:rsidRPr="00CD4256" w:rsidRDefault="0010238A" w:rsidP="0010042F">
            <w:pPr>
              <w:spacing w:after="120"/>
              <w:rPr>
                <w:sz w:val="22"/>
                <w:szCs w:val="22"/>
              </w:rPr>
            </w:pPr>
            <w:r>
              <w:rPr>
                <w:sz w:val="22"/>
                <w:szCs w:val="22"/>
              </w:rPr>
              <w:t>In the age of problems I would say this is a real lot of government contrived silliness</w:t>
            </w:r>
            <w:r w:rsidR="003C528F">
              <w:rPr>
                <w:sz w:val="22"/>
                <w:szCs w:val="22"/>
              </w:rPr>
              <w:t>.</w:t>
            </w:r>
            <w:r>
              <w:rPr>
                <w:sz w:val="22"/>
                <w:szCs w:val="22"/>
              </w:rPr>
              <w:t xml:space="preserve"> (21)</w:t>
            </w:r>
          </w:p>
          <w:p w:rsidR="00A62014" w:rsidRPr="00CD4256" w:rsidRDefault="0010238A" w:rsidP="0010042F">
            <w:pPr>
              <w:pStyle w:val="NormalWeb"/>
              <w:spacing w:before="0" w:beforeAutospacing="0" w:after="120" w:afterAutospacing="0"/>
              <w:ind w:right="-187"/>
              <w:contextualSpacing/>
              <w:rPr>
                <w:i/>
                <w:sz w:val="22"/>
                <w:szCs w:val="22"/>
              </w:rPr>
            </w:pPr>
            <w:r>
              <w:rPr>
                <w:i/>
                <w:sz w:val="22"/>
                <w:szCs w:val="22"/>
              </w:rPr>
              <w:lastRenderedPageBreak/>
              <w:t xml:space="preserve">Response: </w:t>
            </w:r>
          </w:p>
          <w:p w:rsidR="00CD4256" w:rsidRPr="00CD4256" w:rsidRDefault="00CD4256" w:rsidP="0010042F">
            <w:pPr>
              <w:spacing w:after="120"/>
              <w:rPr>
                <w:i/>
                <w:sz w:val="22"/>
                <w:szCs w:val="22"/>
              </w:rPr>
            </w:pPr>
            <w:r w:rsidRPr="00CD4256">
              <w:rPr>
                <w:i/>
                <w:color w:val="000000"/>
                <w:sz w:val="22"/>
                <w:szCs w:val="22"/>
              </w:rPr>
              <w:t xml:space="preserve">Based on the best peer-reviewed science, </w:t>
            </w:r>
            <w:r>
              <w:rPr>
                <w:i/>
                <w:color w:val="000000"/>
                <w:sz w:val="22"/>
                <w:szCs w:val="22"/>
              </w:rPr>
              <w:t xml:space="preserve">EPA </w:t>
            </w:r>
            <w:r w:rsidRPr="00CD4256">
              <w:rPr>
                <w:i/>
                <w:color w:val="000000"/>
                <w:sz w:val="22"/>
                <w:szCs w:val="22"/>
              </w:rPr>
              <w:t>found in 2009 that manmade greenhouse gas emissions threaten the health and welfare of the American people. EPA is not alone in reaching that conclusion</w:t>
            </w:r>
            <w:r w:rsidR="008D538C">
              <w:rPr>
                <w:i/>
                <w:color w:val="000000"/>
                <w:sz w:val="22"/>
                <w:szCs w:val="22"/>
              </w:rPr>
              <w:t xml:space="preserve">. </w:t>
            </w:r>
            <w:r w:rsidRPr="00CD4256">
              <w:rPr>
                <w:i/>
                <w:color w:val="000000"/>
                <w:sz w:val="22"/>
                <w:szCs w:val="22"/>
              </w:rPr>
              <w:t>The National Academy of Sciences has stated that there is a strong, credible body of evidence, based on multiple lines of research, documenting that the climate is changing and that the changes are caused in large part by human activities</w:t>
            </w:r>
            <w:r w:rsidR="008D538C">
              <w:rPr>
                <w:i/>
                <w:color w:val="000000"/>
                <w:sz w:val="22"/>
                <w:szCs w:val="22"/>
              </w:rPr>
              <w:t xml:space="preserve">. </w:t>
            </w:r>
            <w:r w:rsidRPr="00CD4256">
              <w:rPr>
                <w:i/>
                <w:color w:val="000000"/>
                <w:sz w:val="22"/>
                <w:szCs w:val="22"/>
              </w:rPr>
              <w:t>Eighteen of America’s leading scientific societies have written that multiple lines of evidence show humans are changing the climate, that contrary assertions are inconsistent with an objective assessment of the vast body of peer-reviewed science, and that ongoing climate change will have broad impacts on society, including the global economy and the environment. </w:t>
            </w:r>
          </w:p>
          <w:p w:rsidR="00A62014" w:rsidRPr="00CD4256" w:rsidRDefault="0010238A" w:rsidP="0010042F">
            <w:pPr>
              <w:pStyle w:val="NormalWeb"/>
              <w:spacing w:before="0" w:beforeAutospacing="0" w:after="120" w:afterAutospacing="0"/>
              <w:ind w:right="-187"/>
              <w:rPr>
                <w:i/>
                <w:color w:val="000000"/>
                <w:sz w:val="22"/>
                <w:szCs w:val="22"/>
              </w:rPr>
            </w:pPr>
            <w:r>
              <w:rPr>
                <w:i/>
                <w:color w:val="000000"/>
                <w:sz w:val="22"/>
                <w:szCs w:val="22"/>
              </w:rPr>
              <w:t xml:space="preserve">Oregon cannot disregard the strong scientific evidence showing that humans are contributing to the rapid increase of global temperatures. In addition, although new reporting and permitting requirements and fees create costs to businesses, the effects of climate change have serious implications for the economy and environment. For example, Oregon snow packs are shrinking and unseasonably warm temperatures are leading to rapid spring melts depleting Oregon’s supply of summer water for agriculture. </w:t>
            </w:r>
          </w:p>
          <w:p w:rsidR="00A62014" w:rsidRPr="00CD4256" w:rsidRDefault="0010238A" w:rsidP="00FE6E7B">
            <w:pPr>
              <w:pStyle w:val="NormalWeb"/>
              <w:spacing w:before="0" w:beforeAutospacing="0" w:after="120" w:afterAutospacing="0"/>
              <w:ind w:right="-187"/>
              <w:rPr>
                <w:sz w:val="22"/>
                <w:szCs w:val="22"/>
              </w:rPr>
            </w:pPr>
            <w:r>
              <w:rPr>
                <w:i/>
                <w:sz w:val="22"/>
                <w:szCs w:val="22"/>
              </w:rPr>
              <w:t>However, even if greenhouse gas emissions did not contribute to global warming, DEQ would still be required by federal law to establish a GHG permitting program</w:t>
            </w:r>
            <w:r w:rsidR="008D538C">
              <w:rPr>
                <w:i/>
                <w:sz w:val="22"/>
                <w:szCs w:val="22"/>
              </w:rPr>
              <w:t xml:space="preserve">. </w:t>
            </w:r>
            <w:r>
              <w:rPr>
                <w:i/>
                <w:sz w:val="22"/>
                <w:szCs w:val="22"/>
              </w:rPr>
              <w:t>Under the federal Clean Air Act, no major new or modified source of GHG may be constructed in the United States without a PSD permit</w:t>
            </w:r>
            <w:r w:rsidR="008D538C">
              <w:rPr>
                <w:i/>
                <w:sz w:val="22"/>
                <w:szCs w:val="22"/>
              </w:rPr>
              <w:t xml:space="preserve">. </w:t>
            </w:r>
            <w:r>
              <w:rPr>
                <w:i/>
                <w:sz w:val="22"/>
                <w:szCs w:val="22"/>
              </w:rPr>
              <w:t>If DEQ does not establish a GHG permitting program, these sources could not be built in Oregon, which would cause a severe economic impact on the state.</w:t>
            </w:r>
            <w:r w:rsidR="00FE6E7B">
              <w:rPr>
                <w:i/>
                <w:sz w:val="22"/>
                <w:szCs w:val="22"/>
              </w:rPr>
              <w:t xml:space="preserve"> </w:t>
            </w:r>
            <w:r>
              <w:rPr>
                <w:i/>
                <w:sz w:val="22"/>
                <w:szCs w:val="22"/>
              </w:rPr>
              <w:t>No change to the rule is proposed in response to this comment.</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GHG reporting and fees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B86D2E" w:rsidRDefault="00A62014" w:rsidP="00B86D2E">
            <w:pPr>
              <w:pStyle w:val="Style5"/>
              <w:widowControl/>
              <w:spacing w:after="120" w:line="240" w:lineRule="auto"/>
              <w:rPr>
                <w:rStyle w:val="FontStyle15"/>
              </w:rPr>
            </w:pPr>
            <w:r w:rsidRPr="00B86D2E">
              <w:rPr>
                <w:rStyle w:val="FontStyle15"/>
              </w:rPr>
              <w:t>Currently forest products company owners that own manufacturing or conversion facilities along with timberland and forestland that sequesters CO</w:t>
            </w:r>
            <w:r w:rsidR="00DD34CC">
              <w:rPr>
                <w:rStyle w:val="FontStyle15"/>
                <w:vertAlign w:val="subscript"/>
              </w:rPr>
              <w:t>2</w:t>
            </w:r>
            <w:r w:rsidR="00DD34CC">
              <w:rPr>
                <w:rStyle w:val="FontStyle15"/>
              </w:rPr>
              <w:t xml:space="preserve"> g</w:t>
            </w:r>
            <w:r w:rsidRPr="00B86D2E">
              <w:rPr>
                <w:rStyle w:val="FontStyle15"/>
              </w:rPr>
              <w:t>ases and emissions are being held to an increasing pile of fees (i.e., annual GHG reporting fees and related annual paperwork). The adoption of an ODEQ policy and regulation that places the GHG m</w:t>
            </w:r>
            <w:r w:rsidR="003C528F">
              <w:rPr>
                <w:rStyle w:val="FontStyle15"/>
              </w:rPr>
              <w:t xml:space="preserve">anufacturing emissions in Title </w:t>
            </w:r>
            <w:r w:rsidRPr="00B86D2E">
              <w:rPr>
                <w:rStyle w:val="FontStyle15"/>
              </w:rPr>
              <w:t>V and ACDP permits as part of PSEL is headed to a place that can be summed up as "taxation and regulation without representation". (8)</w:t>
            </w:r>
          </w:p>
          <w:p w:rsidR="00A62014" w:rsidRPr="00B86D2E" w:rsidRDefault="00A62014" w:rsidP="00B86D2E">
            <w:pPr>
              <w:pStyle w:val="Style5"/>
              <w:widowControl/>
              <w:spacing w:after="120" w:line="240" w:lineRule="auto"/>
              <w:rPr>
                <w:rFonts w:ascii="Times New Roman" w:hAnsi="Times New Roman" w:cs="Times New Roman"/>
                <w:color w:val="000000"/>
                <w:sz w:val="22"/>
                <w:szCs w:val="22"/>
              </w:rPr>
            </w:pPr>
            <w:r w:rsidRPr="00B86D2E">
              <w:rPr>
                <w:rFonts w:ascii="Times New Roman" w:hAnsi="Times New Roman" w:cs="Times New Roman"/>
                <w:sz w:val="22"/>
                <w:szCs w:val="22"/>
              </w:rPr>
              <w:t>The DEQ’s reporting threshold for greenhouse gas</w:t>
            </w:r>
            <w:r w:rsidR="003C528F">
              <w:rPr>
                <w:rFonts w:ascii="Times New Roman" w:hAnsi="Times New Roman" w:cs="Times New Roman"/>
                <w:sz w:val="22"/>
                <w:szCs w:val="22"/>
              </w:rPr>
              <w:t>es</w:t>
            </w:r>
            <w:r w:rsidRPr="00B86D2E">
              <w:rPr>
                <w:rFonts w:ascii="Times New Roman" w:hAnsi="Times New Roman" w:cs="Times New Roman"/>
                <w:sz w:val="22"/>
                <w:szCs w:val="22"/>
              </w:rPr>
              <w:t xml:space="preserve"> should be increased to match the EPA</w:t>
            </w:r>
            <w:r>
              <w:rPr>
                <w:rFonts w:ascii="Times New Roman" w:hAnsi="Times New Roman" w:cs="Times New Roman"/>
                <w:sz w:val="22"/>
                <w:szCs w:val="22"/>
              </w:rPr>
              <w:t>’</w:t>
            </w:r>
            <w:r w:rsidRPr="00B86D2E">
              <w:rPr>
                <w:rFonts w:ascii="Times New Roman" w:hAnsi="Times New Roman" w:cs="Times New Roman"/>
                <w:sz w:val="22"/>
                <w:szCs w:val="22"/>
              </w:rPr>
              <w:t>s threshold</w:t>
            </w:r>
            <w:r>
              <w:rPr>
                <w:rFonts w:ascii="Times New Roman" w:hAnsi="Times New Roman" w:cs="Times New Roman"/>
                <w:sz w:val="22"/>
                <w:szCs w:val="22"/>
              </w:rPr>
              <w:t xml:space="preserve">. </w:t>
            </w:r>
            <w:r w:rsidRPr="00B86D2E">
              <w:rPr>
                <w:rFonts w:ascii="Times New Roman" w:hAnsi="Times New Roman" w:cs="Times New Roman"/>
                <w:sz w:val="22"/>
                <w:szCs w:val="22"/>
              </w:rPr>
              <w:t>There is no reasonable explanation for the DEQ to continue to diverge from the EPA</w:t>
            </w:r>
            <w:r>
              <w:rPr>
                <w:rFonts w:ascii="Times New Roman" w:hAnsi="Times New Roman" w:cs="Times New Roman"/>
                <w:sz w:val="22"/>
                <w:szCs w:val="22"/>
              </w:rPr>
              <w:t xml:space="preserve">. </w:t>
            </w:r>
            <w:r w:rsidRPr="00B86D2E">
              <w:rPr>
                <w:rFonts w:ascii="Times New Roman" w:hAnsi="Times New Roman" w:cs="Times New Roman"/>
                <w:sz w:val="22"/>
                <w:szCs w:val="22"/>
              </w:rPr>
              <w:t>Allowing this to continue increases the cost and complexity of the program, without any defined benefits</w:t>
            </w:r>
            <w:r>
              <w:rPr>
                <w:rFonts w:ascii="Times New Roman" w:hAnsi="Times New Roman" w:cs="Times New Roman"/>
                <w:sz w:val="22"/>
                <w:szCs w:val="22"/>
              </w:rPr>
              <w:t xml:space="preserve">. </w:t>
            </w:r>
            <w:r w:rsidRPr="00B86D2E">
              <w:rPr>
                <w:rFonts w:ascii="Times New Roman" w:hAnsi="Times New Roman" w:cs="Times New Roman"/>
                <w:sz w:val="22"/>
                <w:szCs w:val="22"/>
              </w:rPr>
              <w:t>(10)</w:t>
            </w:r>
          </w:p>
          <w:p w:rsidR="00A62014" w:rsidRPr="00B86D2E" w:rsidRDefault="00A62014" w:rsidP="00B86D2E">
            <w:pPr>
              <w:spacing w:after="120"/>
              <w:ind w:right="-180"/>
              <w:rPr>
                <w:i/>
                <w:sz w:val="22"/>
                <w:szCs w:val="22"/>
              </w:rPr>
            </w:pPr>
            <w:r w:rsidRPr="00B86D2E">
              <w:rPr>
                <w:i/>
                <w:sz w:val="22"/>
                <w:szCs w:val="22"/>
              </w:rPr>
              <w:t>Response:</w:t>
            </w:r>
          </w:p>
          <w:p w:rsidR="00A62014" w:rsidRPr="00B86D2E" w:rsidRDefault="00A62014" w:rsidP="00297DB3">
            <w:pPr>
              <w:spacing w:after="120"/>
              <w:ind w:right="-180"/>
              <w:rPr>
                <w:i/>
                <w:sz w:val="22"/>
                <w:szCs w:val="22"/>
              </w:rPr>
            </w:pPr>
            <w:r w:rsidRPr="00B86D2E">
              <w:rPr>
                <w:i/>
                <w:sz w:val="22"/>
                <w:szCs w:val="22"/>
              </w:rPr>
              <w:t xml:space="preserve">This rulemaking does not </w:t>
            </w:r>
            <w:r w:rsidR="00A63994">
              <w:rPr>
                <w:i/>
                <w:sz w:val="22"/>
                <w:szCs w:val="22"/>
              </w:rPr>
              <w:t>address</w:t>
            </w:r>
            <w:r w:rsidRPr="00B86D2E">
              <w:rPr>
                <w:i/>
                <w:sz w:val="22"/>
                <w:szCs w:val="22"/>
              </w:rPr>
              <w:t xml:space="preserve"> greenhouse gas reporting</w:t>
            </w:r>
            <w:r>
              <w:rPr>
                <w:i/>
                <w:sz w:val="22"/>
                <w:szCs w:val="22"/>
              </w:rPr>
              <w:t xml:space="preserve">. </w:t>
            </w:r>
            <w:r w:rsidR="00A63994">
              <w:rPr>
                <w:i/>
                <w:sz w:val="22"/>
                <w:szCs w:val="22"/>
              </w:rPr>
              <w:t xml:space="preserve">However, in earlier rulemakings, the </w:t>
            </w:r>
            <w:r w:rsidRPr="00B86D2E">
              <w:rPr>
                <w:i/>
                <w:sz w:val="22"/>
                <w:szCs w:val="22"/>
              </w:rPr>
              <w:t xml:space="preserve">EQC </w:t>
            </w:r>
            <w:r w:rsidR="00A63994">
              <w:rPr>
                <w:i/>
                <w:sz w:val="22"/>
                <w:szCs w:val="22"/>
              </w:rPr>
              <w:t>adopted</w:t>
            </w:r>
            <w:r w:rsidRPr="00B86D2E">
              <w:rPr>
                <w:i/>
                <w:sz w:val="22"/>
                <w:szCs w:val="22"/>
              </w:rPr>
              <w:t xml:space="preserve"> a </w:t>
            </w:r>
            <w:r w:rsidR="00A63994">
              <w:rPr>
                <w:i/>
                <w:sz w:val="22"/>
                <w:szCs w:val="22"/>
              </w:rPr>
              <w:t xml:space="preserve">GHG </w:t>
            </w:r>
            <w:r w:rsidRPr="00B86D2E">
              <w:rPr>
                <w:i/>
                <w:sz w:val="22"/>
                <w:szCs w:val="22"/>
              </w:rPr>
              <w:t xml:space="preserve">reporting requirement </w:t>
            </w:r>
            <w:r w:rsidR="00A63994">
              <w:rPr>
                <w:i/>
                <w:sz w:val="22"/>
                <w:szCs w:val="22"/>
              </w:rPr>
              <w:t>that is more comprehensive than the federal requirement.</w:t>
            </w:r>
            <w:r w:rsidRPr="00B86D2E">
              <w:rPr>
                <w:i/>
                <w:sz w:val="22"/>
                <w:szCs w:val="22"/>
              </w:rPr>
              <w:t xml:space="preserve"> DEQ proposed and EQC adopted </w:t>
            </w:r>
            <w:r w:rsidR="00A63994">
              <w:rPr>
                <w:i/>
                <w:sz w:val="22"/>
                <w:szCs w:val="22"/>
              </w:rPr>
              <w:t>an</w:t>
            </w:r>
            <w:r w:rsidRPr="00B86D2E">
              <w:rPr>
                <w:i/>
                <w:sz w:val="22"/>
                <w:szCs w:val="22"/>
              </w:rPr>
              <w:t xml:space="preserve"> emissions threshold of 2,500 metric tons carbon dioxide equivalent in Oregon’s greenhouse gas reporting rules</w:t>
            </w:r>
            <w:r w:rsidR="00A63994">
              <w:rPr>
                <w:i/>
                <w:sz w:val="22"/>
                <w:szCs w:val="22"/>
              </w:rPr>
              <w:t>, as compared to 25,000 metric tons for the federal reporting program</w:t>
            </w:r>
            <w:r w:rsidRPr="00B86D2E">
              <w:rPr>
                <w:i/>
                <w:sz w:val="22"/>
                <w:szCs w:val="22"/>
              </w:rPr>
              <w:t xml:space="preserve">. </w:t>
            </w:r>
            <w:r w:rsidR="00297DB3">
              <w:rPr>
                <w:i/>
                <w:sz w:val="22"/>
                <w:szCs w:val="22"/>
              </w:rPr>
              <w:t>The lower reporting threshold will allow Oregon to develop a better scientific basis for tracking and addressing GHG emissions. Because this rulemaking does not address GHG reporting, n</w:t>
            </w:r>
            <w:r w:rsidR="00A21C65">
              <w:rPr>
                <w:i/>
                <w:sz w:val="22"/>
                <w:szCs w:val="22"/>
              </w:rPr>
              <w:t xml:space="preserve">o change </w:t>
            </w:r>
            <w:r w:rsidR="00FE6E7B">
              <w:rPr>
                <w:i/>
                <w:sz w:val="22"/>
                <w:szCs w:val="22"/>
              </w:rPr>
              <w:t xml:space="preserve">to the rule </w:t>
            </w:r>
            <w:r w:rsidR="00A21C65">
              <w:rPr>
                <w:i/>
                <w:sz w:val="22"/>
                <w:szCs w:val="22"/>
              </w:rPr>
              <w:t>is proposed in response to this comment.</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PM</w:t>
            </w:r>
            <w:r w:rsidRPr="00943C75">
              <w:rPr>
                <w:bCs/>
                <w:sz w:val="22"/>
                <w:szCs w:val="22"/>
                <w:vertAlign w:val="subscript"/>
              </w:rPr>
              <w:t>2.5</w:t>
            </w:r>
            <w:r w:rsidRPr="00943C75">
              <w:rPr>
                <w:bCs/>
                <w:sz w:val="22"/>
                <w:szCs w:val="22"/>
              </w:rPr>
              <w:t xml:space="preserve"> to PM</w:t>
            </w:r>
            <w:r w:rsidRPr="00943C75">
              <w:rPr>
                <w:bCs/>
                <w:sz w:val="22"/>
                <w:szCs w:val="22"/>
                <w:vertAlign w:val="subscript"/>
              </w:rPr>
              <w:t>10</w:t>
            </w:r>
            <w:r w:rsidRPr="00943C75">
              <w:rPr>
                <w:bCs/>
                <w:sz w:val="22"/>
                <w:szCs w:val="22"/>
              </w:rPr>
              <w:t xml:space="preserve"> ratio</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F34CF" w:rsidRDefault="00A62014" w:rsidP="00076541">
            <w:pPr>
              <w:spacing w:after="120"/>
              <w:ind w:right="-180"/>
              <w:rPr>
                <w:sz w:val="22"/>
                <w:szCs w:val="22"/>
              </w:rPr>
            </w:pPr>
            <w:r w:rsidRPr="009F34CF">
              <w:rPr>
                <w:sz w:val="22"/>
                <w:szCs w:val="22"/>
              </w:rPr>
              <w:t>Establish</w:t>
            </w:r>
            <w:r w:rsidR="003C528F">
              <w:rPr>
                <w:sz w:val="22"/>
                <w:szCs w:val="22"/>
              </w:rPr>
              <w:t>ing</w:t>
            </w:r>
            <w:r w:rsidRPr="009F34CF">
              <w:rPr>
                <w:sz w:val="22"/>
                <w:szCs w:val="22"/>
              </w:rPr>
              <w:t xml:space="preserve"> a ratio between PM2.5 and PM10 emissions </w:t>
            </w:r>
            <w:r>
              <w:rPr>
                <w:sz w:val="22"/>
                <w:szCs w:val="22"/>
              </w:rPr>
              <w:t xml:space="preserve">should not be done </w:t>
            </w:r>
            <w:r w:rsidRPr="009F34CF">
              <w:rPr>
                <w:sz w:val="22"/>
                <w:szCs w:val="22"/>
              </w:rPr>
              <w:t>through testing only</w:t>
            </w:r>
            <w:r>
              <w:rPr>
                <w:sz w:val="22"/>
                <w:szCs w:val="22"/>
              </w:rPr>
              <w:t xml:space="preserve">. </w:t>
            </w:r>
            <w:r w:rsidRPr="009F34CF">
              <w:rPr>
                <w:sz w:val="22"/>
                <w:szCs w:val="22"/>
              </w:rPr>
              <w:t>Sources should have the option of using the ratio based upon the Particle Size Category by AP-42 section</w:t>
            </w:r>
            <w:r>
              <w:rPr>
                <w:sz w:val="22"/>
                <w:szCs w:val="22"/>
              </w:rPr>
              <w:t xml:space="preserve">. </w:t>
            </w:r>
            <w:r w:rsidRPr="009F34CF">
              <w:rPr>
                <w:sz w:val="22"/>
                <w:szCs w:val="22"/>
              </w:rPr>
              <w:t xml:space="preserve">If </w:t>
            </w:r>
            <w:r w:rsidR="003C528F">
              <w:rPr>
                <w:sz w:val="22"/>
                <w:szCs w:val="22"/>
              </w:rPr>
              <w:t xml:space="preserve">a </w:t>
            </w:r>
            <w:r w:rsidRPr="009F34CF">
              <w:rPr>
                <w:sz w:val="22"/>
                <w:szCs w:val="22"/>
              </w:rPr>
              <w:t xml:space="preserve">modeling analysis is required for an area, having PM2.5 default to </w:t>
            </w:r>
            <w:r w:rsidRPr="009F34CF">
              <w:rPr>
                <w:sz w:val="22"/>
                <w:szCs w:val="22"/>
              </w:rPr>
              <w:lastRenderedPageBreak/>
              <w:t>PM10 will result in compounding conservative worst case conditions</w:t>
            </w:r>
            <w:r>
              <w:rPr>
                <w:sz w:val="22"/>
                <w:szCs w:val="22"/>
              </w:rPr>
              <w:t xml:space="preserve">. </w:t>
            </w:r>
            <w:r w:rsidRPr="009F34CF">
              <w:rPr>
                <w:sz w:val="22"/>
                <w:szCs w:val="22"/>
              </w:rPr>
              <w:t>(10)</w:t>
            </w:r>
          </w:p>
          <w:p w:rsidR="00A62014" w:rsidRPr="009F34CF" w:rsidRDefault="00A62014" w:rsidP="00076541">
            <w:pPr>
              <w:spacing w:after="120"/>
              <w:ind w:right="-180"/>
              <w:rPr>
                <w:i/>
                <w:sz w:val="22"/>
                <w:szCs w:val="22"/>
              </w:rPr>
            </w:pPr>
            <w:r w:rsidRPr="009F34CF">
              <w:rPr>
                <w:i/>
                <w:sz w:val="22"/>
                <w:szCs w:val="22"/>
              </w:rPr>
              <w:t>Response:</w:t>
            </w:r>
          </w:p>
          <w:p w:rsidR="002052D3" w:rsidRPr="009F34CF" w:rsidRDefault="002052D3" w:rsidP="002052D3">
            <w:pPr>
              <w:spacing w:after="120"/>
              <w:ind w:right="-180"/>
              <w:rPr>
                <w:i/>
                <w:sz w:val="22"/>
                <w:szCs w:val="22"/>
              </w:rPr>
            </w:pPr>
            <w:r w:rsidRPr="004F02F9">
              <w:rPr>
                <w:i/>
                <w:sz w:val="22"/>
                <w:szCs w:val="22"/>
              </w:rPr>
              <w:t xml:space="preserve">DEQ </w:t>
            </w:r>
            <w:r>
              <w:rPr>
                <w:i/>
                <w:sz w:val="22"/>
                <w:szCs w:val="22"/>
              </w:rPr>
              <w:t>prefers s</w:t>
            </w:r>
            <w:r w:rsidRPr="004F02F9">
              <w:rPr>
                <w:i/>
                <w:sz w:val="22"/>
                <w:szCs w:val="22"/>
              </w:rPr>
              <w:t xml:space="preserve">ource test data at the facility </w:t>
            </w:r>
            <w:r>
              <w:rPr>
                <w:i/>
                <w:sz w:val="22"/>
                <w:szCs w:val="22"/>
              </w:rPr>
              <w:t xml:space="preserve">as </w:t>
            </w:r>
            <w:r w:rsidRPr="004F02F9">
              <w:rPr>
                <w:i/>
                <w:sz w:val="22"/>
                <w:szCs w:val="22"/>
              </w:rPr>
              <w:t>the most reliable way to determine the PM</w:t>
            </w:r>
            <w:r w:rsidRPr="004F02F9">
              <w:rPr>
                <w:i/>
                <w:sz w:val="22"/>
                <w:szCs w:val="22"/>
                <w:vertAlign w:val="subscript"/>
              </w:rPr>
              <w:t>2.5</w:t>
            </w:r>
            <w:r w:rsidRPr="004F02F9">
              <w:rPr>
                <w:i/>
                <w:sz w:val="22"/>
                <w:szCs w:val="22"/>
              </w:rPr>
              <w:t xml:space="preserve"> fraction of PM</w:t>
            </w:r>
            <w:r w:rsidRPr="004F02F9">
              <w:rPr>
                <w:i/>
                <w:sz w:val="22"/>
                <w:szCs w:val="22"/>
                <w:vertAlign w:val="subscript"/>
              </w:rPr>
              <w:t>10</w:t>
            </w:r>
            <w:r w:rsidRPr="004F02F9">
              <w:rPr>
                <w:i/>
                <w:sz w:val="22"/>
                <w:szCs w:val="22"/>
              </w:rPr>
              <w:t xml:space="preserve"> emissions</w:t>
            </w:r>
            <w:r>
              <w:rPr>
                <w:i/>
                <w:sz w:val="22"/>
                <w:szCs w:val="22"/>
              </w:rPr>
              <w:t xml:space="preserve">. Where source testing is not required or possible, </w:t>
            </w:r>
            <w:r w:rsidRPr="004F02F9">
              <w:rPr>
                <w:i/>
                <w:sz w:val="22"/>
                <w:szCs w:val="22"/>
              </w:rPr>
              <w:t xml:space="preserve">industry specific data available from trade associations or EPA’s </w:t>
            </w:r>
            <w:r w:rsidRPr="004F02F9">
              <w:rPr>
                <w:rStyle w:val="Strong"/>
                <w:i/>
                <w:sz w:val="22"/>
                <w:szCs w:val="22"/>
              </w:rPr>
              <w:t xml:space="preserve">AP-42, </w:t>
            </w:r>
            <w:r w:rsidRPr="004F02F9">
              <w:rPr>
                <w:rStyle w:val="Emphasis"/>
                <w:b/>
                <w:bCs/>
                <w:i w:val="0"/>
                <w:sz w:val="22"/>
                <w:szCs w:val="22"/>
              </w:rPr>
              <w:t>Compilation of Air Pollutant Emission Factors</w:t>
            </w:r>
            <w:r>
              <w:rPr>
                <w:i/>
                <w:sz w:val="22"/>
                <w:szCs w:val="22"/>
              </w:rPr>
              <w:t>, can</w:t>
            </w:r>
            <w:r w:rsidRPr="004F02F9">
              <w:rPr>
                <w:i/>
                <w:sz w:val="22"/>
                <w:szCs w:val="22"/>
              </w:rPr>
              <w:t xml:space="preserve"> be used to estimate PM</w:t>
            </w:r>
            <w:r w:rsidRPr="004F02F9">
              <w:rPr>
                <w:i/>
                <w:sz w:val="22"/>
                <w:szCs w:val="22"/>
                <w:vertAlign w:val="subscript"/>
              </w:rPr>
              <w:t>2.5</w:t>
            </w:r>
            <w:r w:rsidRPr="004F02F9">
              <w:rPr>
                <w:i/>
                <w:sz w:val="22"/>
                <w:szCs w:val="22"/>
              </w:rPr>
              <w:t xml:space="preserve"> emissions.</w:t>
            </w:r>
            <w:r w:rsidR="0091315E" w:rsidRPr="002052D3">
              <w:rPr>
                <w:i/>
                <w:sz w:val="22"/>
                <w:szCs w:val="22"/>
              </w:rPr>
              <w:t xml:space="preserve"> See the response in comment </w:t>
            </w:r>
            <w:fldSimple w:instr=" REF _Ref283933480 \r \h  \* MERGEFORMAT ">
              <w:r w:rsidR="0091315E" w:rsidRPr="002052D3">
                <w:rPr>
                  <w:i/>
                  <w:sz w:val="22"/>
                  <w:szCs w:val="22"/>
                </w:rPr>
                <w:t>48</w:t>
              </w:r>
            </w:fldSimple>
            <w:r w:rsidR="0091315E" w:rsidRPr="002052D3">
              <w:rPr>
                <w:i/>
                <w:sz w:val="22"/>
                <w:szCs w:val="22"/>
              </w:rPr>
              <w:t xml:space="preserve"> “Proposed Option 1”</w:t>
            </w:r>
            <w:r w:rsidR="0091315E">
              <w:rPr>
                <w:i/>
                <w:sz w:val="22"/>
                <w:szCs w:val="22"/>
              </w:rPr>
              <w:t xml:space="preserve"> for more information.</w:t>
            </w:r>
          </w:p>
          <w:p w:rsidR="00A62014" w:rsidRPr="00652855" w:rsidRDefault="00A62014" w:rsidP="0091315E">
            <w:pPr>
              <w:spacing w:after="120"/>
              <w:ind w:right="-180"/>
              <w:rPr>
                <w:i/>
                <w:sz w:val="22"/>
                <w:szCs w:val="22"/>
              </w:rPr>
            </w:pPr>
            <w:r w:rsidRPr="009F34CF">
              <w:rPr>
                <w:i/>
                <w:sz w:val="22"/>
                <w:szCs w:val="22"/>
              </w:rPr>
              <w:t>DEQ agrees that modeling PM</w:t>
            </w:r>
            <w:r w:rsidRPr="009F34CF">
              <w:rPr>
                <w:i/>
                <w:sz w:val="22"/>
                <w:szCs w:val="22"/>
                <w:vertAlign w:val="subscript"/>
              </w:rPr>
              <w:t>10</w:t>
            </w:r>
            <w:r w:rsidRPr="009F34CF">
              <w:rPr>
                <w:i/>
                <w:sz w:val="22"/>
                <w:szCs w:val="22"/>
              </w:rPr>
              <w:t xml:space="preserve"> as a surrogate for PM</w:t>
            </w:r>
            <w:r w:rsidRPr="009F34CF">
              <w:rPr>
                <w:i/>
                <w:sz w:val="22"/>
                <w:szCs w:val="22"/>
                <w:vertAlign w:val="subscript"/>
              </w:rPr>
              <w:t>2.5</w:t>
            </w:r>
            <w:r w:rsidRPr="009F34CF">
              <w:rPr>
                <w:i/>
                <w:sz w:val="22"/>
                <w:szCs w:val="22"/>
              </w:rPr>
              <w:t xml:space="preserve"> is a conservative approach in most cases</w:t>
            </w:r>
            <w:r w:rsidR="0091315E">
              <w:rPr>
                <w:i/>
                <w:sz w:val="22"/>
                <w:szCs w:val="22"/>
              </w:rPr>
              <w:t>.</w:t>
            </w:r>
            <w:r w:rsidRPr="009F34CF">
              <w:rPr>
                <w:i/>
                <w:sz w:val="22"/>
                <w:szCs w:val="22"/>
              </w:rPr>
              <w:t xml:space="preserve"> Since PM</w:t>
            </w:r>
            <w:r w:rsidRPr="009F34CF">
              <w:rPr>
                <w:i/>
                <w:sz w:val="22"/>
                <w:szCs w:val="22"/>
                <w:vertAlign w:val="subscript"/>
              </w:rPr>
              <w:t>2.5</w:t>
            </w:r>
            <w:r w:rsidRPr="009F34CF">
              <w:rPr>
                <w:i/>
                <w:sz w:val="22"/>
                <w:szCs w:val="22"/>
              </w:rPr>
              <w:t xml:space="preserve"> emissions must include </w:t>
            </w:r>
            <w:r>
              <w:rPr>
                <w:i/>
                <w:sz w:val="22"/>
                <w:szCs w:val="22"/>
              </w:rPr>
              <w:t>secondary formation</w:t>
            </w:r>
            <w:r w:rsidRPr="009F34CF">
              <w:rPr>
                <w:i/>
                <w:sz w:val="22"/>
                <w:szCs w:val="22"/>
              </w:rPr>
              <w:t>, PM</w:t>
            </w:r>
            <w:r w:rsidRPr="009F34CF">
              <w:rPr>
                <w:i/>
                <w:sz w:val="22"/>
                <w:szCs w:val="22"/>
                <w:vertAlign w:val="subscript"/>
              </w:rPr>
              <w:t>2.5</w:t>
            </w:r>
            <w:r w:rsidRPr="009F34CF">
              <w:rPr>
                <w:i/>
                <w:sz w:val="22"/>
                <w:szCs w:val="22"/>
              </w:rPr>
              <w:t xml:space="preserve"> modeled impacts could actually be greater than PM</w:t>
            </w:r>
            <w:r w:rsidRPr="009F34CF">
              <w:rPr>
                <w:i/>
                <w:sz w:val="22"/>
                <w:szCs w:val="22"/>
                <w:vertAlign w:val="subscript"/>
              </w:rPr>
              <w:t>10</w:t>
            </w:r>
            <w:r w:rsidRPr="009F34CF">
              <w:rPr>
                <w:i/>
                <w:sz w:val="22"/>
                <w:szCs w:val="22"/>
              </w:rPr>
              <w:t xml:space="preserve"> modeled impacts</w:t>
            </w:r>
            <w:r>
              <w:rPr>
                <w:i/>
                <w:sz w:val="22"/>
                <w:szCs w:val="22"/>
              </w:rPr>
              <w:t xml:space="preserve">. </w:t>
            </w:r>
            <w:r w:rsidR="0091315E">
              <w:rPr>
                <w:i/>
                <w:sz w:val="22"/>
                <w:szCs w:val="22"/>
              </w:rPr>
              <w:t xml:space="preserve">However, some sources may choose to use this conservative approach to avoid the cost of testing </w:t>
            </w:r>
            <w:r w:rsidR="0091315E" w:rsidRPr="009F34CF">
              <w:rPr>
                <w:i/>
                <w:sz w:val="22"/>
                <w:szCs w:val="22"/>
              </w:rPr>
              <w:t>to differentiate between PM</w:t>
            </w:r>
            <w:r w:rsidR="0091315E" w:rsidRPr="009F34CF">
              <w:rPr>
                <w:i/>
                <w:sz w:val="22"/>
                <w:szCs w:val="22"/>
                <w:vertAlign w:val="subscript"/>
              </w:rPr>
              <w:t>2.5</w:t>
            </w:r>
            <w:r w:rsidR="0091315E" w:rsidRPr="009F34CF">
              <w:rPr>
                <w:i/>
                <w:sz w:val="22"/>
                <w:szCs w:val="22"/>
              </w:rPr>
              <w:t xml:space="preserve"> and PM</w:t>
            </w:r>
            <w:r w:rsidR="0091315E" w:rsidRPr="009F34CF">
              <w:rPr>
                <w:i/>
                <w:sz w:val="22"/>
                <w:szCs w:val="22"/>
                <w:vertAlign w:val="subscript"/>
              </w:rPr>
              <w:t>10</w:t>
            </w:r>
            <w:r w:rsidR="0091315E">
              <w:rPr>
                <w:i/>
                <w:sz w:val="22"/>
                <w:szCs w:val="22"/>
              </w:rPr>
              <w:t xml:space="preserve">. </w:t>
            </w:r>
            <w:r w:rsidR="00A21C65">
              <w:rPr>
                <w:i/>
                <w:sz w:val="22"/>
                <w:szCs w:val="22"/>
              </w:rPr>
              <w:t>No change to the rule is proposed in response to this comment.</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A62014" w:rsidRPr="00943C75" w:rsidRDefault="00A62014" w:rsidP="00A62014">
            <w:pPr>
              <w:ind w:right="-115"/>
              <w:rPr>
                <w:bCs/>
                <w:sz w:val="22"/>
                <w:szCs w:val="22"/>
              </w:rPr>
            </w:pPr>
            <w:r w:rsidRPr="00943C75">
              <w:rPr>
                <w:sz w:val="22"/>
                <w:szCs w:val="22"/>
              </w:rPr>
              <w:t>Total PM matter instead of PM</w:t>
            </w:r>
            <w:r w:rsidRPr="00943C75">
              <w:rPr>
                <w:sz w:val="22"/>
                <w:szCs w:val="22"/>
                <w:vertAlign w:val="subscript"/>
              </w:rPr>
              <w:t>2.5</w:t>
            </w:r>
            <w:r w:rsidRPr="00943C75">
              <w:rPr>
                <w:sz w:val="22"/>
                <w:szCs w:val="22"/>
              </w:rPr>
              <w:t xml:space="preserve">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9C7EDB">
            <w:pPr>
              <w:spacing w:after="120"/>
              <w:ind w:right="-180"/>
              <w:rPr>
                <w:sz w:val="22"/>
                <w:szCs w:val="22"/>
              </w:rPr>
            </w:pPr>
            <w:r w:rsidRPr="002D0FE2">
              <w:rPr>
                <w:sz w:val="22"/>
                <w:szCs w:val="22"/>
              </w:rPr>
              <w:t xml:space="preserve">Instead of trying to enforce new lower standards for the most difficult, expensive and inaccurate testing of PM2.5, DEQ should be looking at standards for total </w:t>
            </w:r>
            <w:r w:rsidR="003C528F">
              <w:rPr>
                <w:sz w:val="22"/>
                <w:szCs w:val="22"/>
              </w:rPr>
              <w:t>particulate</w:t>
            </w:r>
            <w:r w:rsidRPr="002D0FE2">
              <w:rPr>
                <w:sz w:val="22"/>
                <w:szCs w:val="22"/>
              </w:rPr>
              <w:t xml:space="preserve"> matter based on testing with an allowance for use of existing tables of site developed ratios to establish particle size gradation</w:t>
            </w:r>
            <w:r>
              <w:rPr>
                <w:sz w:val="22"/>
                <w:szCs w:val="22"/>
              </w:rPr>
              <w:t xml:space="preserve">. </w:t>
            </w:r>
            <w:r w:rsidRPr="002D0FE2">
              <w:rPr>
                <w:sz w:val="22"/>
                <w:szCs w:val="22"/>
              </w:rPr>
              <w:t xml:space="preserve">They should also recognize that geography plays a large role in air pollution problems and efforts should </w:t>
            </w:r>
            <w:r>
              <w:rPr>
                <w:sz w:val="22"/>
                <w:szCs w:val="22"/>
              </w:rPr>
              <w:t>b</w:t>
            </w:r>
            <w:r w:rsidRPr="002D0FE2">
              <w:rPr>
                <w:sz w:val="22"/>
                <w:szCs w:val="22"/>
              </w:rPr>
              <w:t>e made to reduce pollution at those specific times when the air shed becomes stagnant</w:t>
            </w:r>
            <w:r>
              <w:rPr>
                <w:sz w:val="22"/>
                <w:szCs w:val="22"/>
              </w:rPr>
              <w:t xml:space="preserve">. </w:t>
            </w:r>
            <w:r w:rsidRPr="00532B91">
              <w:rPr>
                <w:sz w:val="22"/>
                <w:szCs w:val="22"/>
              </w:rPr>
              <w:t>(10)</w:t>
            </w:r>
          </w:p>
          <w:p w:rsidR="00A62014" w:rsidRDefault="00A62014" w:rsidP="009C7EDB">
            <w:pPr>
              <w:spacing w:after="120"/>
              <w:ind w:right="-180"/>
              <w:rPr>
                <w:i/>
                <w:sz w:val="22"/>
                <w:szCs w:val="22"/>
              </w:rPr>
            </w:pPr>
            <w:r>
              <w:rPr>
                <w:i/>
                <w:sz w:val="22"/>
                <w:szCs w:val="22"/>
              </w:rPr>
              <w:t>Response:</w:t>
            </w:r>
          </w:p>
          <w:p w:rsidR="00A62014" w:rsidRDefault="00A62014" w:rsidP="00563A7E">
            <w:pPr>
              <w:spacing w:after="120"/>
              <w:ind w:right="-180"/>
              <w:rPr>
                <w:i/>
                <w:sz w:val="22"/>
                <w:szCs w:val="22"/>
              </w:rPr>
            </w:pPr>
            <w:r w:rsidRPr="00EA5D8C">
              <w:rPr>
                <w:i/>
                <w:sz w:val="22"/>
                <w:szCs w:val="22"/>
              </w:rPr>
              <w:t>Since EPA adopted national ambient air quality standards for PM</w:t>
            </w:r>
            <w:r w:rsidRPr="00EA5D8C">
              <w:rPr>
                <w:i/>
                <w:sz w:val="22"/>
                <w:szCs w:val="22"/>
                <w:vertAlign w:val="subscript"/>
              </w:rPr>
              <w:t>2.5</w:t>
            </w:r>
            <w:r w:rsidRPr="00EA5D8C">
              <w:rPr>
                <w:i/>
                <w:sz w:val="22"/>
                <w:szCs w:val="22"/>
              </w:rPr>
              <w:t>, DEQ does not have a choice on whether to implement a permitting program for PM</w:t>
            </w:r>
            <w:r w:rsidRPr="00EA5D8C">
              <w:rPr>
                <w:i/>
                <w:sz w:val="22"/>
                <w:szCs w:val="22"/>
                <w:vertAlign w:val="subscript"/>
              </w:rPr>
              <w:t>2.5</w:t>
            </w:r>
            <w:r w:rsidRPr="00EA5D8C">
              <w:rPr>
                <w:i/>
                <w:sz w:val="22"/>
                <w:szCs w:val="22"/>
              </w:rPr>
              <w:t>. If DEQ does not adopt these rules, Oregon will lose federal approval to implement the program and could face sanctions</w:t>
            </w:r>
            <w:r w:rsidR="008D538C">
              <w:rPr>
                <w:i/>
                <w:sz w:val="22"/>
                <w:szCs w:val="22"/>
              </w:rPr>
              <w:t xml:space="preserve">. </w:t>
            </w:r>
          </w:p>
          <w:p w:rsidR="00A62014" w:rsidRPr="00EA5D8C" w:rsidRDefault="00A62014" w:rsidP="00563A7E">
            <w:pPr>
              <w:spacing w:after="120"/>
              <w:ind w:right="-180"/>
              <w:rPr>
                <w:i/>
                <w:sz w:val="22"/>
                <w:szCs w:val="22"/>
              </w:rPr>
            </w:pPr>
            <w:r w:rsidRPr="00EA5D8C">
              <w:rPr>
                <w:i/>
                <w:sz w:val="22"/>
                <w:szCs w:val="22"/>
              </w:rPr>
              <w:t>EPA has developed tables with particle size gradation for some but not all sources</w:t>
            </w:r>
            <w:r>
              <w:rPr>
                <w:i/>
                <w:sz w:val="22"/>
                <w:szCs w:val="22"/>
              </w:rPr>
              <w:t xml:space="preserve">. </w:t>
            </w:r>
            <w:r w:rsidRPr="00EA5D8C">
              <w:rPr>
                <w:i/>
                <w:sz w:val="22"/>
                <w:szCs w:val="22"/>
              </w:rPr>
              <w:t>Geography is taken into account in</w:t>
            </w:r>
            <w:r w:rsidR="006C2FE5">
              <w:rPr>
                <w:i/>
                <w:sz w:val="22"/>
                <w:szCs w:val="22"/>
              </w:rPr>
              <w:t xml:space="preserve"> developing air quality attainment plans for areas that violate NAAQS</w:t>
            </w:r>
            <w:r w:rsidRPr="00EA5D8C">
              <w:rPr>
                <w:i/>
                <w:sz w:val="22"/>
                <w:szCs w:val="22"/>
              </w:rPr>
              <w:t xml:space="preserve">. </w:t>
            </w:r>
          </w:p>
          <w:p w:rsidR="00A62014" w:rsidRPr="006E5C4F" w:rsidRDefault="00A62014" w:rsidP="006C2FE5">
            <w:pPr>
              <w:rPr>
                <w:i/>
                <w:sz w:val="22"/>
                <w:szCs w:val="22"/>
              </w:rPr>
            </w:pPr>
            <w:r w:rsidRPr="006E5C4F">
              <w:rPr>
                <w:i/>
                <w:sz w:val="22"/>
                <w:szCs w:val="22"/>
              </w:rPr>
              <w:t xml:space="preserve">DEQ calls periodic air pollution advisories during the winter due to stagnant air. </w:t>
            </w:r>
            <w:r w:rsidR="006C2FE5">
              <w:rPr>
                <w:i/>
                <w:sz w:val="22"/>
                <w:szCs w:val="22"/>
              </w:rPr>
              <w:t>During these times, p</w:t>
            </w:r>
            <w:r w:rsidRPr="006E5C4F">
              <w:rPr>
                <w:i/>
                <w:sz w:val="22"/>
                <w:szCs w:val="22"/>
              </w:rPr>
              <w:t>ollutants trapped near the surface can steadily increase in concentration toward unhealthful levels due to inadequate air mixing</w:t>
            </w:r>
            <w:r>
              <w:rPr>
                <w:i/>
                <w:sz w:val="22"/>
                <w:szCs w:val="22"/>
              </w:rPr>
              <w:t xml:space="preserve">. </w:t>
            </w:r>
            <w:r w:rsidRPr="006E5C4F">
              <w:rPr>
                <w:i/>
                <w:sz w:val="22"/>
                <w:szCs w:val="22"/>
              </w:rPr>
              <w:t>These pollutants are mainly generated from wood smoke</w:t>
            </w:r>
            <w:r w:rsidR="006C2FE5">
              <w:rPr>
                <w:i/>
                <w:sz w:val="22"/>
                <w:szCs w:val="22"/>
              </w:rPr>
              <w:t xml:space="preserve"> from residential heating, open burning, industry and other sources</w:t>
            </w:r>
            <w:r>
              <w:rPr>
                <w:i/>
                <w:sz w:val="22"/>
                <w:szCs w:val="22"/>
              </w:rPr>
              <w:t xml:space="preserve">. </w:t>
            </w:r>
            <w:r w:rsidRPr="006E5C4F">
              <w:rPr>
                <w:i/>
                <w:sz w:val="22"/>
                <w:szCs w:val="22"/>
              </w:rPr>
              <w:t xml:space="preserve">People in affected counties are asked to curtail or limit open burning and the use of uncertified woodstoves. DEQ urges people who have alternative heating options not to burn in woodstoves or fireplaces. People </w:t>
            </w:r>
            <w:r>
              <w:rPr>
                <w:i/>
                <w:sz w:val="22"/>
                <w:szCs w:val="22"/>
              </w:rPr>
              <w:t xml:space="preserve">are also asked to </w:t>
            </w:r>
            <w:r w:rsidRPr="006E5C4F">
              <w:rPr>
                <w:i/>
                <w:sz w:val="22"/>
                <w:szCs w:val="22"/>
              </w:rPr>
              <w:t>limit driving and vehicle idling</w:t>
            </w:r>
            <w:r w:rsidR="006C2FE5">
              <w:rPr>
                <w:i/>
                <w:sz w:val="22"/>
                <w:szCs w:val="22"/>
              </w:rPr>
              <w:t xml:space="preserve"> and businesses are asked to allow employees to telecommute</w:t>
            </w:r>
            <w:r>
              <w:rPr>
                <w:i/>
                <w:sz w:val="22"/>
                <w:szCs w:val="22"/>
              </w:rPr>
              <w:t xml:space="preserve">. </w:t>
            </w:r>
            <w:r w:rsidR="006C2FE5">
              <w:rPr>
                <w:i/>
                <w:sz w:val="22"/>
                <w:szCs w:val="22"/>
              </w:rPr>
              <w:t>During an air quality emergency, industries could also be required to curtail operations</w:t>
            </w:r>
            <w:r w:rsidR="008D538C">
              <w:rPr>
                <w:i/>
                <w:sz w:val="22"/>
                <w:szCs w:val="22"/>
              </w:rPr>
              <w:t xml:space="preserve">. </w:t>
            </w:r>
            <w:r w:rsidR="00A21C65">
              <w:rPr>
                <w:i/>
                <w:sz w:val="22"/>
                <w:szCs w:val="22"/>
              </w:rPr>
              <w:t>No change to the rule is proposed in response to this comment.</w:t>
            </w:r>
            <w:r>
              <w:rPr>
                <w:i/>
                <w:sz w:val="22"/>
                <w:szCs w:val="22"/>
              </w:rPr>
              <w:t xml:space="preserve"> </w:t>
            </w:r>
          </w:p>
        </w:tc>
      </w:tr>
      <w:tr w:rsidR="00A62014" w:rsidRPr="002E5C29"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PM</w:t>
            </w:r>
            <w:r w:rsidRPr="00943C75">
              <w:rPr>
                <w:bCs/>
                <w:sz w:val="22"/>
                <w:szCs w:val="22"/>
                <w:vertAlign w:val="subscript"/>
              </w:rPr>
              <w:t>2.5</w:t>
            </w:r>
            <w:r w:rsidRPr="00943C75">
              <w:rPr>
                <w:bCs/>
                <w:sz w:val="22"/>
                <w:szCs w:val="22"/>
              </w:rPr>
              <w:t xml:space="preserve"> source test method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F943FD" w:rsidRDefault="00A62014" w:rsidP="00167847">
            <w:pPr>
              <w:pStyle w:val="Style5"/>
              <w:widowControl/>
              <w:spacing w:after="120" w:line="240" w:lineRule="auto"/>
              <w:rPr>
                <w:rFonts w:ascii="Times New Roman" w:hAnsi="Times New Roman" w:cs="Times New Roman"/>
                <w:color w:val="000000"/>
                <w:sz w:val="22"/>
                <w:szCs w:val="22"/>
              </w:rPr>
            </w:pPr>
            <w:r>
              <w:rPr>
                <w:rStyle w:val="FontStyle15"/>
              </w:rPr>
              <w:t xml:space="preserve">Another </w:t>
            </w:r>
            <w:r w:rsidRPr="00243C88">
              <w:rPr>
                <w:rStyle w:val="FontStyle15"/>
              </w:rPr>
              <w:t xml:space="preserve">issue that I am quite concerned about is assuming that </w:t>
            </w:r>
            <w:r w:rsidRPr="00243C88">
              <w:rPr>
                <w:rStyle w:val="FontStyle19"/>
                <w:rFonts w:ascii="Times New Roman" w:hAnsi="Times New Roman" w:cs="Times New Roman"/>
                <w:b w:val="0"/>
                <w:sz w:val="22"/>
                <w:szCs w:val="22"/>
              </w:rPr>
              <w:t>PM</w:t>
            </w:r>
            <w:r w:rsidRPr="00243C88">
              <w:rPr>
                <w:rStyle w:val="FontStyle19"/>
                <w:rFonts w:ascii="Times New Roman" w:hAnsi="Times New Roman" w:cs="Times New Roman"/>
                <w:b w:val="0"/>
                <w:sz w:val="22"/>
                <w:szCs w:val="22"/>
                <w:vertAlign w:val="subscript"/>
              </w:rPr>
              <w:t>10</w:t>
            </w:r>
            <w:r w:rsidRPr="00243C88">
              <w:rPr>
                <w:rStyle w:val="FontStyle19"/>
                <w:rFonts w:ascii="Times New Roman" w:hAnsi="Times New Roman" w:cs="Times New Roman"/>
                <w:sz w:val="22"/>
                <w:szCs w:val="22"/>
              </w:rPr>
              <w:t xml:space="preserve"> </w:t>
            </w:r>
            <w:r w:rsidRPr="00243C88">
              <w:rPr>
                <w:rStyle w:val="FontStyle15"/>
              </w:rPr>
              <w:t xml:space="preserve">emissions are </w:t>
            </w:r>
            <w:r w:rsidRPr="00243C88">
              <w:rPr>
                <w:rStyle w:val="FontStyle19"/>
                <w:rFonts w:ascii="Times New Roman" w:hAnsi="Times New Roman" w:cs="Times New Roman"/>
                <w:b w:val="0"/>
                <w:sz w:val="22"/>
                <w:szCs w:val="22"/>
              </w:rPr>
              <w:t>PM</w:t>
            </w:r>
            <w:r w:rsidRPr="00243C88">
              <w:rPr>
                <w:rStyle w:val="FontStyle19"/>
                <w:rFonts w:ascii="Times New Roman" w:hAnsi="Times New Roman" w:cs="Times New Roman"/>
                <w:b w:val="0"/>
                <w:sz w:val="22"/>
                <w:szCs w:val="22"/>
                <w:vertAlign w:val="subscript"/>
              </w:rPr>
              <w:t>2.5</w:t>
            </w:r>
            <w:r w:rsidRPr="00243C88">
              <w:rPr>
                <w:rStyle w:val="FontStyle18"/>
                <w:rFonts w:ascii="Times New Roman" w:hAnsi="Times New Roman" w:cs="Times New Roman"/>
              </w:rPr>
              <w:t xml:space="preserve"> </w:t>
            </w:r>
            <w:r>
              <w:rPr>
                <w:rStyle w:val="FontStyle15"/>
              </w:rPr>
              <w:t>emissions and vice versa. With respect to the issue of</w:t>
            </w:r>
            <w:r w:rsidRPr="00243C88">
              <w:rPr>
                <w:rStyle w:val="FontStyle19"/>
                <w:rFonts w:ascii="Times New Roman" w:hAnsi="Times New Roman" w:cs="Times New Roman"/>
                <w:b w:val="0"/>
                <w:sz w:val="22"/>
                <w:szCs w:val="22"/>
              </w:rPr>
              <w:t xml:space="preserve"> PM</w:t>
            </w:r>
            <w:r w:rsidRPr="00243C88">
              <w:rPr>
                <w:rStyle w:val="FontStyle19"/>
                <w:rFonts w:ascii="Times New Roman" w:hAnsi="Times New Roman" w:cs="Times New Roman"/>
                <w:b w:val="0"/>
                <w:sz w:val="22"/>
                <w:szCs w:val="22"/>
                <w:vertAlign w:val="subscript"/>
              </w:rPr>
              <w:t>2.5</w:t>
            </w:r>
            <w:r w:rsidRPr="00B62F9B">
              <w:rPr>
                <w:rStyle w:val="FontStyle18"/>
                <w:rFonts w:ascii="Times New Roman" w:hAnsi="Times New Roman" w:cs="Times New Roman"/>
                <w:b w:val="0"/>
              </w:rPr>
              <w:t>,</w:t>
            </w:r>
            <w:r w:rsidRPr="00E65B33">
              <w:rPr>
                <w:rStyle w:val="FontStyle18"/>
                <w:rFonts w:ascii="Times New Roman" w:hAnsi="Times New Roman" w:cs="Times New Roman"/>
              </w:rPr>
              <w:t xml:space="preserve"> </w:t>
            </w:r>
            <w:r w:rsidRPr="00E65B33">
              <w:rPr>
                <w:rStyle w:val="FontStyle15"/>
              </w:rPr>
              <w:t xml:space="preserve">it appears that permanent rule making is under way and definite without allowing source test methods to develop so that industry sources can quantify existing </w:t>
            </w:r>
            <w:r w:rsidRPr="00E65B33">
              <w:rPr>
                <w:rStyle w:val="FontStyle19"/>
                <w:rFonts w:ascii="Times New Roman" w:hAnsi="Times New Roman" w:cs="Times New Roman"/>
                <w:b w:val="0"/>
                <w:sz w:val="22"/>
                <w:szCs w:val="22"/>
              </w:rPr>
              <w:t>PM</w:t>
            </w:r>
            <w:r w:rsidRPr="00E65B33">
              <w:rPr>
                <w:rStyle w:val="FontStyle19"/>
                <w:rFonts w:ascii="Times New Roman" w:hAnsi="Times New Roman" w:cs="Times New Roman"/>
                <w:b w:val="0"/>
                <w:sz w:val="22"/>
                <w:szCs w:val="22"/>
                <w:vertAlign w:val="subscript"/>
              </w:rPr>
              <w:t>2.5</w:t>
            </w:r>
            <w:r w:rsidRPr="00E65B33">
              <w:rPr>
                <w:rStyle w:val="FontStyle18"/>
                <w:rFonts w:ascii="Times New Roman" w:hAnsi="Times New Roman" w:cs="Times New Roman"/>
              </w:rPr>
              <w:t xml:space="preserve"> </w:t>
            </w:r>
            <w:r w:rsidRPr="00E65B33">
              <w:rPr>
                <w:rStyle w:val="FontStyle15"/>
              </w:rPr>
              <w:t>emissions from sources at their respective facilities</w:t>
            </w:r>
            <w:r>
              <w:rPr>
                <w:rStyle w:val="FontStyle15"/>
              </w:rPr>
              <w:t xml:space="preserve">. </w:t>
            </w:r>
            <w:r w:rsidRPr="00E65B33">
              <w:rPr>
                <w:rStyle w:val="FontStyle15"/>
              </w:rPr>
              <w:t xml:space="preserve">This is </w:t>
            </w:r>
            <w:r w:rsidR="006C2FE5">
              <w:rPr>
                <w:rStyle w:val="FontStyle15"/>
              </w:rPr>
              <w:t xml:space="preserve">a </w:t>
            </w:r>
            <w:r w:rsidRPr="00E65B33">
              <w:rPr>
                <w:rStyle w:val="FontStyle15"/>
              </w:rPr>
              <w:t xml:space="preserve">potentially catastrophic mistake, and to date, no acceptable test method exists that allows a wood products source that is saturated to test and measure </w:t>
            </w:r>
            <w:r w:rsidRPr="00E65B33">
              <w:rPr>
                <w:rStyle w:val="FontStyle19"/>
                <w:rFonts w:ascii="Times New Roman" w:hAnsi="Times New Roman" w:cs="Times New Roman"/>
                <w:b w:val="0"/>
                <w:sz w:val="22"/>
                <w:szCs w:val="22"/>
              </w:rPr>
              <w:t>PM</w:t>
            </w:r>
            <w:r w:rsidRPr="00E65B33">
              <w:rPr>
                <w:rStyle w:val="FontStyle19"/>
                <w:rFonts w:ascii="Times New Roman" w:hAnsi="Times New Roman" w:cs="Times New Roman"/>
                <w:b w:val="0"/>
                <w:sz w:val="22"/>
                <w:szCs w:val="22"/>
                <w:vertAlign w:val="subscript"/>
              </w:rPr>
              <w:t>2.5</w:t>
            </w:r>
            <w:r w:rsidRPr="00E65B33">
              <w:rPr>
                <w:rStyle w:val="FontStyle18"/>
                <w:rFonts w:ascii="Times New Roman" w:hAnsi="Times New Roman" w:cs="Times New Roman"/>
              </w:rPr>
              <w:t xml:space="preserve"> </w:t>
            </w:r>
            <w:r w:rsidRPr="00E65B33">
              <w:rPr>
                <w:rStyle w:val="FontStyle15"/>
              </w:rPr>
              <w:t>emissions from a wet scrubber or wet-ESP control device that is currently controlling emissions from their manufacturing facility</w:t>
            </w:r>
            <w:r w:rsidRPr="0070563A">
              <w:rPr>
                <w:rStyle w:val="FontStyle15"/>
              </w:rPr>
              <w:t xml:space="preserve">. </w:t>
            </w:r>
            <w:r>
              <w:rPr>
                <w:rStyle w:val="FontStyle15"/>
              </w:rPr>
              <w:t>H</w:t>
            </w:r>
            <w:r w:rsidRPr="00243C88">
              <w:rPr>
                <w:rStyle w:val="FontStyle15"/>
              </w:rPr>
              <w:t xml:space="preserve">ow can we regulate effectively without effective means and technology to measure </w:t>
            </w:r>
            <w:r w:rsidRPr="00243C88">
              <w:rPr>
                <w:rStyle w:val="FontStyle19"/>
                <w:rFonts w:ascii="Times New Roman" w:hAnsi="Times New Roman" w:cs="Times New Roman"/>
                <w:b w:val="0"/>
                <w:sz w:val="22"/>
                <w:szCs w:val="22"/>
              </w:rPr>
              <w:t>PM</w:t>
            </w:r>
            <w:r w:rsidRPr="00243C88">
              <w:rPr>
                <w:rStyle w:val="FontStyle19"/>
                <w:rFonts w:ascii="Times New Roman" w:hAnsi="Times New Roman" w:cs="Times New Roman"/>
                <w:b w:val="0"/>
                <w:sz w:val="22"/>
                <w:szCs w:val="22"/>
                <w:vertAlign w:val="subscript"/>
              </w:rPr>
              <w:t>2.5</w:t>
            </w:r>
            <w:r w:rsidRPr="00243C88">
              <w:rPr>
                <w:rStyle w:val="FontStyle18"/>
                <w:rFonts w:ascii="Times New Roman" w:hAnsi="Times New Roman" w:cs="Times New Roman"/>
              </w:rPr>
              <w:t xml:space="preserve"> </w:t>
            </w:r>
            <w:r w:rsidRPr="00243C88">
              <w:rPr>
                <w:rStyle w:val="FontStyle15"/>
              </w:rPr>
              <w:t xml:space="preserve">emissions from wood products sources?  </w:t>
            </w:r>
            <w:r w:rsidRPr="00243C88">
              <w:rPr>
                <w:rFonts w:ascii="Times New Roman" w:hAnsi="Times New Roman" w:cs="Times New Roman"/>
                <w:sz w:val="22"/>
                <w:szCs w:val="22"/>
              </w:rPr>
              <w:t>(8)</w:t>
            </w:r>
          </w:p>
          <w:p w:rsidR="00A62014" w:rsidRDefault="00A62014" w:rsidP="00167847">
            <w:pPr>
              <w:pStyle w:val="Style5"/>
              <w:widowControl/>
              <w:spacing w:after="120" w:line="240" w:lineRule="auto"/>
              <w:rPr>
                <w:rFonts w:ascii="Times New Roman" w:hAnsi="Times New Roman" w:cs="Times New Roman"/>
                <w:i/>
                <w:color w:val="000000"/>
                <w:sz w:val="22"/>
                <w:szCs w:val="22"/>
              </w:rPr>
            </w:pPr>
            <w:r w:rsidRPr="00243C88">
              <w:rPr>
                <w:rFonts w:ascii="Times New Roman" w:hAnsi="Times New Roman" w:cs="Times New Roman"/>
                <w:i/>
                <w:color w:val="000000"/>
                <w:sz w:val="22"/>
                <w:szCs w:val="22"/>
              </w:rPr>
              <w:lastRenderedPageBreak/>
              <w:t>Response:</w:t>
            </w:r>
          </w:p>
          <w:p w:rsidR="00A62014" w:rsidRPr="00827C56" w:rsidRDefault="00A62014" w:rsidP="00167847">
            <w:pPr>
              <w:pStyle w:val="Style5"/>
              <w:widowControl/>
              <w:spacing w:after="120" w:line="240" w:lineRule="auto"/>
              <w:rPr>
                <w:rFonts w:ascii="Times New Roman" w:hAnsi="Times New Roman" w:cs="Times New Roman"/>
                <w:i/>
                <w:color w:val="000000"/>
                <w:sz w:val="22"/>
                <w:szCs w:val="22"/>
              </w:rPr>
            </w:pPr>
            <w:r w:rsidRPr="002052D3">
              <w:rPr>
                <w:rFonts w:ascii="Times New Roman" w:hAnsi="Times New Roman" w:cs="Times New Roman"/>
                <w:i/>
                <w:color w:val="000000"/>
                <w:sz w:val="22"/>
                <w:szCs w:val="22"/>
              </w:rPr>
              <w:t>Sources</w:t>
            </w:r>
            <w:r>
              <w:rPr>
                <w:rFonts w:ascii="Times New Roman" w:hAnsi="Times New Roman" w:cs="Times New Roman"/>
                <w:i/>
                <w:color w:val="000000"/>
                <w:sz w:val="22"/>
                <w:szCs w:val="22"/>
              </w:rPr>
              <w:t xml:space="preserve"> will be required to estimate PM</w:t>
            </w:r>
            <w:r>
              <w:rPr>
                <w:rFonts w:ascii="Times New Roman" w:hAnsi="Times New Roman" w:cs="Times New Roman"/>
                <w:i/>
                <w:color w:val="000000"/>
                <w:sz w:val="22"/>
                <w:szCs w:val="22"/>
                <w:vertAlign w:val="subscript"/>
              </w:rPr>
              <w:t>2.5</w:t>
            </w:r>
            <w:r>
              <w:rPr>
                <w:rFonts w:ascii="Times New Roman" w:hAnsi="Times New Roman" w:cs="Times New Roman"/>
                <w:i/>
                <w:color w:val="000000"/>
                <w:sz w:val="22"/>
                <w:szCs w:val="22"/>
              </w:rPr>
              <w:t xml:space="preserve"> emissions in their permit renewal or modification applications. They will be required to use the best information available to make this estimate. For natural gas combustion, 100% of the PM</w:t>
            </w:r>
            <w:r>
              <w:rPr>
                <w:rFonts w:ascii="Times New Roman" w:hAnsi="Times New Roman" w:cs="Times New Roman"/>
                <w:i/>
                <w:color w:val="000000"/>
                <w:sz w:val="22"/>
                <w:szCs w:val="22"/>
                <w:vertAlign w:val="subscript"/>
              </w:rPr>
              <w:t>10</w:t>
            </w:r>
            <w:r>
              <w:rPr>
                <w:rFonts w:ascii="Times New Roman" w:hAnsi="Times New Roman" w:cs="Times New Roman"/>
                <w:i/>
                <w:color w:val="000000"/>
                <w:sz w:val="22"/>
                <w:szCs w:val="22"/>
              </w:rPr>
              <w:t xml:space="preserve"> will be PM</w:t>
            </w:r>
            <w:r>
              <w:rPr>
                <w:rFonts w:ascii="Times New Roman" w:hAnsi="Times New Roman" w:cs="Times New Roman"/>
                <w:i/>
                <w:color w:val="000000"/>
                <w:sz w:val="22"/>
                <w:szCs w:val="22"/>
                <w:vertAlign w:val="subscript"/>
              </w:rPr>
              <w:t>2.5</w:t>
            </w:r>
            <w:r>
              <w:rPr>
                <w:rFonts w:ascii="Times New Roman" w:hAnsi="Times New Roman" w:cs="Times New Roman"/>
                <w:i/>
                <w:color w:val="000000"/>
                <w:sz w:val="22"/>
                <w:szCs w:val="22"/>
              </w:rPr>
              <w:t>. In other cases</w:t>
            </w:r>
            <w:r w:rsidR="00DD34CC">
              <w:rPr>
                <w:rFonts w:ascii="Times New Roman" w:hAnsi="Times New Roman" w:cs="Times New Roman"/>
                <w:i/>
                <w:color w:val="000000"/>
                <w:sz w:val="22"/>
                <w:szCs w:val="22"/>
              </w:rPr>
              <w:t>,</w:t>
            </w:r>
            <w:r>
              <w:rPr>
                <w:rFonts w:ascii="Times New Roman" w:hAnsi="Times New Roman" w:cs="Times New Roman"/>
                <w:i/>
                <w:color w:val="000000"/>
                <w:sz w:val="22"/>
                <w:szCs w:val="22"/>
              </w:rPr>
              <w:t xml:space="preserve"> a fraction of the PM</w:t>
            </w:r>
            <w:r>
              <w:rPr>
                <w:rFonts w:ascii="Times New Roman" w:hAnsi="Times New Roman" w:cs="Times New Roman"/>
                <w:i/>
                <w:color w:val="000000"/>
                <w:sz w:val="22"/>
                <w:szCs w:val="22"/>
                <w:vertAlign w:val="subscript"/>
              </w:rPr>
              <w:t>10</w:t>
            </w:r>
            <w:r>
              <w:rPr>
                <w:rFonts w:ascii="Times New Roman" w:hAnsi="Times New Roman" w:cs="Times New Roman"/>
                <w:i/>
                <w:color w:val="000000"/>
                <w:sz w:val="22"/>
                <w:szCs w:val="22"/>
              </w:rPr>
              <w:t xml:space="preserve"> will be PM</w:t>
            </w:r>
            <w:r>
              <w:rPr>
                <w:rFonts w:ascii="Times New Roman" w:hAnsi="Times New Roman" w:cs="Times New Roman"/>
                <w:i/>
                <w:color w:val="000000"/>
                <w:sz w:val="22"/>
                <w:szCs w:val="22"/>
                <w:vertAlign w:val="subscript"/>
              </w:rPr>
              <w:t>2.5</w:t>
            </w:r>
            <w:r>
              <w:rPr>
                <w:rFonts w:ascii="Times New Roman" w:hAnsi="Times New Roman" w:cs="Times New Roman"/>
                <w:i/>
                <w:color w:val="000000"/>
                <w:sz w:val="22"/>
                <w:szCs w:val="22"/>
              </w:rPr>
              <w:t xml:space="preserve"> and it will be the responsibility of the source to determine this fraction, either from source test data or literature data of similar sources. </w:t>
            </w:r>
            <w:r w:rsidR="006C2FE5" w:rsidRPr="002052D3">
              <w:rPr>
                <w:rFonts w:ascii="Times New Roman" w:hAnsi="Times New Roman" w:cs="Times New Roman"/>
                <w:i/>
                <w:sz w:val="22"/>
                <w:szCs w:val="22"/>
              </w:rPr>
              <w:t xml:space="preserve">See the response in comment </w:t>
            </w:r>
            <w:fldSimple w:instr=" REF _Ref283933480 \r \h  \* MERGEFORMAT ">
              <w:r w:rsidR="006C2FE5" w:rsidRPr="002052D3">
                <w:rPr>
                  <w:rFonts w:ascii="Times New Roman" w:hAnsi="Times New Roman" w:cs="Times New Roman"/>
                  <w:i/>
                  <w:sz w:val="22"/>
                  <w:szCs w:val="22"/>
                </w:rPr>
                <w:t>48</w:t>
              </w:r>
            </w:fldSimple>
            <w:r w:rsidR="006C2FE5" w:rsidRPr="002052D3">
              <w:rPr>
                <w:rFonts w:ascii="Times New Roman" w:hAnsi="Times New Roman" w:cs="Times New Roman"/>
                <w:i/>
                <w:sz w:val="22"/>
                <w:szCs w:val="22"/>
              </w:rPr>
              <w:t xml:space="preserve"> “Proposed Option 1”</w:t>
            </w:r>
            <w:r w:rsidR="006C2FE5">
              <w:rPr>
                <w:rFonts w:ascii="Times New Roman" w:hAnsi="Times New Roman" w:cs="Times New Roman"/>
                <w:i/>
                <w:sz w:val="22"/>
                <w:szCs w:val="22"/>
              </w:rPr>
              <w:t xml:space="preserve"> for additional information.</w:t>
            </w:r>
          </w:p>
          <w:p w:rsidR="00C454F1" w:rsidRDefault="00A62014" w:rsidP="00C454F1">
            <w:pPr>
              <w:autoSpaceDE w:val="0"/>
              <w:autoSpaceDN w:val="0"/>
              <w:adjustRightInd w:val="0"/>
              <w:spacing w:after="120"/>
              <w:rPr>
                <w:i/>
                <w:sz w:val="22"/>
                <w:szCs w:val="22"/>
              </w:rPr>
            </w:pPr>
            <w:r w:rsidRPr="00E65B33">
              <w:rPr>
                <w:i/>
                <w:sz w:val="22"/>
                <w:szCs w:val="22"/>
              </w:rPr>
              <w:t>On December 1, 2010, EPA revised two test methods for measuring particulate matter</w:t>
            </w:r>
            <w:r w:rsidR="00074FDF">
              <w:rPr>
                <w:i/>
                <w:sz w:val="22"/>
                <w:szCs w:val="22"/>
              </w:rPr>
              <w:t xml:space="preserve"> </w:t>
            </w:r>
            <w:r w:rsidRPr="00E65B33">
              <w:rPr>
                <w:i/>
                <w:sz w:val="22"/>
                <w:szCs w:val="22"/>
              </w:rPr>
              <w:t>emissions from stationary sources</w:t>
            </w:r>
            <w:r>
              <w:rPr>
                <w:i/>
                <w:sz w:val="22"/>
                <w:szCs w:val="22"/>
              </w:rPr>
              <w:t xml:space="preserve">. </w:t>
            </w:r>
            <w:r w:rsidRPr="00E65B33">
              <w:rPr>
                <w:i/>
                <w:sz w:val="22"/>
                <w:szCs w:val="22"/>
              </w:rPr>
              <w:t xml:space="preserve">One of the revised methods, called Method 201A, will provide the capability to measure the mass of filterable </w:t>
            </w:r>
            <w:r>
              <w:rPr>
                <w:i/>
                <w:sz w:val="22"/>
                <w:szCs w:val="22"/>
              </w:rPr>
              <w:t>PM</w:t>
            </w:r>
            <w:r>
              <w:rPr>
                <w:i/>
                <w:sz w:val="22"/>
                <w:szCs w:val="22"/>
                <w:vertAlign w:val="subscript"/>
              </w:rPr>
              <w:t>2.5</w:t>
            </w:r>
            <w:r w:rsidRPr="00E65B33">
              <w:rPr>
                <w:i/>
                <w:sz w:val="22"/>
                <w:szCs w:val="22"/>
              </w:rPr>
              <w:t>. The second revised method, called Method 202, will make a more accurate measurement of condensable particulate matter. Condensable particulate matter</w:t>
            </w:r>
            <w:r>
              <w:rPr>
                <w:i/>
                <w:sz w:val="22"/>
                <w:szCs w:val="22"/>
              </w:rPr>
              <w:t xml:space="preserve"> </w:t>
            </w:r>
            <w:r w:rsidRPr="00E65B33">
              <w:rPr>
                <w:i/>
                <w:sz w:val="22"/>
                <w:szCs w:val="22"/>
              </w:rPr>
              <w:t>forms from condensing gases or vapors. It is a common component of both PM</w:t>
            </w:r>
            <w:r w:rsidRPr="00444513">
              <w:rPr>
                <w:i/>
                <w:sz w:val="22"/>
                <w:szCs w:val="22"/>
                <w:vertAlign w:val="subscript"/>
              </w:rPr>
              <w:t>10</w:t>
            </w:r>
            <w:r>
              <w:rPr>
                <w:i/>
                <w:sz w:val="22"/>
                <w:szCs w:val="22"/>
              </w:rPr>
              <w:t xml:space="preserve"> </w:t>
            </w:r>
            <w:r w:rsidRPr="00E65B33">
              <w:rPr>
                <w:i/>
                <w:sz w:val="22"/>
                <w:szCs w:val="22"/>
              </w:rPr>
              <w:t xml:space="preserve">(particulate matter equal to or less than 10 micrometers in diameter) and </w:t>
            </w:r>
            <w:r>
              <w:rPr>
                <w:i/>
                <w:sz w:val="22"/>
                <w:szCs w:val="22"/>
              </w:rPr>
              <w:t>PM</w:t>
            </w:r>
            <w:r>
              <w:rPr>
                <w:i/>
                <w:sz w:val="22"/>
                <w:szCs w:val="22"/>
                <w:vertAlign w:val="subscript"/>
              </w:rPr>
              <w:t>2.5</w:t>
            </w:r>
            <w:r>
              <w:rPr>
                <w:i/>
                <w:sz w:val="22"/>
                <w:szCs w:val="22"/>
              </w:rPr>
              <w:t xml:space="preserve">. </w:t>
            </w:r>
            <w:r w:rsidR="00C454F1" w:rsidRPr="00DB4981">
              <w:rPr>
                <w:i/>
                <w:sz w:val="22"/>
                <w:szCs w:val="22"/>
              </w:rPr>
              <w:t>The revised EPA methods have replaced Other Test Method</w:t>
            </w:r>
            <w:r w:rsidR="00074FDF">
              <w:rPr>
                <w:i/>
                <w:sz w:val="22"/>
                <w:szCs w:val="22"/>
              </w:rPr>
              <w:t>s</w:t>
            </w:r>
            <w:r w:rsidR="00C454F1" w:rsidRPr="00DB4981">
              <w:rPr>
                <w:i/>
                <w:sz w:val="22"/>
                <w:szCs w:val="22"/>
              </w:rPr>
              <w:t xml:space="preserve"> 27 and 28 and will be added to the definitions of PM</w:t>
            </w:r>
            <w:r w:rsidR="00C454F1" w:rsidRPr="00DB4981">
              <w:rPr>
                <w:i/>
                <w:sz w:val="22"/>
                <w:szCs w:val="22"/>
                <w:vertAlign w:val="subscript"/>
              </w:rPr>
              <w:t>10</w:t>
            </w:r>
            <w:r w:rsidR="00C454F1" w:rsidRPr="00DB4981">
              <w:rPr>
                <w:i/>
                <w:sz w:val="22"/>
                <w:szCs w:val="22"/>
              </w:rPr>
              <w:t xml:space="preserve"> and PM</w:t>
            </w:r>
            <w:r w:rsidR="00C454F1" w:rsidRPr="00DB4981">
              <w:rPr>
                <w:i/>
                <w:sz w:val="22"/>
                <w:szCs w:val="22"/>
                <w:vertAlign w:val="subscript"/>
              </w:rPr>
              <w:t>2.5</w:t>
            </w:r>
            <w:r w:rsidR="00C454F1" w:rsidRPr="00DB4981">
              <w:rPr>
                <w:i/>
                <w:sz w:val="22"/>
                <w:szCs w:val="22"/>
              </w:rPr>
              <w:t>.</w:t>
            </w:r>
          </w:p>
          <w:p w:rsidR="00A62014" w:rsidRPr="004A0EA4" w:rsidRDefault="00A62014" w:rsidP="006C2FE5">
            <w:pPr>
              <w:autoSpaceDE w:val="0"/>
              <w:autoSpaceDN w:val="0"/>
              <w:adjustRightInd w:val="0"/>
              <w:spacing w:after="120"/>
              <w:rPr>
                <w:i/>
                <w:sz w:val="22"/>
                <w:szCs w:val="22"/>
              </w:rPr>
            </w:pPr>
            <w:r w:rsidRPr="000C7DB1">
              <w:rPr>
                <w:i/>
                <w:sz w:val="22"/>
                <w:szCs w:val="22"/>
              </w:rPr>
              <w:t xml:space="preserve">DEQ recognizes that </w:t>
            </w:r>
            <w:r w:rsidR="00C454F1">
              <w:rPr>
                <w:i/>
                <w:sz w:val="22"/>
                <w:szCs w:val="22"/>
              </w:rPr>
              <w:t>EPA Method 201A cannot be used in a saturated gas stream</w:t>
            </w:r>
            <w:r w:rsidR="008D538C">
              <w:rPr>
                <w:i/>
                <w:sz w:val="22"/>
                <w:szCs w:val="22"/>
              </w:rPr>
              <w:t xml:space="preserve">. </w:t>
            </w:r>
            <w:r w:rsidR="00C454F1" w:rsidRPr="000C7DB1">
              <w:rPr>
                <w:i/>
                <w:sz w:val="22"/>
                <w:szCs w:val="22"/>
              </w:rPr>
              <w:t xml:space="preserve">DEQ will continue to work with EPA and other interested parties </w:t>
            </w:r>
            <w:r w:rsidR="00C454F1">
              <w:rPr>
                <w:i/>
                <w:sz w:val="22"/>
                <w:szCs w:val="22"/>
              </w:rPr>
              <w:t>on finding a better method to</w:t>
            </w:r>
            <w:r w:rsidR="006C2FE5">
              <w:rPr>
                <w:i/>
                <w:sz w:val="22"/>
                <w:szCs w:val="22"/>
              </w:rPr>
              <w:t xml:space="preserve"> test this type of source</w:t>
            </w:r>
            <w:r w:rsidR="00C454F1">
              <w:rPr>
                <w:i/>
                <w:sz w:val="22"/>
                <w:szCs w:val="22"/>
              </w:rPr>
              <w:t>.</w:t>
            </w:r>
          </w:p>
        </w:tc>
      </w:tr>
      <w:tr w:rsidR="00A62014"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5657F" w:rsidRPr="001D5E25" w:rsidRDefault="00A5657F" w:rsidP="00A5657F">
            <w:pPr>
              <w:pStyle w:val="ListParagraph"/>
              <w:numPr>
                <w:ilvl w:val="0"/>
                <w:numId w:val="13"/>
              </w:numPr>
              <w:rPr>
                <w:sz w:val="22"/>
                <w:szCs w:val="22"/>
              </w:rPr>
            </w:pPr>
          </w:p>
          <w:p w:rsidR="00A62014" w:rsidRPr="001D5E25" w:rsidRDefault="00A62014" w:rsidP="00A5657F">
            <w:pPr>
              <w:rPr>
                <w:sz w:val="22"/>
                <w:szCs w:val="22"/>
              </w:rPr>
            </w:pPr>
            <w:r w:rsidRPr="001D5E25">
              <w:rPr>
                <w:sz w:val="22"/>
                <w:szCs w:val="22"/>
              </w:rPr>
              <w:t>Litigation Opt-Out</w:t>
            </w:r>
          </w:p>
          <w:p w:rsidR="00A62014" w:rsidRPr="001D5E25" w:rsidRDefault="00A62014" w:rsidP="00A5657F">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EE0BFF">
            <w:pPr>
              <w:spacing w:after="120"/>
              <w:rPr>
                <w:sz w:val="22"/>
                <w:szCs w:val="22"/>
              </w:rPr>
            </w:pPr>
            <w:r>
              <w:rPr>
                <w:sz w:val="22"/>
                <w:szCs w:val="22"/>
              </w:rPr>
              <w:t>We</w:t>
            </w:r>
            <w:r w:rsidRPr="002D0FE2">
              <w:rPr>
                <w:sz w:val="22"/>
                <w:szCs w:val="22"/>
              </w:rPr>
              <w:t xml:space="preserve"> recommend that the Department include within its rules a provision stating that if the federal GHG PSD rules are vacated or stayed by the courts or Congress, then the Oregon rules will cease to be in effect</w:t>
            </w:r>
            <w:r>
              <w:rPr>
                <w:sz w:val="22"/>
                <w:szCs w:val="22"/>
              </w:rPr>
              <w:t xml:space="preserve">. </w:t>
            </w:r>
            <w:r w:rsidRPr="00181560">
              <w:rPr>
                <w:sz w:val="22"/>
                <w:szCs w:val="22"/>
              </w:rPr>
              <w:t>(1, 2, 4, 11, 3, 14, 15, 17)</w:t>
            </w:r>
          </w:p>
          <w:p w:rsidR="00A62014" w:rsidRDefault="00A62014" w:rsidP="00EE0BFF">
            <w:pPr>
              <w:spacing w:after="120"/>
              <w:rPr>
                <w:i/>
                <w:sz w:val="22"/>
                <w:szCs w:val="22"/>
              </w:rPr>
            </w:pPr>
            <w:r>
              <w:rPr>
                <w:i/>
                <w:sz w:val="22"/>
                <w:szCs w:val="22"/>
              </w:rPr>
              <w:t>Response:</w:t>
            </w:r>
          </w:p>
          <w:p w:rsidR="00A62014" w:rsidRPr="00181560" w:rsidRDefault="00A62014" w:rsidP="006C2FE5">
            <w:pPr>
              <w:spacing w:after="120"/>
              <w:rPr>
                <w:b/>
                <w:i/>
                <w:sz w:val="22"/>
                <w:szCs w:val="22"/>
                <w:u w:val="single"/>
              </w:rPr>
            </w:pPr>
            <w:r w:rsidRPr="00181560">
              <w:rPr>
                <w:i/>
                <w:sz w:val="22"/>
                <w:szCs w:val="22"/>
              </w:rPr>
              <w:t>At this time, the outcome of any lawsuits regarding greenhouse gases is unknown</w:t>
            </w:r>
            <w:r>
              <w:rPr>
                <w:i/>
                <w:sz w:val="22"/>
                <w:szCs w:val="22"/>
              </w:rPr>
              <w:t xml:space="preserve">. </w:t>
            </w:r>
            <w:r w:rsidRPr="00181560">
              <w:rPr>
                <w:i/>
                <w:sz w:val="22"/>
                <w:szCs w:val="22"/>
              </w:rPr>
              <w:t xml:space="preserve">DEQ does not know if </w:t>
            </w:r>
            <w:r w:rsidR="006C2FE5">
              <w:rPr>
                <w:i/>
                <w:sz w:val="22"/>
                <w:szCs w:val="22"/>
              </w:rPr>
              <w:t>GHG permitting rules</w:t>
            </w:r>
            <w:r w:rsidRPr="00181560">
              <w:rPr>
                <w:i/>
                <w:sz w:val="22"/>
                <w:szCs w:val="22"/>
              </w:rPr>
              <w:t xml:space="preserve"> will be vacated or modified</w:t>
            </w:r>
            <w:r>
              <w:rPr>
                <w:i/>
                <w:sz w:val="22"/>
                <w:szCs w:val="22"/>
              </w:rPr>
              <w:t xml:space="preserve">. </w:t>
            </w:r>
            <w:r w:rsidRPr="00181560">
              <w:rPr>
                <w:i/>
                <w:sz w:val="22"/>
                <w:szCs w:val="22"/>
              </w:rPr>
              <w:t xml:space="preserve">Until the time EPA changes the federal rules, DEQ </w:t>
            </w:r>
            <w:r w:rsidR="006C2FE5">
              <w:rPr>
                <w:i/>
                <w:sz w:val="22"/>
                <w:szCs w:val="22"/>
              </w:rPr>
              <w:t>is required</w:t>
            </w:r>
            <w:r w:rsidRPr="00181560">
              <w:rPr>
                <w:i/>
                <w:sz w:val="22"/>
                <w:szCs w:val="22"/>
              </w:rPr>
              <w:t xml:space="preserve"> to implement GHG rules</w:t>
            </w:r>
            <w:r w:rsidR="009A5AA5">
              <w:rPr>
                <w:i/>
                <w:sz w:val="22"/>
                <w:szCs w:val="22"/>
              </w:rPr>
              <w:t xml:space="preserve"> in order to receive approval of the State Implementation Plan and</w:t>
            </w:r>
            <w:r w:rsidR="004E4518">
              <w:rPr>
                <w:i/>
                <w:sz w:val="22"/>
                <w:szCs w:val="22"/>
              </w:rPr>
              <w:t xml:space="preserve"> ensure</w:t>
            </w:r>
            <w:r w:rsidR="009A5AA5">
              <w:rPr>
                <w:i/>
                <w:sz w:val="22"/>
                <w:szCs w:val="22"/>
              </w:rPr>
              <w:t xml:space="preserve"> withdrawal of the Federal Implementation Plan</w:t>
            </w:r>
            <w:r>
              <w:rPr>
                <w:i/>
                <w:sz w:val="22"/>
                <w:szCs w:val="22"/>
              </w:rPr>
              <w:t xml:space="preserve">. </w:t>
            </w:r>
            <w:r w:rsidR="006C2FE5">
              <w:rPr>
                <w:i/>
                <w:sz w:val="22"/>
                <w:szCs w:val="22"/>
              </w:rPr>
              <w:t>If federal rules change, EQC can consider revising Oregon's rules at that time either through a temporary or regular rulemaking</w:t>
            </w:r>
            <w:r w:rsidR="008D538C">
              <w:rPr>
                <w:i/>
                <w:sz w:val="22"/>
                <w:szCs w:val="22"/>
              </w:rPr>
              <w:t xml:space="preserve">. </w:t>
            </w:r>
            <w:r w:rsidR="00A21C65">
              <w:rPr>
                <w:i/>
                <w:sz w:val="22"/>
                <w:szCs w:val="22"/>
              </w:rPr>
              <w:t>No change to the rule is proposed in response to this comment.</w:t>
            </w:r>
            <w:r>
              <w:rPr>
                <w:i/>
                <w:sz w:val="22"/>
                <w:szCs w:val="22"/>
              </w:rPr>
              <w:t xml:space="preserve"> </w:t>
            </w:r>
          </w:p>
        </w:tc>
      </w:tr>
    </w:tbl>
    <w:p w:rsidR="00D02ACC" w:rsidRPr="002D0FE2" w:rsidRDefault="00D02ACC" w:rsidP="00D02ACC">
      <w:pPr>
        <w:rPr>
          <w:sz w:val="22"/>
          <w:szCs w:val="22"/>
        </w:rPr>
      </w:pPr>
    </w:p>
    <w:p w:rsidR="00D02ACC" w:rsidRPr="002D0FE2" w:rsidRDefault="00D02ACC">
      <w:pPr>
        <w:rPr>
          <w:sz w:val="22"/>
          <w:szCs w:val="22"/>
        </w:rPr>
      </w:pPr>
    </w:p>
    <w:tbl>
      <w:tblPr>
        <w:tblW w:w="10440" w:type="dxa"/>
        <w:tblInd w:w="18" w:type="dxa"/>
        <w:tblLayout w:type="fixed"/>
        <w:tblLook w:val="0000"/>
      </w:tblPr>
      <w:tblGrid>
        <w:gridCol w:w="1080"/>
        <w:gridCol w:w="3240"/>
        <w:gridCol w:w="4680"/>
        <w:gridCol w:w="1440"/>
      </w:tblGrid>
      <w:tr w:rsidR="00B746A4" w:rsidRPr="002D0FE2" w:rsidTr="006A2FF0">
        <w:trPr>
          <w:trHeight w:val="282"/>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B746A4" w:rsidP="006A2FF0">
            <w:pPr>
              <w:jc w:val="center"/>
              <w:rPr>
                <w:sz w:val="22"/>
                <w:szCs w:val="22"/>
              </w:rPr>
            </w:pPr>
            <w:r w:rsidRPr="002D0FE2">
              <w:rPr>
                <w:sz w:val="22"/>
                <w:szCs w:val="22"/>
              </w:rPr>
              <w:t>List of People Submitting Comments (by Commenter Number)</w:t>
            </w:r>
          </w:p>
        </w:tc>
      </w:tr>
      <w:tr w:rsidR="00B746A4" w:rsidRPr="002D0FE2" w:rsidTr="003123C3">
        <w:trPr>
          <w:trHeight w:val="323"/>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Receive date</w:t>
            </w:r>
          </w:p>
        </w:tc>
      </w:tr>
      <w:tr w:rsidR="00F71F4C"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AOI</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F71F4C"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rFonts w:eastAsiaTheme="minorHAnsi"/>
                <w:sz w:val="22"/>
                <w:szCs w:val="22"/>
              </w:rPr>
            </w:pPr>
            <w:r w:rsidRPr="002D0FE2">
              <w:rPr>
                <w:sz w:val="22"/>
                <w:szCs w:val="22"/>
              </w:rPr>
              <w:t>Lee Weber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ATI Wah Chang/ ATI Albany Operations</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A64B14" w:rsidRPr="002D0FE2" w:rsidTr="008616F1">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64B14" w:rsidRPr="002D0FE2" w:rsidRDefault="00A64B14" w:rsidP="008616F1">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A64B14" w:rsidRPr="002D0FE2" w:rsidRDefault="00A64B14" w:rsidP="008616F1">
            <w:pPr>
              <w:rPr>
                <w:sz w:val="22"/>
                <w:szCs w:val="22"/>
              </w:rPr>
            </w:pPr>
            <w:r w:rsidRPr="002D0FE2">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tcPr>
          <w:p w:rsidR="00A64B14" w:rsidRPr="002D0FE2" w:rsidRDefault="00A64B14" w:rsidP="008616F1">
            <w:pPr>
              <w:rPr>
                <w:sz w:val="22"/>
                <w:szCs w:val="22"/>
              </w:rPr>
            </w:pPr>
            <w:r w:rsidRPr="002D0FE2">
              <w:rPr>
                <w:sz w:val="22"/>
                <w:szCs w:val="22"/>
              </w:rPr>
              <w:t xml:space="preserve">Boise Cascade, LLC </w:t>
            </w:r>
          </w:p>
        </w:tc>
        <w:tc>
          <w:tcPr>
            <w:tcW w:w="1440" w:type="dxa"/>
            <w:tcBorders>
              <w:top w:val="single" w:sz="4" w:space="0" w:color="808080"/>
              <w:left w:val="nil"/>
              <w:bottom w:val="single" w:sz="4" w:space="0" w:color="808080"/>
              <w:right w:val="single" w:sz="4" w:space="0" w:color="808080"/>
            </w:tcBorders>
            <w:shd w:val="clear" w:color="auto" w:fill="auto"/>
          </w:tcPr>
          <w:p w:rsidR="00A64B14" w:rsidRPr="002D0FE2" w:rsidRDefault="00A64B14" w:rsidP="008616F1">
            <w:pPr>
              <w:rPr>
                <w:sz w:val="22"/>
                <w:szCs w:val="22"/>
              </w:rPr>
            </w:pPr>
            <w:r w:rsidRPr="002D0FE2">
              <w:rPr>
                <w:sz w:val="22"/>
                <w:szCs w:val="22"/>
              </w:rPr>
              <w:t>11/24/10</w:t>
            </w:r>
          </w:p>
        </w:tc>
      </w:tr>
      <w:tr w:rsidR="00F71F4C"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A64B14" w:rsidP="00F71F4C">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rStyle w:val="Strong"/>
                <w:b w:val="0"/>
                <w:sz w:val="22"/>
                <w:szCs w:val="22"/>
              </w:rPr>
            </w:pPr>
            <w:r w:rsidRPr="002D0FE2">
              <w:rPr>
                <w:rStyle w:val="Strong"/>
                <w:b w:val="0"/>
                <w:sz w:val="22"/>
                <w:szCs w:val="22"/>
              </w:rPr>
              <w:t>Russell Burns</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C447EF">
            <w:pPr>
              <w:rPr>
                <w:sz w:val="22"/>
                <w:szCs w:val="22"/>
              </w:rPr>
            </w:pPr>
            <w:r w:rsidRPr="002D0FE2">
              <w:rPr>
                <w:sz w:val="22"/>
                <w:szCs w:val="22"/>
              </w:rPr>
              <w:t>Boise</w:t>
            </w:r>
            <w:r w:rsidR="00C447EF" w:rsidRPr="002D0FE2">
              <w:rPr>
                <w:sz w:val="22"/>
                <w:szCs w:val="22"/>
              </w:rPr>
              <w:t xml:space="preserve"> Paper</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BE6EE7" w:rsidP="005E26A1">
            <w:pPr>
              <w:rPr>
                <w:sz w:val="22"/>
                <w:szCs w:val="22"/>
              </w:rPr>
            </w:pPr>
            <w:r w:rsidRPr="002D0FE2">
              <w:rPr>
                <w:sz w:val="22"/>
                <w:szCs w:val="22"/>
              </w:rPr>
              <w:t>11/24/10</w:t>
            </w:r>
          </w:p>
        </w:tc>
      </w:tr>
      <w:tr w:rsidR="00F71F4C"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sz w:val="22"/>
                <w:szCs w:val="22"/>
              </w:rPr>
            </w:pPr>
            <w:r w:rsidRPr="002D0FE2">
              <w:rPr>
                <w:sz w:val="22"/>
                <w:szCs w:val="22"/>
              </w:rPr>
              <w:t>Lee Fortier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Dry Creek Landfill</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244BD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2D0FE2" w:rsidRDefault="00F71F4C" w:rsidP="00F71F4C">
            <w:pPr>
              <w:jc w:val="center"/>
              <w:rPr>
                <w:sz w:val="22"/>
                <w:szCs w:val="22"/>
              </w:rPr>
            </w:pPr>
            <w:r w:rsidRPr="002D0FE2">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2D0FE2" w:rsidRDefault="00244BDA" w:rsidP="00244BDA">
            <w:pPr>
              <w:rPr>
                <w:sz w:val="22"/>
                <w:szCs w:val="22"/>
              </w:rPr>
            </w:pPr>
            <w:r w:rsidRPr="002D0FE2">
              <w:rPr>
                <w:rStyle w:val="Strong"/>
                <w:b w:val="0"/>
                <w:sz w:val="22"/>
                <w:szCs w:val="22"/>
              </w:rPr>
              <w:t>Alicia Little</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Dyno Nobel Inc.</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11/24/10</w:t>
            </w:r>
          </w:p>
        </w:tc>
      </w:tr>
      <w:tr w:rsidR="00F71F4C"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rFonts w:eastAsiaTheme="minorHAnsi"/>
                <w:sz w:val="22"/>
                <w:szCs w:val="22"/>
              </w:rPr>
            </w:pPr>
            <w:r w:rsidRPr="002D0FE2">
              <w:rPr>
                <w:sz w:val="22"/>
                <w:szCs w:val="22"/>
              </w:rPr>
              <w:t>Scott Hedges</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Environmental Protection Agency, Region 10</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BE6EE7"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E6EE7" w:rsidRPr="002D0FE2" w:rsidRDefault="00BE6EE7" w:rsidP="00F71F4C">
            <w:pPr>
              <w:jc w:val="center"/>
              <w:rPr>
                <w:sz w:val="22"/>
                <w:szCs w:val="22"/>
              </w:rPr>
            </w:pPr>
            <w:r w:rsidRPr="002D0FE2">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tcPr>
          <w:p w:rsidR="00BE6EE7" w:rsidRPr="002D0FE2" w:rsidRDefault="00BE6EE7" w:rsidP="005E26A1">
            <w:pPr>
              <w:rPr>
                <w:sz w:val="22"/>
                <w:szCs w:val="22"/>
              </w:rPr>
            </w:pPr>
            <w:r w:rsidRPr="002D0FE2">
              <w:rPr>
                <w:sz w:val="22"/>
                <w:szCs w:val="22"/>
              </w:rPr>
              <w:t>James DeHoog</w:t>
            </w:r>
          </w:p>
        </w:tc>
        <w:tc>
          <w:tcPr>
            <w:tcW w:w="4680" w:type="dxa"/>
            <w:tcBorders>
              <w:top w:val="single" w:sz="4" w:space="0" w:color="808080"/>
              <w:left w:val="nil"/>
              <w:bottom w:val="single" w:sz="4" w:space="0" w:color="808080"/>
              <w:right w:val="single" w:sz="4" w:space="0" w:color="808080"/>
            </w:tcBorders>
            <w:shd w:val="clear" w:color="auto" w:fill="auto"/>
          </w:tcPr>
          <w:p w:rsidR="00BE6EE7" w:rsidRPr="002D0FE2" w:rsidRDefault="00BE6EE7" w:rsidP="005E26A1">
            <w:pPr>
              <w:rPr>
                <w:sz w:val="22"/>
                <w:szCs w:val="22"/>
              </w:rPr>
            </w:pPr>
            <w:r w:rsidRPr="002D0FE2">
              <w:rPr>
                <w:sz w:val="22"/>
                <w:szCs w:val="22"/>
              </w:rPr>
              <w:t>Environmental Technical Services</w:t>
            </w:r>
          </w:p>
        </w:tc>
        <w:tc>
          <w:tcPr>
            <w:tcW w:w="1440" w:type="dxa"/>
            <w:tcBorders>
              <w:top w:val="single" w:sz="4" w:space="0" w:color="808080"/>
              <w:left w:val="nil"/>
              <w:bottom w:val="single" w:sz="4" w:space="0" w:color="808080"/>
              <w:right w:val="single" w:sz="4" w:space="0" w:color="808080"/>
            </w:tcBorders>
            <w:shd w:val="clear" w:color="auto" w:fill="auto"/>
          </w:tcPr>
          <w:p w:rsidR="00BE6EE7" w:rsidRPr="002D0FE2" w:rsidRDefault="00BE6EE7">
            <w:pPr>
              <w:rPr>
                <w:sz w:val="22"/>
                <w:szCs w:val="22"/>
              </w:rPr>
            </w:pPr>
            <w:r w:rsidRPr="002D0FE2">
              <w:rPr>
                <w:sz w:val="22"/>
                <w:szCs w:val="22"/>
              </w:rPr>
              <w:t>11/24/10</w:t>
            </w:r>
          </w:p>
        </w:tc>
      </w:tr>
      <w:tr w:rsidR="00A34575"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Scott Stewart</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Thomas Gruszczenski</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Knife River Materials</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Mari Chesser</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Microchip Technology Inc.</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lastRenderedPageBreak/>
              <w:t>12</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5E26A1">
            <w:pPr>
              <w:pStyle w:val="ColorfulList-Accent11"/>
              <w:ind w:left="0"/>
              <w:rPr>
                <w:sz w:val="22"/>
                <w:szCs w:val="22"/>
              </w:rPr>
            </w:pPr>
            <w:r w:rsidRPr="002D0FE2">
              <w:rPr>
                <w:sz w:val="22"/>
                <w:szCs w:val="22"/>
              </w:rPr>
              <w:t>John Krallman, Kenny Key</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5E26A1">
            <w:pPr>
              <w:rPr>
                <w:sz w:val="22"/>
                <w:szCs w:val="22"/>
              </w:rPr>
            </w:pPr>
            <w:r w:rsidRPr="002D0FE2">
              <w:rPr>
                <w:sz w:val="22"/>
                <w:szCs w:val="22"/>
              </w:rPr>
              <w:t>Northwest Environmental Defense Fund</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BE6EE7">
            <w:pPr>
              <w:rPr>
                <w:sz w:val="22"/>
                <w:szCs w:val="22"/>
              </w:rPr>
            </w:pPr>
            <w:r w:rsidRPr="002D0FE2">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5E26A1">
            <w:pPr>
              <w:rPr>
                <w:sz w:val="22"/>
                <w:szCs w:val="22"/>
              </w:rPr>
            </w:pPr>
            <w:r w:rsidRPr="002D0FE2">
              <w:rPr>
                <w:sz w:val="22"/>
                <w:szCs w:val="22"/>
              </w:rPr>
              <w:t>Northwest Pulp and Paper Association</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5E26A1">
            <w:pPr>
              <w:rPr>
                <w:sz w:val="22"/>
                <w:szCs w:val="22"/>
              </w:rPr>
            </w:pPr>
            <w:r w:rsidRPr="002D0FE2">
              <w:rPr>
                <w:sz w:val="22"/>
                <w:szCs w:val="22"/>
              </w:rPr>
              <w:t>Holly Sears</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5E26A1">
            <w:pPr>
              <w:rPr>
                <w:sz w:val="22"/>
                <w:szCs w:val="22"/>
              </w:rPr>
            </w:pPr>
            <w:r w:rsidRPr="002D0FE2">
              <w:rPr>
                <w:sz w:val="22"/>
                <w:szCs w:val="22"/>
              </w:rPr>
              <w:t>Oregon Refuse &amp; Recycling Association</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PGE</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244BD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2D0FE2" w:rsidRDefault="00F71F4C" w:rsidP="00F71F4C">
            <w:pPr>
              <w:jc w:val="center"/>
              <w:rPr>
                <w:sz w:val="22"/>
                <w:szCs w:val="22"/>
              </w:rPr>
            </w:pPr>
            <w:r w:rsidRPr="002D0FE2">
              <w:rPr>
                <w:sz w:val="22"/>
                <w:szCs w:val="22"/>
              </w:rPr>
              <w:t>1</w:t>
            </w:r>
            <w:r w:rsidR="00A34575" w:rsidRPr="002D0FE2">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2D0FE2" w:rsidRDefault="003123C3" w:rsidP="00244BDA">
            <w:pPr>
              <w:rPr>
                <w:sz w:val="22"/>
                <w:szCs w:val="22"/>
              </w:rPr>
            </w:pPr>
            <w:r w:rsidRPr="002D0FE2">
              <w:rPr>
                <w:sz w:val="22"/>
                <w:szCs w:val="22"/>
              </w:rPr>
              <w:t>Lisa Becherer</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Roseburg Forest Products</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11/24/10</w:t>
            </w:r>
          </w:p>
        </w:tc>
      </w:tr>
      <w:tr w:rsidR="00C447EF"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47EF" w:rsidRPr="002D0FE2" w:rsidRDefault="00C447EF" w:rsidP="00F71F4C">
            <w:pPr>
              <w:jc w:val="center"/>
              <w:rPr>
                <w:sz w:val="22"/>
                <w:szCs w:val="22"/>
              </w:rPr>
            </w:pPr>
            <w:r w:rsidRPr="002D0FE2">
              <w:rPr>
                <w:sz w:val="22"/>
                <w:szCs w:val="22"/>
              </w:rPr>
              <w:t>1</w:t>
            </w:r>
            <w:r w:rsidR="00A34575"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C447EF" w:rsidRPr="002D0FE2" w:rsidRDefault="00C447EF" w:rsidP="00244BDA">
            <w:pPr>
              <w:rPr>
                <w:sz w:val="22"/>
                <w:szCs w:val="22"/>
              </w:rPr>
            </w:pPr>
            <w:r w:rsidRPr="002D0FE2">
              <w:rPr>
                <w:sz w:val="22"/>
                <w:szCs w:val="22"/>
              </w:rPr>
              <w:t>Scott Conant</w:t>
            </w:r>
          </w:p>
        </w:tc>
        <w:tc>
          <w:tcPr>
            <w:tcW w:w="4680" w:type="dxa"/>
            <w:tcBorders>
              <w:top w:val="single" w:sz="4" w:space="0" w:color="808080"/>
              <w:left w:val="nil"/>
              <w:bottom w:val="single" w:sz="4" w:space="0" w:color="808080"/>
              <w:right w:val="single" w:sz="4" w:space="0" w:color="808080"/>
            </w:tcBorders>
            <w:shd w:val="clear" w:color="auto" w:fill="auto"/>
          </w:tcPr>
          <w:p w:rsidR="00C447EF" w:rsidRPr="002D0FE2" w:rsidRDefault="00C447EF" w:rsidP="00244BDA">
            <w:pPr>
              <w:rPr>
                <w:sz w:val="22"/>
                <w:szCs w:val="22"/>
              </w:rPr>
            </w:pPr>
            <w:r w:rsidRPr="002D0FE2">
              <w:rPr>
                <w:sz w:val="22"/>
                <w:szCs w:val="22"/>
              </w:rPr>
              <w:t>SP Newsprint Co., LLC</w:t>
            </w:r>
          </w:p>
        </w:tc>
        <w:tc>
          <w:tcPr>
            <w:tcW w:w="1440" w:type="dxa"/>
            <w:tcBorders>
              <w:top w:val="single" w:sz="4" w:space="0" w:color="808080"/>
              <w:left w:val="nil"/>
              <w:bottom w:val="single" w:sz="4" w:space="0" w:color="808080"/>
              <w:right w:val="single" w:sz="4" w:space="0" w:color="808080"/>
            </w:tcBorders>
            <w:shd w:val="clear" w:color="auto" w:fill="auto"/>
          </w:tcPr>
          <w:p w:rsidR="00C447EF" w:rsidRPr="002D0FE2" w:rsidRDefault="00C447EF">
            <w:pPr>
              <w:rPr>
                <w:sz w:val="22"/>
                <w:szCs w:val="22"/>
              </w:rPr>
            </w:pPr>
            <w:r w:rsidRPr="002D0FE2">
              <w:rPr>
                <w:sz w:val="22"/>
                <w:szCs w:val="22"/>
              </w:rPr>
              <w:t>11/24/10</w:t>
            </w:r>
          </w:p>
        </w:tc>
      </w:tr>
      <w:tr w:rsidR="00C447EF"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47EF" w:rsidRPr="00E37B44" w:rsidRDefault="00C447EF" w:rsidP="00F71F4C">
            <w:pPr>
              <w:jc w:val="center"/>
              <w:rPr>
                <w:sz w:val="22"/>
                <w:szCs w:val="22"/>
              </w:rPr>
            </w:pPr>
            <w:r w:rsidRPr="00E37B44">
              <w:rPr>
                <w:sz w:val="22"/>
                <w:szCs w:val="22"/>
              </w:rPr>
              <w:t>1</w:t>
            </w:r>
            <w:r w:rsidR="00A34575" w:rsidRPr="00E37B44">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tcPr>
          <w:p w:rsidR="00C447EF" w:rsidRPr="00E37B44" w:rsidRDefault="00C447EF" w:rsidP="00244BDA">
            <w:pPr>
              <w:rPr>
                <w:sz w:val="22"/>
                <w:szCs w:val="22"/>
              </w:rPr>
            </w:pPr>
            <w:r w:rsidRPr="00E37B44">
              <w:rPr>
                <w:sz w:val="22"/>
                <w:szCs w:val="22"/>
              </w:rPr>
              <w:t>Martha Moore</w:t>
            </w:r>
          </w:p>
        </w:tc>
        <w:tc>
          <w:tcPr>
            <w:tcW w:w="4680" w:type="dxa"/>
            <w:tcBorders>
              <w:top w:val="single" w:sz="4" w:space="0" w:color="808080"/>
              <w:left w:val="nil"/>
              <w:bottom w:val="single" w:sz="4" w:space="0" w:color="808080"/>
              <w:right w:val="single" w:sz="4" w:space="0" w:color="808080"/>
            </w:tcBorders>
            <w:shd w:val="clear" w:color="auto" w:fill="auto"/>
          </w:tcPr>
          <w:p w:rsidR="00C447EF" w:rsidRPr="00E37B44" w:rsidRDefault="00C447EF" w:rsidP="00244BDA">
            <w:pPr>
              <w:rPr>
                <w:sz w:val="22"/>
                <w:szCs w:val="22"/>
              </w:rPr>
            </w:pPr>
            <w:r w:rsidRPr="00E37B44">
              <w:rPr>
                <w:sz w:val="22"/>
                <w:szCs w:val="22"/>
              </w:rPr>
              <w:t>TW Environmental, Inc.</w:t>
            </w:r>
          </w:p>
        </w:tc>
        <w:tc>
          <w:tcPr>
            <w:tcW w:w="1440" w:type="dxa"/>
            <w:tcBorders>
              <w:top w:val="single" w:sz="4" w:space="0" w:color="808080"/>
              <w:left w:val="nil"/>
              <w:bottom w:val="single" w:sz="4" w:space="0" w:color="808080"/>
              <w:right w:val="single" w:sz="4" w:space="0" w:color="808080"/>
            </w:tcBorders>
            <w:shd w:val="clear" w:color="auto" w:fill="auto"/>
          </w:tcPr>
          <w:p w:rsidR="00C447EF" w:rsidRPr="00E37B44" w:rsidRDefault="00C447EF">
            <w:pPr>
              <w:rPr>
                <w:sz w:val="22"/>
                <w:szCs w:val="22"/>
              </w:rPr>
            </w:pPr>
            <w:r w:rsidRPr="00E37B44">
              <w:rPr>
                <w:sz w:val="22"/>
                <w:szCs w:val="22"/>
              </w:rPr>
              <w:t>11/24/10</w:t>
            </w:r>
          </w:p>
        </w:tc>
      </w:tr>
      <w:tr w:rsidR="00244BDA"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E37B44" w:rsidRDefault="00F71F4C" w:rsidP="00F71F4C">
            <w:pPr>
              <w:jc w:val="center"/>
              <w:rPr>
                <w:sz w:val="22"/>
                <w:szCs w:val="22"/>
              </w:rPr>
            </w:pPr>
            <w:r w:rsidRPr="00E37B44">
              <w:rPr>
                <w:sz w:val="22"/>
                <w:szCs w:val="22"/>
              </w:rPr>
              <w:t>1</w:t>
            </w:r>
            <w:r w:rsidR="00A34575" w:rsidRPr="00E37B44">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E37B44" w:rsidRDefault="00244BDA" w:rsidP="00244BDA">
            <w:pPr>
              <w:rPr>
                <w:sz w:val="22"/>
                <w:szCs w:val="22"/>
              </w:rPr>
            </w:pPr>
            <w:r w:rsidRPr="00E37B44">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E37B44" w:rsidRDefault="00244BDA" w:rsidP="00244BDA">
            <w:pPr>
              <w:rPr>
                <w:sz w:val="22"/>
                <w:szCs w:val="22"/>
              </w:rPr>
            </w:pPr>
            <w:r w:rsidRPr="00E37B44">
              <w:rPr>
                <w:sz w:val="22"/>
                <w:szCs w:val="22"/>
              </w:rPr>
              <w:t>Weyerhaeuser NR Company</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E37B44" w:rsidRDefault="00244BDA" w:rsidP="00244BDA">
            <w:pPr>
              <w:rPr>
                <w:sz w:val="22"/>
                <w:szCs w:val="22"/>
              </w:rPr>
            </w:pPr>
            <w:r w:rsidRPr="00E37B44">
              <w:rPr>
                <w:sz w:val="22"/>
                <w:szCs w:val="22"/>
              </w:rPr>
              <w:t>11/24/10</w:t>
            </w:r>
          </w:p>
        </w:tc>
      </w:tr>
      <w:tr w:rsidR="00E17CCC"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17CCC" w:rsidRPr="00E37B44" w:rsidRDefault="000351E6" w:rsidP="00F71F4C">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E17CCC" w:rsidRPr="00E37B44" w:rsidRDefault="00E17CCC" w:rsidP="00E17CCC">
            <w:pPr>
              <w:rPr>
                <w:sz w:val="22"/>
                <w:szCs w:val="22"/>
              </w:rPr>
            </w:pPr>
            <w:r w:rsidRPr="00E37B44">
              <w:rPr>
                <w:sz w:val="22"/>
                <w:szCs w:val="22"/>
              </w:rPr>
              <w:t>Mari Chesser</w:t>
            </w:r>
          </w:p>
        </w:tc>
        <w:tc>
          <w:tcPr>
            <w:tcW w:w="468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E17CCC">
            <w:pPr>
              <w:rPr>
                <w:sz w:val="22"/>
                <w:szCs w:val="22"/>
              </w:rPr>
            </w:pPr>
            <w:r w:rsidRPr="00E37B44">
              <w:rPr>
                <w:sz w:val="22"/>
                <w:szCs w:val="22"/>
              </w:rPr>
              <w:t>Microchip Technology Inc.</w:t>
            </w:r>
          </w:p>
        </w:tc>
        <w:tc>
          <w:tcPr>
            <w:tcW w:w="144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244BDA">
            <w:pPr>
              <w:rPr>
                <w:sz w:val="22"/>
                <w:szCs w:val="22"/>
              </w:rPr>
            </w:pPr>
            <w:r w:rsidRPr="00E37B44">
              <w:rPr>
                <w:sz w:val="22"/>
                <w:szCs w:val="22"/>
              </w:rPr>
              <w:t>12/13/10</w:t>
            </w:r>
          </w:p>
        </w:tc>
      </w:tr>
      <w:tr w:rsidR="00E17CCC"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17CCC" w:rsidRPr="00E37B44" w:rsidRDefault="00E37B44" w:rsidP="00F71F4C">
            <w:pPr>
              <w:jc w:val="center"/>
              <w:rPr>
                <w:sz w:val="22"/>
                <w:szCs w:val="22"/>
              </w:rPr>
            </w:pPr>
            <w:r>
              <w:rPr>
                <w:sz w:val="22"/>
                <w:szCs w:val="22"/>
              </w:rPr>
              <w:t>2</w:t>
            </w:r>
            <w:r w:rsidR="000351E6">
              <w:rPr>
                <w:sz w:val="22"/>
                <w:szCs w:val="22"/>
              </w:rPr>
              <w:t>0</w:t>
            </w:r>
          </w:p>
        </w:tc>
        <w:tc>
          <w:tcPr>
            <w:tcW w:w="3240" w:type="dxa"/>
            <w:tcBorders>
              <w:top w:val="single" w:sz="4" w:space="0" w:color="808080"/>
              <w:left w:val="nil"/>
              <w:bottom w:val="single" w:sz="4" w:space="0" w:color="808080"/>
              <w:right w:val="single" w:sz="4" w:space="0" w:color="808080"/>
            </w:tcBorders>
            <w:shd w:val="clear" w:color="auto" w:fill="auto"/>
            <w:noWrap/>
          </w:tcPr>
          <w:p w:rsidR="00E17CCC" w:rsidRPr="00E37B44" w:rsidRDefault="00E17CCC" w:rsidP="00244BDA">
            <w:pPr>
              <w:rPr>
                <w:sz w:val="22"/>
                <w:szCs w:val="22"/>
              </w:rPr>
            </w:pPr>
            <w:r w:rsidRPr="00E37B44">
              <w:rPr>
                <w:sz w:val="22"/>
                <w:szCs w:val="22"/>
              </w:rPr>
              <w:t>Thane Jennings</w:t>
            </w:r>
          </w:p>
        </w:tc>
        <w:tc>
          <w:tcPr>
            <w:tcW w:w="468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E17CCC">
            <w:pPr>
              <w:rPr>
                <w:sz w:val="22"/>
                <w:szCs w:val="22"/>
              </w:rPr>
            </w:pPr>
            <w:r w:rsidRPr="00E37B44">
              <w:rPr>
                <w:sz w:val="22"/>
                <w:szCs w:val="22"/>
              </w:rPr>
              <w:t>Hermiston Power, LLC, Calpine Corp.</w:t>
            </w:r>
          </w:p>
        </w:tc>
        <w:tc>
          <w:tcPr>
            <w:tcW w:w="144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244BDA">
            <w:pPr>
              <w:rPr>
                <w:sz w:val="22"/>
                <w:szCs w:val="22"/>
              </w:rPr>
            </w:pPr>
            <w:r w:rsidRPr="00E37B44">
              <w:rPr>
                <w:sz w:val="22"/>
                <w:szCs w:val="22"/>
              </w:rPr>
              <w:t>12/17/10</w:t>
            </w:r>
          </w:p>
        </w:tc>
      </w:tr>
      <w:tr w:rsidR="00B46703"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46703" w:rsidRPr="00E37B44" w:rsidRDefault="00B46703" w:rsidP="00F71F4C">
            <w:pPr>
              <w:jc w:val="center"/>
              <w:rPr>
                <w:sz w:val="22"/>
                <w:szCs w:val="22"/>
              </w:rPr>
            </w:pPr>
            <w:r>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B46703" w:rsidRPr="002D0FE2" w:rsidRDefault="00B46703" w:rsidP="00097977">
            <w:pPr>
              <w:rPr>
                <w:rFonts w:eastAsiaTheme="minorHAnsi"/>
                <w:sz w:val="22"/>
                <w:szCs w:val="22"/>
              </w:rPr>
            </w:pPr>
            <w:r w:rsidRPr="002D0FE2">
              <w:rPr>
                <w:sz w:val="22"/>
                <w:szCs w:val="22"/>
              </w:rPr>
              <w:t>Lee Weber</w:t>
            </w:r>
          </w:p>
        </w:tc>
        <w:tc>
          <w:tcPr>
            <w:tcW w:w="4680" w:type="dxa"/>
            <w:tcBorders>
              <w:top w:val="single" w:sz="4" w:space="0" w:color="808080"/>
              <w:left w:val="nil"/>
              <w:bottom w:val="single" w:sz="4" w:space="0" w:color="808080"/>
              <w:right w:val="single" w:sz="4" w:space="0" w:color="808080"/>
            </w:tcBorders>
            <w:shd w:val="clear" w:color="auto" w:fill="auto"/>
          </w:tcPr>
          <w:p w:rsidR="00B46703" w:rsidRPr="002D0FE2" w:rsidRDefault="00B46703" w:rsidP="00097977">
            <w:pPr>
              <w:rPr>
                <w:sz w:val="22"/>
                <w:szCs w:val="22"/>
              </w:rPr>
            </w:pPr>
            <w:r w:rsidRPr="002D0FE2">
              <w:rPr>
                <w:sz w:val="22"/>
                <w:szCs w:val="22"/>
              </w:rPr>
              <w:t>ATI Wah Chang/ ATI Albany Operations</w:t>
            </w:r>
          </w:p>
        </w:tc>
        <w:tc>
          <w:tcPr>
            <w:tcW w:w="1440" w:type="dxa"/>
            <w:tcBorders>
              <w:top w:val="single" w:sz="4" w:space="0" w:color="808080"/>
              <w:left w:val="nil"/>
              <w:bottom w:val="single" w:sz="4" w:space="0" w:color="808080"/>
              <w:right w:val="single" w:sz="4" w:space="0" w:color="808080"/>
            </w:tcBorders>
            <w:shd w:val="clear" w:color="auto" w:fill="auto"/>
          </w:tcPr>
          <w:p w:rsidR="00B46703" w:rsidRPr="00E37B44" w:rsidRDefault="00B46703" w:rsidP="00244BDA">
            <w:pPr>
              <w:rPr>
                <w:sz w:val="22"/>
                <w:szCs w:val="22"/>
              </w:rPr>
            </w:pPr>
            <w:r>
              <w:rPr>
                <w:sz w:val="22"/>
                <w:szCs w:val="22"/>
              </w:rPr>
              <w:t>12/22/10</w:t>
            </w:r>
          </w:p>
        </w:tc>
      </w:tr>
      <w:tr w:rsidR="00AF641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2D0FE2" w:rsidRDefault="000351E6" w:rsidP="00F71F4C">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2D0FE2" w:rsidRDefault="00AF641A" w:rsidP="00097977">
            <w:pPr>
              <w:rPr>
                <w:sz w:val="22"/>
                <w:szCs w:val="22"/>
              </w:rPr>
            </w:pPr>
            <w:r w:rsidRPr="002D0FE2">
              <w:rPr>
                <w:rStyle w:val="Strong"/>
                <w:b w:val="0"/>
                <w:sz w:val="22"/>
                <w:szCs w:val="22"/>
              </w:rPr>
              <w:t>Alicia Little</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097977">
            <w:pPr>
              <w:rPr>
                <w:sz w:val="22"/>
                <w:szCs w:val="22"/>
              </w:rPr>
            </w:pPr>
            <w:r w:rsidRPr="002D0FE2">
              <w:rPr>
                <w:sz w:val="22"/>
                <w:szCs w:val="22"/>
              </w:rPr>
              <w:t>Dyno Nobel Inc.</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244BDA">
            <w:pPr>
              <w:rPr>
                <w:sz w:val="22"/>
                <w:szCs w:val="22"/>
              </w:rPr>
            </w:pPr>
            <w:r>
              <w:rPr>
                <w:sz w:val="22"/>
                <w:szCs w:val="22"/>
              </w:rPr>
              <w:t>12/22/10</w:t>
            </w:r>
          </w:p>
        </w:tc>
      </w:tr>
      <w:tr w:rsidR="00AF641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2D0FE2" w:rsidRDefault="000351E6" w:rsidP="00F71F4C">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2D0FE2" w:rsidRDefault="00AF641A" w:rsidP="00097977">
            <w:pPr>
              <w:rPr>
                <w:sz w:val="22"/>
                <w:szCs w:val="22"/>
              </w:rPr>
            </w:pPr>
            <w:r w:rsidRPr="002D0FE2">
              <w:rPr>
                <w:sz w:val="22"/>
                <w:szCs w:val="22"/>
              </w:rPr>
              <w:t>Thomas Gruszczenski</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097977">
            <w:pPr>
              <w:rPr>
                <w:sz w:val="22"/>
                <w:szCs w:val="22"/>
              </w:rPr>
            </w:pPr>
            <w:r w:rsidRPr="002D0FE2">
              <w:rPr>
                <w:sz w:val="22"/>
                <w:szCs w:val="22"/>
              </w:rPr>
              <w:t>Knife River Materials</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244BDA">
            <w:pPr>
              <w:rPr>
                <w:sz w:val="22"/>
                <w:szCs w:val="22"/>
              </w:rPr>
            </w:pPr>
            <w:r>
              <w:rPr>
                <w:sz w:val="22"/>
                <w:szCs w:val="22"/>
              </w:rPr>
              <w:t>12/23/10</w:t>
            </w:r>
          </w:p>
        </w:tc>
      </w:tr>
      <w:tr w:rsidR="00AF641A" w:rsidRPr="001918B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1918B4" w:rsidRDefault="001918B4" w:rsidP="00F71F4C">
            <w:pPr>
              <w:jc w:val="center"/>
              <w:rPr>
                <w:sz w:val="22"/>
                <w:szCs w:val="22"/>
              </w:rPr>
            </w:pPr>
            <w:r w:rsidRPr="001918B4">
              <w:rPr>
                <w:sz w:val="22"/>
                <w:szCs w:val="22"/>
              </w:rPr>
              <w:t>2</w:t>
            </w:r>
            <w:r w:rsidR="000351E6">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1918B4" w:rsidRDefault="001918B4" w:rsidP="0044400A">
            <w:pPr>
              <w:rPr>
                <w:sz w:val="22"/>
                <w:szCs w:val="22"/>
              </w:rPr>
            </w:pPr>
            <w:r w:rsidRPr="001918B4">
              <w:rPr>
                <w:sz w:val="22"/>
                <w:szCs w:val="22"/>
              </w:rPr>
              <w:t>Mitchel Karp</w:t>
            </w:r>
            <w:r w:rsidR="000351E6">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1918B4" w:rsidRDefault="001918B4" w:rsidP="00244BDA">
            <w:pPr>
              <w:rPr>
                <w:sz w:val="22"/>
                <w:szCs w:val="22"/>
              </w:rPr>
            </w:pPr>
            <w:r w:rsidRPr="001918B4">
              <w:rPr>
                <w:sz w:val="22"/>
                <w:szCs w:val="22"/>
              </w:rPr>
              <w:t>RSG Forest Products</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1918B4" w:rsidRDefault="001918B4" w:rsidP="00244BDA">
            <w:pPr>
              <w:rPr>
                <w:sz w:val="22"/>
                <w:szCs w:val="22"/>
              </w:rPr>
            </w:pPr>
            <w:r w:rsidRPr="001918B4">
              <w:rPr>
                <w:sz w:val="22"/>
                <w:szCs w:val="22"/>
              </w:rPr>
              <w:t>12/30/10</w:t>
            </w:r>
          </w:p>
        </w:tc>
      </w:tr>
      <w:tr w:rsidR="001918B4" w:rsidRPr="001918B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1918B4" w:rsidRPr="001918B4" w:rsidRDefault="001918B4" w:rsidP="00F71F4C">
            <w:pPr>
              <w:jc w:val="center"/>
              <w:rPr>
                <w:sz w:val="22"/>
                <w:szCs w:val="22"/>
              </w:rPr>
            </w:pPr>
            <w:r>
              <w:rPr>
                <w:sz w:val="22"/>
                <w:szCs w:val="22"/>
              </w:rPr>
              <w:t>2</w:t>
            </w:r>
            <w:r w:rsidR="000351E6">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1918B4" w:rsidRPr="001918B4" w:rsidRDefault="001918B4" w:rsidP="00244BDA">
            <w:pPr>
              <w:rPr>
                <w:sz w:val="22"/>
                <w:szCs w:val="22"/>
              </w:rPr>
            </w:pPr>
            <w:r w:rsidRPr="001918B4">
              <w:rPr>
                <w:sz w:val="22"/>
                <w:szCs w:val="22"/>
              </w:rPr>
              <w:t>Mitch Jorgensen</w:t>
            </w:r>
          </w:p>
        </w:tc>
        <w:tc>
          <w:tcPr>
            <w:tcW w:w="4680" w:type="dxa"/>
            <w:tcBorders>
              <w:top w:val="single" w:sz="4" w:space="0" w:color="808080"/>
              <w:left w:val="nil"/>
              <w:bottom w:val="single" w:sz="4" w:space="0" w:color="808080"/>
              <w:right w:val="single" w:sz="4" w:space="0" w:color="808080"/>
            </w:tcBorders>
            <w:shd w:val="clear" w:color="auto" w:fill="auto"/>
          </w:tcPr>
          <w:p w:rsidR="001918B4" w:rsidRPr="001918B4" w:rsidRDefault="001918B4" w:rsidP="00244BDA">
            <w:pPr>
              <w:rPr>
                <w:sz w:val="22"/>
                <w:szCs w:val="22"/>
              </w:rPr>
            </w:pPr>
            <w:r w:rsidRPr="001918B4">
              <w:rPr>
                <w:sz w:val="22"/>
                <w:szCs w:val="22"/>
              </w:rPr>
              <w:t>Molalla Redi-Mix &amp; Rock Products, Inc</w:t>
            </w:r>
            <w:r w:rsidR="008D538C">
              <w:rPr>
                <w:sz w:val="22"/>
                <w:szCs w:val="22"/>
              </w:rPr>
              <w:t xml:space="preserve">. </w:t>
            </w:r>
            <w:r w:rsidRPr="001918B4">
              <w:rPr>
                <w:sz w:val="22"/>
                <w:szCs w:val="22"/>
              </w:rPr>
              <w:t xml:space="preserve">           </w:t>
            </w:r>
          </w:p>
        </w:tc>
        <w:tc>
          <w:tcPr>
            <w:tcW w:w="1440" w:type="dxa"/>
            <w:tcBorders>
              <w:top w:val="single" w:sz="4" w:space="0" w:color="808080"/>
              <w:left w:val="nil"/>
              <w:bottom w:val="single" w:sz="4" w:space="0" w:color="808080"/>
              <w:right w:val="single" w:sz="4" w:space="0" w:color="808080"/>
            </w:tcBorders>
            <w:shd w:val="clear" w:color="auto" w:fill="auto"/>
          </w:tcPr>
          <w:p w:rsidR="001918B4" w:rsidRPr="001918B4" w:rsidRDefault="001918B4" w:rsidP="002D4A61">
            <w:pPr>
              <w:rPr>
                <w:sz w:val="22"/>
                <w:szCs w:val="22"/>
              </w:rPr>
            </w:pPr>
            <w:r w:rsidRPr="001918B4">
              <w:rPr>
                <w:sz w:val="22"/>
                <w:szCs w:val="22"/>
              </w:rPr>
              <w:t>12/30/10</w:t>
            </w:r>
          </w:p>
        </w:tc>
      </w:tr>
      <w:tr w:rsidR="00D20B23"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0B23" w:rsidRPr="002D0FE2" w:rsidRDefault="00D20B23" w:rsidP="009D3CD6">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D20B23" w:rsidRPr="002D0FE2" w:rsidRDefault="00D20B23" w:rsidP="009D3CD6">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tcPr>
          <w:p w:rsidR="00D20B23" w:rsidRPr="002D0FE2" w:rsidRDefault="00D20B23" w:rsidP="009D3CD6">
            <w:pPr>
              <w:rPr>
                <w:sz w:val="22"/>
                <w:szCs w:val="22"/>
              </w:rPr>
            </w:pPr>
            <w:r w:rsidRPr="002D0FE2">
              <w:rPr>
                <w:sz w:val="22"/>
                <w:szCs w:val="22"/>
              </w:rPr>
              <w:t>AOI</w:t>
            </w:r>
          </w:p>
        </w:tc>
        <w:tc>
          <w:tcPr>
            <w:tcW w:w="1440" w:type="dxa"/>
            <w:tcBorders>
              <w:top w:val="single" w:sz="4" w:space="0" w:color="808080"/>
              <w:left w:val="nil"/>
              <w:bottom w:val="single" w:sz="4" w:space="0" w:color="808080"/>
              <w:right w:val="single" w:sz="4" w:space="0" w:color="808080"/>
            </w:tcBorders>
            <w:shd w:val="clear" w:color="auto" w:fill="auto"/>
          </w:tcPr>
          <w:p w:rsidR="00D20B23" w:rsidRPr="002D0FE2" w:rsidRDefault="000043F8" w:rsidP="009D3CD6">
            <w:pPr>
              <w:rPr>
                <w:sz w:val="22"/>
                <w:szCs w:val="22"/>
              </w:rPr>
            </w:pPr>
            <w:r>
              <w:rPr>
                <w:sz w:val="22"/>
                <w:szCs w:val="22"/>
              </w:rPr>
              <w:t>01/14/11</w:t>
            </w:r>
          </w:p>
        </w:tc>
      </w:tr>
      <w:tr w:rsidR="000043F8"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sz w:val="22"/>
                <w:szCs w:val="22"/>
              </w:rPr>
            </w:pPr>
            <w:r w:rsidRPr="002D0FE2">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 xml:space="preserve">Boise Cascade, LLC </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0043F8" w:rsidRPr="002D0FE2" w:rsidTr="009D3CD6">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rFonts w:eastAsiaTheme="minorHAnsi"/>
                <w:sz w:val="22"/>
                <w:szCs w:val="22"/>
              </w:rPr>
            </w:pPr>
            <w:r w:rsidRPr="002D0FE2">
              <w:rPr>
                <w:sz w:val="22"/>
                <w:szCs w:val="22"/>
              </w:rPr>
              <w:t>Scott Hedges</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Environmental Protection Agency, Region 10</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0043F8" w:rsidRPr="002D0FE2" w:rsidTr="009D3CD6">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sz w:val="22"/>
                <w:szCs w:val="22"/>
              </w:rPr>
            </w:pPr>
            <w:r w:rsidRPr="002D0FE2">
              <w:rPr>
                <w:sz w:val="22"/>
                <w:szCs w:val="22"/>
              </w:rPr>
              <w:t>Scott Stewart</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6B20A0"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B20A0" w:rsidRPr="002D0FE2" w:rsidRDefault="006B20A0" w:rsidP="009D3CD6">
            <w:pPr>
              <w:jc w:val="center"/>
              <w:rPr>
                <w:sz w:val="22"/>
                <w:szCs w:val="22"/>
              </w:rPr>
            </w:pPr>
            <w:r>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6B20A0" w:rsidRPr="002D0FE2" w:rsidRDefault="006B20A0" w:rsidP="009D3CD6">
            <w:pPr>
              <w:rPr>
                <w:sz w:val="22"/>
                <w:szCs w:val="22"/>
              </w:rPr>
            </w:pPr>
            <w:r>
              <w:rPr>
                <w:sz w:val="22"/>
                <w:szCs w:val="22"/>
              </w:rPr>
              <w:t>Aubrey Baldwin</w:t>
            </w:r>
          </w:p>
        </w:tc>
        <w:tc>
          <w:tcPr>
            <w:tcW w:w="4680" w:type="dxa"/>
            <w:tcBorders>
              <w:top w:val="single" w:sz="4" w:space="0" w:color="808080"/>
              <w:left w:val="nil"/>
              <w:bottom w:val="single" w:sz="4" w:space="0" w:color="808080"/>
              <w:right w:val="single" w:sz="4" w:space="0" w:color="808080"/>
            </w:tcBorders>
            <w:shd w:val="clear" w:color="auto" w:fill="auto"/>
          </w:tcPr>
          <w:p w:rsidR="006B20A0" w:rsidRPr="002D0FE2" w:rsidRDefault="006B20A0" w:rsidP="009D3CD6">
            <w:pPr>
              <w:rPr>
                <w:sz w:val="22"/>
                <w:szCs w:val="22"/>
              </w:rPr>
            </w:pPr>
            <w:r w:rsidRPr="002D0FE2">
              <w:rPr>
                <w:sz w:val="22"/>
                <w:szCs w:val="22"/>
              </w:rPr>
              <w:t>Northwest Environmental Defense Fund</w:t>
            </w:r>
          </w:p>
        </w:tc>
        <w:tc>
          <w:tcPr>
            <w:tcW w:w="1440" w:type="dxa"/>
            <w:tcBorders>
              <w:top w:val="single" w:sz="4" w:space="0" w:color="808080"/>
              <w:left w:val="nil"/>
              <w:bottom w:val="single" w:sz="4" w:space="0" w:color="808080"/>
              <w:right w:val="single" w:sz="4" w:space="0" w:color="808080"/>
            </w:tcBorders>
            <w:shd w:val="clear" w:color="auto" w:fill="auto"/>
          </w:tcPr>
          <w:p w:rsidR="006B20A0" w:rsidRDefault="006B20A0" w:rsidP="009D3CD6">
            <w:r w:rsidRPr="00EB4F8A">
              <w:rPr>
                <w:sz w:val="22"/>
                <w:szCs w:val="22"/>
              </w:rPr>
              <w:t>01/14/11</w:t>
            </w:r>
          </w:p>
        </w:tc>
      </w:tr>
      <w:tr w:rsidR="000043F8"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sz w:val="22"/>
                <w:szCs w:val="22"/>
              </w:rPr>
            </w:pPr>
            <w:r w:rsidRPr="002D0FE2">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Northwest Pulp and Paper Association</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F943FC"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943FC" w:rsidRPr="002D0FE2" w:rsidRDefault="00F943FC" w:rsidP="009D3CD6">
            <w:pPr>
              <w:jc w:val="center"/>
              <w:rPr>
                <w:sz w:val="22"/>
                <w:szCs w:val="22"/>
              </w:rPr>
            </w:pPr>
            <w:r w:rsidRPr="002D0FE2">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tcPr>
          <w:p w:rsidR="00F943FC" w:rsidRPr="002D0FE2" w:rsidRDefault="00F943FC" w:rsidP="009D3CD6">
            <w:pPr>
              <w:rPr>
                <w:sz w:val="22"/>
                <w:szCs w:val="22"/>
              </w:rPr>
            </w:pPr>
            <w:r w:rsidRPr="002D0FE2">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tcPr>
          <w:p w:rsidR="00F943FC" w:rsidRPr="002D0FE2" w:rsidRDefault="00F943FC" w:rsidP="009D3CD6">
            <w:pPr>
              <w:rPr>
                <w:sz w:val="22"/>
                <w:szCs w:val="22"/>
              </w:rPr>
            </w:pPr>
            <w:r w:rsidRPr="002D0FE2">
              <w:rPr>
                <w:sz w:val="22"/>
                <w:szCs w:val="22"/>
              </w:rPr>
              <w:t>PGE</w:t>
            </w:r>
          </w:p>
        </w:tc>
        <w:tc>
          <w:tcPr>
            <w:tcW w:w="1440" w:type="dxa"/>
            <w:tcBorders>
              <w:top w:val="single" w:sz="4" w:space="0" w:color="808080"/>
              <w:left w:val="nil"/>
              <w:bottom w:val="single" w:sz="4" w:space="0" w:color="808080"/>
              <w:right w:val="single" w:sz="4" w:space="0" w:color="808080"/>
            </w:tcBorders>
            <w:shd w:val="clear" w:color="auto" w:fill="auto"/>
          </w:tcPr>
          <w:p w:rsidR="00F943FC" w:rsidRDefault="00F943FC">
            <w:r w:rsidRPr="00EB4F8A">
              <w:rPr>
                <w:sz w:val="22"/>
                <w:szCs w:val="22"/>
              </w:rPr>
              <w:t>01/14/11</w:t>
            </w:r>
          </w:p>
        </w:tc>
      </w:tr>
      <w:tr w:rsidR="00E60FC7"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60FC7" w:rsidRPr="002D0FE2" w:rsidRDefault="00E60FC7" w:rsidP="009D3CD6">
            <w:pPr>
              <w:jc w:val="center"/>
              <w:rPr>
                <w:sz w:val="22"/>
                <w:szCs w:val="22"/>
              </w:rPr>
            </w:pPr>
            <w:r>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tcPr>
          <w:p w:rsidR="00E60FC7" w:rsidRPr="002D0FE2" w:rsidRDefault="00E60FC7" w:rsidP="009D3CD6">
            <w:pPr>
              <w:rPr>
                <w:sz w:val="22"/>
                <w:szCs w:val="22"/>
              </w:rPr>
            </w:pPr>
            <w:r>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tcPr>
          <w:p w:rsidR="00E60FC7" w:rsidRPr="002D0FE2" w:rsidRDefault="00E60FC7" w:rsidP="009D3CD6">
            <w:pPr>
              <w:rPr>
                <w:sz w:val="22"/>
                <w:szCs w:val="22"/>
              </w:rPr>
            </w:pPr>
            <w:r>
              <w:rPr>
                <w:sz w:val="22"/>
                <w:szCs w:val="22"/>
              </w:rPr>
              <w:t>Oregon Forest Industries Council</w:t>
            </w:r>
          </w:p>
        </w:tc>
        <w:tc>
          <w:tcPr>
            <w:tcW w:w="1440" w:type="dxa"/>
            <w:tcBorders>
              <w:top w:val="single" w:sz="4" w:space="0" w:color="808080"/>
              <w:left w:val="nil"/>
              <w:bottom w:val="single" w:sz="4" w:space="0" w:color="808080"/>
              <w:right w:val="single" w:sz="4" w:space="0" w:color="808080"/>
            </w:tcBorders>
            <w:shd w:val="clear" w:color="auto" w:fill="auto"/>
          </w:tcPr>
          <w:p w:rsidR="00E60FC7" w:rsidRPr="00EB4F8A" w:rsidRDefault="00E60FC7">
            <w:pPr>
              <w:rPr>
                <w:sz w:val="22"/>
                <w:szCs w:val="22"/>
              </w:rPr>
            </w:pPr>
            <w:r>
              <w:rPr>
                <w:sz w:val="22"/>
                <w:szCs w:val="22"/>
              </w:rPr>
              <w:t>01/14/11</w:t>
            </w:r>
          </w:p>
        </w:tc>
      </w:tr>
    </w:tbl>
    <w:p w:rsidR="00076541" w:rsidRPr="002D0FE2" w:rsidRDefault="00076541" w:rsidP="00F943FC">
      <w:pPr>
        <w:rPr>
          <w:sz w:val="22"/>
          <w:szCs w:val="22"/>
        </w:rPr>
      </w:pPr>
    </w:p>
    <w:sectPr w:rsidR="00076541" w:rsidRPr="002D0FE2" w:rsidSect="00911DEC">
      <w:headerReference w:type="default" r:id="rId8"/>
      <w:headerReference w:type="first" r:id="rId9"/>
      <w:pgSz w:w="12240" w:h="15840" w:code="1"/>
      <w:pgMar w:top="720" w:right="360" w:bottom="1440" w:left="108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EAD" w:rsidRDefault="00D16EAD">
      <w:r>
        <w:separator/>
      </w:r>
    </w:p>
  </w:endnote>
  <w:endnote w:type="continuationSeparator" w:id="0">
    <w:p w:rsidR="00D16EAD" w:rsidRDefault="00D16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EAD" w:rsidRDefault="00D16EAD">
      <w:r>
        <w:separator/>
      </w:r>
    </w:p>
  </w:footnote>
  <w:footnote w:type="continuationSeparator" w:id="0">
    <w:p w:rsidR="00D16EAD" w:rsidRDefault="00D16E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AD" w:rsidRPr="00294053" w:rsidRDefault="00D16EAD"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D16EAD" w:rsidRPr="00294053" w:rsidRDefault="00D16EAD" w:rsidP="00FC5FD0">
    <w:pPr>
      <w:tabs>
        <w:tab w:val="left" w:pos="-1440"/>
        <w:tab w:val="left" w:pos="-720"/>
      </w:tabs>
      <w:suppressAutoHyphens/>
    </w:pPr>
    <w:r>
      <w:t>April 21-22, 2011</w:t>
    </w:r>
    <w:r w:rsidRPr="00294053">
      <w:t xml:space="preserve"> EQC Meeting</w:t>
    </w:r>
  </w:p>
  <w:p w:rsidR="00D16EAD" w:rsidRPr="00294053" w:rsidRDefault="00D16EAD" w:rsidP="00FC5FD0">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666738">
      <w:rPr>
        <w:rStyle w:val="PageNumber"/>
        <w:noProof/>
      </w:rPr>
      <w:t>3</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666738">
      <w:rPr>
        <w:rStyle w:val="PageNumber"/>
        <w:noProof/>
      </w:rPr>
      <w:t>36</w:t>
    </w:r>
    <w:r w:rsidRPr="00294053">
      <w:rPr>
        <w:rStyle w:val="PageNumber"/>
      </w:rPr>
      <w:fldChar w:fldCharType="end"/>
    </w:r>
  </w:p>
  <w:p w:rsidR="00D16EAD" w:rsidRPr="00D81356" w:rsidRDefault="00D16E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AD" w:rsidRPr="00294053" w:rsidRDefault="00D16EAD"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D16EAD" w:rsidRPr="00294053" w:rsidRDefault="00D16EAD" w:rsidP="00576CFD">
    <w:pPr>
      <w:tabs>
        <w:tab w:val="left" w:pos="-1440"/>
        <w:tab w:val="left" w:pos="-720"/>
      </w:tabs>
      <w:suppressAutoHyphens/>
    </w:pPr>
    <w:r>
      <w:t>March XX-XX, 2015</w:t>
    </w:r>
    <w:r w:rsidRPr="00294053">
      <w:t xml:space="preserve"> EQC Meeting</w:t>
    </w:r>
  </w:p>
  <w:p w:rsidR="00D16EAD" w:rsidRPr="00294053" w:rsidRDefault="00D16EAD" w:rsidP="00576CFD">
    <w:pPr>
      <w:tabs>
        <w:tab w:val="left" w:pos="-1440"/>
        <w:tab w:val="left" w:pos="-720"/>
      </w:tabs>
      <w:suppressAutoHyphens/>
      <w:rPr>
        <w:rStyle w:val="PageNumber"/>
      </w:rPr>
    </w:pPr>
    <w:r w:rsidRPr="00294053">
      <w:t xml:space="preserve">Page </w:t>
    </w:r>
    <w:r w:rsidRPr="00294053">
      <w:rPr>
        <w:rStyle w:val="PageNumber"/>
      </w:rPr>
      <w:fldChar w:fldCharType="begin"/>
    </w:r>
    <w:r w:rsidRPr="00294053">
      <w:rPr>
        <w:rStyle w:val="PageNumber"/>
      </w:rPr>
      <w:instrText xml:space="preserve"> PAGE </w:instrText>
    </w:r>
    <w:r w:rsidRPr="00294053">
      <w:rPr>
        <w:rStyle w:val="PageNumber"/>
      </w:rPr>
      <w:fldChar w:fldCharType="separate"/>
    </w:r>
    <w:r w:rsidR="00156389">
      <w:rPr>
        <w:rStyle w:val="PageNumber"/>
        <w:noProof/>
      </w:rPr>
      <w:t>1</w:t>
    </w:r>
    <w:r w:rsidRPr="00294053">
      <w:rPr>
        <w:rStyle w:val="PageNumber"/>
      </w:rPr>
      <w:fldChar w:fldCharType="end"/>
    </w:r>
    <w:r w:rsidRPr="00294053">
      <w:t xml:space="preserve"> of </w:t>
    </w:r>
    <w:r w:rsidRPr="00294053">
      <w:rPr>
        <w:rStyle w:val="PageNumber"/>
      </w:rPr>
      <w:fldChar w:fldCharType="begin"/>
    </w:r>
    <w:r w:rsidRPr="00294053">
      <w:rPr>
        <w:rStyle w:val="PageNumber"/>
      </w:rPr>
      <w:instrText xml:space="preserve"> NUMPAGES  </w:instrText>
    </w:r>
    <w:r w:rsidRPr="00294053">
      <w:rPr>
        <w:rStyle w:val="PageNumber"/>
      </w:rPr>
      <w:fldChar w:fldCharType="separate"/>
    </w:r>
    <w:r w:rsidR="00156389">
      <w:rPr>
        <w:rStyle w:val="PageNumber"/>
        <w:noProof/>
      </w:rPr>
      <w:t>36</w:t>
    </w:r>
    <w:r w:rsidRPr="00294053">
      <w:rPr>
        <w:rStyle w:val="PageNumber"/>
      </w:rPr>
      <w:fldChar w:fldCharType="end"/>
    </w:r>
  </w:p>
  <w:p w:rsidR="00D16EAD" w:rsidRDefault="00D16E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2"/>
  </w:num>
  <w:num w:numId="4">
    <w:abstractNumId w:val="25"/>
  </w:num>
  <w:num w:numId="5">
    <w:abstractNumId w:val="21"/>
  </w:num>
  <w:num w:numId="6">
    <w:abstractNumId w:val="5"/>
  </w:num>
  <w:num w:numId="7">
    <w:abstractNumId w:val="9"/>
  </w:num>
  <w:num w:numId="8">
    <w:abstractNumId w:val="11"/>
  </w:num>
  <w:num w:numId="9">
    <w:abstractNumId w:val="6"/>
  </w:num>
  <w:num w:numId="10">
    <w:abstractNumId w:val="12"/>
  </w:num>
  <w:num w:numId="11">
    <w:abstractNumId w:val="4"/>
  </w:num>
  <w:num w:numId="12">
    <w:abstractNumId w:val="22"/>
  </w:num>
  <w:num w:numId="13">
    <w:abstractNumId w:val="19"/>
  </w:num>
  <w:num w:numId="14">
    <w:abstractNumId w:val="17"/>
  </w:num>
  <w:num w:numId="15">
    <w:abstractNumId w:val="16"/>
  </w:num>
  <w:num w:numId="16">
    <w:abstractNumId w:val="1"/>
  </w:num>
  <w:num w:numId="17">
    <w:abstractNumId w:val="20"/>
  </w:num>
  <w:num w:numId="18">
    <w:abstractNumId w:val="24"/>
  </w:num>
  <w:num w:numId="19">
    <w:abstractNumId w:val="14"/>
  </w:num>
  <w:num w:numId="20">
    <w:abstractNumId w:val="26"/>
  </w:num>
  <w:num w:numId="21">
    <w:abstractNumId w:val="3"/>
  </w:num>
  <w:num w:numId="22">
    <w:abstractNumId w:val="13"/>
  </w:num>
  <w:num w:numId="23">
    <w:abstractNumId w:val="23"/>
  </w:num>
  <w:num w:numId="24">
    <w:abstractNumId w:val="18"/>
  </w:num>
  <w:num w:numId="25">
    <w:abstractNumId w:val="10"/>
  </w:num>
  <w:num w:numId="26">
    <w:abstractNumId w:val="7"/>
  </w:num>
  <w:num w:numId="27">
    <w:abstractNumId w:val="1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5472C1"/>
    <w:rsid w:val="000007C6"/>
    <w:rsid w:val="00000884"/>
    <w:rsid w:val="00000C63"/>
    <w:rsid w:val="00000D81"/>
    <w:rsid w:val="00001058"/>
    <w:rsid w:val="00001683"/>
    <w:rsid w:val="000016C0"/>
    <w:rsid w:val="00002BE8"/>
    <w:rsid w:val="000043B9"/>
    <w:rsid w:val="000043F8"/>
    <w:rsid w:val="00004EFC"/>
    <w:rsid w:val="000054E6"/>
    <w:rsid w:val="0000787A"/>
    <w:rsid w:val="00007EEF"/>
    <w:rsid w:val="00010046"/>
    <w:rsid w:val="000113D6"/>
    <w:rsid w:val="00011428"/>
    <w:rsid w:val="00012636"/>
    <w:rsid w:val="00012675"/>
    <w:rsid w:val="000127CD"/>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F1F"/>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104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407"/>
    <w:rsid w:val="0004404B"/>
    <w:rsid w:val="00045054"/>
    <w:rsid w:val="00045795"/>
    <w:rsid w:val="00046252"/>
    <w:rsid w:val="0005017B"/>
    <w:rsid w:val="00050EB4"/>
    <w:rsid w:val="000510EA"/>
    <w:rsid w:val="000525D2"/>
    <w:rsid w:val="000537F4"/>
    <w:rsid w:val="00053916"/>
    <w:rsid w:val="000555D4"/>
    <w:rsid w:val="00055624"/>
    <w:rsid w:val="00055F6F"/>
    <w:rsid w:val="0006062D"/>
    <w:rsid w:val="00060A87"/>
    <w:rsid w:val="00061462"/>
    <w:rsid w:val="0006197B"/>
    <w:rsid w:val="000622B9"/>
    <w:rsid w:val="000626BD"/>
    <w:rsid w:val="00062930"/>
    <w:rsid w:val="000636B8"/>
    <w:rsid w:val="00064345"/>
    <w:rsid w:val="00065341"/>
    <w:rsid w:val="00065F92"/>
    <w:rsid w:val="00066506"/>
    <w:rsid w:val="00066813"/>
    <w:rsid w:val="000672D5"/>
    <w:rsid w:val="0006764D"/>
    <w:rsid w:val="00071D8F"/>
    <w:rsid w:val="0007262A"/>
    <w:rsid w:val="0007371B"/>
    <w:rsid w:val="000747A1"/>
    <w:rsid w:val="000747AE"/>
    <w:rsid w:val="00074FDF"/>
    <w:rsid w:val="00075118"/>
    <w:rsid w:val="00076541"/>
    <w:rsid w:val="0007654E"/>
    <w:rsid w:val="00077F3C"/>
    <w:rsid w:val="000824DA"/>
    <w:rsid w:val="00083644"/>
    <w:rsid w:val="00084467"/>
    <w:rsid w:val="000856BE"/>
    <w:rsid w:val="0008686D"/>
    <w:rsid w:val="00086B60"/>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977"/>
    <w:rsid w:val="00097EA3"/>
    <w:rsid w:val="000A0184"/>
    <w:rsid w:val="000A0C91"/>
    <w:rsid w:val="000A0E4F"/>
    <w:rsid w:val="000A354B"/>
    <w:rsid w:val="000A3FEA"/>
    <w:rsid w:val="000A4CA3"/>
    <w:rsid w:val="000A5274"/>
    <w:rsid w:val="000A58AD"/>
    <w:rsid w:val="000A5B13"/>
    <w:rsid w:val="000A7E37"/>
    <w:rsid w:val="000B07DB"/>
    <w:rsid w:val="000B0E8E"/>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4842"/>
    <w:rsid w:val="000F5A19"/>
    <w:rsid w:val="000F6D93"/>
    <w:rsid w:val="00100190"/>
    <w:rsid w:val="0010042F"/>
    <w:rsid w:val="0010183B"/>
    <w:rsid w:val="0010238A"/>
    <w:rsid w:val="001043C1"/>
    <w:rsid w:val="00105571"/>
    <w:rsid w:val="00105966"/>
    <w:rsid w:val="00105BF2"/>
    <w:rsid w:val="001075FE"/>
    <w:rsid w:val="00107F76"/>
    <w:rsid w:val="00110C44"/>
    <w:rsid w:val="001123AE"/>
    <w:rsid w:val="00112631"/>
    <w:rsid w:val="001129E0"/>
    <w:rsid w:val="00112F2F"/>
    <w:rsid w:val="00113391"/>
    <w:rsid w:val="001142A6"/>
    <w:rsid w:val="00114C9E"/>
    <w:rsid w:val="00115A80"/>
    <w:rsid w:val="00115C4F"/>
    <w:rsid w:val="00115D31"/>
    <w:rsid w:val="00116A99"/>
    <w:rsid w:val="00117C1E"/>
    <w:rsid w:val="00120EF4"/>
    <w:rsid w:val="00122824"/>
    <w:rsid w:val="00122C65"/>
    <w:rsid w:val="001234E8"/>
    <w:rsid w:val="00124DAD"/>
    <w:rsid w:val="0012520B"/>
    <w:rsid w:val="001259AE"/>
    <w:rsid w:val="00126936"/>
    <w:rsid w:val="001274B2"/>
    <w:rsid w:val="00127A7F"/>
    <w:rsid w:val="00132B8E"/>
    <w:rsid w:val="001330E6"/>
    <w:rsid w:val="001331A2"/>
    <w:rsid w:val="00133B4C"/>
    <w:rsid w:val="00133D03"/>
    <w:rsid w:val="00133D8E"/>
    <w:rsid w:val="00134562"/>
    <w:rsid w:val="00135117"/>
    <w:rsid w:val="001363B0"/>
    <w:rsid w:val="001370DC"/>
    <w:rsid w:val="00140006"/>
    <w:rsid w:val="0014046E"/>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C5"/>
    <w:rsid w:val="00162291"/>
    <w:rsid w:val="001627C9"/>
    <w:rsid w:val="00162BDC"/>
    <w:rsid w:val="00162BF6"/>
    <w:rsid w:val="00162CCA"/>
    <w:rsid w:val="0016386B"/>
    <w:rsid w:val="00163CC6"/>
    <w:rsid w:val="00163E8B"/>
    <w:rsid w:val="001645C7"/>
    <w:rsid w:val="00164F6F"/>
    <w:rsid w:val="001667DF"/>
    <w:rsid w:val="00166802"/>
    <w:rsid w:val="00166BA2"/>
    <w:rsid w:val="001671AE"/>
    <w:rsid w:val="00167780"/>
    <w:rsid w:val="00167847"/>
    <w:rsid w:val="00167A8A"/>
    <w:rsid w:val="00167F10"/>
    <w:rsid w:val="00170C7B"/>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49C"/>
    <w:rsid w:val="00190397"/>
    <w:rsid w:val="001911B8"/>
    <w:rsid w:val="001918B4"/>
    <w:rsid w:val="001926EE"/>
    <w:rsid w:val="00193BF3"/>
    <w:rsid w:val="00193C52"/>
    <w:rsid w:val="00193D8D"/>
    <w:rsid w:val="00193EE6"/>
    <w:rsid w:val="00194890"/>
    <w:rsid w:val="00194BD2"/>
    <w:rsid w:val="00195024"/>
    <w:rsid w:val="00195038"/>
    <w:rsid w:val="0019637E"/>
    <w:rsid w:val="00197BFE"/>
    <w:rsid w:val="001A07F9"/>
    <w:rsid w:val="001A0A81"/>
    <w:rsid w:val="001A1355"/>
    <w:rsid w:val="001A1464"/>
    <w:rsid w:val="001A171D"/>
    <w:rsid w:val="001A2874"/>
    <w:rsid w:val="001A292F"/>
    <w:rsid w:val="001A2DC6"/>
    <w:rsid w:val="001A3530"/>
    <w:rsid w:val="001A3B18"/>
    <w:rsid w:val="001A3BF8"/>
    <w:rsid w:val="001A4ACA"/>
    <w:rsid w:val="001A5F1A"/>
    <w:rsid w:val="001A61F0"/>
    <w:rsid w:val="001A70C2"/>
    <w:rsid w:val="001A77FC"/>
    <w:rsid w:val="001B0123"/>
    <w:rsid w:val="001B076F"/>
    <w:rsid w:val="001B102D"/>
    <w:rsid w:val="001B19B9"/>
    <w:rsid w:val="001B19BA"/>
    <w:rsid w:val="001B1B83"/>
    <w:rsid w:val="001B2460"/>
    <w:rsid w:val="001B2FE6"/>
    <w:rsid w:val="001B36F2"/>
    <w:rsid w:val="001B4F39"/>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D6D"/>
    <w:rsid w:val="001C4251"/>
    <w:rsid w:val="001C4774"/>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531"/>
    <w:rsid w:val="001E070F"/>
    <w:rsid w:val="001E0FF3"/>
    <w:rsid w:val="001E139B"/>
    <w:rsid w:val="001E1E9F"/>
    <w:rsid w:val="001E2073"/>
    <w:rsid w:val="001E2FC6"/>
    <w:rsid w:val="001E31DD"/>
    <w:rsid w:val="001E38E7"/>
    <w:rsid w:val="001E39A9"/>
    <w:rsid w:val="001E39FF"/>
    <w:rsid w:val="001E4463"/>
    <w:rsid w:val="001E482D"/>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30DA"/>
    <w:rsid w:val="00223207"/>
    <w:rsid w:val="00223A91"/>
    <w:rsid w:val="00223C09"/>
    <w:rsid w:val="00224010"/>
    <w:rsid w:val="00224A07"/>
    <w:rsid w:val="0022572B"/>
    <w:rsid w:val="00225D54"/>
    <w:rsid w:val="00226AC0"/>
    <w:rsid w:val="00227AD8"/>
    <w:rsid w:val="002308BE"/>
    <w:rsid w:val="00231353"/>
    <w:rsid w:val="00231C05"/>
    <w:rsid w:val="002348B8"/>
    <w:rsid w:val="00234EEF"/>
    <w:rsid w:val="00235F65"/>
    <w:rsid w:val="00236055"/>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71C"/>
    <w:rsid w:val="002678D8"/>
    <w:rsid w:val="002678F0"/>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6354"/>
    <w:rsid w:val="002B659D"/>
    <w:rsid w:val="002C04BE"/>
    <w:rsid w:val="002C126B"/>
    <w:rsid w:val="002C1A7B"/>
    <w:rsid w:val="002C1B9B"/>
    <w:rsid w:val="002C1E01"/>
    <w:rsid w:val="002C28B9"/>
    <w:rsid w:val="002C4A9B"/>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B5B"/>
    <w:rsid w:val="002D6C97"/>
    <w:rsid w:val="002D6EE5"/>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F0111"/>
    <w:rsid w:val="002F02F4"/>
    <w:rsid w:val="002F0609"/>
    <w:rsid w:val="002F0612"/>
    <w:rsid w:val="002F0A53"/>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949"/>
    <w:rsid w:val="0030306E"/>
    <w:rsid w:val="0030422A"/>
    <w:rsid w:val="00304460"/>
    <w:rsid w:val="00307F2E"/>
    <w:rsid w:val="0031027E"/>
    <w:rsid w:val="003103C4"/>
    <w:rsid w:val="00311127"/>
    <w:rsid w:val="003120E2"/>
    <w:rsid w:val="003121E7"/>
    <w:rsid w:val="003123C3"/>
    <w:rsid w:val="003139E7"/>
    <w:rsid w:val="00313A3A"/>
    <w:rsid w:val="003150A3"/>
    <w:rsid w:val="00316BFF"/>
    <w:rsid w:val="00316EF8"/>
    <w:rsid w:val="003214D4"/>
    <w:rsid w:val="00321836"/>
    <w:rsid w:val="003218AA"/>
    <w:rsid w:val="003221E0"/>
    <w:rsid w:val="003227D1"/>
    <w:rsid w:val="00322F73"/>
    <w:rsid w:val="003234EC"/>
    <w:rsid w:val="003244AE"/>
    <w:rsid w:val="003244BA"/>
    <w:rsid w:val="00324832"/>
    <w:rsid w:val="00324A8E"/>
    <w:rsid w:val="00324E4B"/>
    <w:rsid w:val="00325F0A"/>
    <w:rsid w:val="00326948"/>
    <w:rsid w:val="00326B6B"/>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F4B"/>
    <w:rsid w:val="00344727"/>
    <w:rsid w:val="00344C77"/>
    <w:rsid w:val="00346E68"/>
    <w:rsid w:val="00347646"/>
    <w:rsid w:val="00347A72"/>
    <w:rsid w:val="00347DAB"/>
    <w:rsid w:val="00350B85"/>
    <w:rsid w:val="00351F8C"/>
    <w:rsid w:val="00352943"/>
    <w:rsid w:val="003529B8"/>
    <w:rsid w:val="00352ED5"/>
    <w:rsid w:val="00353084"/>
    <w:rsid w:val="00353569"/>
    <w:rsid w:val="003542C7"/>
    <w:rsid w:val="0035690B"/>
    <w:rsid w:val="0035770A"/>
    <w:rsid w:val="003579C6"/>
    <w:rsid w:val="00357F71"/>
    <w:rsid w:val="00361055"/>
    <w:rsid w:val="003611B6"/>
    <w:rsid w:val="0036165F"/>
    <w:rsid w:val="003624FC"/>
    <w:rsid w:val="003629E2"/>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2243"/>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BE4"/>
    <w:rsid w:val="003928D1"/>
    <w:rsid w:val="00392E99"/>
    <w:rsid w:val="00393256"/>
    <w:rsid w:val="00393906"/>
    <w:rsid w:val="003951B3"/>
    <w:rsid w:val="00396FDA"/>
    <w:rsid w:val="00397442"/>
    <w:rsid w:val="00397BA2"/>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640D"/>
    <w:rsid w:val="003A7239"/>
    <w:rsid w:val="003B08EC"/>
    <w:rsid w:val="003B0914"/>
    <w:rsid w:val="003B16DF"/>
    <w:rsid w:val="003B198E"/>
    <w:rsid w:val="003B29FD"/>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99"/>
    <w:rsid w:val="003C3DCE"/>
    <w:rsid w:val="003C4242"/>
    <w:rsid w:val="003C4269"/>
    <w:rsid w:val="003C50A1"/>
    <w:rsid w:val="003C528F"/>
    <w:rsid w:val="003C6649"/>
    <w:rsid w:val="003C66BD"/>
    <w:rsid w:val="003C73FC"/>
    <w:rsid w:val="003C7662"/>
    <w:rsid w:val="003C7A05"/>
    <w:rsid w:val="003D0797"/>
    <w:rsid w:val="003D09EF"/>
    <w:rsid w:val="003D1DD2"/>
    <w:rsid w:val="003D1E29"/>
    <w:rsid w:val="003D316B"/>
    <w:rsid w:val="003D378D"/>
    <w:rsid w:val="003D409E"/>
    <w:rsid w:val="003D428E"/>
    <w:rsid w:val="003D5C6D"/>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D1C"/>
    <w:rsid w:val="003F419D"/>
    <w:rsid w:val="003F48D1"/>
    <w:rsid w:val="003F4E00"/>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63B5"/>
    <w:rsid w:val="00407559"/>
    <w:rsid w:val="00407915"/>
    <w:rsid w:val="00410E34"/>
    <w:rsid w:val="0041110C"/>
    <w:rsid w:val="0041122D"/>
    <w:rsid w:val="00411528"/>
    <w:rsid w:val="00411EBE"/>
    <w:rsid w:val="00412956"/>
    <w:rsid w:val="00413848"/>
    <w:rsid w:val="00414903"/>
    <w:rsid w:val="00414D57"/>
    <w:rsid w:val="00414F4A"/>
    <w:rsid w:val="004158AE"/>
    <w:rsid w:val="004161D3"/>
    <w:rsid w:val="00420BB9"/>
    <w:rsid w:val="00420E14"/>
    <w:rsid w:val="00421683"/>
    <w:rsid w:val="00421A80"/>
    <w:rsid w:val="00422D79"/>
    <w:rsid w:val="00423C3A"/>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54B"/>
    <w:rsid w:val="0044395D"/>
    <w:rsid w:val="0044400A"/>
    <w:rsid w:val="004440E1"/>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476"/>
    <w:rsid w:val="0045457D"/>
    <w:rsid w:val="004554A3"/>
    <w:rsid w:val="00455763"/>
    <w:rsid w:val="00455C31"/>
    <w:rsid w:val="00455CB0"/>
    <w:rsid w:val="00455E86"/>
    <w:rsid w:val="0045627A"/>
    <w:rsid w:val="00456362"/>
    <w:rsid w:val="004574D5"/>
    <w:rsid w:val="00457EE6"/>
    <w:rsid w:val="00461CD5"/>
    <w:rsid w:val="00462070"/>
    <w:rsid w:val="0046234F"/>
    <w:rsid w:val="00463927"/>
    <w:rsid w:val="0046397C"/>
    <w:rsid w:val="004640C3"/>
    <w:rsid w:val="00464179"/>
    <w:rsid w:val="00464413"/>
    <w:rsid w:val="0046461B"/>
    <w:rsid w:val="00464CFB"/>
    <w:rsid w:val="004650FE"/>
    <w:rsid w:val="004665B8"/>
    <w:rsid w:val="004672FE"/>
    <w:rsid w:val="00467324"/>
    <w:rsid w:val="00470569"/>
    <w:rsid w:val="00470F49"/>
    <w:rsid w:val="0047228C"/>
    <w:rsid w:val="00472EF3"/>
    <w:rsid w:val="004737DC"/>
    <w:rsid w:val="00473A34"/>
    <w:rsid w:val="00473BB1"/>
    <w:rsid w:val="00474C09"/>
    <w:rsid w:val="00474E86"/>
    <w:rsid w:val="0047512E"/>
    <w:rsid w:val="00476390"/>
    <w:rsid w:val="00476A38"/>
    <w:rsid w:val="0047796F"/>
    <w:rsid w:val="004779DC"/>
    <w:rsid w:val="00477D5D"/>
    <w:rsid w:val="00480169"/>
    <w:rsid w:val="004802D5"/>
    <w:rsid w:val="00480432"/>
    <w:rsid w:val="00480721"/>
    <w:rsid w:val="0048228E"/>
    <w:rsid w:val="004825D9"/>
    <w:rsid w:val="004830E3"/>
    <w:rsid w:val="0048314F"/>
    <w:rsid w:val="004836A3"/>
    <w:rsid w:val="004840C3"/>
    <w:rsid w:val="00485373"/>
    <w:rsid w:val="00485D32"/>
    <w:rsid w:val="00486300"/>
    <w:rsid w:val="00486A65"/>
    <w:rsid w:val="00486B92"/>
    <w:rsid w:val="00487C2E"/>
    <w:rsid w:val="00490532"/>
    <w:rsid w:val="00490A8D"/>
    <w:rsid w:val="00491C9B"/>
    <w:rsid w:val="00491D34"/>
    <w:rsid w:val="00491EF9"/>
    <w:rsid w:val="004920C4"/>
    <w:rsid w:val="00492BF2"/>
    <w:rsid w:val="00493FF9"/>
    <w:rsid w:val="0049461E"/>
    <w:rsid w:val="004953B5"/>
    <w:rsid w:val="00495B00"/>
    <w:rsid w:val="00496308"/>
    <w:rsid w:val="004967AD"/>
    <w:rsid w:val="0049681C"/>
    <w:rsid w:val="00497531"/>
    <w:rsid w:val="00497629"/>
    <w:rsid w:val="00497894"/>
    <w:rsid w:val="004A08B3"/>
    <w:rsid w:val="004A0EA4"/>
    <w:rsid w:val="004A236A"/>
    <w:rsid w:val="004A330E"/>
    <w:rsid w:val="004A3B2E"/>
    <w:rsid w:val="004A4157"/>
    <w:rsid w:val="004A45C9"/>
    <w:rsid w:val="004A4BE1"/>
    <w:rsid w:val="004A55ED"/>
    <w:rsid w:val="004A65F4"/>
    <w:rsid w:val="004A68F4"/>
    <w:rsid w:val="004A70B3"/>
    <w:rsid w:val="004A73AC"/>
    <w:rsid w:val="004B04DB"/>
    <w:rsid w:val="004B0C1D"/>
    <w:rsid w:val="004B1272"/>
    <w:rsid w:val="004B4755"/>
    <w:rsid w:val="004B4A47"/>
    <w:rsid w:val="004B4DAF"/>
    <w:rsid w:val="004B5433"/>
    <w:rsid w:val="004B5471"/>
    <w:rsid w:val="004B65D5"/>
    <w:rsid w:val="004B66E9"/>
    <w:rsid w:val="004C094E"/>
    <w:rsid w:val="004C2878"/>
    <w:rsid w:val="004C292A"/>
    <w:rsid w:val="004C2FE9"/>
    <w:rsid w:val="004C3BD3"/>
    <w:rsid w:val="004C46C0"/>
    <w:rsid w:val="004C5185"/>
    <w:rsid w:val="004C52A4"/>
    <w:rsid w:val="004C75FE"/>
    <w:rsid w:val="004C7C82"/>
    <w:rsid w:val="004D0094"/>
    <w:rsid w:val="004D01BC"/>
    <w:rsid w:val="004D087A"/>
    <w:rsid w:val="004D0E64"/>
    <w:rsid w:val="004D0FC4"/>
    <w:rsid w:val="004D1DDD"/>
    <w:rsid w:val="004D2023"/>
    <w:rsid w:val="004D2A5F"/>
    <w:rsid w:val="004D2D92"/>
    <w:rsid w:val="004D33C9"/>
    <w:rsid w:val="004D4916"/>
    <w:rsid w:val="004D4932"/>
    <w:rsid w:val="004D5A17"/>
    <w:rsid w:val="004D66FB"/>
    <w:rsid w:val="004D6821"/>
    <w:rsid w:val="004D7E4B"/>
    <w:rsid w:val="004E068D"/>
    <w:rsid w:val="004E1C1A"/>
    <w:rsid w:val="004E3116"/>
    <w:rsid w:val="004E3A6C"/>
    <w:rsid w:val="004E4104"/>
    <w:rsid w:val="004E42F0"/>
    <w:rsid w:val="004E4518"/>
    <w:rsid w:val="004E45E5"/>
    <w:rsid w:val="004E5E8F"/>
    <w:rsid w:val="004E6915"/>
    <w:rsid w:val="004E6F6F"/>
    <w:rsid w:val="004E760B"/>
    <w:rsid w:val="004E7FD8"/>
    <w:rsid w:val="004F02F9"/>
    <w:rsid w:val="004F0D7F"/>
    <w:rsid w:val="004F0F9D"/>
    <w:rsid w:val="004F1531"/>
    <w:rsid w:val="004F166B"/>
    <w:rsid w:val="004F1C92"/>
    <w:rsid w:val="004F263C"/>
    <w:rsid w:val="004F3BDF"/>
    <w:rsid w:val="004F4514"/>
    <w:rsid w:val="004F5F30"/>
    <w:rsid w:val="004F64B8"/>
    <w:rsid w:val="004F716D"/>
    <w:rsid w:val="004F72E3"/>
    <w:rsid w:val="004F7C06"/>
    <w:rsid w:val="00501ADF"/>
    <w:rsid w:val="005021F0"/>
    <w:rsid w:val="00502F11"/>
    <w:rsid w:val="0050360D"/>
    <w:rsid w:val="00503CAB"/>
    <w:rsid w:val="005040D3"/>
    <w:rsid w:val="0050441C"/>
    <w:rsid w:val="00504544"/>
    <w:rsid w:val="00504EA1"/>
    <w:rsid w:val="00505760"/>
    <w:rsid w:val="005066F5"/>
    <w:rsid w:val="00506820"/>
    <w:rsid w:val="0050682E"/>
    <w:rsid w:val="00506DA1"/>
    <w:rsid w:val="005108CB"/>
    <w:rsid w:val="00511199"/>
    <w:rsid w:val="005115B1"/>
    <w:rsid w:val="005115F6"/>
    <w:rsid w:val="00511B83"/>
    <w:rsid w:val="0051452D"/>
    <w:rsid w:val="00514621"/>
    <w:rsid w:val="005147D4"/>
    <w:rsid w:val="005148A4"/>
    <w:rsid w:val="00514E5C"/>
    <w:rsid w:val="00515061"/>
    <w:rsid w:val="00515811"/>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8F7"/>
    <w:rsid w:val="0053117D"/>
    <w:rsid w:val="005313BD"/>
    <w:rsid w:val="005317CA"/>
    <w:rsid w:val="0053193E"/>
    <w:rsid w:val="00531CCE"/>
    <w:rsid w:val="00532478"/>
    <w:rsid w:val="00532988"/>
    <w:rsid w:val="00532B91"/>
    <w:rsid w:val="00534316"/>
    <w:rsid w:val="005349DC"/>
    <w:rsid w:val="00535097"/>
    <w:rsid w:val="005351D5"/>
    <w:rsid w:val="00536B7D"/>
    <w:rsid w:val="00537EFE"/>
    <w:rsid w:val="00540778"/>
    <w:rsid w:val="00540D19"/>
    <w:rsid w:val="0054170C"/>
    <w:rsid w:val="00542408"/>
    <w:rsid w:val="0054255F"/>
    <w:rsid w:val="0054256B"/>
    <w:rsid w:val="005427D7"/>
    <w:rsid w:val="00542B2C"/>
    <w:rsid w:val="00542B32"/>
    <w:rsid w:val="00544316"/>
    <w:rsid w:val="00545917"/>
    <w:rsid w:val="00545BB8"/>
    <w:rsid w:val="00546143"/>
    <w:rsid w:val="0054660A"/>
    <w:rsid w:val="00546EBD"/>
    <w:rsid w:val="0054729D"/>
    <w:rsid w:val="005472C1"/>
    <w:rsid w:val="005479AC"/>
    <w:rsid w:val="00547C9D"/>
    <w:rsid w:val="005517C6"/>
    <w:rsid w:val="00551806"/>
    <w:rsid w:val="00551A86"/>
    <w:rsid w:val="00551F23"/>
    <w:rsid w:val="00552938"/>
    <w:rsid w:val="00554209"/>
    <w:rsid w:val="00556B81"/>
    <w:rsid w:val="0055775E"/>
    <w:rsid w:val="00557882"/>
    <w:rsid w:val="005607E6"/>
    <w:rsid w:val="00560899"/>
    <w:rsid w:val="00560971"/>
    <w:rsid w:val="0056155E"/>
    <w:rsid w:val="005626BE"/>
    <w:rsid w:val="00562F5C"/>
    <w:rsid w:val="005634B9"/>
    <w:rsid w:val="00563A7E"/>
    <w:rsid w:val="005642D8"/>
    <w:rsid w:val="005647DA"/>
    <w:rsid w:val="005657BB"/>
    <w:rsid w:val="00566373"/>
    <w:rsid w:val="00566AEC"/>
    <w:rsid w:val="00566C8D"/>
    <w:rsid w:val="00567D8A"/>
    <w:rsid w:val="0057091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512D"/>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4596"/>
    <w:rsid w:val="005B6304"/>
    <w:rsid w:val="005B6B7E"/>
    <w:rsid w:val="005B75D4"/>
    <w:rsid w:val="005B7C98"/>
    <w:rsid w:val="005C0190"/>
    <w:rsid w:val="005C0467"/>
    <w:rsid w:val="005C1438"/>
    <w:rsid w:val="005C1A6D"/>
    <w:rsid w:val="005C2394"/>
    <w:rsid w:val="005C43E7"/>
    <w:rsid w:val="005C548F"/>
    <w:rsid w:val="005C5841"/>
    <w:rsid w:val="005C5B85"/>
    <w:rsid w:val="005C5B8D"/>
    <w:rsid w:val="005C5DD4"/>
    <w:rsid w:val="005C6136"/>
    <w:rsid w:val="005C64C2"/>
    <w:rsid w:val="005C7A0F"/>
    <w:rsid w:val="005D0536"/>
    <w:rsid w:val="005D13EC"/>
    <w:rsid w:val="005D17F1"/>
    <w:rsid w:val="005D1D1C"/>
    <w:rsid w:val="005D285F"/>
    <w:rsid w:val="005D2924"/>
    <w:rsid w:val="005D2E95"/>
    <w:rsid w:val="005D44C0"/>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94"/>
    <w:rsid w:val="00602095"/>
    <w:rsid w:val="00602179"/>
    <w:rsid w:val="0060219D"/>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4A7F"/>
    <w:rsid w:val="00634E01"/>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C83"/>
    <w:rsid w:val="00654CB3"/>
    <w:rsid w:val="00655907"/>
    <w:rsid w:val="00656547"/>
    <w:rsid w:val="006568D0"/>
    <w:rsid w:val="006576F1"/>
    <w:rsid w:val="006577D3"/>
    <w:rsid w:val="00660C13"/>
    <w:rsid w:val="0066199D"/>
    <w:rsid w:val="00661F9E"/>
    <w:rsid w:val="00662D03"/>
    <w:rsid w:val="006649C1"/>
    <w:rsid w:val="00664D70"/>
    <w:rsid w:val="00664E24"/>
    <w:rsid w:val="00664FF4"/>
    <w:rsid w:val="0066618E"/>
    <w:rsid w:val="00666529"/>
    <w:rsid w:val="00666738"/>
    <w:rsid w:val="00670B2F"/>
    <w:rsid w:val="00671209"/>
    <w:rsid w:val="00671C63"/>
    <w:rsid w:val="00672F9B"/>
    <w:rsid w:val="00673D2C"/>
    <w:rsid w:val="00674133"/>
    <w:rsid w:val="006748D6"/>
    <w:rsid w:val="00680049"/>
    <w:rsid w:val="00680F0C"/>
    <w:rsid w:val="006824A5"/>
    <w:rsid w:val="006829BE"/>
    <w:rsid w:val="00682F32"/>
    <w:rsid w:val="006847C7"/>
    <w:rsid w:val="00684ABE"/>
    <w:rsid w:val="006860D7"/>
    <w:rsid w:val="00687200"/>
    <w:rsid w:val="006875ED"/>
    <w:rsid w:val="00687A2B"/>
    <w:rsid w:val="00687C2D"/>
    <w:rsid w:val="00687CA3"/>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31DF"/>
    <w:rsid w:val="006B3A28"/>
    <w:rsid w:val="006B4992"/>
    <w:rsid w:val="006B4B26"/>
    <w:rsid w:val="006B671D"/>
    <w:rsid w:val="006B6799"/>
    <w:rsid w:val="006B6C6E"/>
    <w:rsid w:val="006C01C5"/>
    <w:rsid w:val="006C03FB"/>
    <w:rsid w:val="006C0761"/>
    <w:rsid w:val="006C182C"/>
    <w:rsid w:val="006C2949"/>
    <w:rsid w:val="006C2FE5"/>
    <w:rsid w:val="006C38A8"/>
    <w:rsid w:val="006C4BDC"/>
    <w:rsid w:val="006C52AE"/>
    <w:rsid w:val="006C5409"/>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5418"/>
    <w:rsid w:val="006E55FB"/>
    <w:rsid w:val="006E57F1"/>
    <w:rsid w:val="006E5C4F"/>
    <w:rsid w:val="006E628C"/>
    <w:rsid w:val="006E660E"/>
    <w:rsid w:val="006E696C"/>
    <w:rsid w:val="006E7076"/>
    <w:rsid w:val="006F13C7"/>
    <w:rsid w:val="006F2421"/>
    <w:rsid w:val="006F3C7D"/>
    <w:rsid w:val="006F47E4"/>
    <w:rsid w:val="006F4E40"/>
    <w:rsid w:val="006F5A1D"/>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605A"/>
    <w:rsid w:val="007162F4"/>
    <w:rsid w:val="0071639E"/>
    <w:rsid w:val="007165DF"/>
    <w:rsid w:val="00716B4E"/>
    <w:rsid w:val="0072029F"/>
    <w:rsid w:val="007206B4"/>
    <w:rsid w:val="00721B6C"/>
    <w:rsid w:val="007224A1"/>
    <w:rsid w:val="00722A4E"/>
    <w:rsid w:val="00722C61"/>
    <w:rsid w:val="00722EA0"/>
    <w:rsid w:val="00723C40"/>
    <w:rsid w:val="00725F1C"/>
    <w:rsid w:val="007263D0"/>
    <w:rsid w:val="00726B14"/>
    <w:rsid w:val="00726B53"/>
    <w:rsid w:val="00730A60"/>
    <w:rsid w:val="00730D99"/>
    <w:rsid w:val="00731006"/>
    <w:rsid w:val="00731ABC"/>
    <w:rsid w:val="007328B0"/>
    <w:rsid w:val="00733B81"/>
    <w:rsid w:val="00733F50"/>
    <w:rsid w:val="0073471C"/>
    <w:rsid w:val="007350D3"/>
    <w:rsid w:val="0073584E"/>
    <w:rsid w:val="0073684F"/>
    <w:rsid w:val="00736BFD"/>
    <w:rsid w:val="00737DCE"/>
    <w:rsid w:val="00737E38"/>
    <w:rsid w:val="007409C9"/>
    <w:rsid w:val="007410FE"/>
    <w:rsid w:val="007417EF"/>
    <w:rsid w:val="00743099"/>
    <w:rsid w:val="007441C5"/>
    <w:rsid w:val="00744F0A"/>
    <w:rsid w:val="00745408"/>
    <w:rsid w:val="00745431"/>
    <w:rsid w:val="00745C4A"/>
    <w:rsid w:val="007462DD"/>
    <w:rsid w:val="007469F0"/>
    <w:rsid w:val="00746A0A"/>
    <w:rsid w:val="007472A7"/>
    <w:rsid w:val="0075143C"/>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E07"/>
    <w:rsid w:val="00766337"/>
    <w:rsid w:val="00767471"/>
    <w:rsid w:val="00770BEF"/>
    <w:rsid w:val="00771146"/>
    <w:rsid w:val="00771CBF"/>
    <w:rsid w:val="00771E18"/>
    <w:rsid w:val="00772732"/>
    <w:rsid w:val="00772B3E"/>
    <w:rsid w:val="00773639"/>
    <w:rsid w:val="00773B36"/>
    <w:rsid w:val="00775CBF"/>
    <w:rsid w:val="0077603D"/>
    <w:rsid w:val="007764BB"/>
    <w:rsid w:val="00776BDE"/>
    <w:rsid w:val="0077728E"/>
    <w:rsid w:val="00777813"/>
    <w:rsid w:val="007804DE"/>
    <w:rsid w:val="0078098C"/>
    <w:rsid w:val="00780E04"/>
    <w:rsid w:val="00781511"/>
    <w:rsid w:val="00781C55"/>
    <w:rsid w:val="00781F8F"/>
    <w:rsid w:val="007824F9"/>
    <w:rsid w:val="00782727"/>
    <w:rsid w:val="007901D8"/>
    <w:rsid w:val="00790778"/>
    <w:rsid w:val="00791613"/>
    <w:rsid w:val="00791D57"/>
    <w:rsid w:val="00791DBE"/>
    <w:rsid w:val="00792C31"/>
    <w:rsid w:val="00793DBF"/>
    <w:rsid w:val="00793F4C"/>
    <w:rsid w:val="007941C5"/>
    <w:rsid w:val="007945F6"/>
    <w:rsid w:val="00794627"/>
    <w:rsid w:val="00796188"/>
    <w:rsid w:val="007977D0"/>
    <w:rsid w:val="007978A6"/>
    <w:rsid w:val="00797A80"/>
    <w:rsid w:val="00797F73"/>
    <w:rsid w:val="007A0163"/>
    <w:rsid w:val="007A184A"/>
    <w:rsid w:val="007A29FA"/>
    <w:rsid w:val="007A2AAA"/>
    <w:rsid w:val="007A2EE9"/>
    <w:rsid w:val="007A2F6B"/>
    <w:rsid w:val="007A331E"/>
    <w:rsid w:val="007A3530"/>
    <w:rsid w:val="007A4230"/>
    <w:rsid w:val="007A4BD3"/>
    <w:rsid w:val="007A5756"/>
    <w:rsid w:val="007A5A2B"/>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5CDC"/>
    <w:rsid w:val="007B61E9"/>
    <w:rsid w:val="007B662E"/>
    <w:rsid w:val="007B7EE5"/>
    <w:rsid w:val="007C0A47"/>
    <w:rsid w:val="007C15D4"/>
    <w:rsid w:val="007C25E0"/>
    <w:rsid w:val="007C273B"/>
    <w:rsid w:val="007C41EA"/>
    <w:rsid w:val="007C429F"/>
    <w:rsid w:val="007C54BF"/>
    <w:rsid w:val="007C6EEC"/>
    <w:rsid w:val="007C7054"/>
    <w:rsid w:val="007C7416"/>
    <w:rsid w:val="007C7F68"/>
    <w:rsid w:val="007D12AD"/>
    <w:rsid w:val="007D134C"/>
    <w:rsid w:val="007D1430"/>
    <w:rsid w:val="007D18B7"/>
    <w:rsid w:val="007D2A64"/>
    <w:rsid w:val="007D3306"/>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D8A"/>
    <w:rsid w:val="007F0696"/>
    <w:rsid w:val="007F0F47"/>
    <w:rsid w:val="007F2EDE"/>
    <w:rsid w:val="007F39A8"/>
    <w:rsid w:val="007F3E5D"/>
    <w:rsid w:val="007F5093"/>
    <w:rsid w:val="007F6359"/>
    <w:rsid w:val="007F66DF"/>
    <w:rsid w:val="007F6B11"/>
    <w:rsid w:val="007F6CCD"/>
    <w:rsid w:val="007F7884"/>
    <w:rsid w:val="00800ADF"/>
    <w:rsid w:val="00800D9F"/>
    <w:rsid w:val="008012A9"/>
    <w:rsid w:val="00801974"/>
    <w:rsid w:val="00802424"/>
    <w:rsid w:val="00803D81"/>
    <w:rsid w:val="0080413B"/>
    <w:rsid w:val="00804D5C"/>
    <w:rsid w:val="00804FCC"/>
    <w:rsid w:val="00804FF5"/>
    <w:rsid w:val="00805304"/>
    <w:rsid w:val="008069DF"/>
    <w:rsid w:val="0080706C"/>
    <w:rsid w:val="0080767A"/>
    <w:rsid w:val="00810461"/>
    <w:rsid w:val="008113A0"/>
    <w:rsid w:val="0081199B"/>
    <w:rsid w:val="008125F1"/>
    <w:rsid w:val="00812CDA"/>
    <w:rsid w:val="00814FA2"/>
    <w:rsid w:val="008154C3"/>
    <w:rsid w:val="00816B16"/>
    <w:rsid w:val="008174E6"/>
    <w:rsid w:val="00817EBA"/>
    <w:rsid w:val="00821B66"/>
    <w:rsid w:val="00823B4A"/>
    <w:rsid w:val="008246F8"/>
    <w:rsid w:val="00824D9F"/>
    <w:rsid w:val="00826456"/>
    <w:rsid w:val="0082793C"/>
    <w:rsid w:val="00827A17"/>
    <w:rsid w:val="00827C56"/>
    <w:rsid w:val="00827FF0"/>
    <w:rsid w:val="00830884"/>
    <w:rsid w:val="00830893"/>
    <w:rsid w:val="008331DE"/>
    <w:rsid w:val="00833329"/>
    <w:rsid w:val="00833FC7"/>
    <w:rsid w:val="0083435A"/>
    <w:rsid w:val="008343C9"/>
    <w:rsid w:val="00834D2B"/>
    <w:rsid w:val="00835146"/>
    <w:rsid w:val="0083588E"/>
    <w:rsid w:val="00835990"/>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7EDC"/>
    <w:rsid w:val="00850061"/>
    <w:rsid w:val="008511D3"/>
    <w:rsid w:val="008515BE"/>
    <w:rsid w:val="0085254C"/>
    <w:rsid w:val="00852F0C"/>
    <w:rsid w:val="00853582"/>
    <w:rsid w:val="008536B5"/>
    <w:rsid w:val="00853C22"/>
    <w:rsid w:val="00854F79"/>
    <w:rsid w:val="00855F57"/>
    <w:rsid w:val="00856461"/>
    <w:rsid w:val="008564F6"/>
    <w:rsid w:val="008568DD"/>
    <w:rsid w:val="00857350"/>
    <w:rsid w:val="00857F1C"/>
    <w:rsid w:val="00860083"/>
    <w:rsid w:val="008616F1"/>
    <w:rsid w:val="00861BC5"/>
    <w:rsid w:val="00862627"/>
    <w:rsid w:val="00862C86"/>
    <w:rsid w:val="00863BDD"/>
    <w:rsid w:val="008658C6"/>
    <w:rsid w:val="00865A08"/>
    <w:rsid w:val="008660D2"/>
    <w:rsid w:val="00866BF8"/>
    <w:rsid w:val="008719A2"/>
    <w:rsid w:val="008720B1"/>
    <w:rsid w:val="00873482"/>
    <w:rsid w:val="00873BF1"/>
    <w:rsid w:val="00873C08"/>
    <w:rsid w:val="00874049"/>
    <w:rsid w:val="0087427D"/>
    <w:rsid w:val="00874C95"/>
    <w:rsid w:val="00875028"/>
    <w:rsid w:val="0087533E"/>
    <w:rsid w:val="0087550E"/>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EB8"/>
    <w:rsid w:val="00893B94"/>
    <w:rsid w:val="00894737"/>
    <w:rsid w:val="00894E75"/>
    <w:rsid w:val="00894F3B"/>
    <w:rsid w:val="00894FC7"/>
    <w:rsid w:val="0089735B"/>
    <w:rsid w:val="008A1F3E"/>
    <w:rsid w:val="008A2658"/>
    <w:rsid w:val="008A3444"/>
    <w:rsid w:val="008A3DFB"/>
    <w:rsid w:val="008A45C8"/>
    <w:rsid w:val="008A524B"/>
    <w:rsid w:val="008A58E0"/>
    <w:rsid w:val="008A5A77"/>
    <w:rsid w:val="008A5BCE"/>
    <w:rsid w:val="008A70C3"/>
    <w:rsid w:val="008A727B"/>
    <w:rsid w:val="008A7CFD"/>
    <w:rsid w:val="008B07FF"/>
    <w:rsid w:val="008B0BBB"/>
    <w:rsid w:val="008B0D77"/>
    <w:rsid w:val="008B2119"/>
    <w:rsid w:val="008B2587"/>
    <w:rsid w:val="008B315F"/>
    <w:rsid w:val="008B34C4"/>
    <w:rsid w:val="008B3652"/>
    <w:rsid w:val="008B3BE1"/>
    <w:rsid w:val="008B3FF4"/>
    <w:rsid w:val="008B537A"/>
    <w:rsid w:val="008B5880"/>
    <w:rsid w:val="008B5F55"/>
    <w:rsid w:val="008B6085"/>
    <w:rsid w:val="008B78D9"/>
    <w:rsid w:val="008B7B4C"/>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7A69"/>
    <w:rsid w:val="008E0813"/>
    <w:rsid w:val="008E08C8"/>
    <w:rsid w:val="008E0D59"/>
    <w:rsid w:val="008E14CA"/>
    <w:rsid w:val="008E208A"/>
    <w:rsid w:val="008E26D6"/>
    <w:rsid w:val="008E2B29"/>
    <w:rsid w:val="008E3EB0"/>
    <w:rsid w:val="008E4871"/>
    <w:rsid w:val="008E518D"/>
    <w:rsid w:val="008E52B2"/>
    <w:rsid w:val="008E5532"/>
    <w:rsid w:val="008E5E6E"/>
    <w:rsid w:val="008E66F8"/>
    <w:rsid w:val="008E6D8A"/>
    <w:rsid w:val="008E721A"/>
    <w:rsid w:val="008E7264"/>
    <w:rsid w:val="008E7DB2"/>
    <w:rsid w:val="008F01CB"/>
    <w:rsid w:val="008F0875"/>
    <w:rsid w:val="008F1566"/>
    <w:rsid w:val="008F20A9"/>
    <w:rsid w:val="008F2206"/>
    <w:rsid w:val="008F3346"/>
    <w:rsid w:val="008F353E"/>
    <w:rsid w:val="008F3C9C"/>
    <w:rsid w:val="008F42F9"/>
    <w:rsid w:val="008F4749"/>
    <w:rsid w:val="008F4F00"/>
    <w:rsid w:val="008F5C2C"/>
    <w:rsid w:val="008F718B"/>
    <w:rsid w:val="008F77FB"/>
    <w:rsid w:val="008F79B7"/>
    <w:rsid w:val="0090297B"/>
    <w:rsid w:val="00903133"/>
    <w:rsid w:val="009040DF"/>
    <w:rsid w:val="009043DD"/>
    <w:rsid w:val="0090492C"/>
    <w:rsid w:val="00904A5E"/>
    <w:rsid w:val="0090594D"/>
    <w:rsid w:val="00905E9D"/>
    <w:rsid w:val="00906656"/>
    <w:rsid w:val="009071FB"/>
    <w:rsid w:val="009101D5"/>
    <w:rsid w:val="00910294"/>
    <w:rsid w:val="00910F1C"/>
    <w:rsid w:val="00911DEC"/>
    <w:rsid w:val="00912176"/>
    <w:rsid w:val="0091315E"/>
    <w:rsid w:val="009147AC"/>
    <w:rsid w:val="00914971"/>
    <w:rsid w:val="009155A3"/>
    <w:rsid w:val="0092056A"/>
    <w:rsid w:val="00923A7B"/>
    <w:rsid w:val="0092413C"/>
    <w:rsid w:val="00925072"/>
    <w:rsid w:val="00926120"/>
    <w:rsid w:val="00926A46"/>
    <w:rsid w:val="009270A0"/>
    <w:rsid w:val="009275E8"/>
    <w:rsid w:val="00927DE3"/>
    <w:rsid w:val="00927EA9"/>
    <w:rsid w:val="0093079C"/>
    <w:rsid w:val="0093095C"/>
    <w:rsid w:val="00930A10"/>
    <w:rsid w:val="00931B3D"/>
    <w:rsid w:val="00931F01"/>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728F"/>
    <w:rsid w:val="0095755D"/>
    <w:rsid w:val="00957A8C"/>
    <w:rsid w:val="00957F3C"/>
    <w:rsid w:val="00960219"/>
    <w:rsid w:val="009602D2"/>
    <w:rsid w:val="00960440"/>
    <w:rsid w:val="00960979"/>
    <w:rsid w:val="00960D34"/>
    <w:rsid w:val="00960E28"/>
    <w:rsid w:val="009633ED"/>
    <w:rsid w:val="00963B2B"/>
    <w:rsid w:val="009645CD"/>
    <w:rsid w:val="00964721"/>
    <w:rsid w:val="009654B3"/>
    <w:rsid w:val="0096560C"/>
    <w:rsid w:val="00965AF3"/>
    <w:rsid w:val="00965DEE"/>
    <w:rsid w:val="00965FFE"/>
    <w:rsid w:val="00972219"/>
    <w:rsid w:val="009727BC"/>
    <w:rsid w:val="00972E34"/>
    <w:rsid w:val="009736D9"/>
    <w:rsid w:val="00974817"/>
    <w:rsid w:val="0097482E"/>
    <w:rsid w:val="00974B95"/>
    <w:rsid w:val="009750E9"/>
    <w:rsid w:val="00975815"/>
    <w:rsid w:val="00975D33"/>
    <w:rsid w:val="009771C6"/>
    <w:rsid w:val="00977F51"/>
    <w:rsid w:val="00980102"/>
    <w:rsid w:val="00980E93"/>
    <w:rsid w:val="0098148E"/>
    <w:rsid w:val="00981E79"/>
    <w:rsid w:val="0098235D"/>
    <w:rsid w:val="00982894"/>
    <w:rsid w:val="00982A96"/>
    <w:rsid w:val="00982C23"/>
    <w:rsid w:val="009832F7"/>
    <w:rsid w:val="00983A48"/>
    <w:rsid w:val="0098505D"/>
    <w:rsid w:val="0098542A"/>
    <w:rsid w:val="0098589A"/>
    <w:rsid w:val="0098653E"/>
    <w:rsid w:val="00986A85"/>
    <w:rsid w:val="0098709C"/>
    <w:rsid w:val="00987442"/>
    <w:rsid w:val="00987E86"/>
    <w:rsid w:val="00990235"/>
    <w:rsid w:val="009902B6"/>
    <w:rsid w:val="00990955"/>
    <w:rsid w:val="0099131E"/>
    <w:rsid w:val="0099194E"/>
    <w:rsid w:val="00991A76"/>
    <w:rsid w:val="009922EE"/>
    <w:rsid w:val="00992DD2"/>
    <w:rsid w:val="00993795"/>
    <w:rsid w:val="00994168"/>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C027E"/>
    <w:rsid w:val="009C02E9"/>
    <w:rsid w:val="009C0682"/>
    <w:rsid w:val="009C1012"/>
    <w:rsid w:val="009C3416"/>
    <w:rsid w:val="009C3957"/>
    <w:rsid w:val="009C4E9B"/>
    <w:rsid w:val="009C4EB0"/>
    <w:rsid w:val="009C5FBA"/>
    <w:rsid w:val="009C6A7B"/>
    <w:rsid w:val="009C74A0"/>
    <w:rsid w:val="009C7801"/>
    <w:rsid w:val="009C7EDB"/>
    <w:rsid w:val="009D18AC"/>
    <w:rsid w:val="009D1D51"/>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A0049B"/>
    <w:rsid w:val="00A006B1"/>
    <w:rsid w:val="00A00D06"/>
    <w:rsid w:val="00A01DCD"/>
    <w:rsid w:val="00A02541"/>
    <w:rsid w:val="00A0352B"/>
    <w:rsid w:val="00A03861"/>
    <w:rsid w:val="00A0465D"/>
    <w:rsid w:val="00A04D17"/>
    <w:rsid w:val="00A04EFF"/>
    <w:rsid w:val="00A05684"/>
    <w:rsid w:val="00A05CE3"/>
    <w:rsid w:val="00A06329"/>
    <w:rsid w:val="00A06C91"/>
    <w:rsid w:val="00A0767C"/>
    <w:rsid w:val="00A07FC6"/>
    <w:rsid w:val="00A1047A"/>
    <w:rsid w:val="00A1078C"/>
    <w:rsid w:val="00A10967"/>
    <w:rsid w:val="00A11156"/>
    <w:rsid w:val="00A125C1"/>
    <w:rsid w:val="00A1374A"/>
    <w:rsid w:val="00A155F1"/>
    <w:rsid w:val="00A15B56"/>
    <w:rsid w:val="00A17073"/>
    <w:rsid w:val="00A201AA"/>
    <w:rsid w:val="00A20D8D"/>
    <w:rsid w:val="00A21C65"/>
    <w:rsid w:val="00A224B4"/>
    <w:rsid w:val="00A22FFE"/>
    <w:rsid w:val="00A2328E"/>
    <w:rsid w:val="00A233B2"/>
    <w:rsid w:val="00A235AF"/>
    <w:rsid w:val="00A23BBA"/>
    <w:rsid w:val="00A24A8E"/>
    <w:rsid w:val="00A24BD2"/>
    <w:rsid w:val="00A24CCF"/>
    <w:rsid w:val="00A2562E"/>
    <w:rsid w:val="00A2590A"/>
    <w:rsid w:val="00A25D77"/>
    <w:rsid w:val="00A269F4"/>
    <w:rsid w:val="00A2706F"/>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9F1"/>
    <w:rsid w:val="00A36CB2"/>
    <w:rsid w:val="00A37776"/>
    <w:rsid w:val="00A377F2"/>
    <w:rsid w:val="00A37B27"/>
    <w:rsid w:val="00A42D9A"/>
    <w:rsid w:val="00A43B01"/>
    <w:rsid w:val="00A45311"/>
    <w:rsid w:val="00A47403"/>
    <w:rsid w:val="00A47CE3"/>
    <w:rsid w:val="00A501A0"/>
    <w:rsid w:val="00A513B8"/>
    <w:rsid w:val="00A51727"/>
    <w:rsid w:val="00A517C2"/>
    <w:rsid w:val="00A52C9D"/>
    <w:rsid w:val="00A53965"/>
    <w:rsid w:val="00A53A6E"/>
    <w:rsid w:val="00A53D0B"/>
    <w:rsid w:val="00A55453"/>
    <w:rsid w:val="00A564FE"/>
    <w:rsid w:val="00A5651D"/>
    <w:rsid w:val="00A5657F"/>
    <w:rsid w:val="00A56918"/>
    <w:rsid w:val="00A612C9"/>
    <w:rsid w:val="00A61883"/>
    <w:rsid w:val="00A61CB7"/>
    <w:rsid w:val="00A61E95"/>
    <w:rsid w:val="00A62014"/>
    <w:rsid w:val="00A624D5"/>
    <w:rsid w:val="00A62D39"/>
    <w:rsid w:val="00A631EE"/>
    <w:rsid w:val="00A63213"/>
    <w:rsid w:val="00A63994"/>
    <w:rsid w:val="00A63C73"/>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54C"/>
    <w:rsid w:val="00A816A7"/>
    <w:rsid w:val="00A82381"/>
    <w:rsid w:val="00A82D7F"/>
    <w:rsid w:val="00A83E40"/>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894"/>
    <w:rsid w:val="00AA0FF3"/>
    <w:rsid w:val="00AA129A"/>
    <w:rsid w:val="00AA157D"/>
    <w:rsid w:val="00AA16F1"/>
    <w:rsid w:val="00AA2446"/>
    <w:rsid w:val="00AA2A85"/>
    <w:rsid w:val="00AA347C"/>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DC5"/>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5397"/>
    <w:rsid w:val="00AD5FE6"/>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7C"/>
    <w:rsid w:val="00B0094D"/>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C1"/>
    <w:rsid w:val="00B13A7E"/>
    <w:rsid w:val="00B13A80"/>
    <w:rsid w:val="00B14540"/>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797B"/>
    <w:rsid w:val="00B3041F"/>
    <w:rsid w:val="00B304DC"/>
    <w:rsid w:val="00B31277"/>
    <w:rsid w:val="00B3135D"/>
    <w:rsid w:val="00B313E3"/>
    <w:rsid w:val="00B3157E"/>
    <w:rsid w:val="00B3226C"/>
    <w:rsid w:val="00B32CBB"/>
    <w:rsid w:val="00B332BD"/>
    <w:rsid w:val="00B35568"/>
    <w:rsid w:val="00B3570D"/>
    <w:rsid w:val="00B36956"/>
    <w:rsid w:val="00B36BEF"/>
    <w:rsid w:val="00B37B25"/>
    <w:rsid w:val="00B40194"/>
    <w:rsid w:val="00B40BC3"/>
    <w:rsid w:val="00B411AF"/>
    <w:rsid w:val="00B42F5F"/>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60142"/>
    <w:rsid w:val="00B6015E"/>
    <w:rsid w:val="00B6106E"/>
    <w:rsid w:val="00B61870"/>
    <w:rsid w:val="00B6248C"/>
    <w:rsid w:val="00B627BB"/>
    <w:rsid w:val="00B6298A"/>
    <w:rsid w:val="00B62F9B"/>
    <w:rsid w:val="00B62FC6"/>
    <w:rsid w:val="00B63D8C"/>
    <w:rsid w:val="00B6436A"/>
    <w:rsid w:val="00B64D91"/>
    <w:rsid w:val="00B661A9"/>
    <w:rsid w:val="00B66334"/>
    <w:rsid w:val="00B6719A"/>
    <w:rsid w:val="00B71321"/>
    <w:rsid w:val="00B719F9"/>
    <w:rsid w:val="00B72D24"/>
    <w:rsid w:val="00B72FE3"/>
    <w:rsid w:val="00B733CA"/>
    <w:rsid w:val="00B734E0"/>
    <w:rsid w:val="00B73B8C"/>
    <w:rsid w:val="00B73FA0"/>
    <w:rsid w:val="00B741C7"/>
    <w:rsid w:val="00B746A4"/>
    <w:rsid w:val="00B75A54"/>
    <w:rsid w:val="00B75F1A"/>
    <w:rsid w:val="00B776D5"/>
    <w:rsid w:val="00B80403"/>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66DF"/>
    <w:rsid w:val="00BA6E44"/>
    <w:rsid w:val="00BA7870"/>
    <w:rsid w:val="00BB0BB1"/>
    <w:rsid w:val="00BB0FDB"/>
    <w:rsid w:val="00BB1C2C"/>
    <w:rsid w:val="00BB1EE7"/>
    <w:rsid w:val="00BB347F"/>
    <w:rsid w:val="00BB34B8"/>
    <w:rsid w:val="00BB4097"/>
    <w:rsid w:val="00BB5E8D"/>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4DC0"/>
    <w:rsid w:val="00BE5456"/>
    <w:rsid w:val="00BE5625"/>
    <w:rsid w:val="00BE59EB"/>
    <w:rsid w:val="00BE5C2E"/>
    <w:rsid w:val="00BE6122"/>
    <w:rsid w:val="00BE63D9"/>
    <w:rsid w:val="00BE6DD2"/>
    <w:rsid w:val="00BE6EE7"/>
    <w:rsid w:val="00BE6FB2"/>
    <w:rsid w:val="00BE7162"/>
    <w:rsid w:val="00BE721C"/>
    <w:rsid w:val="00BE73D8"/>
    <w:rsid w:val="00BE75BA"/>
    <w:rsid w:val="00BF0737"/>
    <w:rsid w:val="00BF17D0"/>
    <w:rsid w:val="00BF1CC2"/>
    <w:rsid w:val="00BF23BF"/>
    <w:rsid w:val="00BF42BF"/>
    <w:rsid w:val="00BF45D2"/>
    <w:rsid w:val="00BF4F6B"/>
    <w:rsid w:val="00BF5449"/>
    <w:rsid w:val="00BF544A"/>
    <w:rsid w:val="00BF5B93"/>
    <w:rsid w:val="00BF68BE"/>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D85"/>
    <w:rsid w:val="00C10D8E"/>
    <w:rsid w:val="00C10EA0"/>
    <w:rsid w:val="00C12210"/>
    <w:rsid w:val="00C12BDE"/>
    <w:rsid w:val="00C14D4D"/>
    <w:rsid w:val="00C14E33"/>
    <w:rsid w:val="00C17E15"/>
    <w:rsid w:val="00C20638"/>
    <w:rsid w:val="00C20AC4"/>
    <w:rsid w:val="00C21085"/>
    <w:rsid w:val="00C236DC"/>
    <w:rsid w:val="00C24EE1"/>
    <w:rsid w:val="00C257EA"/>
    <w:rsid w:val="00C25B8A"/>
    <w:rsid w:val="00C264AC"/>
    <w:rsid w:val="00C26991"/>
    <w:rsid w:val="00C276CE"/>
    <w:rsid w:val="00C30013"/>
    <w:rsid w:val="00C31625"/>
    <w:rsid w:val="00C3283A"/>
    <w:rsid w:val="00C33366"/>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18C6"/>
    <w:rsid w:val="00C520E8"/>
    <w:rsid w:val="00C52178"/>
    <w:rsid w:val="00C52A6F"/>
    <w:rsid w:val="00C53196"/>
    <w:rsid w:val="00C535B8"/>
    <w:rsid w:val="00C5627A"/>
    <w:rsid w:val="00C57037"/>
    <w:rsid w:val="00C57309"/>
    <w:rsid w:val="00C60190"/>
    <w:rsid w:val="00C60633"/>
    <w:rsid w:val="00C60858"/>
    <w:rsid w:val="00C6114D"/>
    <w:rsid w:val="00C62B6C"/>
    <w:rsid w:val="00C6342C"/>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6B3"/>
    <w:rsid w:val="00C86DB5"/>
    <w:rsid w:val="00C90193"/>
    <w:rsid w:val="00C9026A"/>
    <w:rsid w:val="00C903E5"/>
    <w:rsid w:val="00C91F2A"/>
    <w:rsid w:val="00C93114"/>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2B8F"/>
    <w:rsid w:val="00CD3086"/>
    <w:rsid w:val="00CD3645"/>
    <w:rsid w:val="00CD4256"/>
    <w:rsid w:val="00CD5596"/>
    <w:rsid w:val="00CD5BAC"/>
    <w:rsid w:val="00CD6B00"/>
    <w:rsid w:val="00CD7F79"/>
    <w:rsid w:val="00CE1CA4"/>
    <w:rsid w:val="00CE20D4"/>
    <w:rsid w:val="00CE24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C7"/>
    <w:rsid w:val="00CF1BE5"/>
    <w:rsid w:val="00CF1F4D"/>
    <w:rsid w:val="00CF2894"/>
    <w:rsid w:val="00CF2ED8"/>
    <w:rsid w:val="00CF341A"/>
    <w:rsid w:val="00CF3B9F"/>
    <w:rsid w:val="00CF49C2"/>
    <w:rsid w:val="00CF543E"/>
    <w:rsid w:val="00CF5571"/>
    <w:rsid w:val="00CF58CA"/>
    <w:rsid w:val="00CF5DD9"/>
    <w:rsid w:val="00CF664D"/>
    <w:rsid w:val="00CF6AD9"/>
    <w:rsid w:val="00CF7526"/>
    <w:rsid w:val="00CF7664"/>
    <w:rsid w:val="00CF7800"/>
    <w:rsid w:val="00CF7A5A"/>
    <w:rsid w:val="00D002AE"/>
    <w:rsid w:val="00D00573"/>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6EAD"/>
    <w:rsid w:val="00D17AA3"/>
    <w:rsid w:val="00D17C2F"/>
    <w:rsid w:val="00D20B23"/>
    <w:rsid w:val="00D20DA9"/>
    <w:rsid w:val="00D2148F"/>
    <w:rsid w:val="00D2191B"/>
    <w:rsid w:val="00D21C42"/>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BF3"/>
    <w:rsid w:val="00D32693"/>
    <w:rsid w:val="00D3392D"/>
    <w:rsid w:val="00D33D2A"/>
    <w:rsid w:val="00D33D9C"/>
    <w:rsid w:val="00D33F31"/>
    <w:rsid w:val="00D35336"/>
    <w:rsid w:val="00D362AF"/>
    <w:rsid w:val="00D36416"/>
    <w:rsid w:val="00D371A4"/>
    <w:rsid w:val="00D3772C"/>
    <w:rsid w:val="00D37D06"/>
    <w:rsid w:val="00D40D0B"/>
    <w:rsid w:val="00D4151D"/>
    <w:rsid w:val="00D431B8"/>
    <w:rsid w:val="00D4454F"/>
    <w:rsid w:val="00D447AA"/>
    <w:rsid w:val="00D44F7A"/>
    <w:rsid w:val="00D45046"/>
    <w:rsid w:val="00D451AE"/>
    <w:rsid w:val="00D47073"/>
    <w:rsid w:val="00D476FF"/>
    <w:rsid w:val="00D47B2A"/>
    <w:rsid w:val="00D501F1"/>
    <w:rsid w:val="00D507EC"/>
    <w:rsid w:val="00D52B12"/>
    <w:rsid w:val="00D531D1"/>
    <w:rsid w:val="00D53C7B"/>
    <w:rsid w:val="00D5411B"/>
    <w:rsid w:val="00D54583"/>
    <w:rsid w:val="00D54D27"/>
    <w:rsid w:val="00D55F8C"/>
    <w:rsid w:val="00D60C0B"/>
    <w:rsid w:val="00D60D5D"/>
    <w:rsid w:val="00D60F1D"/>
    <w:rsid w:val="00D6239C"/>
    <w:rsid w:val="00D6241A"/>
    <w:rsid w:val="00D630FF"/>
    <w:rsid w:val="00D6316A"/>
    <w:rsid w:val="00D6371F"/>
    <w:rsid w:val="00D639E3"/>
    <w:rsid w:val="00D64352"/>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6703"/>
    <w:rsid w:val="00D777FF"/>
    <w:rsid w:val="00D8010A"/>
    <w:rsid w:val="00D801B6"/>
    <w:rsid w:val="00D8071D"/>
    <w:rsid w:val="00D80754"/>
    <w:rsid w:val="00D80D35"/>
    <w:rsid w:val="00D81356"/>
    <w:rsid w:val="00D8158B"/>
    <w:rsid w:val="00D81D64"/>
    <w:rsid w:val="00D81F71"/>
    <w:rsid w:val="00D83019"/>
    <w:rsid w:val="00D8395B"/>
    <w:rsid w:val="00D849B8"/>
    <w:rsid w:val="00D84E6A"/>
    <w:rsid w:val="00D84F01"/>
    <w:rsid w:val="00D862E3"/>
    <w:rsid w:val="00D864BF"/>
    <w:rsid w:val="00D8694E"/>
    <w:rsid w:val="00D87593"/>
    <w:rsid w:val="00D87E86"/>
    <w:rsid w:val="00D87FD1"/>
    <w:rsid w:val="00D90FB6"/>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C7"/>
    <w:rsid w:val="00DA1A53"/>
    <w:rsid w:val="00DA1BA2"/>
    <w:rsid w:val="00DA2517"/>
    <w:rsid w:val="00DA3242"/>
    <w:rsid w:val="00DA32C4"/>
    <w:rsid w:val="00DA3374"/>
    <w:rsid w:val="00DA36AB"/>
    <w:rsid w:val="00DA4240"/>
    <w:rsid w:val="00DA66D4"/>
    <w:rsid w:val="00DA6CC4"/>
    <w:rsid w:val="00DA6ECF"/>
    <w:rsid w:val="00DA78EF"/>
    <w:rsid w:val="00DA7BA4"/>
    <w:rsid w:val="00DA7F52"/>
    <w:rsid w:val="00DB0095"/>
    <w:rsid w:val="00DB10F3"/>
    <w:rsid w:val="00DB18A3"/>
    <w:rsid w:val="00DB2119"/>
    <w:rsid w:val="00DB25F7"/>
    <w:rsid w:val="00DB2851"/>
    <w:rsid w:val="00DB36A6"/>
    <w:rsid w:val="00DB36B8"/>
    <w:rsid w:val="00DB4981"/>
    <w:rsid w:val="00DB4C03"/>
    <w:rsid w:val="00DB6481"/>
    <w:rsid w:val="00DB6912"/>
    <w:rsid w:val="00DB70ED"/>
    <w:rsid w:val="00DC06F4"/>
    <w:rsid w:val="00DC0874"/>
    <w:rsid w:val="00DC18FB"/>
    <w:rsid w:val="00DC1B14"/>
    <w:rsid w:val="00DC1BFA"/>
    <w:rsid w:val="00DC2B7C"/>
    <w:rsid w:val="00DC385F"/>
    <w:rsid w:val="00DC3DE0"/>
    <w:rsid w:val="00DC6E2E"/>
    <w:rsid w:val="00DD0CAA"/>
    <w:rsid w:val="00DD1911"/>
    <w:rsid w:val="00DD2F6F"/>
    <w:rsid w:val="00DD34CC"/>
    <w:rsid w:val="00DD36F0"/>
    <w:rsid w:val="00DD3A92"/>
    <w:rsid w:val="00DD4CF2"/>
    <w:rsid w:val="00DD5612"/>
    <w:rsid w:val="00DD5EC3"/>
    <w:rsid w:val="00DD604A"/>
    <w:rsid w:val="00DD6B64"/>
    <w:rsid w:val="00DD7255"/>
    <w:rsid w:val="00DD7379"/>
    <w:rsid w:val="00DE01A4"/>
    <w:rsid w:val="00DE1045"/>
    <w:rsid w:val="00DE42D0"/>
    <w:rsid w:val="00DE491D"/>
    <w:rsid w:val="00DE5D29"/>
    <w:rsid w:val="00DE6092"/>
    <w:rsid w:val="00DE61F2"/>
    <w:rsid w:val="00DF0004"/>
    <w:rsid w:val="00DF0036"/>
    <w:rsid w:val="00DF0893"/>
    <w:rsid w:val="00DF0E77"/>
    <w:rsid w:val="00DF1066"/>
    <w:rsid w:val="00DF1D81"/>
    <w:rsid w:val="00DF2613"/>
    <w:rsid w:val="00DF3968"/>
    <w:rsid w:val="00DF4A67"/>
    <w:rsid w:val="00DF60CA"/>
    <w:rsid w:val="00DF7122"/>
    <w:rsid w:val="00DF7222"/>
    <w:rsid w:val="00DF75C9"/>
    <w:rsid w:val="00DF75D5"/>
    <w:rsid w:val="00DF7749"/>
    <w:rsid w:val="00DF7C94"/>
    <w:rsid w:val="00DF7D21"/>
    <w:rsid w:val="00DF7E84"/>
    <w:rsid w:val="00DF7EB1"/>
    <w:rsid w:val="00DF7F86"/>
    <w:rsid w:val="00E00484"/>
    <w:rsid w:val="00E014CD"/>
    <w:rsid w:val="00E01847"/>
    <w:rsid w:val="00E01DFF"/>
    <w:rsid w:val="00E024DE"/>
    <w:rsid w:val="00E025E8"/>
    <w:rsid w:val="00E02AE6"/>
    <w:rsid w:val="00E02F78"/>
    <w:rsid w:val="00E0339D"/>
    <w:rsid w:val="00E03E52"/>
    <w:rsid w:val="00E04CF8"/>
    <w:rsid w:val="00E05E1B"/>
    <w:rsid w:val="00E06A29"/>
    <w:rsid w:val="00E06CC2"/>
    <w:rsid w:val="00E06E48"/>
    <w:rsid w:val="00E072B5"/>
    <w:rsid w:val="00E1109A"/>
    <w:rsid w:val="00E11F45"/>
    <w:rsid w:val="00E12715"/>
    <w:rsid w:val="00E132FC"/>
    <w:rsid w:val="00E13DBE"/>
    <w:rsid w:val="00E141FD"/>
    <w:rsid w:val="00E1483E"/>
    <w:rsid w:val="00E15182"/>
    <w:rsid w:val="00E15EAC"/>
    <w:rsid w:val="00E16BE3"/>
    <w:rsid w:val="00E16D79"/>
    <w:rsid w:val="00E17CCC"/>
    <w:rsid w:val="00E208C6"/>
    <w:rsid w:val="00E223E5"/>
    <w:rsid w:val="00E2283A"/>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E36"/>
    <w:rsid w:val="00E35F6A"/>
    <w:rsid w:val="00E37B44"/>
    <w:rsid w:val="00E40129"/>
    <w:rsid w:val="00E40F62"/>
    <w:rsid w:val="00E41EED"/>
    <w:rsid w:val="00E42209"/>
    <w:rsid w:val="00E425DD"/>
    <w:rsid w:val="00E42BB4"/>
    <w:rsid w:val="00E433F8"/>
    <w:rsid w:val="00E43EE9"/>
    <w:rsid w:val="00E440CE"/>
    <w:rsid w:val="00E4512F"/>
    <w:rsid w:val="00E4536C"/>
    <w:rsid w:val="00E45BA1"/>
    <w:rsid w:val="00E46AA3"/>
    <w:rsid w:val="00E46D4B"/>
    <w:rsid w:val="00E46FF7"/>
    <w:rsid w:val="00E477F2"/>
    <w:rsid w:val="00E47D61"/>
    <w:rsid w:val="00E47F0D"/>
    <w:rsid w:val="00E50A67"/>
    <w:rsid w:val="00E52C41"/>
    <w:rsid w:val="00E5314D"/>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5780"/>
    <w:rsid w:val="00E759FC"/>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42D9"/>
    <w:rsid w:val="00EA531C"/>
    <w:rsid w:val="00EA54B3"/>
    <w:rsid w:val="00EA5D8C"/>
    <w:rsid w:val="00EA6335"/>
    <w:rsid w:val="00EA7268"/>
    <w:rsid w:val="00EA727E"/>
    <w:rsid w:val="00EA7366"/>
    <w:rsid w:val="00EA79B7"/>
    <w:rsid w:val="00EB0367"/>
    <w:rsid w:val="00EB05D0"/>
    <w:rsid w:val="00EB0A5F"/>
    <w:rsid w:val="00EB170D"/>
    <w:rsid w:val="00EB2BA4"/>
    <w:rsid w:val="00EB2CB2"/>
    <w:rsid w:val="00EB2DC6"/>
    <w:rsid w:val="00EB311E"/>
    <w:rsid w:val="00EB3AFF"/>
    <w:rsid w:val="00EB3C6A"/>
    <w:rsid w:val="00EB6F49"/>
    <w:rsid w:val="00EB71F2"/>
    <w:rsid w:val="00EC1288"/>
    <w:rsid w:val="00EC2693"/>
    <w:rsid w:val="00EC3B14"/>
    <w:rsid w:val="00EC4FAF"/>
    <w:rsid w:val="00EC7751"/>
    <w:rsid w:val="00EC7FAD"/>
    <w:rsid w:val="00ED05EA"/>
    <w:rsid w:val="00ED05ED"/>
    <w:rsid w:val="00ED08D7"/>
    <w:rsid w:val="00ED143D"/>
    <w:rsid w:val="00ED2110"/>
    <w:rsid w:val="00ED2CE1"/>
    <w:rsid w:val="00ED349F"/>
    <w:rsid w:val="00ED37ED"/>
    <w:rsid w:val="00ED3B5F"/>
    <w:rsid w:val="00ED4170"/>
    <w:rsid w:val="00ED46E6"/>
    <w:rsid w:val="00ED695E"/>
    <w:rsid w:val="00ED740B"/>
    <w:rsid w:val="00ED7B8C"/>
    <w:rsid w:val="00ED7D10"/>
    <w:rsid w:val="00EE04CB"/>
    <w:rsid w:val="00EE0BFF"/>
    <w:rsid w:val="00EE0F58"/>
    <w:rsid w:val="00EE106C"/>
    <w:rsid w:val="00EE1F13"/>
    <w:rsid w:val="00EE21C3"/>
    <w:rsid w:val="00EE225E"/>
    <w:rsid w:val="00EE22ED"/>
    <w:rsid w:val="00EE2786"/>
    <w:rsid w:val="00EE306A"/>
    <w:rsid w:val="00EE3367"/>
    <w:rsid w:val="00EE3B4E"/>
    <w:rsid w:val="00EE4813"/>
    <w:rsid w:val="00EE48D3"/>
    <w:rsid w:val="00EE4AC1"/>
    <w:rsid w:val="00EE4E26"/>
    <w:rsid w:val="00EE52B0"/>
    <w:rsid w:val="00EE5655"/>
    <w:rsid w:val="00EE6D4B"/>
    <w:rsid w:val="00EE7AFC"/>
    <w:rsid w:val="00EF039D"/>
    <w:rsid w:val="00EF0D41"/>
    <w:rsid w:val="00EF1513"/>
    <w:rsid w:val="00EF16F8"/>
    <w:rsid w:val="00EF1EB1"/>
    <w:rsid w:val="00EF21E0"/>
    <w:rsid w:val="00EF2367"/>
    <w:rsid w:val="00EF2EFF"/>
    <w:rsid w:val="00EF3615"/>
    <w:rsid w:val="00EF41B2"/>
    <w:rsid w:val="00EF46FC"/>
    <w:rsid w:val="00EF4FD3"/>
    <w:rsid w:val="00EF5AE9"/>
    <w:rsid w:val="00EF64E6"/>
    <w:rsid w:val="00EF6743"/>
    <w:rsid w:val="00EF6813"/>
    <w:rsid w:val="00EF6C64"/>
    <w:rsid w:val="00EF6F8B"/>
    <w:rsid w:val="00EF715A"/>
    <w:rsid w:val="00EF753D"/>
    <w:rsid w:val="00EF78B7"/>
    <w:rsid w:val="00F00AC0"/>
    <w:rsid w:val="00F00D30"/>
    <w:rsid w:val="00F019D8"/>
    <w:rsid w:val="00F04CED"/>
    <w:rsid w:val="00F04E55"/>
    <w:rsid w:val="00F04FA1"/>
    <w:rsid w:val="00F05491"/>
    <w:rsid w:val="00F05743"/>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F85"/>
    <w:rsid w:val="00F428DE"/>
    <w:rsid w:val="00F43122"/>
    <w:rsid w:val="00F43A27"/>
    <w:rsid w:val="00F43A41"/>
    <w:rsid w:val="00F44F65"/>
    <w:rsid w:val="00F45DFE"/>
    <w:rsid w:val="00F46B30"/>
    <w:rsid w:val="00F506AB"/>
    <w:rsid w:val="00F50A5B"/>
    <w:rsid w:val="00F51667"/>
    <w:rsid w:val="00F51C4B"/>
    <w:rsid w:val="00F5339D"/>
    <w:rsid w:val="00F534BD"/>
    <w:rsid w:val="00F55245"/>
    <w:rsid w:val="00F556ED"/>
    <w:rsid w:val="00F56A6C"/>
    <w:rsid w:val="00F572A1"/>
    <w:rsid w:val="00F57F23"/>
    <w:rsid w:val="00F60853"/>
    <w:rsid w:val="00F60944"/>
    <w:rsid w:val="00F61ADB"/>
    <w:rsid w:val="00F627BA"/>
    <w:rsid w:val="00F62B4C"/>
    <w:rsid w:val="00F62C88"/>
    <w:rsid w:val="00F636F7"/>
    <w:rsid w:val="00F64915"/>
    <w:rsid w:val="00F65DB9"/>
    <w:rsid w:val="00F65F4D"/>
    <w:rsid w:val="00F66194"/>
    <w:rsid w:val="00F673F6"/>
    <w:rsid w:val="00F701D7"/>
    <w:rsid w:val="00F708C9"/>
    <w:rsid w:val="00F71055"/>
    <w:rsid w:val="00F71F4C"/>
    <w:rsid w:val="00F72349"/>
    <w:rsid w:val="00F73A7E"/>
    <w:rsid w:val="00F73B24"/>
    <w:rsid w:val="00F744F6"/>
    <w:rsid w:val="00F748B1"/>
    <w:rsid w:val="00F75FB9"/>
    <w:rsid w:val="00F76E19"/>
    <w:rsid w:val="00F77629"/>
    <w:rsid w:val="00F8025A"/>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57D9"/>
    <w:rsid w:val="00FB6090"/>
    <w:rsid w:val="00FB6886"/>
    <w:rsid w:val="00FB6D48"/>
    <w:rsid w:val="00FB6E74"/>
    <w:rsid w:val="00FB71F6"/>
    <w:rsid w:val="00FC04EC"/>
    <w:rsid w:val="00FC1420"/>
    <w:rsid w:val="00FC1C55"/>
    <w:rsid w:val="00FC2AE2"/>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5288"/>
    <w:rsid w:val="00FE54DD"/>
    <w:rsid w:val="00FE5E49"/>
    <w:rsid w:val="00FE5FF8"/>
    <w:rsid w:val="00FE6E7B"/>
    <w:rsid w:val="00FE7A68"/>
    <w:rsid w:val="00FF19CB"/>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semiHidden/>
    <w:rsid w:val="002A3B35"/>
    <w:rPr>
      <w:sz w:val="16"/>
      <w:szCs w:val="16"/>
    </w:rPr>
  </w:style>
  <w:style w:type="paragraph" w:styleId="CommentText">
    <w:name w:val="annotation text"/>
    <w:basedOn w:val="Normal"/>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FBB3-7E9A-414D-AB6C-81073437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36</Pages>
  <Words>19090</Words>
  <Characters>100601</Characters>
  <Application>Microsoft Office Word</Application>
  <DocSecurity>0</DocSecurity>
  <Lines>838</Lines>
  <Paragraphs>238</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119453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6</cp:revision>
  <cp:lastPrinted>2011-01-31T22:31:00Z</cp:lastPrinted>
  <dcterms:created xsi:type="dcterms:W3CDTF">2014-09-05T19:58:00Z</dcterms:created>
  <dcterms:modified xsi:type="dcterms:W3CDTF">2014-09-05T20:41:00Z</dcterms:modified>
</cp:coreProperties>
</file>