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0E" w:rsidRDefault="00BD290E" w:rsidP="00BD290E">
      <w:pPr>
        <w:widowControl w:val="0"/>
        <w:autoSpaceDE w:val="0"/>
        <w:autoSpaceDN w:val="0"/>
        <w:adjustRightInd w:val="0"/>
        <w:rPr>
          <w:rFonts w:ascii="Arial" w:hAnsi="Arial" w:cs="Arial"/>
          <w:b/>
          <w:bCs/>
          <w:sz w:val="36"/>
          <w:szCs w:val="36"/>
        </w:rPr>
      </w:pPr>
      <w:bookmarkStart w:id="0" w:name="_GoBack"/>
      <w:bookmarkEnd w:id="0"/>
      <w:r>
        <w:rPr>
          <w:rFonts w:ascii="Arial" w:hAnsi="Arial" w:cs="Arial"/>
          <w:b/>
          <w:bCs/>
          <w:sz w:val="36"/>
          <w:szCs w:val="36"/>
        </w:rPr>
        <w:t>Subpart MM—National Emission Standards for Hazardous Air Pollutants for Chemical Recovery Combustion Sources at Kraft, Soda, Sulfite, and Stand-Alone Semichemical Pulp Mills</w:t>
      </w:r>
    </w:p>
    <w:p w:rsidR="00BD290E" w:rsidRDefault="00BD290E" w:rsidP="00BD290E">
      <w:pPr>
        <w:widowControl w:val="0"/>
        <w:autoSpaceDE w:val="0"/>
        <w:autoSpaceDN w:val="0"/>
        <w:adjustRightInd w:val="0"/>
        <w:rPr>
          <w:rFonts w:ascii="Arial" w:hAnsi="Arial" w:cs="Arial"/>
          <w:sz w:val="26"/>
          <w:szCs w:val="26"/>
        </w:rPr>
      </w:pPr>
    </w:p>
    <w:p w:rsidR="00BD290E" w:rsidRDefault="00BD290E" w:rsidP="00BD290E">
      <w:pPr>
        <w:widowControl w:val="0"/>
        <w:autoSpaceDE w:val="0"/>
        <w:autoSpaceDN w:val="0"/>
        <w:adjustRightInd w:val="0"/>
        <w:rPr>
          <w:rFonts w:ascii="Arial" w:hAnsi="Arial" w:cs="Arial"/>
          <w:sz w:val="26"/>
          <w:szCs w:val="26"/>
        </w:rPr>
      </w:pPr>
      <w:r>
        <w:rPr>
          <w:rFonts w:ascii="Arial" w:hAnsi="Arial" w:cs="Arial"/>
          <w:b/>
          <w:bCs/>
          <w:sz w:val="26"/>
          <w:szCs w:val="26"/>
        </w:rPr>
        <w:t>Contents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§63.860   Applicability and designation of affected source.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§63.861   Definitions.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§63.862   Standards.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§63.863   Compliance dates.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§63.864   Monitoring requirements.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§63.865   Performance test requirements and test methods.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§63.866   Recordkeeping requirements.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§63.867   Reporting requirements.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§63.868   Delegation of authority.</w:t>
      </w:r>
    </w:p>
    <w:p w:rsidR="00BD290E" w:rsidRDefault="00BD290E" w:rsidP="00BD290E">
      <w:pPr>
        <w:widowControl w:val="0"/>
        <w:autoSpaceDE w:val="0"/>
        <w:autoSpaceDN w:val="0"/>
        <w:adjustRightInd w:val="0"/>
        <w:rPr>
          <w:rFonts w:ascii="Arial" w:hAnsi="Arial" w:cs="Arial"/>
          <w:sz w:val="26"/>
          <w:szCs w:val="26"/>
        </w:rPr>
      </w:pPr>
      <w:r>
        <w:rPr>
          <w:rFonts w:ascii="Arial" w:hAnsi="Arial" w:cs="Arial"/>
          <w:color w:val="0000E9"/>
          <w:sz w:val="22"/>
          <w:szCs w:val="22"/>
        </w:rPr>
        <w:t xml:space="preserve">Table 1 to Subpart MM of Part 63—General Provisions Applicability to Subpart MM </w:t>
      </w:r>
    </w:p>
    <w:p w:rsidR="00BD290E" w:rsidRDefault="00BD290E" w:rsidP="00BD290E">
      <w:pPr>
        <w:widowControl w:val="0"/>
        <w:autoSpaceDE w:val="0"/>
        <w:autoSpaceDN w:val="0"/>
        <w:adjustRightInd w:val="0"/>
        <w:rPr>
          <w:rFonts w:ascii="Arial" w:hAnsi="Arial" w:cs="Arial"/>
          <w:sz w:val="26"/>
          <w:szCs w:val="26"/>
        </w:rPr>
      </w:pPr>
    </w:p>
    <w:p w:rsidR="00BD290E" w:rsidRDefault="00BD290E" w:rsidP="00BD290E">
      <w:pPr>
        <w:widowControl w:val="0"/>
        <w:autoSpaceDE w:val="0"/>
        <w:autoSpaceDN w:val="0"/>
        <w:adjustRightInd w:val="0"/>
        <w:ind w:firstLine="480"/>
        <w:rPr>
          <w:rFonts w:ascii="Arial" w:hAnsi="Arial" w:cs="Arial"/>
        </w:rPr>
      </w:pPr>
      <w:r>
        <w:rPr>
          <w:rFonts w:ascii="Arial" w:hAnsi="Arial" w:cs="Arial"/>
        </w:rPr>
        <w:t>Source: 66 FR 3193, Jan. 12, 2001, unless otherwise noted.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§63.860   Applicability and designation of affected source.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 The requirements of this subpart apply to the owner or operator of each kraft, soda, sulfite, or stand-alone semichemical pulp mill that is a major source of hazardous air pollutants (HAP) emissions as defined in §63.2.</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Affected sources.</w:t>
      </w:r>
      <w:r>
        <w:rPr>
          <w:rFonts w:ascii="Arial" w:hAnsi="Arial" w:cs="Arial"/>
          <w:sz w:val="26"/>
          <w:szCs w:val="26"/>
        </w:rPr>
        <w:t xml:space="preserve"> The requirements of this subpart apply to each new or existing affected source listed in paragraphs (b)(1) through (7)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 Each existing chemical recovery system (as defined in §63.861) located at a kraft or soda pulp mill.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Each new nondirect contact evaporator (NDCE) recovery furnace and associated smelt dissolving tank(s) located at a kraft or soda pulp mill.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(3) Each new direct contact evaporator (DCE) recovery furnace system (as defined in §63.861) and associated smelt dissolving tank(s) located at a kraft or soda pulp mill.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(4) Each new lime kiln located at a kraft or soda pulp mill.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(5) Each new or existing sulfite combustion unit located at a sulfite pulp mill, except such existing units at Weyerhaeuser Paper Company's Cosmopolis, Washington facility (Emission Unit no. AP-10).</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(6) Each new or existing semichemical combustion unit located at a stand-alone semichemical pulp mill.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(7) The requirements of the alternative standard in §63.862(d) apply to the hog fuel dryer at Weyerhaeuser Paper Company's Cosmopolis, Washington facility (Emission Unit no. HD-14).</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(c) The requirements of the General Provisions in subpart A of this part </w:t>
      </w:r>
      <w:r>
        <w:rPr>
          <w:rFonts w:ascii="Arial" w:hAnsi="Arial" w:cs="Arial"/>
          <w:sz w:val="26"/>
          <w:szCs w:val="26"/>
        </w:rPr>
        <w:lastRenderedPageBreak/>
        <w:t>that apply to the owner or operator subject to the requirements of this subpart are identified in Table 1 to this subpart.</w:t>
      </w:r>
    </w:p>
    <w:p w:rsidR="00BD290E" w:rsidRDefault="00BD290E" w:rsidP="00BD290E">
      <w:pPr>
        <w:widowControl w:val="0"/>
        <w:autoSpaceDE w:val="0"/>
        <w:autoSpaceDN w:val="0"/>
        <w:adjustRightInd w:val="0"/>
        <w:rPr>
          <w:rFonts w:ascii="Arial" w:hAnsi="Arial" w:cs="Arial"/>
        </w:rPr>
      </w:pPr>
      <w:r>
        <w:rPr>
          <w:rFonts w:ascii="Arial" w:hAnsi="Arial" w:cs="Arial"/>
        </w:rPr>
        <w:t>[66 FR 3193, Jan. 12, 2001, as amended at 68 FR 7713, Feb. 18, 2003]</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§63.861   Definitions.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All terms used in this subpart are defined in the Clean Air Act, in subpart A of this part, or in this section. For the purposes of this subpart, if the same term is defined in subpart A or any other subpart of this part and in this section, it must have the meaning given in this section.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Bag leak detection system</w:t>
      </w:r>
      <w:r>
        <w:rPr>
          <w:rFonts w:ascii="Arial" w:hAnsi="Arial" w:cs="Arial"/>
          <w:sz w:val="26"/>
          <w:szCs w:val="26"/>
        </w:rPr>
        <w:t xml:space="preserve"> means an instrument that is capable of monitoring PM loadings in the exhaust of a fabric filter in order to detect bag failures. A bag leak detection system includes, but is not limited to, an instrument that operates on triboelectric, light scattering, light transmittance, or other principle to monitor relative PM loadings.</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Black liquor</w:t>
      </w:r>
      <w:r>
        <w:rPr>
          <w:rFonts w:ascii="Arial" w:hAnsi="Arial" w:cs="Arial"/>
          <w:sz w:val="26"/>
          <w:szCs w:val="26"/>
        </w:rPr>
        <w:t xml:space="preserve"> means spent cooking liquor that has been separated from the pulp produced by the kraft, soda, or semichemical pulping process.</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Black liquor gasification</w:t>
      </w:r>
      <w:r>
        <w:rPr>
          <w:rFonts w:ascii="Arial" w:hAnsi="Arial" w:cs="Arial"/>
          <w:sz w:val="26"/>
          <w:szCs w:val="26"/>
        </w:rPr>
        <w:t xml:space="preserve"> means the thermochemical conversion of black liquor into a combustible gaseous product.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Black liquor oxidation (BLO) system</w:t>
      </w:r>
      <w:r>
        <w:rPr>
          <w:rFonts w:ascii="Arial" w:hAnsi="Arial" w:cs="Arial"/>
          <w:sz w:val="26"/>
          <w:szCs w:val="26"/>
        </w:rPr>
        <w:t xml:space="preserve"> means the vessels used to oxidize the black liquor, with air or oxygen, and the associated storage tank(s).</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Black liquor solids (BLS)</w:t>
      </w:r>
      <w:r>
        <w:rPr>
          <w:rFonts w:ascii="Arial" w:hAnsi="Arial" w:cs="Arial"/>
          <w:sz w:val="26"/>
          <w:szCs w:val="26"/>
        </w:rPr>
        <w:t xml:space="preserve"> means the dry weight of the solids in the black liquor that enters the recovery furnace or semichemical combustion unit.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Black liquor solids firing rate</w:t>
      </w:r>
      <w:r>
        <w:rPr>
          <w:rFonts w:ascii="Arial" w:hAnsi="Arial" w:cs="Arial"/>
          <w:sz w:val="26"/>
          <w:szCs w:val="26"/>
        </w:rPr>
        <w:t xml:space="preserve"> means the rate at which black liquor solids are fed to the recovery furnace or the semichemical combustion unit.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Chemical recovery combustion source</w:t>
      </w:r>
      <w:r>
        <w:rPr>
          <w:rFonts w:ascii="Arial" w:hAnsi="Arial" w:cs="Arial"/>
          <w:sz w:val="26"/>
          <w:szCs w:val="26"/>
        </w:rPr>
        <w:t xml:space="preserve"> means any source in the chemical recovery area of a kraft, soda, sulfite or stand-alone semichemical pulp mill that is an NDCE recovery furnace, a DCE recovery furnace system, a smelt dissolving tank, a lime kiln, a sulfite combustion unit, or a semichemical combustion unit.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Chemical recovery system</w:t>
      </w:r>
      <w:r>
        <w:rPr>
          <w:rFonts w:ascii="Arial" w:hAnsi="Arial" w:cs="Arial"/>
          <w:sz w:val="26"/>
          <w:szCs w:val="26"/>
        </w:rPr>
        <w:t xml:space="preserve"> means all existing DCE and NDCE recovery furnaces, smelt dissolving tanks, and lime kilns at a kraft or soda pulp mill. Each existing recovery furnace, smelt dissolving tank, or lime kiln is considered a process unit within a chemical recovery system.</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Direct contact evaporator (DCE) recovery furnace</w:t>
      </w:r>
      <w:r>
        <w:rPr>
          <w:rFonts w:ascii="Arial" w:hAnsi="Arial" w:cs="Arial"/>
          <w:sz w:val="26"/>
          <w:szCs w:val="26"/>
        </w:rPr>
        <w:t xml:space="preserve"> means a kraft or soda recovery furnace equipped with a direct contact evaporator that concentrates strong black liquor by direct contact between the hot recovery furnace exhaust gases and the strong black liquor.</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Direct contact evaporator (DCE) recovery furnace system</w:t>
      </w:r>
      <w:r>
        <w:rPr>
          <w:rFonts w:ascii="Arial" w:hAnsi="Arial" w:cs="Arial"/>
          <w:sz w:val="26"/>
          <w:szCs w:val="26"/>
        </w:rPr>
        <w:t xml:space="preserve"> means a direct contact evaporator recovery furnace and any black liquor oxidation system, if present, at the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Dry electrostatic precipitator (ESP) system</w:t>
      </w:r>
      <w:r>
        <w:rPr>
          <w:rFonts w:ascii="Arial" w:hAnsi="Arial" w:cs="Arial"/>
          <w:sz w:val="26"/>
          <w:szCs w:val="26"/>
        </w:rPr>
        <w:t xml:space="preserve"> means an electrostatic </w:t>
      </w:r>
      <w:r>
        <w:rPr>
          <w:rFonts w:ascii="Arial" w:hAnsi="Arial" w:cs="Arial"/>
          <w:sz w:val="26"/>
          <w:szCs w:val="26"/>
        </w:rPr>
        <w:lastRenderedPageBreak/>
        <w:t>precipitator with a dry bottom (</w:t>
      </w:r>
      <w:r>
        <w:rPr>
          <w:rFonts w:ascii="Arial" w:hAnsi="Arial" w:cs="Arial"/>
          <w:i/>
          <w:iCs/>
          <w:sz w:val="26"/>
          <w:szCs w:val="26"/>
        </w:rPr>
        <w:t>i.e.,</w:t>
      </w:r>
      <w:r>
        <w:rPr>
          <w:rFonts w:ascii="Arial" w:hAnsi="Arial" w:cs="Arial"/>
          <w:sz w:val="26"/>
          <w:szCs w:val="26"/>
        </w:rPr>
        <w:t xml:space="preserve"> no black liquor, water, or other fluid is used in the ESP bottom) and a dry particulate matter return system (</w:t>
      </w:r>
      <w:r>
        <w:rPr>
          <w:rFonts w:ascii="Arial" w:hAnsi="Arial" w:cs="Arial"/>
          <w:i/>
          <w:iCs/>
          <w:sz w:val="26"/>
          <w:szCs w:val="26"/>
        </w:rPr>
        <w:t>i.e.,</w:t>
      </w:r>
      <w:r>
        <w:rPr>
          <w:rFonts w:ascii="Arial" w:hAnsi="Arial" w:cs="Arial"/>
          <w:sz w:val="26"/>
          <w:szCs w:val="26"/>
        </w:rPr>
        <w:t xml:space="preserve"> no black liquor, water, or other fluid is used to transport the collected PM to the mix tank).</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Fabric filter</w:t>
      </w:r>
      <w:r>
        <w:rPr>
          <w:rFonts w:ascii="Arial" w:hAnsi="Arial" w:cs="Arial"/>
          <w:sz w:val="26"/>
          <w:szCs w:val="26"/>
        </w:rPr>
        <w:t xml:space="preserve"> means an air pollution control device used to capture PM by filtering a gas stream through filter media; also known as a baghouse.</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Hazardous air pollutants (HAP) metals</w:t>
      </w:r>
      <w:r>
        <w:rPr>
          <w:rFonts w:ascii="Arial" w:hAnsi="Arial" w:cs="Arial"/>
          <w:sz w:val="26"/>
          <w:szCs w:val="26"/>
        </w:rPr>
        <w:t xml:space="preserve"> means the sum of all emissions of antimony, arsenic, beryllium, cadmium, chromium, cobalt, lead, manganese, mercury, nickel, and selenium as measured by EPA Method 29 (40 CFR part 60, appendix A) and with all nondetect data treated as one-half of the method detection limit.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Hog fuel dryer</w:t>
      </w:r>
      <w:r>
        <w:rPr>
          <w:rFonts w:ascii="Arial" w:hAnsi="Arial" w:cs="Arial"/>
          <w:sz w:val="26"/>
          <w:szCs w:val="26"/>
        </w:rPr>
        <w:t xml:space="preserve"> means the equipment that combusts fine particles of wood waste (hog fuel) in a fluidized bed and directs the heated exhaust stream to a rotary dryer containing wet hog fuel to be dried prior to combustion in the hog fuel boiler at Weyerhaeuser Paper Company's Cosmopolis, Washington facility. The hog fuel dryer at Weyerhaeuser Paper Company's Cosmopolis, Washington facility is Emission Unit no. HD-14.</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Kraft pulp mill</w:t>
      </w:r>
      <w:r>
        <w:rPr>
          <w:rFonts w:ascii="Arial" w:hAnsi="Arial" w:cs="Arial"/>
          <w:sz w:val="26"/>
          <w:szCs w:val="26"/>
        </w:rPr>
        <w:t xml:space="preserve"> means any stationary source that produces pulp from wood by cooking (digesting) wood chips in a solution of sodium hydroxide and sodium sulfide. The recovery process used to regenerate cooking chemicals is also considered part of the kraft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Kraft recovery furnace</w:t>
      </w:r>
      <w:r>
        <w:rPr>
          <w:rFonts w:ascii="Arial" w:hAnsi="Arial" w:cs="Arial"/>
          <w:sz w:val="26"/>
          <w:szCs w:val="26"/>
        </w:rPr>
        <w:t xml:space="preserve"> means a recovery furnace that is used to burn black liquor produced by the kraft pulping process, as well as any recovery furnace that burns black liquor produced from both the kraft and semichemical pulping processes, and includes the direct contact evaporator, if applicable. Includes black liquor gasification.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Lime kiln</w:t>
      </w:r>
      <w:r>
        <w:rPr>
          <w:rFonts w:ascii="Arial" w:hAnsi="Arial" w:cs="Arial"/>
          <w:sz w:val="26"/>
          <w:szCs w:val="26"/>
        </w:rPr>
        <w:t xml:space="preserve"> means the combustion unit (</w:t>
      </w:r>
      <w:r>
        <w:rPr>
          <w:rFonts w:ascii="Arial" w:hAnsi="Arial" w:cs="Arial"/>
          <w:i/>
          <w:iCs/>
          <w:sz w:val="26"/>
          <w:szCs w:val="26"/>
        </w:rPr>
        <w:t>e.g.,</w:t>
      </w:r>
      <w:r>
        <w:rPr>
          <w:rFonts w:ascii="Arial" w:hAnsi="Arial" w:cs="Arial"/>
          <w:sz w:val="26"/>
          <w:szCs w:val="26"/>
        </w:rPr>
        <w:t xml:space="preserve"> rotary lime kiln or fluidized-bed calciner) used at a kraft or soda pulp mill to calcine lime mud, which consists primarily of calcium carbonate, into quicklime, which is calcium oxide (CaO).</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Lime production rate</w:t>
      </w:r>
      <w:r>
        <w:rPr>
          <w:rFonts w:ascii="Arial" w:hAnsi="Arial" w:cs="Arial"/>
          <w:sz w:val="26"/>
          <w:szCs w:val="26"/>
        </w:rPr>
        <w:t xml:space="preserve"> means the rate at which dry lime, measured as CaO, is produced in the lime kiln.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Method detection limit</w:t>
      </w:r>
      <w:r>
        <w:rPr>
          <w:rFonts w:ascii="Arial" w:hAnsi="Arial" w:cs="Arial"/>
          <w:sz w:val="26"/>
          <w:szCs w:val="26"/>
        </w:rPr>
        <w:t xml:space="preserve"> means the minimum concentration of an analyte that can be determined with 99 percent confidence that the true value is greater than zero.</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Modification</w:t>
      </w:r>
      <w:r>
        <w:rPr>
          <w:rFonts w:ascii="Arial" w:hAnsi="Arial" w:cs="Arial"/>
          <w:sz w:val="26"/>
          <w:szCs w:val="26"/>
        </w:rPr>
        <w:t xml:space="preserve"> means, for the purposes of §63.862(a)(1)(ii)(E)(</w:t>
      </w:r>
      <w:r>
        <w:rPr>
          <w:rFonts w:ascii="Arial" w:hAnsi="Arial" w:cs="Arial"/>
          <w:i/>
          <w:iCs/>
          <w:sz w:val="26"/>
          <w:szCs w:val="26"/>
        </w:rPr>
        <w:t>1</w:t>
      </w:r>
      <w:r>
        <w:rPr>
          <w:rFonts w:ascii="Arial" w:hAnsi="Arial" w:cs="Arial"/>
          <w:sz w:val="26"/>
          <w:szCs w:val="26"/>
        </w:rPr>
        <w:t>), any physical change (excluding any routine part replacement or maintenance) or operational change (excluding any operational change that occurs during a start-up, shutdown, or malfunction) that is made to the air pollution control device that could result in an increase in PM emissions.</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Nondetect data</w:t>
      </w:r>
      <w:r>
        <w:rPr>
          <w:rFonts w:ascii="Arial" w:hAnsi="Arial" w:cs="Arial"/>
          <w:sz w:val="26"/>
          <w:szCs w:val="26"/>
        </w:rPr>
        <w:t xml:space="preserve"> means, for the purposes of this subpart, any value that is below the method detection limit.</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lastRenderedPageBreak/>
        <w:t>Nondirect contact evaporator (NDCE) recovery furnace</w:t>
      </w:r>
      <w:r>
        <w:rPr>
          <w:rFonts w:ascii="Arial" w:hAnsi="Arial" w:cs="Arial"/>
          <w:sz w:val="26"/>
          <w:szCs w:val="26"/>
        </w:rPr>
        <w:t xml:space="preserve"> means a kraft or soda recovery furnace that burns black liquor that has been concentrated by indirect contact with steam.</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Particulate matter (PM)</w:t>
      </w:r>
      <w:r>
        <w:rPr>
          <w:rFonts w:ascii="Arial" w:hAnsi="Arial" w:cs="Arial"/>
          <w:sz w:val="26"/>
          <w:szCs w:val="26"/>
        </w:rPr>
        <w:t xml:space="preserve"> means total particulate matter as measured by EPA Method 5, EPA Method 17 (§63.865(b)(1)), or EPA Method 29 (40 CFR part 60, appendix A).</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Process unit</w:t>
      </w:r>
      <w:r>
        <w:rPr>
          <w:rFonts w:ascii="Arial" w:hAnsi="Arial" w:cs="Arial"/>
          <w:sz w:val="26"/>
          <w:szCs w:val="26"/>
        </w:rPr>
        <w:t xml:space="preserve"> means an existing DCE or NDCE recovery furnace, smelt dissolving tank, or lime kiln in a chemical recovery system at a kraft or soda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Recovery furnace</w:t>
      </w:r>
      <w:r>
        <w:rPr>
          <w:rFonts w:ascii="Arial" w:hAnsi="Arial" w:cs="Arial"/>
          <w:sz w:val="26"/>
          <w:szCs w:val="26"/>
        </w:rPr>
        <w:t xml:space="preserve"> means an enclosed combustion device where concentrated black liquor produced by the kraft or soda pulping process is burned to recover pulping chemicals and produce steam. Includes black liquor gasification.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Regenerative thermal oxidizer (RTO)</w:t>
      </w:r>
      <w:r>
        <w:rPr>
          <w:rFonts w:ascii="Arial" w:hAnsi="Arial" w:cs="Arial"/>
          <w:sz w:val="26"/>
          <w:szCs w:val="26"/>
        </w:rPr>
        <w:t xml:space="preserve"> means a thermal oxidizer that transfers heat from the exhaust gas stream to the inlet gas stream by passing the exhaust stream through a bed of ceramic stoneware or other heat-absorbing medium before releasing it to the atmosphere, then reversing the gas flow so the inlet gas stream passes through the heated bed, raising the temperature of the inlet stream close to or at its ignition temperature.</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Semichemical combustion unit</w:t>
      </w:r>
      <w:r>
        <w:rPr>
          <w:rFonts w:ascii="Arial" w:hAnsi="Arial" w:cs="Arial"/>
          <w:sz w:val="26"/>
          <w:szCs w:val="26"/>
        </w:rPr>
        <w:t xml:space="preserve"> means any equipment used to combust or pyrolyze black liquor at stand-alone semichemical pulp mills for the purpose of chemical recovery. Includes black liquor gasification.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Similar process units</w:t>
      </w:r>
      <w:r>
        <w:rPr>
          <w:rFonts w:ascii="Arial" w:hAnsi="Arial" w:cs="Arial"/>
          <w:sz w:val="26"/>
          <w:szCs w:val="26"/>
        </w:rPr>
        <w:t xml:space="preserve"> means all existing DCE and NDCE recovery furnaces, smelt dissolving tanks, or lime kilns at a kraft or soda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Smelt dissolving tanks (SDT)</w:t>
      </w:r>
      <w:r>
        <w:rPr>
          <w:rFonts w:ascii="Arial" w:hAnsi="Arial" w:cs="Arial"/>
          <w:sz w:val="26"/>
          <w:szCs w:val="26"/>
        </w:rPr>
        <w:t xml:space="preserve"> means vessels used for dissolving the smelt collected from a kraft or soda recovery furnace.</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Soda pulp mill</w:t>
      </w:r>
      <w:r>
        <w:rPr>
          <w:rFonts w:ascii="Arial" w:hAnsi="Arial" w:cs="Arial"/>
          <w:sz w:val="26"/>
          <w:szCs w:val="26"/>
        </w:rPr>
        <w:t xml:space="preserve"> means any stationary source that produces pulp from wood by cooking (digesting) wood chips in a sodium hydroxide solution. The recovery process used to regenerate cooking chemicals is also considered part of the soda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Soda recovery furnace</w:t>
      </w:r>
      <w:r>
        <w:rPr>
          <w:rFonts w:ascii="Arial" w:hAnsi="Arial" w:cs="Arial"/>
          <w:sz w:val="26"/>
          <w:szCs w:val="26"/>
        </w:rPr>
        <w:t xml:space="preserve"> means a recovery furnace used to burn black liquor produced by the soda pulping process and includes the direct contact evaporator, if applicable. Includes black liquor gasification.</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Stand-alone semichemical pulp mill</w:t>
      </w:r>
      <w:r>
        <w:rPr>
          <w:rFonts w:ascii="Arial" w:hAnsi="Arial" w:cs="Arial"/>
          <w:sz w:val="26"/>
          <w:szCs w:val="26"/>
        </w:rPr>
        <w:t xml:space="preserve"> means any stationary source that produces pulp from wood by partially digesting wood chips in a chemical solution followed by mechanical defibrating (grinding), and has an onsite chemical recovery process that is not integrated with a kraft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Startup</w:t>
      </w:r>
      <w:r>
        <w:rPr>
          <w:rFonts w:ascii="Arial" w:hAnsi="Arial" w:cs="Arial"/>
          <w:sz w:val="26"/>
          <w:szCs w:val="26"/>
        </w:rPr>
        <w:t xml:space="preserve"> means, for the chemical recovery system employing black liquor gasification at Georgia-Pacific's facility in Big Island, Virginia only, the end of the gasification system commissioning phase. Commissioning is that period of time in which each part of the new gasification system will be checked and operated on its own to make sure it is installed and functions </w:t>
      </w:r>
      <w:r>
        <w:rPr>
          <w:rFonts w:ascii="Arial" w:hAnsi="Arial" w:cs="Arial"/>
          <w:sz w:val="26"/>
          <w:szCs w:val="26"/>
        </w:rPr>
        <w:lastRenderedPageBreak/>
        <w:t>properly. Commissioning will conclude with the successful completion of the gasification technology supplier's performance warranty demonstration, which proves the technology and equipment are performing to warranted levels and the system is ready to be placed in active service. For all other affected sources under this subpart, startup has the meaning given in §63.2.</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Sulfite combustion unit</w:t>
      </w:r>
      <w:r>
        <w:rPr>
          <w:rFonts w:ascii="Arial" w:hAnsi="Arial" w:cs="Arial"/>
          <w:sz w:val="26"/>
          <w:szCs w:val="26"/>
        </w:rPr>
        <w:t xml:space="preserve"> means a combustion device, such as a recovery furnace or fluidized-bed reactor, where spent liquor from the sulfite pulping process (i.e., red liquor) is burned to recover pulping chemicals.</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Sulfite pulp mill</w:t>
      </w:r>
      <w:r>
        <w:rPr>
          <w:rFonts w:ascii="Arial" w:hAnsi="Arial" w:cs="Arial"/>
          <w:sz w:val="26"/>
          <w:szCs w:val="26"/>
        </w:rPr>
        <w:t xml:space="preserve"> means any stationary source that produces pulp from wood by cooking (digesting) wood chips in a solution of sulfurous acid and bisulfite ions. The recovery process used to regenerate cooking chemicals is also considered part of the sulfite pulp mill.</w:t>
      </w:r>
    </w:p>
    <w:p w:rsidR="00BD290E" w:rsidRDefault="00BD290E" w:rsidP="00BD290E">
      <w:pPr>
        <w:widowControl w:val="0"/>
        <w:autoSpaceDE w:val="0"/>
        <w:autoSpaceDN w:val="0"/>
        <w:adjustRightInd w:val="0"/>
        <w:ind w:firstLine="520"/>
        <w:rPr>
          <w:rFonts w:ascii="Arial" w:hAnsi="Arial" w:cs="Arial"/>
          <w:sz w:val="26"/>
          <w:szCs w:val="26"/>
        </w:rPr>
      </w:pPr>
      <w:r>
        <w:rPr>
          <w:rFonts w:ascii="Arial" w:hAnsi="Arial" w:cs="Arial"/>
          <w:i/>
          <w:iCs/>
          <w:sz w:val="26"/>
          <w:szCs w:val="26"/>
        </w:rPr>
        <w:t>Total hydrocarbons (THC)</w:t>
      </w:r>
      <w:r>
        <w:rPr>
          <w:rFonts w:ascii="Arial" w:hAnsi="Arial" w:cs="Arial"/>
          <w:sz w:val="26"/>
          <w:szCs w:val="26"/>
        </w:rPr>
        <w:t xml:space="preserve"> means the sum of organic compounds measured as carbon using EPA Method 25A (40 CFR part 60, appendix A).</w:t>
      </w:r>
    </w:p>
    <w:p w:rsidR="00BD290E" w:rsidRDefault="00BD290E" w:rsidP="00BD290E">
      <w:pPr>
        <w:widowControl w:val="0"/>
        <w:autoSpaceDE w:val="0"/>
        <w:autoSpaceDN w:val="0"/>
        <w:adjustRightInd w:val="0"/>
        <w:rPr>
          <w:rFonts w:ascii="Arial" w:hAnsi="Arial" w:cs="Arial"/>
        </w:rPr>
      </w:pPr>
      <w:r>
        <w:rPr>
          <w:rFonts w:ascii="Arial" w:hAnsi="Arial" w:cs="Arial"/>
        </w:rPr>
        <w:t>[66 FR 3193, Jan. 12, 2001, as amended at 66 FR 16408, Mar. 26, 2001; 68 FR 7713, Feb. 18, 2003]</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§63.862   Standards.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Standards for HAP metals: existing sources.</w:t>
      </w:r>
      <w:r>
        <w:rPr>
          <w:rFonts w:ascii="Arial" w:hAnsi="Arial" w:cs="Arial"/>
          <w:sz w:val="26"/>
          <w:szCs w:val="26"/>
        </w:rPr>
        <w:t xml:space="preserve"> (1) Each owner or operator of an existing kraft or soda pulp mill must comply with the requirements of either paragraph (a)(1)(i) or (ii)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Each owner or operator of a kraft or soda pulp mill must comply with the PM emissions limits in paragraphs (a)(1)(i)(A) through (C)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 The owner or operator of each existing kraft or soda recovery furnace must ensure that the concentration of PM in the exhaust gases discharged to the atmosphere is less than or equal to 0.10 gram per dry standard cubic meter (g/dscm) (0.044 grain per dry standard cubic foot (gr/dscf)) corrected to 8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(B) The owner or operator of each existing kraft or soda smelt dissolving tank must ensure that the concentration of PM in the exhaust gases discharged to the atmosphere is less than or equal to 0.10 kilogram per megagram (kg/Mg) (0.20 pound per ton (lb/ton)) of black liquor solids fired.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(C) The owner or operator of each existing kraft or soda lime kiln must ensure that the concentration of PM in the exhaust gases discharged to the atmosphere is less than or equal to 0.15 g/dscm (0.064 gr/dscf) corrected to 10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As an alternative to meeting the requirements of §63.862(a)(1)(i), each owner or operator of a kraft or soda pulp mill may establish PM emissions limits for each existing kraft or soda recovery furnace, smelt dissolving tank, and lime kiln that operates 6,300 hours per year or more by:</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lastRenderedPageBreak/>
        <w:t>(A) Establishing an overall PM emission limit for each existing process unit in the chemical recovery system at the kraft or soda pulp mill using the methods in §63.865(a)(1) and (2).</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(B) The emissions limits for each kraft recovery furnace, smelt dissolving tank, and lime kiln that are used to establish the overall PM limit in paragraph (a)(1)(ii)(A) of this section must not be less stringent than the emissions limitations required by §60.282 of part 60 of this chapter for any kraft recovery furnace, smelt dissolving tank, or lime kiln that is subject to the requirements of §60.282.</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(C) Each owner or operator of an existing kraft or soda recovery furnace, smelt dissolving tank, or lime kiln must ensure that the PM emissions discharged to the atmosphere from each of these sources are less than or equal to the applicable PM emissions limits, established using the methods in §63.865(a)(1), that are used to establish the overall PM emissions limits in paragraph (a)(1)(ii)(A)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(D) Each owner or operator of an existing kraft or soda recovery furnace, smelt dissolving tank, or lime kiln must reestablish the emissions limits determined in paragraph (a)(1)(ii)(A) of this section if either of the actions in paragraphs (a)(1)(ii)(D)(</w:t>
      </w:r>
      <w:r>
        <w:rPr>
          <w:rFonts w:ascii="Arial" w:hAnsi="Arial" w:cs="Arial"/>
          <w:i/>
          <w:iCs/>
          <w:sz w:val="26"/>
          <w:szCs w:val="26"/>
        </w:rPr>
        <w:t>1</w:t>
      </w:r>
      <w:r>
        <w:rPr>
          <w:rFonts w:ascii="Arial" w:hAnsi="Arial" w:cs="Arial"/>
          <w:sz w:val="26"/>
          <w:szCs w:val="26"/>
        </w:rPr>
        <w:t>) and (</w:t>
      </w:r>
      <w:r>
        <w:rPr>
          <w:rFonts w:ascii="Arial" w:hAnsi="Arial" w:cs="Arial"/>
          <w:i/>
          <w:iCs/>
          <w:sz w:val="26"/>
          <w:szCs w:val="26"/>
        </w:rPr>
        <w:t>2</w:t>
      </w:r>
      <w:r>
        <w:rPr>
          <w:rFonts w:ascii="Arial" w:hAnsi="Arial" w:cs="Arial"/>
          <w:sz w:val="26"/>
          <w:szCs w:val="26"/>
        </w:rPr>
        <w:t>) of this section are taken: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w:t>
      </w:r>
      <w:r>
        <w:rPr>
          <w:rFonts w:ascii="Arial" w:hAnsi="Arial" w:cs="Arial"/>
          <w:i/>
          <w:iCs/>
          <w:sz w:val="26"/>
          <w:szCs w:val="26"/>
        </w:rPr>
        <w:t>1</w:t>
      </w:r>
      <w:r>
        <w:rPr>
          <w:rFonts w:ascii="Arial" w:hAnsi="Arial" w:cs="Arial"/>
          <w:sz w:val="26"/>
          <w:szCs w:val="26"/>
        </w:rPr>
        <w:t>) The air pollution control system for any existing kraft or soda recovery furnace, smelt dissolving tank, or lime kiln for which an emission limit was established in paragraph (a)(1)(ii)(A) of this section is modified (as defined in §63.861) or replaced; or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w:t>
      </w:r>
      <w:r>
        <w:rPr>
          <w:rFonts w:ascii="Arial" w:hAnsi="Arial" w:cs="Arial"/>
          <w:i/>
          <w:iCs/>
          <w:sz w:val="26"/>
          <w:szCs w:val="26"/>
        </w:rPr>
        <w:t>2</w:t>
      </w:r>
      <w:r>
        <w:rPr>
          <w:rFonts w:ascii="Arial" w:hAnsi="Arial" w:cs="Arial"/>
          <w:sz w:val="26"/>
          <w:szCs w:val="26"/>
        </w:rPr>
        <w:t>) Any kraft or soda recovery furnace, smelt dissolving tank, or lime kiln for which an emission limit was established in paragraph (a)(1)(ii)(A) of this section is shut down for more than 60 consecutive days.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(iii) Each owner or operator of an existing kraft or soda recovery furnace, smelt dissolving tank, or lime kiln that operates less than 6,300 hours per year must comply with the applicable PM emissions limits for that process unit provided in paragraph (a)(1)(i)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Except as specified in paragraph (d) of this section, the owner or operator of each existing sulfite combustion unit must ensure that the concentration of PM in the exhaust gases discharged to the atmosphere is less than or equal to 0.092 g/dscm (0.040 gr/dscf) corrected to 8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Standards for HAP metals: new sources.</w:t>
      </w:r>
      <w:r>
        <w:rPr>
          <w:rFonts w:ascii="Arial" w:hAnsi="Arial" w:cs="Arial"/>
          <w:sz w:val="26"/>
          <w:szCs w:val="26"/>
        </w:rPr>
        <w:t xml:space="preserve"> (1) The owner or operator of any new kraft or soda recovery furnace must ensure that the concentration of PM in the exhaust gases discharged to the atmosphere is less than or equal to 0.034 g/dscm (0.015 gr/dscf) corrected to 8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The owner or operator of any new kraft or soda smelt dissolving tank must ensure that the concentration of PM in the exhaust gases discharged to the atmosphere is less than or equal to 0.06 kg/Mg (0.12 lb/ton) of black liquor solids fired.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lastRenderedPageBreak/>
        <w:t>(3) The owner or operator of any new kraft or soda lime kiln must ensure that the concentration of PM in the exhaust gases discharged to the atmosphere is less than or equal to 0.023 g/dscm (0.010 gr/dscf) corrected to 10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(4) The owner or operator of any new sulfite combustion unit must ensure that the concentration of PM in the exhaust gases discharged to the atmosphere is less than or equal to 0.046 g/dscm (O.020 gr/dscf) corrected to 8 percent oxygen.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Standards for gaseous organic HAP.</w:t>
      </w:r>
      <w:r>
        <w:rPr>
          <w:rFonts w:ascii="Arial" w:hAnsi="Arial" w:cs="Arial"/>
          <w:sz w:val="26"/>
          <w:szCs w:val="26"/>
        </w:rPr>
        <w:t xml:space="preserve"> (1) The owner or operator of any new recovery furnace at a kraft or soda pulp mill must ensure that the concentration or gaseous organic HAP, as meauared by methanol, discharged to the atmosphere is no greater than 0.012 kg/Mg (0.025 lb/ton) of black liquor solids fired.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The owner or operator of each existing or new semichemical combustion unit must ensure that:</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The concentration of gaseous organic HAP, as measured by total hydrocarbons reported as carbon, discharged to the atmosphere is less than or equal to 1.49 kg/Mg (2.97 lb/ton) of black liquor solids fired; or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The gaseous organic HAP emissions, as measured by total hydrocarbons reported as carbon, are reduced by at least 90 percent prior to discharge of the gases to the atmosphere.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Alternative standard.</w:t>
      </w:r>
      <w:r>
        <w:rPr>
          <w:rFonts w:ascii="Arial" w:hAnsi="Arial" w:cs="Arial"/>
          <w:sz w:val="26"/>
          <w:szCs w:val="26"/>
        </w:rPr>
        <w:t xml:space="preserve"> As an alternative to meeting the requirements of paragraph (a)(2) of this section, the owner or operator of the existing hog fuel dryer at Weyerhaeuser Paper Company's Cosmopolis, Washington facility (Emission Unit no. HD-14) must ensure that the mass of PM in the exhaust gases discharged to the atmosphere from the hog fuel dryer is less than or equal to 4.535 kilograms per hour (kg/hr) (10.0 pounds per hour (lb/hr)).</w:t>
      </w:r>
    </w:p>
    <w:p w:rsidR="00BD290E" w:rsidRDefault="00BD290E" w:rsidP="00BD290E">
      <w:pPr>
        <w:widowControl w:val="0"/>
        <w:autoSpaceDE w:val="0"/>
        <w:autoSpaceDN w:val="0"/>
        <w:adjustRightInd w:val="0"/>
        <w:rPr>
          <w:rFonts w:ascii="Arial" w:hAnsi="Arial" w:cs="Arial"/>
        </w:rPr>
      </w:pPr>
      <w:r>
        <w:rPr>
          <w:rFonts w:ascii="Arial" w:hAnsi="Arial" w:cs="Arial"/>
        </w:rPr>
        <w:t>[66 FR 3193, Jan. 12, 2001, as amended at 68 FR 7713, Feb. 18, 2003; 68 FR 67954, Dec. 5, 2003]</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§63.863   Compliance dates.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 The owner or operator of an existing affected source or process unit must comply with the requirements in this subpart no later than March 13, 2004.</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(b) The owner or operator of a new affected source that has an initial startup date after March 13, 2001 must comply with the requirements in this subpart immediately upon startup of the affected source, except as specified in §63.6(b).</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(c) The two existing semichemical combustion units at Georgia-Pacific Corporation's Big Island, VA facility must comply with the requirements of this subpart no later than March 13, 2004, except as provided in paragraphs (c)(1) and (c)(2)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lastRenderedPageBreak/>
        <w:t>(1) If Georgia-Pacific Corporation constructs a new black liquor gasification system at Big Island, VA, determines that its attempt to start up the new system has been a failure and, therefore, must construct another type of chemical recovery unit to replace the two existing semichemical combustion units at Big Island, then the two existing semichemical combustion units must comply with the requirements of this subpart by the earliest of the following dates: three years after Georgia-Pacific declares the gasification system a failure, upon startup of the new replacement unit(s), or March 1, 2008.</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After March 13, 2004 and if Georgia-Pacific Corporation constructs and successfully starts up a new black liquor gasification system, the provisions of this subpart will not apply to the two existing semichemical combustion units at Georgia-Pacific's facility in Big Island, VA for up to 1500 hours, while Georgia-Pacific conducts trials of the new gasification system on black liquor from a Kraft pulp mill.</w:t>
      </w:r>
    </w:p>
    <w:p w:rsidR="00BD290E" w:rsidRDefault="00BD290E" w:rsidP="00BD290E">
      <w:pPr>
        <w:widowControl w:val="0"/>
        <w:autoSpaceDE w:val="0"/>
        <w:autoSpaceDN w:val="0"/>
        <w:adjustRightInd w:val="0"/>
        <w:rPr>
          <w:rFonts w:ascii="Arial" w:hAnsi="Arial" w:cs="Arial"/>
        </w:rPr>
      </w:pPr>
      <w:r>
        <w:rPr>
          <w:rFonts w:ascii="Arial" w:hAnsi="Arial" w:cs="Arial"/>
        </w:rPr>
        <w:t>[66 FR 3193, Jan. 12, 2001, as amended at 66 FR 16408, Mar. 26, 2001; 66 FR 37593, July 19, 2001; 68 FR 46108, Aug. 5, 2003]</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§63.864   Monitoring requirements.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(a)-(c)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Continuous opacity monitoring system (COMS).</w:t>
      </w:r>
      <w:r>
        <w:rPr>
          <w:rFonts w:ascii="Arial" w:hAnsi="Arial" w:cs="Arial"/>
          <w:sz w:val="26"/>
          <w:szCs w:val="26"/>
        </w:rPr>
        <w:t xml:space="preserve"> The owner or operator of each affected kraft or soda recovery furnace or lime kiln equipped with an ESP must install, calibrate, maintain, and operate a COMS according to the provisions in §§63.6(h) and 63.8 and paragraphs (d)(1) through (4)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(1)-(2)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(3) As specified in §63.8(c)(4)(i), each COMS must complete a minimum of one cycle of sampling and analyzing for each successive 10-second period and one cycle of data recording for each successive 6-minute period.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(4) The COMS data must be reduced as specified in §63.8(g)(2).</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(e) </w:t>
      </w:r>
      <w:r>
        <w:rPr>
          <w:rFonts w:ascii="Arial" w:hAnsi="Arial" w:cs="Arial"/>
          <w:i/>
          <w:iCs/>
          <w:sz w:val="26"/>
          <w:szCs w:val="26"/>
        </w:rPr>
        <w:t>Continuous parameter monitoring system (CPMS).</w:t>
      </w:r>
      <w:r>
        <w:rPr>
          <w:rFonts w:ascii="Arial" w:hAnsi="Arial" w:cs="Arial"/>
          <w:sz w:val="26"/>
          <w:szCs w:val="26"/>
        </w:rPr>
        <w:t xml:space="preserve"> For each CPMS required in this section, the owner or operator of each affected source or process unit must meet the requirements in paragraphs (e)(1) through (14)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(1)-(9)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(10) The owner or operator of each affected kraft or soda recovery furnace, kraft or soda lime kiln, sulfite combustion unit, or kraft or soda smelt dissolving tank equipped with a wet scrubber must install, calibrate, maintain, and operate a CPMS that can be used to determine and record the pressure drop across the scrubber and the scrubbing liquid flow rate at least once every successive 15-minute period using the procedures in §63.8(c), as well as the procedures in paragraphs (e)(10)(i) and (ii)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lastRenderedPageBreak/>
        <w:t>(i) The monitoring device used for the continuous measurement of the pressure drop of the gas stream across the scrubber must be certified by the manufacturer to be accurate to within a gage pressure of ±500 pascals (±2 inches of water gage pressure); and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The monitoring device used for continuous measurement of the scrubbing liquid flow rate must be certified by the manufacturer to be accurate within ±5 percent of the design scrubbing liquid flow rate.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(11) The owner or operator of each affected semichemical combustion unit equipped with an RTO must install, calibrate, maintain, and operate a CPMS that can be used to determine and record the operating temperature of the RTO at least once every successive 15-minute period using the procedures in §63.8(c). The monitor must compute and record the operating temperature at the point of incineration of effluent gases that are emitted using a temperature monitor accurate to within ±1 percent of the temperature being measured.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(12) The owner or operator of the affected hog fuel dryer at Weyerhaeuser Paper Company's Cosmopolis, Washington facility (Emission Unit no. HD-14) must meet the requirements in paragraphs (e)(12)(i) through (xi) of this section for each bag leak detection system.</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The owner or operator must install, calibrate, maintain, and operate each triboelectric bag leak detection system according to the “Fabric Filter Bag Leak Detection Guidance,” (EPA-454/R-98-015, September 1997). This document is available from the U.S. Environmental Protection Agency (U.S. EPA); Office of Air Quality Planning and Standards; Emissions, Monitoring and Analysis Division; Emission Measurement Center, MD-D205-02, Research Triangle Park, NC 27711. This document is also available on the Technology Transfer Network under Emission Measurement Center Continuous Emission Monitoring. The owner or operator must install, calibrate, maintain, and operate other types of bag leak detection systems in a manner consistent with the manufacturer's written specifications and recommendations.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The bag leak detection system must be certified by the manufacturer to be capable of detecting PM emissions at concentrations of 10 milligrams per actual cubic meter (0.0044 grains per actual cubic foot) or less.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(iii) The bag leak detection system sensor must provide an output of relative PM loadings.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(iv) The bag leak detection system must be equipped with a device to continuously record the output signal from the sensor.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 The bag leak detection system must be equipped with an audible alarm system that will sound automatically when an increase in relative PM emissions over a preset level is detected. The alarm must be located where it is easily heard by plant operating personnel.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(vi) For positive pressure fabric filter systems, a bag leak detector must be </w:t>
      </w:r>
      <w:r>
        <w:rPr>
          <w:rFonts w:ascii="Arial" w:hAnsi="Arial" w:cs="Arial"/>
          <w:sz w:val="26"/>
          <w:szCs w:val="26"/>
        </w:rPr>
        <w:lastRenderedPageBreak/>
        <w:t>installed in each baghouse compartment or cell.</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(vii) For negative pressure or induced air fabric filters, the bag leak detector must be installed downstream of the fabric filter.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(viii) Where multiple detectors are required, the system's instrumentation and alarm may be shared among detectors.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(ix) The baseline output must be established by adjusting the range and the averaging period of the device and establishing the alarm set points and the alarm delay time according to section 5.0 of the “Fabric Filter Bag Leak Detection Guidance.”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(x) Following initial adjustment of the system, the sensitivity or range, averaging period, alarm set points, or alarm delay time may not be adjusted except as detailed in the site-specific monitoring plan. In no case may the sensitivity be increased by more than 100 percent or decreased more than 50 percent over a 365-day period unless such adjustment follows a complete fabric filter inspection which demonstrates that the fabric filter is in good operating condition. Record each adjustment.</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(xi) The owner or operator must record the results of each inspection, calibration, and validation check.</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(13) The owner or operator of each affected source or process unit that uses an ESP, wet scrubber, RTO, or fabric filter may monitor alternative control device operating parameters subject to prior written approval by the Administrator.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(14) The owner or operator of each affected source or process unit that uses an air pollution control system other than an ESP, wet scrubber, RTO, or fabric filter must provide to the Administrator an alternative monitoring request that includes the site-specific monitoring plan described in paragraph (a) of this section, a description of the control device, test results verifying the performance of the control device, the appropriate operating parameters that will be monitored, and the frequency of measuring and recording to establish continuous compliance with the standards. The alternative monitoring request is subject to the Administrator's approval. The owner or operator of the affected source or process unit must install, calibrate, operate, and maintain the monitor(s) in accordance with the alternative monitoring request approved by the Administrator. The owner or operator must include in the information submitted to the Administrator proposed performance specifications and quality assurance procedures for the monitors. The Administrator may request further information and will approve acceptable test methods and procedures. The owner or operator must monitor the parameters as approved by the Administrator using the methods and procedures in the alternative monitoring request.</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(f)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(g) The owner or operator of each affected source or process unit </w:t>
      </w:r>
      <w:r>
        <w:rPr>
          <w:rFonts w:ascii="Arial" w:hAnsi="Arial" w:cs="Arial"/>
          <w:sz w:val="26"/>
          <w:szCs w:val="26"/>
        </w:rPr>
        <w:lastRenderedPageBreak/>
        <w:t>complying with the gaseous organic HAP standard of §63.862(c)(1) through the use of an NDCE recovery furnace equipped with a dry ESP system is not required to conduct any continuous monitoring to demonstrate compliance with the gaseous organic HAP standard.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(h)-(i)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(j) </w:t>
      </w:r>
      <w:r>
        <w:rPr>
          <w:rFonts w:ascii="Arial" w:hAnsi="Arial" w:cs="Arial"/>
          <w:i/>
          <w:iCs/>
          <w:sz w:val="26"/>
          <w:szCs w:val="26"/>
        </w:rPr>
        <w:t>Determination of operating ranges.</w:t>
      </w:r>
      <w:r>
        <w:rPr>
          <w:rFonts w:ascii="Arial" w:hAnsi="Arial" w:cs="Arial"/>
          <w:sz w:val="26"/>
          <w:szCs w:val="26"/>
        </w:rPr>
        <w:t xml:space="preserve"> (1) During the initial performance test required in §63.865, the owner or operator of any affected source or process unit must establish operating ranges for the monitoring parameters in paragraphs (e)(10) through (14) of this section, as appropriate; or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The owner or operator may base operating ranges on values recorded during previous performance tests or conduct additional performance tests for the specific purpose of establishing operating ranges, provided that test data used to establish the operating ranges are or have been obtained using the test methods required in this subpart. The owner or operator of the affected source or process unit must certify that all control techniques and processes have not been modified subsequent to the testing upon which the data used to establish the operating parameter ranges were obtained.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(3) The owner or operator of an affected source or process unit may establish expanded or replacement operating ranges for the monitoring parameter values listed in paragraphs (e)(10) through (14) of this section and established in paragraph (j)(1) or (2) of this section during subsequent performance tests using the test methods in §63.865.</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(4) The owner or operator of the affected source or process unit must continuously monitor each parameter and determine the arithmetic average value of each parameter during each performance test. Multiple performance tests may be conducted to establish a range of parameter values.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(5)-(6) [Reserved]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(k) </w:t>
      </w:r>
      <w:r>
        <w:rPr>
          <w:rFonts w:ascii="Arial" w:hAnsi="Arial" w:cs="Arial"/>
          <w:i/>
          <w:iCs/>
          <w:sz w:val="26"/>
          <w:szCs w:val="26"/>
        </w:rPr>
        <w:t>On-going compliance provisions.</w:t>
      </w:r>
      <w:r>
        <w:rPr>
          <w:rFonts w:ascii="Arial" w:hAnsi="Arial" w:cs="Arial"/>
          <w:sz w:val="26"/>
          <w:szCs w:val="26"/>
        </w:rPr>
        <w:t xml:space="preserve"> (1) Following the compliance date, owners or operators of all affected sources or process units are required to implement corrective action if the monitoring exceedances in paragraphs (k)(1)(i) through (vi) of this section occur: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For a new or existing kraft or soda recovery furnace or lime kiln equipped with an ESP, when the average of ten consecutive 6-minute averages result in a measurement greater than 20 percent opacity;</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For a new or existing kraft or soda recovery furnace, kraft or soda smelt dissolving tank, kraft or soda lime kiln, or sulfite combustion unit equipped with a wet scrubber, when any 3-hour average parameter value is outside the range of values 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(iii) For a new or existing semichemical combustion unit equipped with an RTO, when any 1-hour average temperature falls below the temperature </w:t>
      </w:r>
      <w:r>
        <w:rPr>
          <w:rFonts w:ascii="Arial" w:hAnsi="Arial" w:cs="Arial"/>
          <w:sz w:val="26"/>
          <w:szCs w:val="26"/>
        </w:rPr>
        <w:lastRenderedPageBreak/>
        <w:t>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(iv) For the hog fuel dryer at Weyerhaeuser Paper Company's Cosmopolis, Washington facility (Emission Unit no. HD-14), when the bag leak detection system alarm sounds.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 For an affected source or process unit equipped with an ESP, wet scrubber, RTO, or fabric filter and monitoring alternative operating parameters established in paragraph (e)(13) of this section, when any 3-hour average value is outside the range of parameter values established in paragraph (j) of this section; and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(vi) For an affected source or process unit equipped with an alternative air pollution control system and monitoring operating parameters approved by the Administrator as established in paragraph (e)(14) of this section, when any 3-hour average value is outside the range of parameter values 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Following the compliance date, owners or operators of all affected sources or process units are in violation of the standards of §63.862 if the monitoring exceedances in paragraphs (k)(2)(i) through (vii) of this section occur:</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For an existing kraft or soda recovery furnace equipped with an ESP, when opacity is greater than 35 percent for 6 percent or more of the operating time within any quarterly period;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For a new kraft or soda recovery furnace or a new or existing lime kiln equipped with an ESP, when opacity is greater than 20 percent for 6 percent or more of the operating time within any quarterly period;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(iii) For a new or existing kraft or soda recovery furnace, kraft or soda smelt dissolving tank, kraft or soda lime kiln, or sulfite combustion unit equipped with a wet scrubber, when six or more 3-hour average parameter values within any 6-month reporting period are outside the range of values 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(iv) For a new or existing semichemical combustion unit equipped with an RTO, when any 3-hour average temperature falls below the temperature 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 For the hog fuel dryer at Weyerhaeuser Paper Company's Cosmopolis, Washington facility (Emission Unit no. HD-14), when corrective action is not initiated within 1 hour of a bag leak detection system alarm and the alarm is engaged for more than 5 percent of the total operating time in a 6-month block reporting period. In calculating the operating time fraction, if inspection of the fabric filter demonstrates that no corrective action is required, no alarm time is counted; if corrective action is required, each alarm is counted as a minimum of 1 hour; if corrective action is not initiated within 1 hour, the alarm time is counted as the actual amount of time taken to initiate corrective action.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 xml:space="preserve">(vi) For an affected source or process unit equipped with an ESP, wet </w:t>
      </w:r>
      <w:r>
        <w:rPr>
          <w:rFonts w:ascii="Arial" w:hAnsi="Arial" w:cs="Arial"/>
          <w:sz w:val="26"/>
          <w:szCs w:val="26"/>
        </w:rPr>
        <w:lastRenderedPageBreak/>
        <w:t>scrubber, RTO, or fabric filter and monitoring alternative operating parameters established in paragraph (e)(13) of this section, when six or more 3-hour average values within any 6-month reporting period are outside the range of parameter values established in paragraph (j) of this section; and</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(vii) For an affected source or process unit equipped with an alternative air pollution control system and monitoring operating parameters approved by the Administrator as established in paragraph (e)(14) of this section, when six or more 3-hour average values within any 6-month reporting period are outside the range of parameter values established in paragraph (j)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(3) For purposes of determining the number of nonopacity monitoring exceedances, no more than one exceedance will be attributed in any given 24-hour period.</w:t>
      </w:r>
    </w:p>
    <w:p w:rsidR="00BD290E" w:rsidRDefault="00BD290E" w:rsidP="00BD290E">
      <w:pPr>
        <w:widowControl w:val="0"/>
        <w:autoSpaceDE w:val="0"/>
        <w:autoSpaceDN w:val="0"/>
        <w:adjustRightInd w:val="0"/>
        <w:rPr>
          <w:rFonts w:ascii="Arial" w:hAnsi="Arial" w:cs="Arial"/>
        </w:rPr>
      </w:pPr>
      <w:r>
        <w:rPr>
          <w:rFonts w:ascii="Arial" w:hAnsi="Arial" w:cs="Arial"/>
        </w:rPr>
        <w:t>[68 FR 7713, Feb. 18, 2003, as amended at 68 FR 42605, July 18, 2003; 68 FR 67955, Dec. 5, 2003; 71 FR 20458, Apr. 20, 2006]</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BD290E" w:rsidRDefault="00BD290E" w:rsidP="00BD290E">
      <w:pPr>
        <w:widowControl w:val="0"/>
        <w:autoSpaceDE w:val="0"/>
        <w:autoSpaceDN w:val="0"/>
        <w:adjustRightInd w:val="0"/>
        <w:rPr>
          <w:rFonts w:ascii="Arial" w:hAnsi="Arial" w:cs="Arial"/>
          <w:b/>
          <w:bCs/>
          <w:sz w:val="26"/>
          <w:szCs w:val="26"/>
        </w:rPr>
      </w:pPr>
      <w:r>
        <w:rPr>
          <w:rFonts w:ascii="Arial" w:hAnsi="Arial" w:cs="Arial"/>
          <w:b/>
          <w:bCs/>
          <w:sz w:val="26"/>
          <w:szCs w:val="26"/>
        </w:rPr>
        <w:t>§63.865   Performance test requirements and test methods.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The owner or operator of each affected source or process unit subject to the requirements of this subpart is required to conduct an initial performance test using the test methods and procedures listed in §63.7 and paragraph (b) of this section, except as provided in paragraph (c)(1)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(a) The owner or operator of a process unit seeking to comply with a PM emission limit under §63.862(a)(1)(ii)(A) must use the procedures in paragraphs (a)(1) and (2) of this section:</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(1) Determine the overall PM emission limit for the chemical recovery system at the mill using Equation 1 of this section as follows: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5905500" cy="7112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7112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hAnsi="Arial" w:cs="Arial"/>
          <w:sz w:val="26"/>
          <w:szCs w:val="26"/>
        </w:rPr>
      </w:pPr>
      <w:hyperlink r:id="rId7" w:history="1">
        <w:r w:rsidR="00BD290E">
          <w:rPr>
            <w:rFonts w:ascii="Arial"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rPr>
          <w:rFonts w:ascii="Arial" w:hAnsi="Arial" w:cs="Arial"/>
        </w:rPr>
      </w:pPr>
      <w:r>
        <w:rPr>
          <w:rFonts w:ascii="Arial" w:hAnsi="Arial" w:cs="Arial"/>
        </w:rPr>
        <w:t>Where:</w:t>
      </w:r>
    </w:p>
    <w:p w:rsidR="00BD290E" w:rsidRDefault="00BD290E" w:rsidP="00BD290E">
      <w:pPr>
        <w:widowControl w:val="0"/>
        <w:autoSpaceDE w:val="0"/>
        <w:autoSpaceDN w:val="0"/>
        <w:adjustRightInd w:val="0"/>
        <w:rPr>
          <w:rFonts w:ascii="Arial" w:hAnsi="Arial" w:cs="Arial"/>
        </w:rPr>
      </w:pPr>
      <w:r>
        <w:rPr>
          <w:rFonts w:ascii="Arial" w:hAnsi="Arial" w:cs="Arial"/>
        </w:rPr>
        <w:t>EL</w:t>
      </w:r>
      <w:r>
        <w:rPr>
          <w:rFonts w:ascii="Arial" w:hAnsi="Arial" w:cs="Arial"/>
          <w:sz w:val="16"/>
          <w:szCs w:val="16"/>
          <w:vertAlign w:val="subscript"/>
        </w:rPr>
        <w:t>PM</w:t>
      </w:r>
      <w:r>
        <w:rPr>
          <w:rFonts w:ascii="Arial" w:hAnsi="Arial" w:cs="Arial"/>
        </w:rPr>
        <w:t xml:space="preserve"> = overall PM emission limit for all existing process units in the chemical recovery system at the kraft or soda pulp mill, kg/Mg (lb/ton) of black liquor solids fired.</w:t>
      </w:r>
    </w:p>
    <w:p w:rsidR="00BD290E" w:rsidRDefault="00BD290E" w:rsidP="00BD290E">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ref, RF</w:t>
      </w:r>
      <w:r>
        <w:rPr>
          <w:rFonts w:ascii="Arial" w:hAnsi="Arial" w:cs="Arial"/>
        </w:rPr>
        <w:t xml:space="preserve"> = reference concentration of 0.10 g/dscm (0.044 gr/dscf) corrected to 8 percent oxygen for existing kraft or soda recovery furnaces.</w:t>
      </w:r>
    </w:p>
    <w:p w:rsidR="00BD290E" w:rsidRDefault="00BD290E" w:rsidP="00BD290E">
      <w:pPr>
        <w:widowControl w:val="0"/>
        <w:autoSpaceDE w:val="0"/>
        <w:autoSpaceDN w:val="0"/>
        <w:adjustRightInd w:val="0"/>
        <w:rPr>
          <w:rFonts w:ascii="Arial" w:hAnsi="Arial" w:cs="Arial"/>
        </w:rPr>
      </w:pPr>
      <w:r>
        <w:rPr>
          <w:rFonts w:ascii="Arial" w:hAnsi="Arial" w:cs="Arial"/>
        </w:rPr>
        <w:t>Q</w:t>
      </w:r>
      <w:r>
        <w:rPr>
          <w:rFonts w:ascii="Arial" w:hAnsi="Arial" w:cs="Arial"/>
          <w:sz w:val="16"/>
          <w:szCs w:val="16"/>
          <w:vertAlign w:val="subscript"/>
        </w:rPr>
        <w:t>RFtot</w:t>
      </w:r>
      <w:r>
        <w:rPr>
          <w:rFonts w:ascii="Arial" w:hAnsi="Arial" w:cs="Arial"/>
        </w:rPr>
        <w:t xml:space="preserve"> = sum of the average volumetric gas flow rates measured during the performance test and corrected to 8 percent oxygen for all existing recovery furnaces in the chemical recovery system at the kraft or soda pulp mill, dry </w:t>
      </w:r>
      <w:r>
        <w:rPr>
          <w:rFonts w:ascii="Arial" w:hAnsi="Arial" w:cs="Arial"/>
        </w:rPr>
        <w:lastRenderedPageBreak/>
        <w:t>standard cubic meters per minute (dscm/min) (dry standard cubic feet per minute (dscf/min)).</w:t>
      </w:r>
    </w:p>
    <w:p w:rsidR="00BD290E" w:rsidRDefault="00BD290E" w:rsidP="00BD290E">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ref,LK</w:t>
      </w:r>
      <w:r>
        <w:rPr>
          <w:rFonts w:ascii="Arial" w:hAnsi="Arial" w:cs="Arial"/>
        </w:rPr>
        <w:t xml:space="preserve"> = reference concentration of 0.15 g/dscm (0.064 gr/dscf) corrected to 10 percent oxygen for existing kraft or soda lime kilns.</w:t>
      </w:r>
    </w:p>
    <w:p w:rsidR="00BD290E" w:rsidRDefault="00BD290E" w:rsidP="00BD290E">
      <w:pPr>
        <w:widowControl w:val="0"/>
        <w:autoSpaceDE w:val="0"/>
        <w:autoSpaceDN w:val="0"/>
        <w:adjustRightInd w:val="0"/>
        <w:rPr>
          <w:rFonts w:ascii="Arial" w:hAnsi="Arial" w:cs="Arial"/>
        </w:rPr>
      </w:pPr>
      <w:r>
        <w:rPr>
          <w:rFonts w:ascii="Arial" w:hAnsi="Arial" w:cs="Arial"/>
        </w:rPr>
        <w:t>Q</w:t>
      </w:r>
      <w:r>
        <w:rPr>
          <w:rFonts w:ascii="Arial" w:hAnsi="Arial" w:cs="Arial"/>
          <w:sz w:val="16"/>
          <w:szCs w:val="16"/>
          <w:vertAlign w:val="subscript"/>
        </w:rPr>
        <w:t>LKtot</w:t>
      </w:r>
      <w:r>
        <w:rPr>
          <w:rFonts w:ascii="Arial" w:hAnsi="Arial" w:cs="Arial"/>
        </w:rPr>
        <w:t xml:space="preserve"> = sum of the average volumetric gas flow rates measured during the performance test and corrected to 10 percent oxygen for all existing lime kilns in the chemical recovery system at the kraft or soda pulp mill, dscm/min (dscf/min).</w:t>
      </w:r>
    </w:p>
    <w:p w:rsidR="00BD290E" w:rsidRDefault="00BD290E" w:rsidP="00BD290E">
      <w:pPr>
        <w:widowControl w:val="0"/>
        <w:autoSpaceDE w:val="0"/>
        <w:autoSpaceDN w:val="0"/>
        <w:adjustRightInd w:val="0"/>
        <w:rPr>
          <w:rFonts w:ascii="Arial" w:hAnsi="Arial" w:cs="Arial"/>
        </w:rPr>
      </w:pPr>
      <w:r>
        <w:rPr>
          <w:rFonts w:ascii="Arial" w:hAnsi="Arial" w:cs="Arial"/>
        </w:rPr>
        <w:t>F1 = conversion factor, 1.44 minutes·kilogram/day·gram (min·kg/d·g) (0.206 minutes·pound/day·grain (min·b/d·gr)).</w:t>
      </w:r>
    </w:p>
    <w:p w:rsidR="00BD290E" w:rsidRDefault="00BD290E" w:rsidP="00BD290E">
      <w:pPr>
        <w:widowControl w:val="0"/>
        <w:autoSpaceDE w:val="0"/>
        <w:autoSpaceDN w:val="0"/>
        <w:adjustRightInd w:val="0"/>
        <w:rPr>
          <w:rFonts w:ascii="Arial" w:hAnsi="Arial" w:cs="Arial"/>
        </w:rPr>
      </w:pPr>
      <w:r>
        <w:rPr>
          <w:rFonts w:ascii="Arial" w:hAnsi="Arial" w:cs="Arial"/>
        </w:rPr>
        <w:t>BLS</w:t>
      </w:r>
      <w:r>
        <w:rPr>
          <w:rFonts w:ascii="Arial" w:hAnsi="Arial" w:cs="Arial"/>
          <w:sz w:val="16"/>
          <w:szCs w:val="16"/>
          <w:vertAlign w:val="subscript"/>
        </w:rPr>
        <w:t>tot</w:t>
      </w:r>
      <w:r>
        <w:rPr>
          <w:rFonts w:ascii="Arial" w:hAnsi="Arial" w:cs="Arial"/>
        </w:rPr>
        <w:t xml:space="preserve"> = sum of the average black liquor solids firing rates of all existing recovery furnaces in the chemical recovery system at the kraft or soda pulp mill measured during the performance test, megagrams per day (Mg/d) (tons per day (ton/d)) of black liquor solids fired.</w:t>
      </w:r>
    </w:p>
    <w:p w:rsidR="00BD290E" w:rsidRDefault="00BD290E" w:rsidP="00BD290E">
      <w:pPr>
        <w:widowControl w:val="0"/>
        <w:autoSpaceDE w:val="0"/>
        <w:autoSpaceDN w:val="0"/>
        <w:adjustRightInd w:val="0"/>
        <w:rPr>
          <w:rFonts w:ascii="Arial" w:hAnsi="Arial" w:cs="Arial"/>
        </w:rPr>
      </w:pPr>
      <w:r>
        <w:rPr>
          <w:rFonts w:ascii="Arial" w:hAnsi="Arial" w:cs="Arial"/>
        </w:rPr>
        <w:t>ER1</w:t>
      </w:r>
      <w:r>
        <w:rPr>
          <w:rFonts w:ascii="Arial" w:hAnsi="Arial" w:cs="Arial"/>
          <w:sz w:val="16"/>
          <w:szCs w:val="16"/>
          <w:vertAlign w:val="subscript"/>
        </w:rPr>
        <w:t>ref, SDT</w:t>
      </w:r>
      <w:r>
        <w:rPr>
          <w:rFonts w:ascii="Arial" w:hAnsi="Arial" w:cs="Arial"/>
        </w:rPr>
        <w:t xml:space="preserve"> = reference emission rate of 0.10 kg/Mg (0.20 lb/ton) of black liquor solids fired for existing kraft or soda smelt dissolving tanks.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(2) Establish an emission limit for each kraft or soda recovery furnace, smelt dissolving tank, and lime kiln; and, using these emissions limits, determine the overall PM emission rate for the chemical recovery system at the mill using the procedures in paragraphs (a)(2)(i) through (v) of this section, such that the overall PM emission rate calculated in paragraph (a)(2)(v) of this section is less than or equal to the overall PM emission limit determined in paragraph (a)(1) of this section, as appropriate.</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 The PM emission rate from each affected recovery furnace must be determined using Equation 2 of this section as follows: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3771900" cy="3683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3683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hAnsi="Arial" w:cs="Arial"/>
          <w:sz w:val="26"/>
          <w:szCs w:val="26"/>
        </w:rPr>
      </w:pPr>
      <w:hyperlink r:id="rId9" w:history="1">
        <w:r w:rsidR="00BD290E">
          <w:rPr>
            <w:rFonts w:ascii="Arial"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rPr>
          <w:rFonts w:ascii="Arial" w:hAnsi="Arial" w:cs="Arial"/>
        </w:rPr>
      </w:pPr>
      <w:r>
        <w:rPr>
          <w:rFonts w:ascii="Arial" w:hAnsi="Arial" w:cs="Arial"/>
        </w:rPr>
        <w:t>Where:</w:t>
      </w:r>
    </w:p>
    <w:p w:rsidR="00BD290E" w:rsidRDefault="00BD290E" w:rsidP="00BD290E">
      <w:pPr>
        <w:widowControl w:val="0"/>
        <w:autoSpaceDE w:val="0"/>
        <w:autoSpaceDN w:val="0"/>
        <w:adjustRightInd w:val="0"/>
        <w:rPr>
          <w:rFonts w:ascii="Arial" w:hAnsi="Arial" w:cs="Arial"/>
        </w:rPr>
      </w:pPr>
      <w:r>
        <w:rPr>
          <w:rFonts w:ascii="Arial" w:hAnsi="Arial" w:cs="Arial"/>
        </w:rPr>
        <w:t>ER</w:t>
      </w:r>
      <w:r>
        <w:rPr>
          <w:rFonts w:ascii="Arial" w:hAnsi="Arial" w:cs="Arial"/>
          <w:sz w:val="16"/>
          <w:szCs w:val="16"/>
          <w:vertAlign w:val="subscript"/>
        </w:rPr>
        <w:t>RF</w:t>
      </w:r>
      <w:r>
        <w:rPr>
          <w:rFonts w:ascii="Arial" w:hAnsi="Arial" w:cs="Arial"/>
        </w:rPr>
        <w:t xml:space="preserve"> = emission rate from each recovery furnace, kg/Mg (lb/ton) of black liquor solids.</w:t>
      </w:r>
    </w:p>
    <w:p w:rsidR="00BD290E" w:rsidRDefault="00BD290E" w:rsidP="00BD290E">
      <w:pPr>
        <w:widowControl w:val="0"/>
        <w:autoSpaceDE w:val="0"/>
        <w:autoSpaceDN w:val="0"/>
        <w:adjustRightInd w:val="0"/>
        <w:rPr>
          <w:rFonts w:ascii="Arial" w:hAnsi="Arial" w:cs="Arial"/>
        </w:rPr>
      </w:pPr>
      <w:r>
        <w:rPr>
          <w:rFonts w:ascii="Arial" w:hAnsi="Arial" w:cs="Arial"/>
        </w:rPr>
        <w:t>F1=conversion factor, 1.44 min·kg/d·g (0.206 min·/d·gr).</w:t>
      </w:r>
    </w:p>
    <w:p w:rsidR="00BD290E" w:rsidRDefault="00BD290E" w:rsidP="00BD290E">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EL, RF</w:t>
      </w:r>
      <w:r>
        <w:rPr>
          <w:rFonts w:ascii="Arial" w:hAnsi="Arial" w:cs="Arial"/>
        </w:rPr>
        <w:t xml:space="preserve"> = PM emission limit proposed by owner or operator for the recovery furnace, g/dscm (gr/dscf) corrected to 8 percent oxygen.</w:t>
      </w:r>
    </w:p>
    <w:p w:rsidR="00BD290E" w:rsidRDefault="00BD290E" w:rsidP="00BD290E">
      <w:pPr>
        <w:widowControl w:val="0"/>
        <w:autoSpaceDE w:val="0"/>
        <w:autoSpaceDN w:val="0"/>
        <w:adjustRightInd w:val="0"/>
        <w:rPr>
          <w:rFonts w:ascii="Arial" w:hAnsi="Arial" w:cs="Arial"/>
        </w:rPr>
      </w:pPr>
      <w:r>
        <w:rPr>
          <w:rFonts w:ascii="Arial" w:hAnsi="Arial" w:cs="Arial"/>
        </w:rPr>
        <w:t>Q</w:t>
      </w:r>
      <w:r>
        <w:rPr>
          <w:rFonts w:ascii="Arial" w:hAnsi="Arial" w:cs="Arial"/>
          <w:sz w:val="16"/>
          <w:szCs w:val="16"/>
          <w:vertAlign w:val="subscript"/>
        </w:rPr>
        <w:t>RF</w:t>
      </w:r>
      <w:r>
        <w:rPr>
          <w:rFonts w:ascii="Arial" w:hAnsi="Arial" w:cs="Arial"/>
        </w:rPr>
        <w:t xml:space="preserve"> = average volumetric gas flow rate from the recovery furnace measured during the performance test and corrected to 8 percent oxygen, dscm/min (dscf/min).</w:t>
      </w:r>
    </w:p>
    <w:p w:rsidR="00BD290E" w:rsidRDefault="00BD290E" w:rsidP="00BD290E">
      <w:pPr>
        <w:widowControl w:val="0"/>
        <w:autoSpaceDE w:val="0"/>
        <w:autoSpaceDN w:val="0"/>
        <w:adjustRightInd w:val="0"/>
        <w:rPr>
          <w:rFonts w:ascii="Arial" w:hAnsi="Arial" w:cs="Arial"/>
        </w:rPr>
      </w:pPr>
      <w:r>
        <w:rPr>
          <w:rFonts w:ascii="Arial" w:hAnsi="Arial" w:cs="Arial"/>
        </w:rPr>
        <w:t>BLS=average black liquor solids firing rate of the recovery furnace measured during the performance test, Mg/d (ton/d) of black liquor solids.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sz w:val="26"/>
          <w:szCs w:val="26"/>
        </w:rPr>
        <w:t>(ii) The PM emission rate from each affected smelt dissolving tank must be determined using Equation 3 of this section as follows:</w:t>
      </w:r>
    </w:p>
    <w:p w:rsidR="00BD290E" w:rsidRDefault="00BD290E" w:rsidP="00BD290E">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3975100" cy="3683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100" cy="3683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hAnsi="Arial" w:cs="Arial"/>
          <w:sz w:val="26"/>
          <w:szCs w:val="26"/>
        </w:rPr>
      </w:pPr>
      <w:hyperlink r:id="rId11" w:history="1">
        <w:r w:rsidR="00BD290E">
          <w:rPr>
            <w:rFonts w:ascii="Arial"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ind w:firstLine="520"/>
        <w:rPr>
          <w:rFonts w:ascii="Arial" w:hAnsi="Arial" w:cs="Arial"/>
          <w:sz w:val="26"/>
          <w:szCs w:val="26"/>
        </w:rPr>
      </w:pPr>
    </w:p>
    <w:p w:rsidR="00BD290E" w:rsidRDefault="00BD290E" w:rsidP="00BD290E">
      <w:pPr>
        <w:widowControl w:val="0"/>
        <w:autoSpaceDE w:val="0"/>
        <w:autoSpaceDN w:val="0"/>
        <w:adjustRightInd w:val="0"/>
        <w:rPr>
          <w:rFonts w:ascii="Arial" w:hAnsi="Arial" w:cs="Arial"/>
        </w:rPr>
      </w:pPr>
      <w:r>
        <w:rPr>
          <w:rFonts w:ascii="Arial" w:hAnsi="Arial" w:cs="Arial"/>
        </w:rPr>
        <w:t>Where:</w:t>
      </w:r>
    </w:p>
    <w:p w:rsidR="00BD290E" w:rsidRDefault="00BD290E" w:rsidP="00BD290E">
      <w:pPr>
        <w:widowControl w:val="0"/>
        <w:autoSpaceDE w:val="0"/>
        <w:autoSpaceDN w:val="0"/>
        <w:adjustRightInd w:val="0"/>
        <w:rPr>
          <w:rFonts w:ascii="Arial" w:hAnsi="Arial" w:cs="Arial"/>
        </w:rPr>
      </w:pPr>
      <w:r>
        <w:rPr>
          <w:rFonts w:ascii="Arial" w:hAnsi="Arial" w:cs="Arial"/>
        </w:rPr>
        <w:t>ER</w:t>
      </w:r>
      <w:r>
        <w:rPr>
          <w:rFonts w:ascii="Arial" w:hAnsi="Arial" w:cs="Arial"/>
          <w:sz w:val="16"/>
          <w:szCs w:val="16"/>
          <w:vertAlign w:val="subscript"/>
        </w:rPr>
        <w:t>SDT</w:t>
      </w:r>
      <w:r>
        <w:rPr>
          <w:rFonts w:ascii="Arial" w:hAnsi="Arial" w:cs="Arial"/>
        </w:rPr>
        <w:t xml:space="preserve"> = emission rate from each SDT,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hAnsi="Arial" w:cs="Arial"/>
        </w:rPr>
        <w:t>F1=conversion factor, 1.44 min·kg/d</w:t>
      </w:r>
      <w:r>
        <w:rPr>
          <w:rFonts w:ascii="Arial Unicode MS" w:eastAsia="Arial Unicode MS" w:hAnsi="Arial" w:cs="Arial Unicode MS" w:hint="eastAsia"/>
        </w:rPr>
        <w:t>•</w:t>
      </w:r>
      <w:r>
        <w:rPr>
          <w:rFonts w:ascii="Arial" w:eastAsia="Arial Unicode MS" w:hAnsi="Arial" w:cs="Arial"/>
        </w:rPr>
        <w:t>g (0.206 min·lb/d·gr).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w:t>
      </w:r>
      <w:r>
        <w:rPr>
          <w:rFonts w:ascii="Arial" w:eastAsia="Arial Unicode MS" w:hAnsi="Arial" w:cs="Arial"/>
          <w:sz w:val="16"/>
          <w:szCs w:val="16"/>
          <w:vertAlign w:val="subscript"/>
        </w:rPr>
        <w:t>EL, SDT</w:t>
      </w:r>
      <w:r>
        <w:rPr>
          <w:rFonts w:ascii="Arial" w:eastAsia="Arial Unicode MS" w:hAnsi="Arial" w:cs="Arial"/>
        </w:rPr>
        <w:t xml:space="preserve"> = PM emission limit proposed by owner or operator for the smelt dissolving tank, g/dscm (gr/dscf).</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Q</w:t>
      </w:r>
      <w:r>
        <w:rPr>
          <w:rFonts w:ascii="Arial" w:eastAsia="Arial Unicode MS" w:hAnsi="Arial" w:cs="Arial"/>
          <w:sz w:val="16"/>
          <w:szCs w:val="16"/>
          <w:vertAlign w:val="subscript"/>
        </w:rPr>
        <w:t>SDT</w:t>
      </w:r>
      <w:r>
        <w:rPr>
          <w:rFonts w:ascii="Arial" w:eastAsia="Arial Unicode MS" w:hAnsi="Arial" w:cs="Arial"/>
        </w:rPr>
        <w:t xml:space="preserve"> = average volumetric gas flow rate from the smelt dissolving tank measured during the performance test, dscm/min (dscf/min).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BLS=average black liquor solids firing rate of the associated recovery furnace measured during the performance test, Mg/d (ton/d) of black liquorsolids fired. If more than one SDT is used to dissolve the smelt from a given recovery furnace, then the black liquor solids firing rate of the furnace must be proportioned according to the size of the SDT.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(iii) The PM emission rate from each affected lime kiln must be determined using Equation 4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5245100" cy="368300"/>
            <wp:effectExtent l="0" t="0" r="127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0" cy="3683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13"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LK</w:t>
      </w:r>
      <w:r>
        <w:rPr>
          <w:rFonts w:ascii="Arial" w:eastAsia="Arial Unicode MS" w:hAnsi="Arial" w:cs="Arial"/>
        </w:rPr>
        <w:t xml:space="preserve"> = emission rate from each lime kiln, kg/Mg (lb/ton) of black liquor solids.</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F1=conversion factor, 1.44 min·kg/d·g (0.206 min·lb/d·gr).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w:t>
      </w:r>
      <w:r>
        <w:rPr>
          <w:rFonts w:ascii="Arial" w:eastAsia="Arial Unicode MS" w:hAnsi="Arial" w:cs="Arial"/>
          <w:sz w:val="16"/>
          <w:szCs w:val="16"/>
          <w:vertAlign w:val="subscript"/>
        </w:rPr>
        <w:t>EL,LK</w:t>
      </w:r>
      <w:r>
        <w:rPr>
          <w:rFonts w:ascii="Arial" w:eastAsia="Arial Unicode MS" w:hAnsi="Arial" w:cs="Arial"/>
        </w:rPr>
        <w:t xml:space="preserve"> = PM emission limit proposed by owner or operator for the lime kiln, g/dscm (gr/dscf) corrected to 10 percent oxygen.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Q</w:t>
      </w:r>
      <w:r>
        <w:rPr>
          <w:rFonts w:ascii="Arial" w:eastAsia="Arial Unicode MS" w:hAnsi="Arial" w:cs="Arial"/>
          <w:sz w:val="16"/>
          <w:szCs w:val="16"/>
          <w:vertAlign w:val="subscript"/>
        </w:rPr>
        <w:t>LK</w:t>
      </w:r>
      <w:r>
        <w:rPr>
          <w:rFonts w:ascii="Arial" w:eastAsia="Arial Unicode MS" w:hAnsi="Arial" w:cs="Arial"/>
        </w:rPr>
        <w:t xml:space="preserve"> = average volumetric gas flow rate from the lime kiln measured during the performance test and corrected to 10 percent oxygen, dscm/min (dscf/min).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CaO</w:t>
      </w:r>
      <w:r>
        <w:rPr>
          <w:rFonts w:ascii="Arial" w:eastAsia="Arial Unicode MS" w:hAnsi="Arial" w:cs="Arial"/>
          <w:sz w:val="16"/>
          <w:szCs w:val="16"/>
          <w:vertAlign w:val="subscript"/>
        </w:rPr>
        <w:t>LK</w:t>
      </w:r>
      <w:r>
        <w:rPr>
          <w:rFonts w:ascii="Arial" w:eastAsia="Arial Unicode MS" w:hAnsi="Arial" w:cs="Arial"/>
        </w:rPr>
        <w:t xml:space="preserve"> = lime production rate of the lime kiln, measured as CaO during the performance test, Mg/d (ton/d) of CaO.</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CaO</w:t>
      </w:r>
      <w:r>
        <w:rPr>
          <w:rFonts w:ascii="Arial" w:eastAsia="Arial Unicode MS" w:hAnsi="Arial" w:cs="Arial"/>
          <w:sz w:val="16"/>
          <w:szCs w:val="16"/>
          <w:vertAlign w:val="subscript"/>
        </w:rPr>
        <w:t>tot</w:t>
      </w:r>
      <w:r>
        <w:rPr>
          <w:rFonts w:ascii="Arial" w:eastAsia="Arial Unicode MS" w:hAnsi="Arial" w:cs="Arial"/>
        </w:rPr>
        <w:t xml:space="preserve"> = sum of the average lime production rates for all existing lime kilns in the chemical recovery system at the mill measured as CaO during the performance test, Mg/d (ton/d).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w:t>
      </w:r>
      <w:r>
        <w:rPr>
          <w:rFonts w:ascii="Arial" w:eastAsia="Arial Unicode MS" w:hAnsi="Arial" w:cs="Arial"/>
          <w:sz w:val="16"/>
          <w:szCs w:val="16"/>
          <w:vertAlign w:val="subscript"/>
        </w:rPr>
        <w:t>tot</w:t>
      </w:r>
      <w:r>
        <w:rPr>
          <w:rFonts w:ascii="Arial" w:eastAsia="Arial Unicode MS" w:hAnsi="Arial" w:cs="Arial"/>
        </w:rPr>
        <w:t xml:space="preserve"> = sum of the average black liquor solids firing rates of all recovery furnaces in the chemical recovery system at the mill measured during the performance test, Mg/d (ton/d) of black liquor solids.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(iv) If more than one similar process unit is operated in the chemical recovery system at the kraft or soda pulp mill, Equation 5 of this section must be used to calculate the overall PM emission rate from all similar process units in the chemical recovery system at the mill and must be used in determining the overall PM emission rate for the chemical recovery system at the mill:</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5867400" cy="33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3302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15"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PUtot</w:t>
      </w:r>
      <w:r>
        <w:rPr>
          <w:rFonts w:ascii="Arial" w:eastAsia="Arial Unicode MS" w:hAnsi="Arial" w:cs="Arial"/>
        </w:rPr>
        <w:t xml:space="preserve"> = overall PM emission rate from all similar process units,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PU1</w:t>
      </w:r>
      <w:r>
        <w:rPr>
          <w:rFonts w:ascii="Arial" w:eastAsia="Arial Unicode MS" w:hAnsi="Arial" w:cs="Arial"/>
        </w:rPr>
        <w:t xml:space="preserve"> = PM emission rate from process unit No. 1, kg/Mg (lb/ton) of black liquor solids fired, calculated using Equation 2, 3, or 4 in paragraphs (a)(2)(i) through (iii) of this section.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PR</w:t>
      </w:r>
      <w:r>
        <w:rPr>
          <w:rFonts w:ascii="Arial" w:eastAsia="Arial Unicode MS" w:hAnsi="Arial" w:cs="Arial"/>
          <w:sz w:val="16"/>
          <w:szCs w:val="16"/>
          <w:vertAlign w:val="subscript"/>
        </w:rPr>
        <w:t>PU1</w:t>
      </w:r>
      <w:r>
        <w:rPr>
          <w:rFonts w:ascii="Arial" w:eastAsia="Arial Unicode MS" w:hAnsi="Arial" w:cs="Arial"/>
        </w:rPr>
        <w:t xml:space="preserve"> = black liquor solids firing rate in Mg/d (ton/d) for process unit No. 1, if process unit is a recovery furnace or SDT. The CaO production rate in Mg/d (ton/d) for process unit No. 1, if process unit is a lime kiln.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PR</w:t>
      </w:r>
      <w:r>
        <w:rPr>
          <w:rFonts w:ascii="Arial" w:eastAsia="Arial Unicode MS" w:hAnsi="Arial" w:cs="Arial"/>
          <w:sz w:val="16"/>
          <w:szCs w:val="16"/>
          <w:vertAlign w:val="subscript"/>
        </w:rPr>
        <w:t>tot</w:t>
      </w:r>
      <w:r>
        <w:rPr>
          <w:rFonts w:ascii="Arial" w:eastAsia="Arial Unicode MS" w:hAnsi="Arial" w:cs="Arial"/>
        </w:rPr>
        <w:t xml:space="preserve"> = total black liquor solids firing rate in Mg/d (ton/d) for all recovery furnaces in the chemical recovery system at the kraft or soda pulp mill if the similar process units are recovery furnaces or SDT, or the total CaO production rate in Mg/d (ton/d) for all lime kilns in the chemical recovery system at the mill if the similar process units are lime kilns.</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PUi</w:t>
      </w:r>
      <w:r>
        <w:rPr>
          <w:rFonts w:ascii="Arial" w:eastAsia="Arial Unicode MS" w:hAnsi="Arial" w:cs="Arial"/>
        </w:rPr>
        <w:t xml:space="preserve"> = PM emission rate from process unit No. i,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PR</w:t>
      </w:r>
      <w:r>
        <w:rPr>
          <w:rFonts w:ascii="Arial" w:eastAsia="Arial Unicode MS" w:hAnsi="Arial" w:cs="Arial"/>
          <w:sz w:val="16"/>
          <w:szCs w:val="16"/>
          <w:vertAlign w:val="subscript"/>
        </w:rPr>
        <w:t>PUi</w:t>
      </w:r>
      <w:r>
        <w:rPr>
          <w:rFonts w:ascii="Arial" w:eastAsia="Arial Unicode MS" w:hAnsi="Arial" w:cs="Arial"/>
        </w:rPr>
        <w:t xml:space="preserve"> = black liquor solids firing rate in Mg/d (ton/d) for process unit No. i, if process unit is a recovery furnace or SDT. The CaO production rate in Mg/d (ton/d) for process unit No. i, if process unit is a lime kiln.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i=number of similar process units located in the chemical recovery system at the kraft or soda pulp mill.</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(v) The overall PM emission rate for the chemical recovery system at the mill must be determined using Equation 6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3708400" cy="33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8400" cy="3302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17"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tot</w:t>
      </w:r>
      <w:r>
        <w:rPr>
          <w:rFonts w:ascii="Arial" w:eastAsia="Arial Unicode MS" w:hAnsi="Arial" w:cs="Arial"/>
        </w:rPr>
        <w:t xml:space="preserve"> = overall PM emission rate for the chemical recovery system at the mill,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RFtot</w:t>
      </w:r>
      <w:r>
        <w:rPr>
          <w:rFonts w:ascii="Arial" w:eastAsia="Arial Unicode MS" w:hAnsi="Arial" w:cs="Arial"/>
        </w:rPr>
        <w:t xml:space="preserve"> = PM emission rate from all kraft or soda recovery furnaces, calculated using Equation 2 or 5 in paragraphs (a)(2)(i) and (iv) of this section, where applicable,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SDTtot</w:t>
      </w:r>
      <w:r>
        <w:rPr>
          <w:rFonts w:ascii="Arial" w:eastAsia="Arial Unicode MS" w:hAnsi="Arial" w:cs="Arial"/>
        </w:rPr>
        <w:t xml:space="preserve"> = PM emission rate from all smelt dissolving tanks, calculated using Equation 3 or 5 in paragraphs (a)(2)(ii) and (iv) of this section, where applicable,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LKtot</w:t>
      </w:r>
      <w:r>
        <w:rPr>
          <w:rFonts w:ascii="Arial" w:eastAsia="Arial Unicode MS" w:hAnsi="Arial" w:cs="Arial"/>
        </w:rPr>
        <w:t xml:space="preserve"> = PM emission rate from all lime kilns, calculated using Equation 4 or 5 in paragraphs (a)(2)(iii) and (iv) of this section, where applicable, kg/Mg (lb/ton) of black liquor solids fired.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(vi) After the Administrator has approved the PM emissions limits for each kraft or soda recovery furnace, smelt dissolving tank, and lime kiln, the owner or operator complying with an overall PM emission limit established in §63.862(a)(1)(ii) must demonstrate compliance with the HAP metals </w:t>
      </w:r>
      <w:r>
        <w:rPr>
          <w:rFonts w:ascii="Arial" w:eastAsia="Arial Unicode MS" w:hAnsi="Arial" w:cs="Arial"/>
          <w:sz w:val="26"/>
          <w:szCs w:val="26"/>
        </w:rPr>
        <w:lastRenderedPageBreak/>
        <w:t>standard by demonstrating compliance with the approved PM emissions limits for each affected kraft or soda recovery furnace, smelt dissolving tank, and lime kiln, using the test methods and procedures in paragraph (b)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(b) The owner or operator seeking to determine compliance with §63.862(a), (b), or (d) must use the procedures in paragraphs (b)(1) through (6)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For purposes of determining the concentration or mass of PM emitted from each kraft or soda recovery furnace, sulfite combustion unit, smelt dissolving tank, lime kiln, or the hog fuel dryer at Weyerhaeuser Paper Company's Cosmopolis, Washington facility (Emission Unit no. HD-14), Method 5 or 29 in appendix A of 40 CFR part 60 must be used, except that Method 17 in appendix A of 40 CFR part 60 may be used in lieu of Method 5 or Method 29 if a constant value of 0.009 g/dscm (0.004 gr/dscf) is added to the results of Method 17, and the stack temperature is no greater than 205 °C (400 °F). For Methods 5, 29, and 17, the sampling time and sample volume for each run must be at least 60 minutes and 0.90 dscm (31.8 dscf), and water must be used as the cleanup solvent instead of acetone in the sample recovery procedure.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For sources complying with §63.862(a) or (b), the PM concentration must be corrected to the appropriate oxygen concentration using Equation 7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3048000" cy="622300"/>
            <wp:effectExtent l="0" t="0" r="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6223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19"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w:t>
      </w:r>
      <w:r>
        <w:rPr>
          <w:rFonts w:ascii="Arial" w:eastAsia="Arial Unicode MS" w:hAnsi="Arial" w:cs="Arial"/>
          <w:sz w:val="16"/>
          <w:szCs w:val="16"/>
          <w:vertAlign w:val="subscript"/>
        </w:rPr>
        <w:t>corr</w:t>
      </w:r>
      <w:r>
        <w:rPr>
          <w:rFonts w:ascii="Arial" w:eastAsia="Arial Unicode MS" w:hAnsi="Arial" w:cs="Arial"/>
        </w:rPr>
        <w:t xml:space="preserve"> = The measured concentration corrected for oxygen, g/dscm (gr/dscf);</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C</w:t>
      </w:r>
      <w:r>
        <w:rPr>
          <w:rFonts w:ascii="Arial" w:eastAsia="Arial Unicode MS" w:hAnsi="Arial" w:cs="Arial"/>
          <w:sz w:val="16"/>
          <w:szCs w:val="16"/>
          <w:vertAlign w:val="subscript"/>
        </w:rPr>
        <w:t>meas</w:t>
      </w:r>
      <w:r>
        <w:rPr>
          <w:rFonts w:ascii="Arial" w:eastAsia="Arial Unicode MS" w:hAnsi="Arial" w:cs="Arial"/>
        </w:rPr>
        <w:t xml:space="preserve"> = The measured concentration uncorrected for oxygen, g/dscm (gr/dscf);</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X = The corrected volumetric oxygen concentration (8 percent for kraft or soda recovery furnaces and sulfite combustion units and 10 percent for kraft or soda lime kilns); and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Y = The measured average volumetric oxygen concentration.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(3) Method 3A or 3B in appendix A of 40 CFR part 60 must be used to determine the oxygen concentration. The voluntary consensus standard ANSI/ASME PTC 19.10-1981—Part 10 (incorporated by reference—see §63.14) may be used as an alternative to using Method 3B. The gas sample must be taken at the same time and at the same traverse points as the particulate sample.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(4) For purposes of complying with of §63.862(a)(1)(ii)(A), the volumetric gas flow rate must be corrected to the appropriate oxygen concentration </w:t>
      </w:r>
      <w:r>
        <w:rPr>
          <w:rFonts w:ascii="Arial" w:eastAsia="Arial Unicode MS" w:hAnsi="Arial" w:cs="Arial"/>
          <w:sz w:val="26"/>
          <w:szCs w:val="26"/>
        </w:rPr>
        <w:lastRenderedPageBreak/>
        <w:t>using Equation 8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Q</w:t>
      </w:r>
      <w:r>
        <w:rPr>
          <w:rFonts w:ascii="Arial" w:eastAsia="Arial Unicode MS" w:hAnsi="Arial" w:cs="Arial"/>
          <w:sz w:val="18"/>
          <w:szCs w:val="18"/>
          <w:vertAlign w:val="subscript"/>
        </w:rPr>
        <w:t>corr</w:t>
      </w:r>
      <w:r>
        <w:rPr>
          <w:rFonts w:ascii="Arial" w:eastAsia="Arial Unicode MS" w:hAnsi="Arial" w:cs="Arial"/>
          <w:sz w:val="26"/>
          <w:szCs w:val="26"/>
        </w:rPr>
        <w:t xml:space="preserve"> = Qmeas×(21−Y)/(21−X)      (Eq. 8)</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Q</w:t>
      </w:r>
      <w:r>
        <w:rPr>
          <w:rFonts w:ascii="Arial" w:eastAsia="Arial Unicode MS" w:hAnsi="Arial" w:cs="Arial"/>
          <w:sz w:val="16"/>
          <w:szCs w:val="16"/>
          <w:vertAlign w:val="subscript"/>
        </w:rPr>
        <w:t>corr</w:t>
      </w:r>
      <w:r>
        <w:rPr>
          <w:rFonts w:ascii="Arial" w:eastAsia="Arial Unicode MS" w:hAnsi="Arial" w:cs="Arial"/>
        </w:rPr>
        <w:t xml:space="preserve"> = the measured volumetric gas flow rate corrected for oxygen, dscm/min (dscf/min).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Q</w:t>
      </w:r>
      <w:r>
        <w:rPr>
          <w:rFonts w:ascii="Arial" w:eastAsia="Arial Unicode MS" w:hAnsi="Arial" w:cs="Arial"/>
          <w:sz w:val="16"/>
          <w:szCs w:val="16"/>
          <w:vertAlign w:val="subscript"/>
        </w:rPr>
        <w:t>meas</w:t>
      </w:r>
      <w:r>
        <w:rPr>
          <w:rFonts w:ascii="Arial" w:eastAsia="Arial Unicode MS" w:hAnsi="Arial" w:cs="Arial"/>
        </w:rPr>
        <w:t xml:space="preserve"> = the measured volumetric gas flow rate uncorrected for oxygen, dscm/min (dscf/min).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Y=the measured average volumetric oxygen concentration.</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X=the corrected volumetric oxygen concentration (8 percent for kraft or soda recovery furnaces and 10 percent for kraft or soda lime kilns).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(5)(i) For purposes of selecting sampling port location and number of traverse points, Method 1 or 1A in appendix A of 40 CFR part 60 must be used;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For purposes of determining stack gas velocity and volumetric flow rate, Method 2, 2A, 2C, 2D, 2F, or 2G in appendix A of 40 CFR part 60 must be used;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(iii) For purposes of conducting gas analysis, Method 3, 3A, or 3B in appendix A of 40 CFR part 60 must be used. The voluntary consensus standard ANSI/ASME PTC 19.10-1981—Part 10 (incorporated by reference—see §63.14) may be used as an alternative to using Method 3B; and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(iv) For purposes of determining moisture content of stack gas, Method 4 in appendix A of 40 CFR part 60 must be used.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 Process data measured during the performance test must be used to determine the black liquor solids firing rate on a dry basis and the CaO production rate.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 The owner or operator of each affected source or process unit complying with the gaseous organic HAP standard in §63.862(c)(1) must demonstrate compliance according to the provisions in paragraphs (c)(1) and (2)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The owner or operator complying through the use of an NDCE recovery furnace equipped with a dry ESP system is not required to conduct any performance testing to demonstrate compliance with the gaseous organic HAP standard.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The owner or operator complying without using an NDCE recovery furnace equipped with a dry ESP system must use Method 308 in appendix A of this part, as well as the methods listed in paragraphs (b)(5)(i) through (iv) of this section. The sampling time and sample volume for each Method 308 run must be at least 60 minutes and 0.014 dscm (0.50 dscf), respectively.</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 The emission rate from any new NDCE recovery furnace must be determined using Equation 9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lastRenderedPageBreak/>
        <w:drawing>
          <wp:inline distT="0" distB="0" distL="0" distR="0">
            <wp:extent cx="2819400" cy="55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5588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21"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NDCE</w:t>
      </w:r>
      <w:r>
        <w:rPr>
          <w:rFonts w:ascii="Arial" w:eastAsia="Arial Unicode MS" w:hAnsi="Arial" w:cs="Arial"/>
        </w:rPr>
        <w:t xml:space="preserve"> = Methanol emission rate from the NDCE recovery furnace,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MR</w:t>
      </w:r>
      <w:r>
        <w:rPr>
          <w:rFonts w:ascii="Arial" w:eastAsia="Arial Unicode MS" w:hAnsi="Arial" w:cs="Arial"/>
          <w:sz w:val="16"/>
          <w:szCs w:val="16"/>
          <w:vertAlign w:val="subscript"/>
        </w:rPr>
        <w:t>meas</w:t>
      </w:r>
      <w:r>
        <w:rPr>
          <w:rFonts w:ascii="Arial" w:eastAsia="Arial Unicode MS" w:hAnsi="Arial" w:cs="Arial"/>
        </w:rPr>
        <w:t xml:space="preserve"> = Measured methanol mass emission rate from the NDCE recovery furnace, kg/hr (lb/hr); and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 = Average black liquor solids firing rate of the NDCE recovery furnace, megagrams per hour (Mg/hr) (tons per hour (ton/hr)) determined using process data measured during the performance test.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The emission rate from any new DCE recovery furnace system must be determined using Equation 10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4521200" cy="711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1200" cy="7112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23"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DCE</w:t>
      </w:r>
      <w:r>
        <w:rPr>
          <w:rFonts w:ascii="Arial" w:eastAsia="Arial Unicode MS" w:hAnsi="Arial" w:cs="Arial"/>
        </w:rPr>
        <w:t xml:space="preserve"> = Methanol emission rate from each DCE recovery furnace system,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MR</w:t>
      </w:r>
      <w:r>
        <w:rPr>
          <w:rFonts w:ascii="Arial" w:eastAsia="Arial Unicode MS" w:hAnsi="Arial" w:cs="Arial"/>
          <w:sz w:val="16"/>
          <w:szCs w:val="16"/>
          <w:vertAlign w:val="subscript"/>
        </w:rPr>
        <w:t>meas,RF</w:t>
      </w:r>
      <w:r>
        <w:rPr>
          <w:rFonts w:ascii="Arial" w:eastAsia="Arial Unicode MS" w:hAnsi="Arial" w:cs="Arial"/>
        </w:rPr>
        <w:t xml:space="preserve"> = Average measured methanol mass emission rate from each DCE recovery furnace, kg/hr (lb/hr);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MR</w:t>
      </w:r>
      <w:r>
        <w:rPr>
          <w:rFonts w:ascii="Arial" w:eastAsia="Arial Unicode MS" w:hAnsi="Arial" w:cs="Arial"/>
          <w:sz w:val="16"/>
          <w:szCs w:val="16"/>
          <w:vertAlign w:val="subscript"/>
        </w:rPr>
        <w:t>meas,BLO</w:t>
      </w:r>
      <w:r>
        <w:rPr>
          <w:rFonts w:ascii="Arial" w:eastAsia="Arial Unicode MS" w:hAnsi="Arial" w:cs="Arial"/>
        </w:rPr>
        <w:t xml:space="preserve"> = Average measured methanol mass emission rate from the black liquor oxidation system, kg/hr (lb/hr);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w:t>
      </w:r>
      <w:r>
        <w:rPr>
          <w:rFonts w:ascii="Arial" w:eastAsia="Arial Unicode MS" w:hAnsi="Arial" w:cs="Arial"/>
          <w:sz w:val="16"/>
          <w:szCs w:val="16"/>
          <w:vertAlign w:val="subscript"/>
        </w:rPr>
        <w:t>RF</w:t>
      </w:r>
      <w:r>
        <w:rPr>
          <w:rFonts w:ascii="Arial" w:eastAsia="Arial Unicode MS" w:hAnsi="Arial" w:cs="Arial"/>
        </w:rPr>
        <w:t xml:space="preserve"> = Average black liquor solids firing rate for each DCE recovery furnace, Mg/hr (ton/hr) determined using process data measured during the performance test; and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w:t>
      </w:r>
      <w:r>
        <w:rPr>
          <w:rFonts w:ascii="Arial" w:eastAsia="Arial Unicode MS" w:hAnsi="Arial" w:cs="Arial"/>
          <w:sz w:val="16"/>
          <w:szCs w:val="16"/>
          <w:vertAlign w:val="subscript"/>
        </w:rPr>
        <w:t>BLO</w:t>
      </w:r>
      <w:r>
        <w:rPr>
          <w:rFonts w:ascii="Arial" w:eastAsia="Arial Unicode MS" w:hAnsi="Arial" w:cs="Arial"/>
        </w:rPr>
        <w:t xml:space="preserve"> = The average mass rate of black liquor solids treated in the black liquor oxidation system, Mg/hr (ton/hr) determined using process data measured during the performance test.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(d) The owner or operator seeking to determine compliance with the gaseous organic HAP standards in §63.862(c)(2) for semichemical combustion units must use Method 25A in appendix A of 40 CFR part 60, as well as the methods listed in paragraphs (b)(5)(i) through (iv) of this section. The sampling time for each Method 25A run must be at least 60 minutes. The calibration gas for each Method 25A run must be propane.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The emission rate from any new or existing semichemical combustion unit must be determined using Equation 11 of this section as follows: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lastRenderedPageBreak/>
        <w:drawing>
          <wp:inline distT="0" distB="0" distL="0" distR="0">
            <wp:extent cx="2997200" cy="558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7200" cy="5588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25"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ER</w:t>
      </w:r>
      <w:r>
        <w:rPr>
          <w:rFonts w:ascii="Arial" w:eastAsia="Arial Unicode MS" w:hAnsi="Arial" w:cs="Arial"/>
          <w:sz w:val="16"/>
          <w:szCs w:val="16"/>
          <w:vertAlign w:val="subscript"/>
        </w:rPr>
        <w:t>SCCU</w:t>
      </w:r>
      <w:r>
        <w:rPr>
          <w:rFonts w:ascii="Arial" w:eastAsia="Arial Unicode MS" w:hAnsi="Arial" w:cs="Arial"/>
        </w:rPr>
        <w:t xml:space="preserve"> = THC emission rate reported as carbon from each semichemical combustion unit, kg/Mg (lb/ton) of black liquor solids fired;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THC</w:t>
      </w:r>
      <w:r>
        <w:rPr>
          <w:rFonts w:ascii="Arial" w:eastAsia="Arial Unicode MS" w:hAnsi="Arial" w:cs="Arial"/>
          <w:sz w:val="16"/>
          <w:szCs w:val="16"/>
          <w:vertAlign w:val="subscript"/>
        </w:rPr>
        <w:t>meas</w:t>
      </w:r>
      <w:r>
        <w:rPr>
          <w:rFonts w:ascii="Arial" w:eastAsia="Arial Unicode MS" w:hAnsi="Arial" w:cs="Arial"/>
        </w:rPr>
        <w:t xml:space="preserve"> = Measured THC mass emission rate reported as carbon, kg/hr (lb/hr); and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BLS = Average black liquor solids firing rate, Mg/hr (ton/hr); determined using process data measured during the performance test.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If the owner or operator of the semichemical combustion unit has selected the percentage reduction standards for THC, under §63.862(c)(2)(ii), the percentage reduction in THC emissions is computed using Equation 12 of this section as follows, provided that Ei and Eo are measured simultaneously:</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sz w:val="26"/>
          <w:szCs w:val="26"/>
        </w:rPr>
        <w:drawing>
          <wp:inline distT="0" distB="0" distL="0" distR="0">
            <wp:extent cx="3276600" cy="635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6600" cy="635000"/>
                    </a:xfrm>
                    <a:prstGeom prst="rect">
                      <a:avLst/>
                    </a:prstGeom>
                    <a:noFill/>
                    <a:ln>
                      <a:noFill/>
                    </a:ln>
                  </pic:spPr>
                </pic:pic>
              </a:graphicData>
            </a:graphic>
          </wp:inline>
        </w:drawing>
      </w:r>
    </w:p>
    <w:p w:rsidR="00BD290E" w:rsidRDefault="002B2AB9" w:rsidP="00BD290E">
      <w:pPr>
        <w:widowControl w:val="0"/>
        <w:autoSpaceDE w:val="0"/>
        <w:autoSpaceDN w:val="0"/>
        <w:adjustRightInd w:val="0"/>
        <w:ind w:firstLine="520"/>
        <w:rPr>
          <w:rFonts w:ascii="Arial" w:eastAsia="Arial Unicode MS" w:hAnsi="Arial" w:cs="Arial"/>
          <w:sz w:val="26"/>
          <w:szCs w:val="26"/>
        </w:rPr>
      </w:pPr>
      <w:hyperlink r:id="rId27" w:history="1">
        <w:r w:rsidR="00BD290E">
          <w:rPr>
            <w:rFonts w:ascii="Arial" w:eastAsia="Arial Unicode MS" w:hAnsi="Arial" w:cs="Arial"/>
            <w:color w:val="0000E9"/>
            <w:sz w:val="22"/>
            <w:szCs w:val="22"/>
          </w:rPr>
          <w:t>View or download PDF</w:t>
        </w:r>
      </w:hyperlink>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ind w:firstLine="520"/>
        <w:rPr>
          <w:rFonts w:ascii="Arial" w:eastAsia="Arial Unicode MS" w:hAnsi="Arial" w:cs="Arial"/>
          <w:sz w:val="26"/>
          <w:szCs w:val="26"/>
        </w:rPr>
      </w:pP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Where:</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%R</w:t>
      </w:r>
      <w:r>
        <w:rPr>
          <w:rFonts w:ascii="Arial" w:eastAsia="Arial Unicode MS" w:hAnsi="Arial" w:cs="Arial"/>
          <w:sz w:val="16"/>
          <w:szCs w:val="16"/>
          <w:vertAlign w:val="subscript"/>
        </w:rPr>
        <w:t>THC</w:t>
      </w:r>
      <w:r>
        <w:rPr>
          <w:rFonts w:ascii="Arial" w:eastAsia="Arial Unicode MS" w:hAnsi="Arial" w:cs="Arial"/>
        </w:rPr>
        <w:t xml:space="preserve"> = percentage reduction of total hydrocarbons emissions achieved.</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w:t>
      </w:r>
      <w:r>
        <w:rPr>
          <w:rFonts w:ascii="Arial" w:eastAsia="Arial Unicode MS" w:hAnsi="Arial" w:cs="Arial"/>
          <w:sz w:val="16"/>
          <w:szCs w:val="16"/>
          <w:vertAlign w:val="subscript"/>
        </w:rPr>
        <w:t>i</w:t>
      </w:r>
      <w:r>
        <w:rPr>
          <w:rFonts w:ascii="Arial" w:eastAsia="Arial Unicode MS" w:hAnsi="Arial" w:cs="Arial"/>
        </w:rPr>
        <w:t xml:space="preserve"> = measured THC mass emission rate at the THC control device inlet, kg/hr (lb/hr).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E</w:t>
      </w:r>
      <w:r>
        <w:rPr>
          <w:rFonts w:ascii="Arial" w:eastAsia="Arial Unicode MS" w:hAnsi="Arial" w:cs="Arial"/>
          <w:sz w:val="16"/>
          <w:szCs w:val="16"/>
          <w:vertAlign w:val="subscript"/>
        </w:rPr>
        <w:t>o</w:t>
      </w:r>
      <w:r>
        <w:rPr>
          <w:rFonts w:ascii="Arial" w:eastAsia="Arial Unicode MS" w:hAnsi="Arial" w:cs="Arial"/>
        </w:rPr>
        <w:t xml:space="preserve"> = measured THC mass emission rate at the THC control device outlet, kg/hr (lb/hr).</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[66 FR 3193, Jan. 12, 2001, as amended at 66 FR 37593, July 19, 2001; 68 FR 7716, Feb. 18, 2003; 68 FR 67955, Dec. 5, 2003]</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color w:val="0000E9"/>
          <w:sz w:val="22"/>
          <w:szCs w:val="22"/>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Arial Unicode MS" w:hAnsi="Arial" w:cs="Arial"/>
          <w:color w:val="0000E9"/>
          <w:sz w:val="22"/>
          <w:szCs w:val="22"/>
        </w:rPr>
        <w:t xml:space="preserve"> Back to Top</w:t>
      </w:r>
    </w:p>
    <w:p w:rsidR="00BD290E" w:rsidRDefault="00BD290E" w:rsidP="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§63.866   Recordkeeping requirements.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(a) </w:t>
      </w:r>
      <w:r>
        <w:rPr>
          <w:rFonts w:ascii="Arial" w:eastAsia="Arial Unicode MS" w:hAnsi="Arial" w:cs="Arial"/>
          <w:i/>
          <w:iCs/>
          <w:sz w:val="26"/>
          <w:szCs w:val="26"/>
        </w:rPr>
        <w:t>Startup, shutdown, and malfunction plan.</w:t>
      </w:r>
      <w:r>
        <w:rPr>
          <w:rFonts w:ascii="Arial" w:eastAsia="Arial Unicode MS" w:hAnsi="Arial" w:cs="Arial"/>
          <w:sz w:val="26"/>
          <w:szCs w:val="26"/>
        </w:rPr>
        <w:t xml:space="preserve"> The owner or operator must develop a written plan as described in §63.6(e)(3) that contains specific procedures for operating the source and maintaining the source during periods of startup, shutdown, and malfunction, and a program of corrective action for malfunctioning process and control systems used to comply with the standards. In addition to the information required in §63.6(e), the plan must include the requirements in paragraphs (a)(1) and (2)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Procedures for responding to any process parameter level that is inconsistent with the level(s) established under §63.864(j), including the procedures in paragraphs (a)(1)(i) and (ii)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(i) Procedures to determine and record the cause of an operating parameter exceedance and the time the exceedance began and ended; and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Corrective actions to be taken in the event of an operating parameter exceedance, including procedures for recording the actions taken to correct the exceedance.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The startup, shutdown, and malfunction plan also must include the schedules listed in paragraphs (a)(2)(i) and (ii)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 A maintenance schedule for each control technique that is consistent with, but not limited to, the manufacturer's instructions and recommendations for routine and long-term maintenance; and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An inspection schedule for each continuous monitoring system required under §63.864 to ensure, at least once in each 24-hour period, that each continuous monitoring system is properly functioning.</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(b) The owner or operator of an affected source or process unit must maintain records of any occurrence when corrective action is required under §63.864(k)(1), and when a violation is noted under §63.864(k)(2).</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 In addition to the general records required by §63.10(b)(2), the owner or operator must maintain records of the information in paragraphs (c)(1) through (7)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Records of black liquor solids firing rates in units of Mg/d or ton/d for all recovery furnaces and semichemical combustion units;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Records of CaO production rates in units of Mg/d or ton/d for all lime kilns;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(3) Records of parameter monitoring data required under §63.864, including any period when the operating parameter levels were inconsistent with the levels established during the initial performance test, with a brief explanation of the cause of the deviation, the time the deviation occurred, the time corrective action was initiated and completed, and the corrective action taken;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(4) Records and documentation of supporting calculations for compliance determinations made under §§63.865(a) through (d);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(5) Records of monitoring parameter ranges established for each affected source or process unit;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 Records certifying that an NDCE recovery furnace equipped with a dry ESP system is used to comply with the gaseous organic HAP standard in §63.862(c)(1).</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(7) For the bag leak detection system on the hog fuel dryer fabric filter at Weyerhaeuser Paper Company's Cosmopolis, Washington facility (Emission Unit no. HD-14), records of each alarm, the time of the alarm, the time corrective action was initiated and completed, and a brief description of the cause of the alarm and the corrective action taken.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(d) For operation under §63.863(c)(2), Georgia-Pacific Corporation must </w:t>
      </w:r>
      <w:r>
        <w:rPr>
          <w:rFonts w:ascii="Arial" w:eastAsia="Arial Unicode MS" w:hAnsi="Arial" w:cs="Arial"/>
          <w:sz w:val="26"/>
          <w:szCs w:val="26"/>
        </w:rPr>
        <w:lastRenderedPageBreak/>
        <w:t>keep a record of the hours of operation of the two existing semichemical combustion units at their Big Island, VA facility.</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[66 FR 3193, Jan. 12, 2001, as amended at 66 FR 16408, Mar. 26, 2001; 68 FR 7718, Feb. 18, 2003; 69 FR 25323, May 6, 2004; 71 FR 20458, Apr. 20, 2006]</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color w:val="0000E9"/>
          <w:sz w:val="22"/>
          <w:szCs w:val="22"/>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Arial Unicode MS" w:hAnsi="Arial" w:cs="Arial"/>
          <w:color w:val="0000E9"/>
          <w:sz w:val="22"/>
          <w:szCs w:val="22"/>
        </w:rPr>
        <w:t xml:space="preserve"> Back to Top</w:t>
      </w:r>
    </w:p>
    <w:p w:rsidR="00BD290E" w:rsidRDefault="00BD290E" w:rsidP="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§63.867   Reporting requirements.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(a) </w:t>
      </w:r>
      <w:r>
        <w:rPr>
          <w:rFonts w:ascii="Arial" w:eastAsia="Arial Unicode MS" w:hAnsi="Arial" w:cs="Arial"/>
          <w:i/>
          <w:iCs/>
          <w:sz w:val="26"/>
          <w:szCs w:val="26"/>
        </w:rPr>
        <w:t>Notifications.</w:t>
      </w:r>
      <w:r>
        <w:rPr>
          <w:rFonts w:ascii="Arial" w:eastAsia="Arial Unicode MS" w:hAnsi="Arial" w:cs="Arial"/>
          <w:sz w:val="26"/>
          <w:szCs w:val="26"/>
        </w:rPr>
        <w:t xml:space="preserve"> (1) The owner or operator of any affected source or process unit must submit the applicable notifications from subpart A of this part, as specified in Table 1 of this subpart.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Notifications specific to Georgia-Pacific Corporation's affected sources in Big Island, Virginia.</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 For a compliance extension under §63.863(c)(1), submit a notice that provides the date of Georgia-Pacific's determination that the black liquor gasification system is not successful and the reasons why the technology is not successful. The notice must be submitted within 15 days of Georgia-Pacific's determination, but not later than March 16, 2005.</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For operation under §63.863(c)(2), submit a notice providing: a statement that Georgia-Pacific Corporation intends to run the Kraft black liquor trials, the anticipated period in which the trials will take place, and a statement explaining why the trials could not be conducted prior to March 1, 2005. The notice must be submitted at least 30 days prior to the start of the Kraft liquor trials.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(3) In addition to the requirements in subpart A of this part, the owner or operator of the hog fuel dryer at Weyerhaeuser Paper Company's Cosmopolis, Washington, facility (Emission Unit no. HD-14) must include analysis and supporting documentation demonstrating conformance with EPA guidance and specifications for bag leak detection systems in §63.864(e)(12) in the Notification of Compliance Status.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(b) </w:t>
      </w:r>
      <w:r>
        <w:rPr>
          <w:rFonts w:ascii="Arial" w:eastAsia="Arial Unicode MS" w:hAnsi="Arial" w:cs="Arial"/>
          <w:i/>
          <w:iCs/>
          <w:sz w:val="26"/>
          <w:szCs w:val="26"/>
        </w:rPr>
        <w:t>Additional reporting requirements for HAP metals standards.</w:t>
      </w:r>
      <w:r>
        <w:rPr>
          <w:rFonts w:ascii="Arial" w:eastAsia="Arial Unicode MS" w:hAnsi="Arial" w:cs="Arial"/>
          <w:sz w:val="26"/>
          <w:szCs w:val="26"/>
        </w:rPr>
        <w:t xml:space="preserve"> (1) Any owner or operator of a group of process units in a chemical recovery system at a mill complying with the PM emissions limits in §63.862(a)(1)(ii) must submit the PM emissions limits determined in §63.865(a) for each affected kraft or soda recovery furnace, smelt dissolving tank, and lime kiln to the Administrator for approval. The emissions limits must be submitted as part of the notification of compliance status required under subpart A of this part.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Any owner or operator of a group of process units in a chemical recovery system at a mill complying with the PM emissions limits in §63.862(a)(1)(ii) must submit the calculations and supporting documentation used in §63.865(a)(1) and (2) to the Administrator as part of the notification of compliance status required under subpart A of this part.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(3) After the Administrator has approved the emissions limits for any </w:t>
      </w:r>
      <w:r>
        <w:rPr>
          <w:rFonts w:ascii="Arial" w:eastAsia="Arial Unicode MS" w:hAnsi="Arial" w:cs="Arial"/>
          <w:sz w:val="26"/>
          <w:szCs w:val="26"/>
        </w:rPr>
        <w:lastRenderedPageBreak/>
        <w:t>process unit, the owner or operator of a process unit must notify the Administrator before any of the actions in paragraphs (b)(3)(i) through (iv) of this section are taken: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 The air pollution control system for any process unit is modified or replaced;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 Any kraft or soda recovery furnace, smelt dissolving tank, or lime kiln in a chemical recovery system at a kraft or soda pulp mill complying with the PM emissions limits in §63.862(a)(1)(ii) is shut down for more than 60 consecutive days;</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(iii) A continuous monitoring parameter or the value or range of values of a continuous monitoring parameter for any process unit is changed; or</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(iv) The black liquor solids firing rate for any kraft or soda recovery furnace during any 24-hour averaging period is increased by more than 10 percent above the level measured during the most recent performance test.</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(4) An owner or operator of a group of process units in a chemical recovery system at a mill complying with the PM emissions limits in §63.862(a)(1)(ii) and seeking to perform the actions in paragraph (b)(3)(i) or (ii) of this section must recalculate the overall PM emissions limit for the group of process units and resubmit the documentation required in paragraph (b)(2) of this section to the Administrator. All modified PM emissions limits are subject to approval by the Administrator.</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(c) </w:t>
      </w:r>
      <w:r>
        <w:rPr>
          <w:rFonts w:ascii="Arial" w:eastAsia="Arial Unicode MS" w:hAnsi="Arial" w:cs="Arial"/>
          <w:i/>
          <w:iCs/>
          <w:sz w:val="26"/>
          <w:szCs w:val="26"/>
        </w:rPr>
        <w:t>Excess emissions report.</w:t>
      </w:r>
      <w:r>
        <w:rPr>
          <w:rFonts w:ascii="Arial" w:eastAsia="Arial Unicode MS" w:hAnsi="Arial" w:cs="Arial"/>
          <w:sz w:val="26"/>
          <w:szCs w:val="26"/>
        </w:rPr>
        <w:t xml:space="preserve"> The owner or operator must report quarterly if measured parameters meet any of the conditions specified in paragraph (k)(1) or (2) of §63.864. This report must contain the information specified in §63.10(c) of this part as well as the number and duration of occurrences when the source met or exceeded the conditions in §63.864(k)(1), and the number and duration of occurrences when the source met or exceeded the conditions in §63.864(k)(2). Reporting excess emissions below the violation thresholds of §63.864(k) does not constitute a violation of the applicable standard.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When no exceedances of parameters have occurred, the owner or operator must submit a semiannual report stating that no excess emissions occurred during the reporting period.</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The owner or operator of an affected source or process unit subject to the requirements of this subpart and subpart S of this part may combine excess emissions and/or summary reports for the mill.</w:t>
      </w:r>
    </w:p>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[66 FR 3193, Jan. 12, 2001 as amended at 66 FR 16408, Mar. 26, 2001; 68 FR 7718, Feb. 18, 2003; 68 FR 42605, July 18, 2003; 68 FR 46108, Aug. 5, 2003; 69 FR 25323, May 6, 2004]</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color w:val="0000E9"/>
          <w:sz w:val="22"/>
          <w:szCs w:val="22"/>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Arial Unicode MS" w:hAnsi="Arial" w:cs="Arial"/>
          <w:color w:val="0000E9"/>
          <w:sz w:val="22"/>
          <w:szCs w:val="22"/>
        </w:rPr>
        <w:t xml:space="preserve"> Back to Top</w:t>
      </w:r>
    </w:p>
    <w:p w:rsidR="00BD290E" w:rsidRDefault="00BD290E" w:rsidP="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§63.868   Delegation of authority.</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(a) In delegating implementation and enforcement authority to a State under section 112(d) of the Clean Air Act, the authorities contained in </w:t>
      </w:r>
      <w:r>
        <w:rPr>
          <w:rFonts w:ascii="Arial" w:eastAsia="Arial Unicode MS" w:hAnsi="Arial" w:cs="Arial"/>
          <w:sz w:val="26"/>
          <w:szCs w:val="26"/>
        </w:rPr>
        <w:lastRenderedPageBreak/>
        <w:t>paragraph (b) of this section must be retained by the Administrator and not transferred to a State.</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(b) The authorities which will not be delegated to States are listed in paragraphs (b)(1) through (4) of this section:</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(1) Approval of alternatives to standards in §63.862 under §63.6(g).</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(2) Approval of major alternatives to test methods under §63.7(e)(2)(ii) and (f) and as defined in §63.90.</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(3) Approval of major alternatives to monitoring under §63.8(f) and as defined in §63.90.</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(4) Approval of major alternatives to recordkeeping and reporting under §63.10(f) and as defined in §63.90.</w:t>
      </w:r>
    </w:p>
    <w:p w:rsidR="00BD290E" w:rsidRDefault="00BD290E" w:rsidP="00BD290E">
      <w:pPr>
        <w:widowControl w:val="0"/>
        <w:autoSpaceDE w:val="0"/>
        <w:autoSpaceDN w:val="0"/>
        <w:adjustRightInd w:val="0"/>
        <w:rPr>
          <w:rFonts w:ascii="Arial" w:eastAsia="Arial Unicode MS" w:hAnsi="Arial" w:cs="Arial"/>
          <w:sz w:val="26"/>
          <w:szCs w:val="26"/>
        </w:rPr>
      </w:pPr>
      <w:r>
        <w:rPr>
          <w:rFonts w:ascii="Arial" w:eastAsia="Arial Unicode MS" w:hAnsi="Arial" w:cs="Arial"/>
          <w:noProof/>
          <w:color w:val="0000E9"/>
          <w:sz w:val="22"/>
          <w:szCs w:val="22"/>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Arial Unicode MS" w:hAnsi="Arial" w:cs="Arial"/>
          <w:color w:val="0000E9"/>
          <w:sz w:val="22"/>
          <w:szCs w:val="22"/>
        </w:rPr>
        <w:t xml:space="preserve"> Back to Top</w:t>
      </w:r>
    </w:p>
    <w:p w:rsidR="00BD290E" w:rsidRDefault="00BD290E" w:rsidP="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Table 1 to Subpart MM of Part 63—General Provisions Applicability to Subpart MM</w:t>
      </w:r>
    </w:p>
    <w:tbl>
      <w:tblPr>
        <w:tblW w:w="14020" w:type="dxa"/>
        <w:tblBorders>
          <w:top w:val="nil"/>
          <w:left w:val="nil"/>
          <w:right w:val="nil"/>
        </w:tblBorders>
        <w:tblLayout w:type="fixed"/>
        <w:tblLook w:val="0000" w:firstRow="0" w:lastRow="0" w:firstColumn="0" w:lastColumn="0" w:noHBand="0" w:noVBand="0"/>
      </w:tblPr>
      <w:tblGrid>
        <w:gridCol w:w="1340"/>
        <w:gridCol w:w="4369"/>
        <w:gridCol w:w="2540"/>
        <w:gridCol w:w="5771"/>
      </w:tblGrid>
      <w:tr w:rsidR="00BD290E">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BD290E" w:rsidRDefault="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General provisions reference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BD290E" w:rsidRDefault="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Summary of requirements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BD290E" w:rsidRDefault="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Applies to subpart MM</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BD290E" w:rsidRDefault="00BD290E">
            <w:pPr>
              <w:widowControl w:val="0"/>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Explanation</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63.1(a)(1)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General applicability of the General Provisions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Additional terms defined in §63.861; when overlap between subparts A and MM of this part, subpart MM takes precedence.</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63.1(a)(2)-(14)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General applicability of the General Provisions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63.1(b)(1)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Initial applicability determination.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specifies the applicability in §63.860.</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63.1(b)(2)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Title V operating permit—see 40 CFR part 70</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All major affected sources are required to obtain a title V permit.</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63.1(b)(3)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Record of the applicability determination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All affected sources are subject to subpart MM according to the applicability definition of subpart MM.</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63.1(c)(1)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Applicability of subpart A of this part after a relevant standard has been set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clarifies the applicability of each paragraph of subpart A of this part to sources subject to subpart MM.</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63.1(c)(2)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Title V permit requirement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All major affected sources are required to obtain a title V permit. There are no area sources in the pulp and paper mill source category.</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63.1(c)(3)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[Reserved]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NA.</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63.1(c)(4)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Requirements for existing source that obtains an extension of compliance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63.1(c)(5)</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requirements for an area source that increases HAP emissions to major source levels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[Reserved]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NA</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Applicability of permit program before a relevant standard has been set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Definitions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Additional terms defined in §63.861; when overlap between subparts A and MM of this part occurs, subpart MM takes precedence.</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Units and abbreviations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Prohibited activities and circumvention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63.5(a)</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Construction and reconstruction—applicability</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Upon construction, relevant standards for new sources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[Reserved]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NA</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New construction/reconstruction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Construction/reconstruction notification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63.5(b)(5)</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Construction/reconstruction compliance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63.5(b)(6)</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Equipment addition or process change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[Reserved]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NA</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Application for approval of construction/reconstruction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Construction/reconstruction approval</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63.5(f)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Construction/reconstruction approval based on prior State preconstruction review</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63.6(a)(1)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with standards and maintenance requirements—applicability</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63.6(a)(2)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Requirements for area source that increases emissions to become major</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63.6(b)</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dates for new and reconstructed sources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dates for existing sources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 except for sources granted extensions under 63.863(c)</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specifically stipulates the compliance schedule for existing sources.</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[Reserved]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NA</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Operation and maintenance requirements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with nonopacity emissions standards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63.6(g)</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with alternative nonopacity emissions standards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63.6(h)</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Compliance with opacity and visible emissions (VE) standards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does not contain any opacity or VE standards; however, §63.864 specifies opacity monitoring requirements.</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63.6(i)</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Extension of compliance with emission standards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 except for sources granted extensions under 63.863(c)</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63.6(j)</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Exemption from compliance with emissions standards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63.7(a)(1)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Performance testing requirements—applicability</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§63.865(c)(1) specifies the only exemption from performance testing allowed under subpart MM.</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63.7(a)(2)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Performance test dates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63.7(a)(3)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Performance test requests by Administrator under CAA section 114</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63.7(b)(1)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performance test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63.7(b)(2)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delay in conducting a scheduled performance test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Quality assurance program</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Performance testing facilities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Conduct of performance tests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Use of an alternative test method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63.7(g)</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Data analysis, recordkeeping, and reporting</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63.7(h)</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Waiver of performance tests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§63.865(c)(1) specifies the only exemption from performance testing allowed under subpart MM.</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63.8(a)</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Monitoring requirements—applicability</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See §63.864.</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63.8(b)</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Conduct of monitoring</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See §63.864.</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Operation and maintenance of CMS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See §63.864.</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Quality control program</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See §63.864.</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63.8(e)(1)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Performance evaluation of CMS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63.8(e)(2)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performance evaluation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63.8(e)(3)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Submission of site-specific performance evaluation test plan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63.8(e)(4)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Conduct of performance evaluation and performance evaluation dates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63.8(e)(5)</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Reporting performance evaluation results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Use of an alternative monitoring method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63.8(g)</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Reduction of monitoring data</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63.9(a)</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requirements—applicability and general information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63.9(b)</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Initial notifications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Request for extension of compliance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63.9(d)</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that source subject to special compliance requirements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performance test</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opacity and VE observations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does not contain any opacity or VE standards; however, §63.864 specifies opacity monitoring requirements.</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63.9(g)(1)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Additional notification requirements for sources with CMS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63.9(g)(2)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compliance with opacity emissions standard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does not contain any opacity or VE emissions standards; however, §63.864 specifies opacity monitoring requirements.</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63.9(g)(3)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that criterion to continue use of alternative to relative accuracy testing has been exceeded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63.9(h)</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Notification of compliance status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63.9(i)</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 xml:space="preserve">Adjustment to time periods or postmark deadlines for submittal </w:t>
            </w:r>
            <w:r>
              <w:rPr>
                <w:rFonts w:ascii="Arial" w:eastAsia="Arial Unicode MS" w:hAnsi="Arial" w:cs="Arial"/>
                <w:sz w:val="26"/>
                <w:szCs w:val="26"/>
              </w:rPr>
              <w:lastRenderedPageBreak/>
              <w:t>and review of required communications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lastRenderedPageBreak/>
              <w:t>63.9(j)</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Change in information already provided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63.10(a)</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Recordkeeping requirements—applicability and general information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See §63.866.</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63.10(b)(1)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Records retention</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63.10(b)(2)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Information and documentation to support notifications and demonstrate compliance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63.10(b)(3)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Records retention for sources not subject to relevant standard</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Applicability requirements are given in §63.860.</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63.10(c)</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Additional recordkeeping requirements for sources with CMS.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63.10(d)(1)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General reporting requirements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63.10(d)(2)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Reporting results of performance tests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63.10(d)(3)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Reporting results of opacity or VE observations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Subpart MM does not include any opacity or VE standards; however, §63.864 specifies opacity monitoring requirements.</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63.10(d)(4)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Progress reports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63.10(d)(5)</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Periodic and immediate startup, shutdown, and malfunction reports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63.10(e)</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Additional reporting requirements for sources with CMS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63.10(f)</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Waiver of recordkeeping and reporting requirements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63.11</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Control device requirements for flares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No</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The use of flares to meet the standards in subpart MM is not anticipated.</w:t>
            </w: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63.12</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State authority and delegations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63.13</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Addresses of State air pollution control agencies and EPA Regional Offices</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blPrEx>
          <w:tblBorders>
            <w:top w:val="none" w:sz="0" w:space="0" w:color="auto"/>
          </w:tblBorders>
        </w:tblPrEx>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63.14</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Incorporations by reference</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r w:rsidR="00BD290E">
        <w:tc>
          <w:tcPr>
            <w:tcW w:w="13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63.15</w:t>
            </w:r>
          </w:p>
        </w:tc>
        <w:tc>
          <w:tcPr>
            <w:tcW w:w="43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Availability of information and confidentiality</w:t>
            </w:r>
          </w:p>
        </w:tc>
        <w:tc>
          <w:tcPr>
            <w:tcW w:w="25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r>
              <w:rPr>
                <w:rFonts w:ascii="Arial" w:eastAsia="Arial Unicode MS" w:hAnsi="Arial" w:cs="Arial"/>
                <w:sz w:val="26"/>
                <w:szCs w:val="26"/>
              </w:rPr>
              <w:t>Yes</w:t>
            </w:r>
          </w:p>
        </w:tc>
        <w:tc>
          <w:tcPr>
            <w:tcW w:w="5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BD290E" w:rsidRDefault="00BD290E">
            <w:pPr>
              <w:widowControl w:val="0"/>
              <w:autoSpaceDE w:val="0"/>
              <w:autoSpaceDN w:val="0"/>
              <w:adjustRightInd w:val="0"/>
              <w:rPr>
                <w:rFonts w:ascii="Arial" w:eastAsia="Arial Unicode MS" w:hAnsi="Arial" w:cs="Arial"/>
                <w:sz w:val="26"/>
                <w:szCs w:val="26"/>
              </w:rPr>
            </w:pPr>
          </w:p>
        </w:tc>
      </w:tr>
    </w:tbl>
    <w:p w:rsidR="00BD290E" w:rsidRDefault="00BD290E" w:rsidP="00BD290E">
      <w:pPr>
        <w:widowControl w:val="0"/>
        <w:autoSpaceDE w:val="0"/>
        <w:autoSpaceDN w:val="0"/>
        <w:adjustRightInd w:val="0"/>
        <w:rPr>
          <w:rFonts w:ascii="Arial" w:eastAsia="Arial Unicode MS" w:hAnsi="Arial" w:cs="Arial"/>
        </w:rPr>
      </w:pPr>
      <w:r>
        <w:rPr>
          <w:rFonts w:ascii="Arial" w:eastAsia="Arial Unicode MS" w:hAnsi="Arial" w:cs="Arial"/>
        </w:rPr>
        <w:t>[66 FR 3193, Jan. 12, 2001, as amended at 66 FR 16408, Mar. 26, 2001]</w:t>
      </w:r>
    </w:p>
    <w:p w:rsidR="004914D7" w:rsidRDefault="004914D7"/>
    <w:sectPr w:rsidR="004914D7" w:rsidSect="00767BD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0E"/>
    <w:rsid w:val="002B2AB9"/>
    <w:rsid w:val="004914D7"/>
    <w:rsid w:val="00A301F3"/>
    <w:rsid w:val="00BD2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90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9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ecfr.gov/graphics/pdfs/er12ja01.004.pdf" TargetMode="External"/><Relationship Id="rId18" Type="http://schemas.openxmlformats.org/officeDocument/2006/relationships/image" Target="media/image8.gif"/><Relationship Id="rId26"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hyperlink" Target="http://www.ecfr.gov/graphics/pdfs/er18fe03.010.pdf" TargetMode="External"/><Relationship Id="rId7" Type="http://schemas.openxmlformats.org/officeDocument/2006/relationships/hyperlink" Target="http://www.ecfr.gov/graphics/pdfs/er05de03.004.pdf" TargetMode="External"/><Relationship Id="rId12" Type="http://schemas.openxmlformats.org/officeDocument/2006/relationships/image" Target="media/image5.gif"/><Relationship Id="rId17" Type="http://schemas.openxmlformats.org/officeDocument/2006/relationships/hyperlink" Target="http://www.ecfr.gov/graphics/pdfs/er12ja01.006.pdf" TargetMode="External"/><Relationship Id="rId25" Type="http://schemas.openxmlformats.org/officeDocument/2006/relationships/hyperlink" Target="http://www.ecfr.gov/graphics/pdfs/er18fe03.012.pdf" TargetMode="External"/><Relationship Id="rId2" Type="http://schemas.microsoft.com/office/2007/relationships/stylesWithEffects" Target="stylesWithEffects.xml"/><Relationship Id="rId16" Type="http://schemas.openxmlformats.org/officeDocument/2006/relationships/image" Target="media/image7.gif"/><Relationship Id="rId20" Type="http://schemas.openxmlformats.org/officeDocument/2006/relationships/image" Target="media/image9.gi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ecfr.gov/graphics/pdfs/er12ja01.003.pdf" TargetMode="External"/><Relationship Id="rId24" Type="http://schemas.openxmlformats.org/officeDocument/2006/relationships/image" Target="media/image11.gif"/><Relationship Id="rId5" Type="http://schemas.openxmlformats.org/officeDocument/2006/relationships/image" Target="media/image1.gif"/><Relationship Id="rId15" Type="http://schemas.openxmlformats.org/officeDocument/2006/relationships/hyperlink" Target="http://www.ecfr.gov/graphics/pdfs/er12ja01.005.pdf" TargetMode="External"/><Relationship Id="rId23" Type="http://schemas.openxmlformats.org/officeDocument/2006/relationships/hyperlink" Target="http://www.ecfr.gov/graphics/pdfs/er18fe03.011.pdf" TargetMode="External"/><Relationship Id="rId28"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hyperlink" Target="http://www.ecfr.gov/graphics/pdfs/er18fe03.009.pdf" TargetMode="External"/><Relationship Id="rId4" Type="http://schemas.openxmlformats.org/officeDocument/2006/relationships/webSettings" Target="webSettings.xml"/><Relationship Id="rId9" Type="http://schemas.openxmlformats.org/officeDocument/2006/relationships/hyperlink" Target="http://www.ecfr.gov/graphics/pdfs/er12ja01.002.pdf" TargetMode="External"/><Relationship Id="rId14" Type="http://schemas.openxmlformats.org/officeDocument/2006/relationships/image" Target="media/image6.gif"/><Relationship Id="rId22" Type="http://schemas.openxmlformats.org/officeDocument/2006/relationships/image" Target="media/image10.gif"/><Relationship Id="rId27" Type="http://schemas.openxmlformats.org/officeDocument/2006/relationships/hyperlink" Target="http://www.ecfr.gov/graphics/pdfs/er12ja01.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9895</Words>
  <Characters>56406</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Inahara</dc:creator>
  <cp:lastModifiedBy>Mark</cp:lastModifiedBy>
  <cp:revision>2</cp:revision>
  <dcterms:created xsi:type="dcterms:W3CDTF">2014-10-21T23:12:00Z</dcterms:created>
  <dcterms:modified xsi:type="dcterms:W3CDTF">2014-10-21T23:12:00Z</dcterms:modified>
</cp:coreProperties>
</file>