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B7" w:rsidRPr="008E26B7" w:rsidRDefault="008E26B7" w:rsidP="008E26B7">
      <w:r w:rsidRPr="008E26B7">
        <w:t>Title 40: Protection of Environment</w:t>
      </w:r>
      <w:r w:rsidRPr="008E26B7">
        <w:br/>
      </w:r>
      <w:hyperlink r:id="rId5" w:history="1">
        <w:r w:rsidRPr="008E26B7">
          <w:rPr>
            <w:rStyle w:val="Hyperlink"/>
          </w:rPr>
          <w:t>PART 63—NATIONAL EMISSION STANDARDS FOR HAZARDOUS AIR POLLUTANTS FOR SOURCE CATEGORIES (CONTINUED)</w:t>
        </w:r>
      </w:hyperlink>
    </w:p>
    <w:p w:rsidR="008E26B7" w:rsidRPr="008E26B7" w:rsidRDefault="008E26B7" w:rsidP="008E26B7">
      <w:r w:rsidRPr="008E26B7">
        <w:pict>
          <v:rect id="_x0000_i1123" style="width:0;height:1.5pt" o:hralign="center" o:hrstd="t" o:hr="t" fillcolor="#a0a0a0" stroked="f"/>
        </w:pict>
      </w:r>
    </w:p>
    <w:p w:rsidR="008E26B7" w:rsidRPr="008E26B7" w:rsidRDefault="008E26B7" w:rsidP="008E26B7">
      <w:pPr>
        <w:numPr>
          <w:ilvl w:val="0"/>
          <w:numId w:val="9"/>
        </w:numPr>
        <w:rPr>
          <w:b/>
          <w:bCs/>
        </w:rPr>
      </w:pPr>
      <w:bookmarkStart w:id="0" w:name="_top"/>
      <w:bookmarkEnd w:id="0"/>
      <w:r w:rsidRPr="008E26B7">
        <w:rPr>
          <w:b/>
          <w:bCs/>
        </w:rPr>
        <w:t xml:space="preserve">Subpart XXX—National Emission Standards for Hazardous Air Pollutants for Ferroalloys Production: Ferromanganese and </w:t>
      </w:r>
      <w:proofErr w:type="spellStart"/>
      <w:r w:rsidRPr="008E26B7">
        <w:rPr>
          <w:b/>
          <w:bCs/>
        </w:rPr>
        <w:t>Silicomanganese</w:t>
      </w:r>
      <w:proofErr w:type="spellEnd"/>
    </w:p>
    <w:p w:rsidR="008E26B7" w:rsidRPr="008E26B7" w:rsidRDefault="008E26B7" w:rsidP="008E26B7">
      <w:r w:rsidRPr="008E26B7">
        <w:pict>
          <v:rect id="_x0000_i1124" style="width:0;height:1.5pt" o:hralign="center" o:hrstd="t" o:hr="t" fillcolor="#a0a0a0" stroked="f"/>
        </w:pict>
      </w:r>
    </w:p>
    <w:p w:rsidR="008E26B7" w:rsidRPr="008E26B7" w:rsidRDefault="008E26B7" w:rsidP="008E26B7">
      <w:r w:rsidRPr="008E26B7">
        <w:rPr>
          <w:b/>
          <w:bCs/>
        </w:rPr>
        <w:t>Contents</w:t>
      </w:r>
      <w:r w:rsidRPr="008E26B7">
        <w:br/>
      </w:r>
      <w:hyperlink r:id="rId6" w:anchor="se40.13.63_11620_663_11649" w:history="1">
        <w:r w:rsidRPr="008E26B7">
          <w:rPr>
            <w:rStyle w:val="Hyperlink"/>
          </w:rPr>
          <w:t>§§63.1620-63.1649 [Reserved</w:t>
        </w:r>
        <w:proofErr w:type="gramStart"/>
        <w:r w:rsidRPr="008E26B7">
          <w:rPr>
            <w:rStyle w:val="Hyperlink"/>
          </w:rPr>
          <w:t>]</w:t>
        </w:r>
        <w:proofErr w:type="gramEnd"/>
      </w:hyperlink>
      <w:r w:rsidRPr="008E26B7">
        <w:br/>
      </w:r>
      <w:hyperlink r:id="rId7" w:anchor="se40.13.63_11650" w:history="1">
        <w:r w:rsidRPr="008E26B7">
          <w:rPr>
            <w:rStyle w:val="Hyperlink"/>
          </w:rPr>
          <w:t>§63.1650 Applicability and compliance dates.</w:t>
        </w:r>
      </w:hyperlink>
      <w:r w:rsidRPr="008E26B7">
        <w:br/>
      </w:r>
      <w:hyperlink r:id="rId8" w:anchor="se40.13.63_11651" w:history="1">
        <w:r w:rsidRPr="008E26B7">
          <w:rPr>
            <w:rStyle w:val="Hyperlink"/>
          </w:rPr>
          <w:t>§63.1651 Definitions.</w:t>
        </w:r>
      </w:hyperlink>
      <w:r w:rsidRPr="008E26B7">
        <w:br/>
      </w:r>
      <w:hyperlink r:id="rId9" w:anchor="se40.13.63_11652" w:history="1">
        <w:r w:rsidRPr="008E26B7">
          <w:rPr>
            <w:rStyle w:val="Hyperlink"/>
          </w:rPr>
          <w:t>§63.1652 Emission standards.</w:t>
        </w:r>
      </w:hyperlink>
      <w:r w:rsidRPr="008E26B7">
        <w:br/>
      </w:r>
      <w:hyperlink r:id="rId10" w:anchor="se40.13.63_11653" w:history="1">
        <w:r w:rsidRPr="008E26B7">
          <w:rPr>
            <w:rStyle w:val="Hyperlink"/>
          </w:rPr>
          <w:t>§63.1653 Opacity standards.</w:t>
        </w:r>
      </w:hyperlink>
      <w:r w:rsidRPr="008E26B7">
        <w:br/>
      </w:r>
      <w:hyperlink r:id="rId11" w:anchor="se40.13.63_11654" w:history="1">
        <w:r w:rsidRPr="008E26B7">
          <w:rPr>
            <w:rStyle w:val="Hyperlink"/>
          </w:rPr>
          <w:t>§63.1654 Operational and work practice standards.</w:t>
        </w:r>
      </w:hyperlink>
      <w:r w:rsidRPr="008E26B7">
        <w:br/>
      </w:r>
      <w:hyperlink r:id="rId12" w:anchor="se40.13.63_11655" w:history="1">
        <w:r w:rsidRPr="008E26B7">
          <w:rPr>
            <w:rStyle w:val="Hyperlink"/>
          </w:rPr>
          <w:t>§63.1655 Maintenance requirements.</w:t>
        </w:r>
      </w:hyperlink>
      <w:r w:rsidRPr="008E26B7">
        <w:br/>
      </w:r>
      <w:hyperlink r:id="rId13" w:anchor="se40.13.63_11656" w:history="1">
        <w:proofErr w:type="gramStart"/>
        <w:r w:rsidRPr="008E26B7">
          <w:rPr>
            <w:rStyle w:val="Hyperlink"/>
          </w:rPr>
          <w:t>§63.1656 Performance testing, test methods, and compliance demonstrations.</w:t>
        </w:r>
        <w:proofErr w:type="gramEnd"/>
      </w:hyperlink>
      <w:r w:rsidRPr="008E26B7">
        <w:br/>
      </w:r>
      <w:hyperlink r:id="rId14" w:anchor="se40.13.63_11657" w:history="1">
        <w:r w:rsidRPr="008E26B7">
          <w:rPr>
            <w:rStyle w:val="Hyperlink"/>
          </w:rPr>
          <w:t>§63.1657 Monitoring requirements.</w:t>
        </w:r>
      </w:hyperlink>
      <w:r w:rsidRPr="008E26B7">
        <w:br/>
      </w:r>
      <w:hyperlink r:id="rId15" w:anchor="se40.13.63_11658" w:history="1">
        <w:r w:rsidRPr="008E26B7">
          <w:rPr>
            <w:rStyle w:val="Hyperlink"/>
          </w:rPr>
          <w:t>§63.1658 Notification requirements.</w:t>
        </w:r>
      </w:hyperlink>
      <w:r w:rsidRPr="008E26B7">
        <w:br/>
      </w:r>
      <w:hyperlink r:id="rId16" w:anchor="se40.13.63_11659" w:history="1">
        <w:r w:rsidRPr="008E26B7">
          <w:rPr>
            <w:rStyle w:val="Hyperlink"/>
          </w:rPr>
          <w:t>§63.1659 Reporting requirements.</w:t>
        </w:r>
      </w:hyperlink>
      <w:r w:rsidRPr="008E26B7">
        <w:br/>
      </w:r>
      <w:hyperlink r:id="rId17" w:anchor="se40.13.63_11660" w:history="1">
        <w:r w:rsidRPr="008E26B7">
          <w:rPr>
            <w:rStyle w:val="Hyperlink"/>
          </w:rPr>
          <w:t>§63.1660 Recordkeeping requirements.</w:t>
        </w:r>
      </w:hyperlink>
      <w:r w:rsidRPr="008E26B7">
        <w:br/>
      </w:r>
      <w:hyperlink r:id="rId18" w:anchor="se40.13.63_11661" w:history="1">
        <w:r w:rsidRPr="008E26B7">
          <w:rPr>
            <w:rStyle w:val="Hyperlink"/>
          </w:rPr>
          <w:t>§63.1661 Implementation and enforcement.</w:t>
        </w:r>
      </w:hyperlink>
      <w:r w:rsidRPr="008E26B7">
        <w:br/>
      </w:r>
      <w:hyperlink r:id="rId19" w:anchor="se40.13.63_11662_663_11679" w:history="1">
        <w:r w:rsidRPr="008E26B7">
          <w:rPr>
            <w:rStyle w:val="Hyperlink"/>
          </w:rPr>
          <w:t>§§63.1662-63.1679 [Reserved]</w:t>
        </w:r>
      </w:hyperlink>
    </w:p>
    <w:p w:rsidR="008E26B7" w:rsidRPr="008E26B7" w:rsidRDefault="008E26B7" w:rsidP="008E26B7">
      <w:r w:rsidRPr="008E26B7">
        <w:pict>
          <v:rect id="_x0000_i1125" style="width:0;height:1.5pt" o:hralign="center" o:hrstd="t" o:hr="t" fillcolor="#a0a0a0" stroked="f"/>
        </w:pict>
      </w:r>
    </w:p>
    <w:p w:rsidR="008E26B7" w:rsidRPr="008E26B7" w:rsidRDefault="008E26B7" w:rsidP="008E26B7">
      <w:r w:rsidRPr="008E26B7">
        <w:t xml:space="preserve">Source: 64 FR 27458, May 20, 1999, unless otherwise noted. </w:t>
      </w:r>
    </w:p>
    <w:p w:rsidR="008E26B7" w:rsidRPr="008E26B7" w:rsidRDefault="008E26B7" w:rsidP="008E26B7">
      <w:hyperlink r:id="rId20" w:anchor="_top" w:history="1">
        <w:r w:rsidRPr="008E26B7">
          <w:rPr>
            <w:rStyle w:val="Hyperlink"/>
          </w:rPr>
          <w:drawing>
            <wp:inline distT="0" distB="0" distL="0" distR="0">
              <wp:extent cx="152400" cy="152400"/>
              <wp:effectExtent l="0" t="0" r="0" b="0"/>
              <wp:docPr id="102" name="Picture 102"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1" w:name="se40.13.63_11620_663_11649"/>
      <w:bookmarkEnd w:id="1"/>
      <w:r w:rsidRPr="008E26B7">
        <w:rPr>
          <w:b/>
          <w:bCs/>
        </w:rPr>
        <w:t>§§63.1620-63.1649 [Reserved]</w:t>
      </w:r>
    </w:p>
    <w:p w:rsidR="008E26B7" w:rsidRPr="008E26B7" w:rsidRDefault="008E26B7" w:rsidP="008E26B7">
      <w:hyperlink r:id="rId23" w:anchor="_top" w:history="1">
        <w:r w:rsidRPr="008E26B7">
          <w:rPr>
            <w:rStyle w:val="Hyperlink"/>
          </w:rPr>
          <w:drawing>
            <wp:inline distT="0" distB="0" distL="0" distR="0">
              <wp:extent cx="152400" cy="152400"/>
              <wp:effectExtent l="0" t="0" r="0" b="0"/>
              <wp:docPr id="103" name="Picture 103"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2" w:name="se40.13.63_11650"/>
      <w:bookmarkEnd w:id="2"/>
      <w:r w:rsidRPr="008E26B7">
        <w:rPr>
          <w:b/>
          <w:bCs/>
        </w:rPr>
        <w:t>§63.1650 Applicability and compliance dates.</w:t>
      </w:r>
    </w:p>
    <w:p w:rsidR="008E26B7" w:rsidRPr="008E26B7" w:rsidRDefault="008E26B7" w:rsidP="008E26B7">
      <w:r w:rsidRPr="008E26B7">
        <w:t xml:space="preserve">(a) This subpart applies to all new and existing ferromanganese and </w:t>
      </w:r>
      <w:proofErr w:type="spellStart"/>
      <w:r w:rsidRPr="008E26B7">
        <w:t>silicomanganese</w:t>
      </w:r>
      <w:proofErr w:type="spellEnd"/>
      <w:r w:rsidRPr="008E26B7">
        <w:t xml:space="preserve"> production facilities that manufacture ferromanganese or </w:t>
      </w:r>
      <w:proofErr w:type="spellStart"/>
      <w:r w:rsidRPr="008E26B7">
        <w:t>silicomanganese</w:t>
      </w:r>
      <w:proofErr w:type="spellEnd"/>
      <w:r w:rsidRPr="008E26B7">
        <w:t xml:space="preserve"> and are major sources or are co-located at major sources of hazardous air pollutant emissions.</w:t>
      </w:r>
    </w:p>
    <w:p w:rsidR="008E26B7" w:rsidRPr="008E26B7" w:rsidRDefault="008E26B7" w:rsidP="008E26B7">
      <w:r w:rsidRPr="008E26B7">
        <w:t xml:space="preserve">(b) The following sources at a ferromanganese and </w:t>
      </w:r>
      <w:proofErr w:type="spellStart"/>
      <w:r w:rsidRPr="008E26B7">
        <w:t>silicomanganese</w:t>
      </w:r>
      <w:proofErr w:type="spellEnd"/>
      <w:r w:rsidRPr="008E26B7">
        <w:t xml:space="preserve"> production facility are subject to this subpart:</w:t>
      </w:r>
    </w:p>
    <w:p w:rsidR="008E26B7" w:rsidRPr="008E26B7" w:rsidRDefault="008E26B7" w:rsidP="008E26B7">
      <w:r w:rsidRPr="008E26B7">
        <w:t>(1) Open submerged arc furnaces with a furnace power input of 22 MW or less when producing ferromanganese.</w:t>
      </w:r>
    </w:p>
    <w:p w:rsidR="008E26B7" w:rsidRPr="008E26B7" w:rsidRDefault="008E26B7" w:rsidP="008E26B7">
      <w:r w:rsidRPr="008E26B7">
        <w:t>(2) Open submerged arc furnaces with a furnace power input greater than 22 MW when producing ferromanganese.</w:t>
      </w:r>
    </w:p>
    <w:p w:rsidR="008E26B7" w:rsidRPr="008E26B7" w:rsidRDefault="008E26B7" w:rsidP="008E26B7">
      <w:r w:rsidRPr="008E26B7">
        <w:t xml:space="preserve">(3) Open submerged arc furnaces with a furnace power input greater than 25 MW when producing </w:t>
      </w:r>
      <w:proofErr w:type="spellStart"/>
      <w:r w:rsidRPr="008E26B7">
        <w:t>silicomanganese</w:t>
      </w:r>
      <w:proofErr w:type="spellEnd"/>
      <w:r w:rsidRPr="008E26B7">
        <w:t>.</w:t>
      </w:r>
    </w:p>
    <w:p w:rsidR="008E26B7" w:rsidRPr="008E26B7" w:rsidRDefault="008E26B7" w:rsidP="008E26B7">
      <w:r w:rsidRPr="008E26B7">
        <w:t xml:space="preserve">(4) Open submerged arc furnaces with a furnace power input of 25 MW or less when producing </w:t>
      </w:r>
      <w:proofErr w:type="spellStart"/>
      <w:r w:rsidRPr="008E26B7">
        <w:t>silicomanganese</w:t>
      </w:r>
      <w:proofErr w:type="spellEnd"/>
      <w:r w:rsidRPr="008E26B7">
        <w:t>.</w:t>
      </w:r>
    </w:p>
    <w:p w:rsidR="008E26B7" w:rsidRPr="008E26B7" w:rsidRDefault="008E26B7" w:rsidP="008E26B7">
      <w:r w:rsidRPr="008E26B7">
        <w:t>(5) Semi-sealed submerged arc furnaces when producing ferromanganese.</w:t>
      </w:r>
    </w:p>
    <w:p w:rsidR="008E26B7" w:rsidRPr="008E26B7" w:rsidRDefault="008E26B7" w:rsidP="008E26B7">
      <w:r w:rsidRPr="008E26B7">
        <w:t>(6) Metal oxygen refining (MOR) process.</w:t>
      </w:r>
    </w:p>
    <w:p w:rsidR="008E26B7" w:rsidRPr="008E26B7" w:rsidRDefault="008E26B7" w:rsidP="008E26B7">
      <w:r w:rsidRPr="008E26B7">
        <w:t>(7) Crushing and screening operations.</w:t>
      </w:r>
    </w:p>
    <w:p w:rsidR="008E26B7" w:rsidRPr="008E26B7" w:rsidRDefault="008E26B7" w:rsidP="008E26B7">
      <w:r w:rsidRPr="008E26B7">
        <w:t>(8) Fugitive dust sources.</w:t>
      </w:r>
    </w:p>
    <w:p w:rsidR="008E26B7" w:rsidRPr="008E26B7" w:rsidRDefault="008E26B7" w:rsidP="008E26B7">
      <w:r w:rsidRPr="008E26B7">
        <w:t>(c) A new affected source is one for which construction or reconstruction commenced after August 4, 1998.</w:t>
      </w:r>
    </w:p>
    <w:p w:rsidR="008E26B7" w:rsidRPr="008E26B7" w:rsidRDefault="008E26B7" w:rsidP="008E26B7">
      <w:r w:rsidRPr="008E26B7">
        <w:t xml:space="preserve">(d) The following table specifies which provisions of subpart A of this part apply to owners and operators of ferromanganese and </w:t>
      </w:r>
      <w:proofErr w:type="spellStart"/>
      <w:r w:rsidRPr="008E26B7">
        <w:t>silicomanganese</w:t>
      </w:r>
      <w:proofErr w:type="spellEnd"/>
      <w:r w:rsidRPr="008E26B7">
        <w:t xml:space="preserve"> production facilities subject to this subpart:</w:t>
      </w:r>
    </w:p>
    <w:p w:rsidR="008E26B7" w:rsidRPr="008E26B7" w:rsidRDefault="008E26B7" w:rsidP="008E26B7">
      <w:pPr>
        <w:rPr>
          <w:b/>
          <w:bCs/>
        </w:rPr>
      </w:pPr>
      <w:r w:rsidRPr="008E26B7">
        <w:rPr>
          <w:b/>
          <w:bCs/>
        </w:rPr>
        <w:t>General Provisions Applicability to Subpart XXX</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tblPr>
      <w:tblGrid>
        <w:gridCol w:w="1818"/>
        <w:gridCol w:w="1906"/>
        <w:gridCol w:w="5660"/>
      </w:tblGrid>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rsidR="008E26B7" w:rsidRPr="008E26B7" w:rsidRDefault="008E26B7" w:rsidP="008E26B7">
            <w:pPr>
              <w:rPr>
                <w:b/>
                <w:bCs/>
              </w:rPr>
            </w:pPr>
            <w:r w:rsidRPr="008E26B7">
              <w:rPr>
                <w:b/>
                <w:bCs/>
              </w:rPr>
              <w:t>Reference, Subpart A General Provisions</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8E26B7" w:rsidRPr="008E26B7" w:rsidRDefault="008E26B7" w:rsidP="008E26B7">
            <w:pPr>
              <w:rPr>
                <w:b/>
                <w:bCs/>
              </w:rPr>
            </w:pPr>
            <w:r w:rsidRPr="008E26B7">
              <w:rPr>
                <w:b/>
                <w:bCs/>
              </w:rPr>
              <w:t>Applies to Subpart XXX, §§63.1620-63.1679</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8E26B7" w:rsidRPr="008E26B7" w:rsidRDefault="008E26B7" w:rsidP="008E26B7">
            <w:pPr>
              <w:rPr>
                <w:b/>
                <w:bCs/>
              </w:rPr>
            </w:pPr>
            <w:r w:rsidRPr="008E26B7">
              <w:rPr>
                <w:b/>
                <w:bCs/>
              </w:rPr>
              <w:t>Comment</w:t>
            </w:r>
          </w:p>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63.1-63.5</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63.6(a)-(g), (</w:t>
            </w:r>
            <w:proofErr w:type="spellStart"/>
            <w:r w:rsidRPr="008E26B7">
              <w:t>i</w:t>
            </w:r>
            <w:proofErr w:type="spellEnd"/>
            <w:r w:rsidRPr="008E26B7">
              <w:t>)-(j)</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63.6(h)(1)-(h)(6), (h)(8)-(h)(9)</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63.7(h)(7)</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No</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§63.6(h</w:t>
            </w:r>
            <w:proofErr w:type="gramStart"/>
            <w:r w:rsidRPr="008E26B7">
              <w:t>)(</w:t>
            </w:r>
            <w:proofErr w:type="gramEnd"/>
            <w:r w:rsidRPr="008E26B7">
              <w:t xml:space="preserve">7), use of continuous opacity monitoring system, not </w:t>
            </w:r>
            <w:r w:rsidRPr="008E26B7">
              <w:lastRenderedPageBreak/>
              <w:t>applicable.</w:t>
            </w:r>
          </w:p>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lastRenderedPageBreak/>
              <w:t>63.7</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63.8</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63.9</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Notification of performance test results changed to a 30-day notification period.</w:t>
            </w:r>
          </w:p>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63.10</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Allow changes in dates by which periodic reports are submitted by mutual agreement between the owner or operator and the State to occur any time after the source's compliance date.</w:t>
            </w:r>
          </w:p>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63.11</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No</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Flares will not be used to comply with the emission limits.</w:t>
            </w:r>
          </w:p>
        </w:tc>
      </w:tr>
      <w:tr w:rsidR="008E26B7" w:rsidRPr="008E26B7" w:rsidTr="008E26B7">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63.12-63.15</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r w:rsidRPr="008E26B7">
              <w:t>Yes</w:t>
            </w:r>
          </w:p>
        </w:tc>
        <w:tc>
          <w:tcPr>
            <w:tcW w:w="0" w:type="auto"/>
            <w:tcBorders>
              <w:top w:val="single" w:sz="4" w:space="0" w:color="000000"/>
              <w:left w:val="single" w:sz="4" w:space="0" w:color="000000"/>
              <w:bottom w:val="single" w:sz="4" w:space="0" w:color="000000"/>
              <w:right w:val="single" w:sz="4" w:space="0" w:color="000000"/>
            </w:tcBorders>
            <w:hideMark/>
          </w:tcPr>
          <w:p w:rsidR="008E26B7" w:rsidRPr="008E26B7" w:rsidRDefault="008E26B7" w:rsidP="008E26B7"/>
        </w:tc>
      </w:tr>
    </w:tbl>
    <w:p w:rsidR="008E26B7" w:rsidRPr="008E26B7" w:rsidRDefault="008E26B7" w:rsidP="008E26B7">
      <w:r w:rsidRPr="008E26B7">
        <w:t xml:space="preserve">(e) </w:t>
      </w:r>
      <w:r w:rsidRPr="008E26B7">
        <w:rPr>
          <w:i/>
          <w:iCs/>
        </w:rPr>
        <w:t>Compliance dates.</w:t>
      </w:r>
      <w:r w:rsidRPr="008E26B7">
        <w:t xml:space="preserve"> (1) Each owner or operator of an existing affected source must comply with the requirements of this subpart no later than November 21, 2001.</w:t>
      </w:r>
    </w:p>
    <w:p w:rsidR="008E26B7" w:rsidRPr="008E26B7" w:rsidRDefault="008E26B7" w:rsidP="008E26B7">
      <w:r w:rsidRPr="008E26B7">
        <w:t>(2) Each owner or operator of a new or reconstructed affected source that commences construction or reconstruction after August 4, 1998, must comply with the requirements of this subpart by May 20, 1999 or upon startup of operations, whichever is later.</w:t>
      </w:r>
    </w:p>
    <w:p w:rsidR="008E26B7" w:rsidRPr="008E26B7" w:rsidRDefault="008E26B7" w:rsidP="008E26B7">
      <w:r w:rsidRPr="008E26B7">
        <w:t>[64 FR 27458, May 20, 1999, as amended at 66 FR 16012, Mar. 22, 2001]</w:t>
      </w:r>
    </w:p>
    <w:p w:rsidR="008E26B7" w:rsidRPr="008E26B7" w:rsidRDefault="008E26B7" w:rsidP="008E26B7">
      <w:hyperlink r:id="rId24" w:anchor="_top" w:history="1">
        <w:r w:rsidRPr="008E26B7">
          <w:rPr>
            <w:rStyle w:val="Hyperlink"/>
          </w:rPr>
          <w:drawing>
            <wp:inline distT="0" distB="0" distL="0" distR="0">
              <wp:extent cx="152400" cy="152400"/>
              <wp:effectExtent l="0" t="0" r="0" b="0"/>
              <wp:docPr id="104" name="Picture 104"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3" w:name="se40.13.63_11651"/>
      <w:bookmarkEnd w:id="3"/>
      <w:r w:rsidRPr="008E26B7">
        <w:rPr>
          <w:b/>
          <w:bCs/>
        </w:rPr>
        <w:t>§63.1651 Definitions.</w:t>
      </w:r>
    </w:p>
    <w:p w:rsidR="008E26B7" w:rsidRPr="008E26B7" w:rsidRDefault="008E26B7" w:rsidP="008E26B7">
      <w:r w:rsidRPr="008E26B7">
        <w:t>Terms in this subpart are defined in the Clean Air Act (Act), in subpart A of this part, or in this section as follows:</w:t>
      </w:r>
    </w:p>
    <w:p w:rsidR="008E26B7" w:rsidRPr="008E26B7" w:rsidRDefault="008E26B7" w:rsidP="008E26B7">
      <w:r w:rsidRPr="008E26B7">
        <w:rPr>
          <w:i/>
          <w:iCs/>
        </w:rPr>
        <w:t>Bag leak detection system</w:t>
      </w:r>
      <w:r w:rsidRPr="008E26B7">
        <w:t xml:space="preserve"> means a system that is capable of continuously monitoring particulate matter (dust) loadings in the exhaust of a baghouse in order to detect bag leaks and other upset conditions. A bag leak detection system includes, but is not limited to, an instrument that operates on </w:t>
      </w:r>
      <w:proofErr w:type="spellStart"/>
      <w:r w:rsidRPr="008E26B7">
        <w:t>triboelectric</w:t>
      </w:r>
      <w:proofErr w:type="spellEnd"/>
      <w:r w:rsidRPr="008E26B7">
        <w:t>, light scattering, light transmittance, or other effect to continuously monitor relative particulate matter loadings.</w:t>
      </w:r>
    </w:p>
    <w:p w:rsidR="008E26B7" w:rsidRPr="008E26B7" w:rsidRDefault="008E26B7" w:rsidP="008E26B7">
      <w:r w:rsidRPr="008E26B7">
        <w:rPr>
          <w:i/>
          <w:iCs/>
        </w:rPr>
        <w:t>Capture system</w:t>
      </w:r>
      <w:r w:rsidRPr="008E26B7">
        <w:t xml:space="preserve"> means the equipment (including hoods, ducts, fans, dampers, etc.) used to capture or transport particulate matter generated by an affected submerged arc furnace.</w:t>
      </w:r>
    </w:p>
    <w:p w:rsidR="008E26B7" w:rsidRPr="008E26B7" w:rsidRDefault="008E26B7" w:rsidP="008E26B7">
      <w:r w:rsidRPr="008E26B7">
        <w:rPr>
          <w:i/>
          <w:iCs/>
        </w:rPr>
        <w:t>Casting</w:t>
      </w:r>
      <w:r w:rsidRPr="008E26B7">
        <w:t xml:space="preserve"> means the period of time from when molten ferroalloy falls from the furnace tapping runner into the ladle until pouring into molds is completed. This includes the following operations: ladle filling, pouring alloy from one ladle to another, slag separation, slag removal, and ladle transfer by crane, truck, or other conveyance.</w:t>
      </w:r>
    </w:p>
    <w:p w:rsidR="008E26B7" w:rsidRPr="008E26B7" w:rsidRDefault="008E26B7" w:rsidP="008E26B7">
      <w:r w:rsidRPr="008E26B7">
        <w:rPr>
          <w:i/>
          <w:iCs/>
        </w:rPr>
        <w:t>Crushing and screening equipment</w:t>
      </w:r>
      <w:r w:rsidRPr="008E26B7">
        <w:t xml:space="preserve"> means the crushers, grinders, mills, screens and conveying systems used to crush, size, and prepare for packing manganese-containing materials, including raw materials, intermediate products, and final products.</w:t>
      </w:r>
    </w:p>
    <w:p w:rsidR="008E26B7" w:rsidRPr="008E26B7" w:rsidRDefault="008E26B7" w:rsidP="008E26B7">
      <w:r w:rsidRPr="008E26B7">
        <w:rPr>
          <w:i/>
          <w:iCs/>
        </w:rPr>
        <w:t>Fugitive dust source</w:t>
      </w:r>
      <w:r w:rsidRPr="008E26B7">
        <w:t xml:space="preserve"> means a stationary source from which manganese-bearing particles are discharged to the atmosphere due to wind or mechanical inducement such as vehicle traffic. Fugitive dust sources include plant roadways, yard areas, and outdoor material storage and transfer operations.</w:t>
      </w:r>
    </w:p>
    <w:p w:rsidR="008E26B7" w:rsidRPr="008E26B7" w:rsidRDefault="008E26B7" w:rsidP="008E26B7">
      <w:r w:rsidRPr="008E26B7">
        <w:rPr>
          <w:i/>
          <w:iCs/>
        </w:rPr>
        <w:t>Furnace power input</w:t>
      </w:r>
      <w:r w:rsidRPr="008E26B7">
        <w:t xml:space="preserve"> means the resistive electrical power consumption of a submerged arc furnace, expressed as megawatts (MW).</w:t>
      </w:r>
    </w:p>
    <w:p w:rsidR="008E26B7" w:rsidRPr="008E26B7" w:rsidRDefault="008E26B7" w:rsidP="008E26B7">
      <w:r w:rsidRPr="008E26B7">
        <w:rPr>
          <w:i/>
          <w:iCs/>
        </w:rPr>
        <w:t>Malfunction</w:t>
      </w:r>
      <w:r w:rsidRPr="008E26B7">
        <w:t xml:space="preserve"> means any sudden, infrequent, and not reasonably preventable failure of air pollution control equipment, process equipment, or a process to operate in a normal or usual manner which causes, or has the potential to cause, the emission limitations in an applicable standard to be exceeded. Failures caused in part by poor maintenance or careless </w:t>
      </w:r>
      <w:proofErr w:type="gramStart"/>
      <w:r w:rsidRPr="008E26B7">
        <w:t>operation are</w:t>
      </w:r>
      <w:proofErr w:type="gramEnd"/>
      <w:r w:rsidRPr="008E26B7">
        <w:t xml:space="preserve"> not malfunctions.</w:t>
      </w:r>
    </w:p>
    <w:p w:rsidR="008E26B7" w:rsidRPr="008E26B7" w:rsidRDefault="008E26B7" w:rsidP="008E26B7">
      <w:r w:rsidRPr="008E26B7">
        <w:rPr>
          <w:i/>
          <w:iCs/>
        </w:rPr>
        <w:t>Metal oxygen refining (MOR) process</w:t>
      </w:r>
      <w:r w:rsidRPr="008E26B7">
        <w:t xml:space="preserve"> means the reduction of the carbon content of ferromanganese through the use of oxygen.</w:t>
      </w:r>
    </w:p>
    <w:p w:rsidR="008E26B7" w:rsidRPr="008E26B7" w:rsidRDefault="008E26B7" w:rsidP="008E26B7">
      <w:r w:rsidRPr="008E26B7">
        <w:rPr>
          <w:i/>
          <w:iCs/>
        </w:rPr>
        <w:t>Open submerged arc furnace</w:t>
      </w:r>
      <w:r w:rsidRPr="008E26B7">
        <w:t xml:space="preserve"> means an electric submerged arc furnace that is equipped with a canopy hood above the furnace to collect primary emissions.</w:t>
      </w:r>
    </w:p>
    <w:p w:rsidR="008E26B7" w:rsidRPr="008E26B7" w:rsidRDefault="008E26B7" w:rsidP="008E26B7">
      <w:r w:rsidRPr="008E26B7">
        <w:rPr>
          <w:i/>
          <w:iCs/>
        </w:rPr>
        <w:t>Operating time</w:t>
      </w:r>
      <w:r w:rsidRPr="008E26B7">
        <w:t xml:space="preserve"> means the period of time in hours that the affected source is in operation beginning at a startup and ending at the next shutdown.</w:t>
      </w:r>
    </w:p>
    <w:p w:rsidR="008E26B7" w:rsidRPr="008E26B7" w:rsidRDefault="008E26B7" w:rsidP="008E26B7">
      <w:r w:rsidRPr="008E26B7">
        <w:rPr>
          <w:i/>
          <w:iCs/>
        </w:rPr>
        <w:t>Plant roadway</w:t>
      </w:r>
      <w:r w:rsidRPr="008E26B7">
        <w:t xml:space="preserve"> means any area at a ferromanganese and </w:t>
      </w:r>
      <w:proofErr w:type="spellStart"/>
      <w:r w:rsidRPr="008E26B7">
        <w:t>silicomanganese</w:t>
      </w:r>
      <w:proofErr w:type="spellEnd"/>
      <w:r w:rsidRPr="008E26B7">
        <w:t xml:space="preserve"> production facility that is subject to plant mobile equipment, such as </w:t>
      </w:r>
      <w:proofErr w:type="spellStart"/>
      <w:r w:rsidRPr="008E26B7">
        <w:t>fork lifts</w:t>
      </w:r>
      <w:proofErr w:type="spellEnd"/>
      <w:r w:rsidRPr="008E26B7">
        <w:t>, front end loaders, or trucks, carrying manganese-bearing materials. Excluded from this definition are employee and visitor parking areas, provided they are not subject to traffic by plant mobile equipment.</w:t>
      </w:r>
    </w:p>
    <w:p w:rsidR="008E26B7" w:rsidRPr="008E26B7" w:rsidRDefault="008E26B7" w:rsidP="008E26B7">
      <w:proofErr w:type="gramStart"/>
      <w:r w:rsidRPr="008E26B7">
        <w:rPr>
          <w:i/>
          <w:iCs/>
        </w:rPr>
        <w:lastRenderedPageBreak/>
        <w:t>Primary emissions</w:t>
      </w:r>
      <w:r w:rsidRPr="008E26B7">
        <w:t xml:space="preserve"> means</w:t>
      </w:r>
      <w:proofErr w:type="gramEnd"/>
      <w:r w:rsidRPr="008E26B7">
        <w:t xml:space="preserve"> gases and emissions collected by hoods and ductwork located above an open furnace or under the cover of a semi-closed or sealed furnace.</w:t>
      </w:r>
    </w:p>
    <w:p w:rsidR="008E26B7" w:rsidRPr="008E26B7" w:rsidRDefault="008E26B7" w:rsidP="008E26B7">
      <w:r w:rsidRPr="008E26B7">
        <w:rPr>
          <w:i/>
          <w:iCs/>
        </w:rPr>
        <w:t>Sealed submerged arc furnace</w:t>
      </w:r>
      <w:r w:rsidRPr="008E26B7">
        <w:t xml:space="preserve"> means an electric submerged arc furnace equipped with a total enclosure or cover from which primary emissions are evacuated directly.</w:t>
      </w:r>
    </w:p>
    <w:p w:rsidR="008E26B7" w:rsidRPr="008E26B7" w:rsidRDefault="008E26B7" w:rsidP="008E26B7">
      <w:r w:rsidRPr="008E26B7">
        <w:rPr>
          <w:i/>
          <w:iCs/>
        </w:rPr>
        <w:t>Semi-closed submerged arc furnace</w:t>
      </w:r>
      <w:r w:rsidRPr="008E26B7">
        <w:t xml:space="preserve"> means an electric submerged arc furnace equipped with a partially sealed cover over the furnace. This cover is equipped with openings to allow penetration of the electrodes into the furnace. Mix is introduced into the furnace around the electrode holes forming a partial seal between the electrodes and the cover. Furnace emissions generated under the cover are ducted to an emission control device. Emissions that escape the cover are collected and vented through stacks directly to the atmosphere.</w:t>
      </w:r>
    </w:p>
    <w:p w:rsidR="008E26B7" w:rsidRPr="008E26B7" w:rsidRDefault="008E26B7" w:rsidP="008E26B7">
      <w:r w:rsidRPr="008E26B7">
        <w:rPr>
          <w:i/>
          <w:iCs/>
        </w:rPr>
        <w:t>Shop</w:t>
      </w:r>
      <w:r w:rsidRPr="008E26B7">
        <w:t xml:space="preserve"> means the building which houses one or more submerged arc furnaces.</w:t>
      </w:r>
    </w:p>
    <w:p w:rsidR="008E26B7" w:rsidRPr="008E26B7" w:rsidRDefault="008E26B7" w:rsidP="008E26B7">
      <w:r w:rsidRPr="008E26B7">
        <w:rPr>
          <w:i/>
          <w:iCs/>
        </w:rPr>
        <w:t>Shutdown</w:t>
      </w:r>
      <w:r w:rsidRPr="008E26B7">
        <w:t xml:space="preserve"> means the cessation of operation of an affected source for any purpose.</w:t>
      </w:r>
    </w:p>
    <w:p w:rsidR="008E26B7" w:rsidRPr="008E26B7" w:rsidRDefault="008E26B7" w:rsidP="008E26B7">
      <w:r w:rsidRPr="008E26B7">
        <w:rPr>
          <w:i/>
          <w:iCs/>
        </w:rPr>
        <w:t>Startup</w:t>
      </w:r>
      <w:r w:rsidRPr="008E26B7">
        <w:t xml:space="preserve"> means the setting in operation of an affected source for any purpose.</w:t>
      </w:r>
    </w:p>
    <w:p w:rsidR="008E26B7" w:rsidRPr="008E26B7" w:rsidRDefault="008E26B7" w:rsidP="008E26B7">
      <w:r w:rsidRPr="008E26B7">
        <w:rPr>
          <w:i/>
          <w:iCs/>
        </w:rPr>
        <w:t>Submerged arc furnace</w:t>
      </w:r>
      <w:r w:rsidRPr="008E26B7">
        <w:t xml:space="preserve"> means any furnace wherein electrical energy is converted to heat energy by transmission of current between electrodes partially submerged in the furnace charge. The furnace may be of an open, semi-sealed, or sealed design.</w:t>
      </w:r>
    </w:p>
    <w:p w:rsidR="008E26B7" w:rsidRPr="008E26B7" w:rsidRDefault="008E26B7" w:rsidP="008E26B7">
      <w:r w:rsidRPr="008E26B7">
        <w:rPr>
          <w:i/>
          <w:iCs/>
        </w:rPr>
        <w:t>Tapping emissions</w:t>
      </w:r>
      <w:r w:rsidRPr="008E26B7">
        <w:t xml:space="preserve"> means a source of air pollutant emissions that occur during the process of removing the molten product from the furnace.</w:t>
      </w:r>
    </w:p>
    <w:p w:rsidR="008E26B7" w:rsidRPr="008E26B7" w:rsidRDefault="008E26B7" w:rsidP="008E26B7">
      <w:r w:rsidRPr="008E26B7">
        <w:rPr>
          <w:i/>
          <w:iCs/>
        </w:rPr>
        <w:t>Tapping period</w:t>
      </w:r>
      <w:r w:rsidRPr="008E26B7">
        <w:t xml:space="preserve"> means the time from when a tap </w:t>
      </w:r>
      <w:proofErr w:type="gramStart"/>
      <w:r w:rsidRPr="008E26B7">
        <w:t>hole</w:t>
      </w:r>
      <w:proofErr w:type="gramEnd"/>
      <w:r w:rsidRPr="008E26B7">
        <w:t xml:space="preserve"> is opened until the time a tap hole is closed.</w:t>
      </w:r>
    </w:p>
    <w:p w:rsidR="008E26B7" w:rsidRPr="008E26B7" w:rsidRDefault="008E26B7" w:rsidP="008E26B7">
      <w:r w:rsidRPr="008E26B7">
        <w:t>[64 FR 27458, May 20, 1999, as amended at 71 FR 20462, Apr. 20, 2006]</w:t>
      </w:r>
    </w:p>
    <w:p w:rsidR="008E26B7" w:rsidRPr="008E26B7" w:rsidRDefault="008E26B7" w:rsidP="008E26B7">
      <w:hyperlink r:id="rId25" w:anchor="_top" w:history="1">
        <w:r w:rsidRPr="008E26B7">
          <w:rPr>
            <w:rStyle w:val="Hyperlink"/>
          </w:rPr>
          <w:drawing>
            <wp:inline distT="0" distB="0" distL="0" distR="0">
              <wp:extent cx="152400" cy="152400"/>
              <wp:effectExtent l="0" t="0" r="0" b="0"/>
              <wp:docPr id="105" name="Picture 105"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4" w:name="se40.13.63_11652"/>
      <w:bookmarkEnd w:id="4"/>
      <w:r w:rsidRPr="008E26B7">
        <w:rPr>
          <w:b/>
          <w:bCs/>
        </w:rPr>
        <w:t>§63.1652 Emission standards.</w:t>
      </w:r>
    </w:p>
    <w:p w:rsidR="008E26B7" w:rsidRPr="008E26B7" w:rsidRDefault="008E26B7" w:rsidP="008E26B7">
      <w:r w:rsidRPr="008E26B7">
        <w:t xml:space="preserve">(a) </w:t>
      </w:r>
      <w:r w:rsidRPr="008E26B7">
        <w:rPr>
          <w:i/>
          <w:iCs/>
        </w:rPr>
        <w:t>New and reconstructed submerged arc furnaces.</w:t>
      </w:r>
      <w:r w:rsidRPr="008E26B7">
        <w:t xml:space="preserve"> No owner or operator shall cause to be discharged into the atmosphere from any new or reconstructed submerged arc furnace exhaust gases (including primary and tapping) containing particulate matter in excess of one of the following:</w:t>
      </w:r>
    </w:p>
    <w:p w:rsidR="008E26B7" w:rsidRPr="008E26B7" w:rsidRDefault="008E26B7" w:rsidP="008E26B7">
      <w:r w:rsidRPr="008E26B7">
        <w:t>(1) 0.23 kilograms per hour per megawatt (kg/hr/MW) (0.51 pounds per hour per megawatt [lb/hr/MW]), or</w:t>
      </w:r>
    </w:p>
    <w:p w:rsidR="008E26B7" w:rsidRPr="008E26B7" w:rsidRDefault="008E26B7" w:rsidP="008E26B7">
      <w:r w:rsidRPr="008E26B7">
        <w:t>(2) 35 milligrams per dry standard cubic meter (mg/dscm) (0.015 grains per dry standard cubic foot [gr/dscf]).</w:t>
      </w:r>
    </w:p>
    <w:p w:rsidR="008E26B7" w:rsidRPr="008E26B7" w:rsidRDefault="008E26B7" w:rsidP="008E26B7">
      <w:r w:rsidRPr="008E26B7">
        <w:t xml:space="preserve">(b) </w:t>
      </w:r>
      <w:r w:rsidRPr="008E26B7">
        <w:rPr>
          <w:i/>
          <w:iCs/>
        </w:rPr>
        <w:t>Existing open submerged arc furnaces.</w:t>
      </w:r>
      <w:r w:rsidRPr="008E26B7">
        <w:t xml:space="preserve"> No owner or operator shall cause to be discharged into the atmosphere from any existing open submerged arc furnace exhaust gases (including primary and tapping) containing particulate matter in excess of one of the following:</w:t>
      </w:r>
    </w:p>
    <w:p w:rsidR="008E26B7" w:rsidRPr="008E26B7" w:rsidRDefault="008E26B7" w:rsidP="008E26B7">
      <w:r w:rsidRPr="008E26B7">
        <w:t>(1) 9.8 kilograms per hour (kg/hr) (21.7 pounds per hour (lb/hr)) when producing ferromanganese in an open furnace operating at a furnace power input of 22 MW or less; or</w:t>
      </w:r>
    </w:p>
    <w:p w:rsidR="008E26B7" w:rsidRPr="008E26B7" w:rsidRDefault="008E26B7" w:rsidP="008E26B7">
      <w:r w:rsidRPr="008E26B7">
        <w:t>(2) 13.5 kg/hr (29.8 lb/hr) when producing ferromanganese in an open furnace operating at a furnace power input greater than 22 MW; or</w:t>
      </w:r>
    </w:p>
    <w:p w:rsidR="008E26B7" w:rsidRPr="008E26B7" w:rsidRDefault="008E26B7" w:rsidP="008E26B7">
      <w:r w:rsidRPr="008E26B7">
        <w:t xml:space="preserve">(3) 16.3 kg/hr (35.9 lb/hr) when producing </w:t>
      </w:r>
      <w:proofErr w:type="spellStart"/>
      <w:r w:rsidRPr="008E26B7">
        <w:t>silicomanganese</w:t>
      </w:r>
      <w:proofErr w:type="spellEnd"/>
      <w:r w:rsidRPr="008E26B7">
        <w:t xml:space="preserve"> in an open furnace operating at a furnace power input greater than 25 MW; or</w:t>
      </w:r>
    </w:p>
    <w:p w:rsidR="008E26B7" w:rsidRPr="008E26B7" w:rsidRDefault="008E26B7" w:rsidP="008E26B7">
      <w:r w:rsidRPr="008E26B7">
        <w:t xml:space="preserve">(4) 12.3 kg/hr (27.2 lb/hr) when producing </w:t>
      </w:r>
      <w:proofErr w:type="spellStart"/>
      <w:r w:rsidRPr="008E26B7">
        <w:t>silicomanganese</w:t>
      </w:r>
      <w:proofErr w:type="spellEnd"/>
      <w:r w:rsidRPr="008E26B7">
        <w:t xml:space="preserve"> in an open furnace operating at a furnace power input of 25 MW or less. </w:t>
      </w:r>
    </w:p>
    <w:p w:rsidR="008E26B7" w:rsidRPr="008E26B7" w:rsidRDefault="008E26B7" w:rsidP="008E26B7">
      <w:r w:rsidRPr="008E26B7">
        <w:t xml:space="preserve">(c) </w:t>
      </w:r>
      <w:r w:rsidRPr="008E26B7">
        <w:rPr>
          <w:i/>
          <w:iCs/>
        </w:rPr>
        <w:t>Existing semi-sealed submerged arc furnaces.</w:t>
      </w:r>
      <w:r w:rsidRPr="008E26B7">
        <w:t xml:space="preserve"> No owner or operator shall cause to be discharged into the atmosphere from any existing semi-sealed submerged arc furnace exhaust gases (including primary, tapping, and vent stacks) containing particulate matter in excess of 11.2 kg/hr (24.7 lb/hr) when producing ferromanganese.</w:t>
      </w:r>
    </w:p>
    <w:p w:rsidR="008E26B7" w:rsidRPr="008E26B7" w:rsidRDefault="008E26B7" w:rsidP="008E26B7">
      <w:r w:rsidRPr="008E26B7">
        <w:t xml:space="preserve">(d) </w:t>
      </w:r>
      <w:r w:rsidRPr="008E26B7">
        <w:rPr>
          <w:i/>
          <w:iCs/>
        </w:rPr>
        <w:t>MOR process.</w:t>
      </w:r>
      <w:r w:rsidRPr="008E26B7">
        <w:t xml:space="preserve"> No owner or operator shall cause to be discharged into the atmosphere from any new, reconstructed, or existing MOR process exhaust gases containing particulate matter in excess of 69 mg/dscm </w:t>
      </w:r>
      <w:proofErr w:type="gramStart"/>
      <w:r w:rsidRPr="008E26B7">
        <w:t>(0.03 gr/dscf)</w:t>
      </w:r>
      <w:proofErr w:type="gramEnd"/>
      <w:r w:rsidRPr="008E26B7">
        <w:t>.</w:t>
      </w:r>
    </w:p>
    <w:p w:rsidR="008E26B7" w:rsidRPr="008E26B7" w:rsidRDefault="008E26B7" w:rsidP="008E26B7">
      <w:r w:rsidRPr="008E26B7">
        <w:t xml:space="preserve">(e) </w:t>
      </w:r>
      <w:r w:rsidRPr="008E26B7">
        <w:rPr>
          <w:i/>
          <w:iCs/>
        </w:rPr>
        <w:t>Crushing and screening equipment</w:t>
      </w:r>
      <w:r w:rsidRPr="008E26B7">
        <w:t xml:space="preserve">—(1) </w:t>
      </w:r>
      <w:proofErr w:type="gramStart"/>
      <w:r w:rsidRPr="008E26B7">
        <w:rPr>
          <w:i/>
          <w:iCs/>
        </w:rPr>
        <w:t>New</w:t>
      </w:r>
      <w:proofErr w:type="gramEnd"/>
      <w:r w:rsidRPr="008E26B7">
        <w:rPr>
          <w:i/>
          <w:iCs/>
        </w:rPr>
        <w:t xml:space="preserve"> and reconstructed equipment.</w:t>
      </w:r>
      <w:r w:rsidRPr="008E26B7">
        <w:t xml:space="preserve"> No owner or operator shall cause to be discharged into the atmosphere from any new or reconstructed piece of equipment associated with crushing and screening exhaust gases containing particulate matter in excess of 50 mg/dscm </w:t>
      </w:r>
      <w:proofErr w:type="gramStart"/>
      <w:r w:rsidRPr="008E26B7">
        <w:t>(0.022 gr/dscf)</w:t>
      </w:r>
      <w:proofErr w:type="gramEnd"/>
      <w:r w:rsidRPr="008E26B7">
        <w:t>.</w:t>
      </w:r>
    </w:p>
    <w:p w:rsidR="008E26B7" w:rsidRPr="008E26B7" w:rsidRDefault="008E26B7" w:rsidP="008E26B7">
      <w:r w:rsidRPr="008E26B7">
        <w:t xml:space="preserve">(2) </w:t>
      </w:r>
      <w:r w:rsidRPr="008E26B7">
        <w:rPr>
          <w:i/>
          <w:iCs/>
        </w:rPr>
        <w:t>Existing equipment.</w:t>
      </w:r>
      <w:r w:rsidRPr="008E26B7">
        <w:t xml:space="preserve"> No owner or operator shall cause to be discharged into the atmosphere from any existing piece of equipment associated with crushing and screening exhaust gases containing particulate matter in excess of 69 (mg/dscm) (0.03 gr/dscf).</w:t>
      </w:r>
    </w:p>
    <w:p w:rsidR="008E26B7" w:rsidRPr="008E26B7" w:rsidRDefault="008E26B7" w:rsidP="008E26B7">
      <w:r w:rsidRPr="008E26B7">
        <w:t>[64 FR 27458, May 20, 1999, as amended at 66 FR 16013, Mar. 22, 2001]</w:t>
      </w:r>
    </w:p>
    <w:p w:rsidR="008E26B7" w:rsidRPr="008E26B7" w:rsidRDefault="008E26B7" w:rsidP="008E26B7">
      <w:hyperlink r:id="rId26" w:anchor="_top" w:history="1">
        <w:r w:rsidRPr="008E26B7">
          <w:rPr>
            <w:rStyle w:val="Hyperlink"/>
          </w:rPr>
          <w:drawing>
            <wp:inline distT="0" distB="0" distL="0" distR="0">
              <wp:extent cx="152400" cy="152400"/>
              <wp:effectExtent l="0" t="0" r="0" b="0"/>
              <wp:docPr id="106" name="Picture 106"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5" w:name="se40.13.63_11653"/>
      <w:bookmarkEnd w:id="5"/>
      <w:r w:rsidRPr="008E26B7">
        <w:rPr>
          <w:b/>
          <w:bCs/>
        </w:rPr>
        <w:t>§63.1653 Opacity standards.</w:t>
      </w:r>
    </w:p>
    <w:p w:rsidR="008E26B7" w:rsidRPr="008E26B7" w:rsidRDefault="008E26B7" w:rsidP="008E26B7">
      <w:r w:rsidRPr="008E26B7">
        <w:t>No owner or operator shall cause emissions exiting from a shop due solely to operations of any affected submerged arc furnace, to exceed 20 percent opacity for more than one 6-minute period during any performance test, with the following exceptions:</w:t>
      </w:r>
    </w:p>
    <w:p w:rsidR="008E26B7" w:rsidRPr="008E26B7" w:rsidRDefault="008E26B7" w:rsidP="008E26B7">
      <w:r w:rsidRPr="008E26B7">
        <w:lastRenderedPageBreak/>
        <w:t>(a) Visible particulate emissions from a shop due solely to operation of a semi-closed submerged arc furnace, may exceed 20 percent opacity, measured as a 6-minute average, one time during any performance test, so long as the emissions never exceed 60 percent opacity, measured as a 6-minute average.</w:t>
      </w:r>
    </w:p>
    <w:p w:rsidR="008E26B7" w:rsidRPr="008E26B7" w:rsidRDefault="008E26B7" w:rsidP="008E26B7">
      <w:r w:rsidRPr="008E26B7">
        <w:t xml:space="preserve">(b) Blowing taps, poling and oxygen lancing of the tap </w:t>
      </w:r>
      <w:proofErr w:type="gramStart"/>
      <w:r w:rsidRPr="008E26B7">
        <w:t>hole</w:t>
      </w:r>
      <w:proofErr w:type="gramEnd"/>
      <w:r w:rsidRPr="008E26B7">
        <w:t xml:space="preserve">; </w:t>
      </w:r>
      <w:proofErr w:type="spellStart"/>
      <w:r w:rsidRPr="008E26B7">
        <w:t>burndowns</w:t>
      </w:r>
      <w:proofErr w:type="spellEnd"/>
      <w:r w:rsidRPr="008E26B7">
        <w:t xml:space="preserve"> associated with electrode measurements; and maintenance activities associated with submerged arc furnaces and casting operations are exempt from the opacity standards specified in this section.</w:t>
      </w:r>
    </w:p>
    <w:p w:rsidR="008E26B7" w:rsidRPr="008E26B7" w:rsidRDefault="008E26B7" w:rsidP="008E26B7">
      <w:hyperlink r:id="rId27" w:anchor="_top" w:history="1">
        <w:r w:rsidRPr="008E26B7">
          <w:rPr>
            <w:rStyle w:val="Hyperlink"/>
          </w:rPr>
          <w:drawing>
            <wp:inline distT="0" distB="0" distL="0" distR="0">
              <wp:extent cx="152400" cy="152400"/>
              <wp:effectExtent l="0" t="0" r="0" b="0"/>
              <wp:docPr id="107" name="Picture 107"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6" w:name="se40.13.63_11654"/>
      <w:bookmarkEnd w:id="6"/>
      <w:r w:rsidRPr="008E26B7">
        <w:rPr>
          <w:b/>
          <w:bCs/>
        </w:rPr>
        <w:t>§63.1654 Operational and work practice standards.</w:t>
      </w:r>
    </w:p>
    <w:p w:rsidR="008E26B7" w:rsidRPr="008E26B7" w:rsidRDefault="008E26B7" w:rsidP="008E26B7">
      <w:r w:rsidRPr="008E26B7">
        <w:t xml:space="preserve">(a) </w:t>
      </w:r>
      <w:r w:rsidRPr="008E26B7">
        <w:rPr>
          <w:i/>
          <w:iCs/>
        </w:rPr>
        <w:t>Fugitive dust sources.</w:t>
      </w:r>
      <w:r w:rsidRPr="008E26B7">
        <w:t xml:space="preserve"> (1) Each owner or operator of an affected ferromanganese and </w:t>
      </w:r>
      <w:proofErr w:type="spellStart"/>
      <w:r w:rsidRPr="008E26B7">
        <w:t>silicomanganese</w:t>
      </w:r>
      <w:proofErr w:type="spellEnd"/>
      <w:r w:rsidRPr="008E26B7">
        <w:t xml:space="preserve"> production facility must prepare, and at all times operate according to, a fugitive dust control plan that describes in detail the measures that will be put in place to control fugitive dust emissions from the individual fugitive dust sources at the facility.</w:t>
      </w:r>
    </w:p>
    <w:p w:rsidR="008E26B7" w:rsidRPr="008E26B7" w:rsidRDefault="008E26B7" w:rsidP="008E26B7">
      <w:r w:rsidRPr="008E26B7">
        <w:t>(2) The owner or operator must submit a copy of the fugitive dust control plan to the designated permitting authority on or before the applicable compliance date for the affected source as specified in §63.1650(e). The requirement for the owner or operator to operate the facility according to a written fugitive dust control plan must be incorporated in the operating permit for the facility that is issued by the designated permitting authority under part 70 of this chapter.</w:t>
      </w:r>
    </w:p>
    <w:p w:rsidR="008E26B7" w:rsidRPr="008E26B7" w:rsidRDefault="008E26B7" w:rsidP="008E26B7">
      <w:r w:rsidRPr="008E26B7">
        <w:t>(3) The owner or operator may use existing manuals that describe the measures in place to control fugitive dust sources required as part of a State implementation plan or other federally enforceable requirement for particulate matter to satisfy the requirements of paragraph (a)(1) of this section.</w:t>
      </w:r>
    </w:p>
    <w:p w:rsidR="008E26B7" w:rsidRPr="008E26B7" w:rsidRDefault="008E26B7" w:rsidP="008E26B7">
      <w:r w:rsidRPr="008E26B7">
        <w:t xml:space="preserve">(b) </w:t>
      </w:r>
      <w:r w:rsidRPr="008E26B7">
        <w:rPr>
          <w:i/>
          <w:iCs/>
        </w:rPr>
        <w:t>Baghouses equipped with bag leak detection systems.</w:t>
      </w:r>
      <w:r w:rsidRPr="008E26B7">
        <w:t xml:space="preserve"> The owner or operator of a new or reconstructed submerged arc furnace must install and continuously operate a bag leak detection system if the furnace's primary and/or tapping emissions are ducted to a negative pressure baghouse or to a positive pressure baghouse equipped with a stack. The owner or operator must maintain and operate each baghouse such that the following conditions are met:</w:t>
      </w:r>
    </w:p>
    <w:p w:rsidR="008E26B7" w:rsidRPr="008E26B7" w:rsidRDefault="008E26B7" w:rsidP="008E26B7">
      <w:r w:rsidRPr="008E26B7">
        <w:t>(1) The alarm on the system does not sound for more than 5 percent of the total operating time in a 6-month reporting period.</w:t>
      </w:r>
    </w:p>
    <w:p w:rsidR="008E26B7" w:rsidRPr="008E26B7" w:rsidRDefault="008E26B7" w:rsidP="008E26B7">
      <w:r w:rsidRPr="008E26B7">
        <w:t>(2) A record is made of the date and time of each alarm and procedures to determine the cause of the alarm are initiated within 1 hour of the alarm according to the plan for corrective action required under §63.1657(a)(7).</w:t>
      </w:r>
    </w:p>
    <w:p w:rsidR="008E26B7" w:rsidRPr="008E26B7" w:rsidRDefault="008E26B7" w:rsidP="008E26B7">
      <w:hyperlink r:id="rId28" w:anchor="_top" w:history="1">
        <w:r w:rsidRPr="008E26B7">
          <w:rPr>
            <w:rStyle w:val="Hyperlink"/>
          </w:rPr>
          <w:drawing>
            <wp:inline distT="0" distB="0" distL="0" distR="0">
              <wp:extent cx="152400" cy="152400"/>
              <wp:effectExtent l="0" t="0" r="0" b="0"/>
              <wp:docPr id="108" name="Picture 108"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7" w:name="se40.13.63_11655"/>
      <w:bookmarkEnd w:id="7"/>
      <w:r w:rsidRPr="008E26B7">
        <w:rPr>
          <w:b/>
          <w:bCs/>
        </w:rPr>
        <w:t>§63.1655 Maintenance requirements.</w:t>
      </w:r>
    </w:p>
    <w:p w:rsidR="008E26B7" w:rsidRPr="008E26B7" w:rsidRDefault="008E26B7" w:rsidP="008E26B7">
      <w:r w:rsidRPr="008E26B7">
        <w:t>(a) The owner or operator of an affected source must comply with the requirements of §63.6(e) of subpart A.</w:t>
      </w:r>
    </w:p>
    <w:p w:rsidR="008E26B7" w:rsidRPr="008E26B7" w:rsidRDefault="008E26B7" w:rsidP="008E26B7">
      <w:r w:rsidRPr="008E26B7">
        <w:t>(b)(1) The owner or operator must develop and implement a written maintenance plan for each air pollution control device associated with submerged arc furnaces, metal oxygen refining processes, and crushing and screening operations subject to the provisions of this part. The owner or operator must keep the maintenance plan on record and available for the Administrator's inspection for the life of the air pollution control device or until the affected source is no longer subject to the provisions of this part.</w:t>
      </w:r>
    </w:p>
    <w:p w:rsidR="008E26B7" w:rsidRPr="008E26B7" w:rsidRDefault="008E26B7" w:rsidP="008E26B7">
      <w:r w:rsidRPr="008E26B7">
        <w:t>(2) To satisfy the requirement to develop maintenance plans, the owner or operator may use the affected source's standard operating procedures (SOP) manual or other plan, provided the alternative plan meets the requirements of this paragraph and is made available for inspection when requested by the Administrator.</w:t>
      </w:r>
    </w:p>
    <w:p w:rsidR="008E26B7" w:rsidRPr="008E26B7" w:rsidRDefault="008E26B7" w:rsidP="008E26B7">
      <w:r w:rsidRPr="008E26B7">
        <w:t>(c) The procedures specified in the maintenance plan must include a preventive maintenance schedule that is consistent with good air pollution control practices for minimizing emissions and, for baghouses, ensure that the requirements specified in §63.1657(a) are met.</w:t>
      </w:r>
    </w:p>
    <w:p w:rsidR="008E26B7" w:rsidRPr="008E26B7" w:rsidRDefault="008E26B7" w:rsidP="008E26B7">
      <w:r w:rsidRPr="008E26B7">
        <w:t>(d) The owner or operator must perform monthly inspections of the equipment that is important to the performance of the furnace capture system. This inspection must include an examination of the physical condition of the equipment, suitable for detecting holes in ductwork or hoods, flow constrictions in ductwork due to dents or accumulated dust, and operational status of flow rate controllers (pressure sensors, dampers, damper switches, etc.). Any deficiencies must be recorded and proper maintenance and repairs performed.</w:t>
      </w:r>
    </w:p>
    <w:p w:rsidR="008E26B7" w:rsidRPr="008E26B7" w:rsidRDefault="008E26B7" w:rsidP="008E26B7">
      <w:hyperlink r:id="rId29" w:anchor="_top" w:history="1">
        <w:r w:rsidRPr="008E26B7">
          <w:rPr>
            <w:rStyle w:val="Hyperlink"/>
          </w:rPr>
          <w:drawing>
            <wp:inline distT="0" distB="0" distL="0" distR="0">
              <wp:extent cx="152400" cy="152400"/>
              <wp:effectExtent l="0" t="0" r="0" b="0"/>
              <wp:docPr id="109" name="Picture 109"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8" w:name="se40.13.63_11656"/>
      <w:bookmarkEnd w:id="8"/>
      <w:proofErr w:type="gramStart"/>
      <w:r w:rsidRPr="008E26B7">
        <w:rPr>
          <w:b/>
          <w:bCs/>
        </w:rPr>
        <w:t>§63.1656 Performance testing, test methods, and compliance demonstrations.</w:t>
      </w:r>
      <w:proofErr w:type="gramEnd"/>
    </w:p>
    <w:p w:rsidR="008E26B7" w:rsidRPr="008E26B7" w:rsidRDefault="008E26B7" w:rsidP="008E26B7">
      <w:r w:rsidRPr="008E26B7">
        <w:t xml:space="preserve">(a) </w:t>
      </w:r>
      <w:r w:rsidRPr="008E26B7">
        <w:rPr>
          <w:i/>
          <w:iCs/>
        </w:rPr>
        <w:t>Performance testing.</w:t>
      </w:r>
      <w:r w:rsidRPr="008E26B7">
        <w:t xml:space="preserve"> (1) All performance tests must be conducted according to the requirements in §63.7 of subpart A.</w:t>
      </w:r>
    </w:p>
    <w:p w:rsidR="008E26B7" w:rsidRPr="008E26B7" w:rsidRDefault="008E26B7" w:rsidP="008E26B7">
      <w:r w:rsidRPr="008E26B7">
        <w:t>(2) Each performance test must consist of three separate and complete runs using the applicable test methods.</w:t>
      </w:r>
    </w:p>
    <w:p w:rsidR="008E26B7" w:rsidRPr="008E26B7" w:rsidRDefault="008E26B7" w:rsidP="008E26B7">
      <w:r w:rsidRPr="008E26B7">
        <w:t>(3) Each run must be conducted under conditions that are representative of normal process operations.</w:t>
      </w:r>
    </w:p>
    <w:p w:rsidR="008E26B7" w:rsidRPr="008E26B7" w:rsidRDefault="008E26B7" w:rsidP="008E26B7">
      <w:r w:rsidRPr="008E26B7">
        <w:lastRenderedPageBreak/>
        <w:t>(4) Performance tests conducted on air pollution control devices serving submerged arc furnaces must be conducted such that at least one tapping period, or at least 20 minutes of a tapping period, whichever is less, is included in at least two of the three runs. The sampling time for each run must be at least as long as three times the average tapping period of the tested furnace, but no less than 60 minutes.</w:t>
      </w:r>
    </w:p>
    <w:p w:rsidR="008E26B7" w:rsidRPr="008E26B7" w:rsidRDefault="008E26B7" w:rsidP="008E26B7">
      <w:r w:rsidRPr="008E26B7">
        <w:t>(5) The sample volume for each run must be at least 0.9 dscm (30 dscf).</w:t>
      </w:r>
    </w:p>
    <w:p w:rsidR="008E26B7" w:rsidRPr="008E26B7" w:rsidRDefault="008E26B7" w:rsidP="008E26B7">
      <w:r w:rsidRPr="008E26B7">
        <w:t xml:space="preserve">(b) </w:t>
      </w:r>
      <w:r w:rsidRPr="008E26B7">
        <w:rPr>
          <w:i/>
          <w:iCs/>
        </w:rPr>
        <w:t>Test methods.</w:t>
      </w:r>
      <w:r w:rsidRPr="008E26B7">
        <w:t xml:space="preserve"> The following test methods in appendix A of part 60 of this chapter must be used to determine compliance with the emission standards.</w:t>
      </w:r>
    </w:p>
    <w:p w:rsidR="008E26B7" w:rsidRPr="008E26B7" w:rsidRDefault="008E26B7" w:rsidP="008E26B7">
      <w:r w:rsidRPr="008E26B7">
        <w:t>(1) Method 1 to select the sampling port location and the number of traverse points.</w:t>
      </w:r>
    </w:p>
    <w:p w:rsidR="008E26B7" w:rsidRPr="008E26B7" w:rsidRDefault="008E26B7" w:rsidP="008E26B7">
      <w:r w:rsidRPr="008E26B7">
        <w:t>(2) Method 2 to determine the volumetric flow rate of the stack gas.</w:t>
      </w:r>
    </w:p>
    <w:p w:rsidR="008E26B7" w:rsidRPr="008E26B7" w:rsidRDefault="008E26B7" w:rsidP="008E26B7">
      <w:r w:rsidRPr="008E26B7">
        <w:t>(3) Method 3 to determine the dry molecular weight of the stack gas.</w:t>
      </w:r>
    </w:p>
    <w:p w:rsidR="008E26B7" w:rsidRPr="008E26B7" w:rsidRDefault="008E26B7" w:rsidP="008E26B7">
      <w:r w:rsidRPr="008E26B7">
        <w:t>(4) Method 4 to determine the moisture content of the stack gas.</w:t>
      </w:r>
    </w:p>
    <w:p w:rsidR="008E26B7" w:rsidRPr="008E26B7" w:rsidRDefault="008E26B7" w:rsidP="008E26B7">
      <w:r w:rsidRPr="008E26B7">
        <w:t>(5) Method 5 to determine the particulate matter concentration of the stack gas for negative pressure baghouses and positive pressure baghouses with stacks.</w:t>
      </w:r>
    </w:p>
    <w:p w:rsidR="008E26B7" w:rsidRPr="008E26B7" w:rsidRDefault="008E26B7" w:rsidP="008E26B7">
      <w:r w:rsidRPr="008E26B7">
        <w:t>(6) Method 5D to determine particulate matter concentration and volumetric flow rate of the stack gas for positive pressure baghouses without stacks.</w:t>
      </w:r>
    </w:p>
    <w:p w:rsidR="008E26B7" w:rsidRPr="008E26B7" w:rsidRDefault="008E26B7" w:rsidP="008E26B7">
      <w:r w:rsidRPr="008E26B7">
        <w:t>(7) Method 9 to determine opacity.</w:t>
      </w:r>
    </w:p>
    <w:p w:rsidR="008E26B7" w:rsidRPr="008E26B7" w:rsidRDefault="008E26B7" w:rsidP="008E26B7">
      <w:r w:rsidRPr="008E26B7">
        <w:t>(8) The owner or operator may use equivalent alternative measurement methods approved by the Administrator following the procedures described in §63.7(f) of subpart A.</w:t>
      </w:r>
    </w:p>
    <w:p w:rsidR="008E26B7" w:rsidRPr="008E26B7" w:rsidRDefault="008E26B7" w:rsidP="008E26B7">
      <w:r w:rsidRPr="008E26B7">
        <w:t xml:space="preserve">(c) </w:t>
      </w:r>
      <w:r w:rsidRPr="008E26B7">
        <w:rPr>
          <w:i/>
          <w:iCs/>
        </w:rPr>
        <w:t>Compliance demonstration with the emission standards.</w:t>
      </w:r>
      <w:r w:rsidRPr="008E26B7">
        <w:t xml:space="preserve"> (1) The owner or operator must conduct an initial performance test for air pollution control devices or vent stacks subject to §63.1652(a) through (e) to demonstrate compliance with the applicable emission standards.</w:t>
      </w:r>
    </w:p>
    <w:p w:rsidR="008E26B7" w:rsidRPr="008E26B7" w:rsidRDefault="008E26B7" w:rsidP="008E26B7">
      <w:r w:rsidRPr="008E26B7">
        <w:t>(2) The owner or operator must conduct annual performance tests for the air pollution control devices and vent stacks associated with the submerged arc furnaces, with the exception of any air pollution control devices that serve tapping emissions combined with non-furnace emissions, such as the MOR process or equipment associated with crushing and screening. Also excluded are air pollution control devices that serve dedicated non-furnace emissions, such as the MOR process or equipment associated with crushing and screening. The results of these annual tests will be used to demonstrate compliance with the emission standards in §63.1652(a) through (e), as applicable.</w:t>
      </w:r>
    </w:p>
    <w:p w:rsidR="008E26B7" w:rsidRPr="008E26B7" w:rsidRDefault="008E26B7" w:rsidP="008E26B7">
      <w:r w:rsidRPr="008E26B7">
        <w:t>(3) Following development, and approval, if required, of the site-specific test plan, the owner or operator must conduct a performance test for each air pollution control device or vent stack to measure particulate matter and determine compliance with the applicable standard.</w:t>
      </w:r>
    </w:p>
    <w:p w:rsidR="008E26B7" w:rsidRPr="008E26B7" w:rsidRDefault="008E26B7" w:rsidP="008E26B7">
      <w:r w:rsidRPr="008E26B7">
        <w:t>(</w:t>
      </w:r>
      <w:proofErr w:type="spellStart"/>
      <w:r w:rsidRPr="008E26B7">
        <w:t>i</w:t>
      </w:r>
      <w:proofErr w:type="spellEnd"/>
      <w:r w:rsidRPr="008E26B7">
        <w:t>) An owner or operator of sources subject to the particulate matter concentration standards in §63.1652(a</w:t>
      </w:r>
      <w:proofErr w:type="gramStart"/>
      <w:r w:rsidRPr="008E26B7">
        <w:t>)(</w:t>
      </w:r>
      <w:proofErr w:type="gramEnd"/>
      <w:r w:rsidRPr="008E26B7">
        <w:t>2), (d), or (e), must determine compliance as follows:</w:t>
      </w:r>
    </w:p>
    <w:p w:rsidR="008E26B7" w:rsidRPr="008E26B7" w:rsidRDefault="008E26B7" w:rsidP="008E26B7">
      <w:r w:rsidRPr="008E26B7">
        <w:t>(A) Determine the particulate matter concentration using Method 5 or 5D, as applicable.</w:t>
      </w:r>
    </w:p>
    <w:p w:rsidR="008E26B7" w:rsidRPr="008E26B7" w:rsidRDefault="008E26B7" w:rsidP="008E26B7">
      <w:r w:rsidRPr="008E26B7">
        <w:t>(B) Compliance is demonstrated if the average concentration for the three runs comprising the performance test does not exceed the standard.</w:t>
      </w:r>
    </w:p>
    <w:p w:rsidR="008E26B7" w:rsidRPr="008E26B7" w:rsidRDefault="008E26B7" w:rsidP="008E26B7">
      <w:r w:rsidRPr="008E26B7">
        <w:t>(ii) An owner or operator of sources subject to the particulate mass rate standards in §63.1652(b) or (c) must determine compliance as follows:</w:t>
      </w:r>
    </w:p>
    <w:p w:rsidR="008E26B7" w:rsidRPr="008E26B7" w:rsidRDefault="008E26B7" w:rsidP="008E26B7">
      <w:r w:rsidRPr="008E26B7">
        <w:t>(A) Determine the particulate matter concentration and volumetric flow rate using Method 5 or 5D, as applicable.</w:t>
      </w:r>
    </w:p>
    <w:p w:rsidR="008E26B7" w:rsidRPr="008E26B7" w:rsidRDefault="008E26B7" w:rsidP="008E26B7">
      <w:r w:rsidRPr="008E26B7">
        <w:t>(B) Compute the mass rate (E</w:t>
      </w:r>
      <w:r w:rsidRPr="008E26B7">
        <w:rPr>
          <w:vertAlign w:val="subscript"/>
        </w:rPr>
        <w:t>M</w:t>
      </w:r>
      <w:r w:rsidRPr="008E26B7">
        <w:t>) of particulate matter for each run using the following equation:</w:t>
      </w:r>
    </w:p>
    <w:p w:rsidR="008E26B7" w:rsidRPr="008E26B7" w:rsidRDefault="008E26B7" w:rsidP="008E26B7">
      <w:r w:rsidRPr="008E26B7">
        <w:drawing>
          <wp:inline distT="0" distB="0" distL="0" distR="0">
            <wp:extent cx="1333500" cy="457200"/>
            <wp:effectExtent l="19050" t="0" r="0" b="0"/>
            <wp:docPr id="110" name="Picture 110" descr="eCFR graphic er20my99.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eCFR graphic er20my99.000.gif"/>
                    <pic:cNvPicPr>
                      <a:picLocks noChangeAspect="1" noChangeArrowheads="1"/>
                    </pic:cNvPicPr>
                  </pic:nvPicPr>
                  <pic:blipFill>
                    <a:blip r:embed="rId30" cstate="print"/>
                    <a:srcRect/>
                    <a:stretch>
                      <a:fillRect/>
                    </a:stretch>
                  </pic:blipFill>
                  <pic:spPr bwMode="auto">
                    <a:xfrm>
                      <a:off x="0" y="0"/>
                      <a:ext cx="1333500" cy="457200"/>
                    </a:xfrm>
                    <a:prstGeom prst="rect">
                      <a:avLst/>
                    </a:prstGeom>
                    <a:noFill/>
                    <a:ln w="9525">
                      <a:noFill/>
                      <a:miter lim="800000"/>
                      <a:headEnd/>
                      <a:tailEnd/>
                    </a:ln>
                  </pic:spPr>
                </pic:pic>
              </a:graphicData>
            </a:graphic>
          </wp:inline>
        </w:drawing>
      </w:r>
    </w:p>
    <w:p w:rsidR="008E26B7" w:rsidRPr="008E26B7" w:rsidRDefault="008E26B7" w:rsidP="008E26B7">
      <w:hyperlink r:id="rId31" w:history="1">
        <w:r w:rsidRPr="008E26B7">
          <w:rPr>
            <w:rStyle w:val="Hyperlink"/>
          </w:rPr>
          <w:t>View or download PDF</w:t>
        </w:r>
      </w:hyperlink>
    </w:p>
    <w:p w:rsidR="008E26B7" w:rsidRPr="008E26B7" w:rsidRDefault="008E26B7" w:rsidP="008E26B7">
      <w:r w:rsidRPr="008E26B7">
        <w:t xml:space="preserve">Where: </w:t>
      </w:r>
    </w:p>
    <w:p w:rsidR="008E26B7" w:rsidRPr="008E26B7" w:rsidRDefault="008E26B7" w:rsidP="008E26B7">
      <w:r w:rsidRPr="008E26B7">
        <w:t>E</w:t>
      </w:r>
      <w:r w:rsidRPr="008E26B7">
        <w:rPr>
          <w:vertAlign w:val="subscript"/>
        </w:rPr>
        <w:t>M</w:t>
      </w:r>
      <w:r w:rsidRPr="008E26B7">
        <w:t xml:space="preserve"> = mass rate of particulate matter, kg/hr (lb/hr).</w:t>
      </w:r>
    </w:p>
    <w:p w:rsidR="008E26B7" w:rsidRPr="008E26B7" w:rsidRDefault="008E26B7" w:rsidP="008E26B7">
      <w:r w:rsidRPr="008E26B7">
        <w:t>N = total number of exhaust streams at which emissions are quantified.</w:t>
      </w:r>
    </w:p>
    <w:p w:rsidR="008E26B7" w:rsidRPr="008E26B7" w:rsidRDefault="008E26B7" w:rsidP="008E26B7">
      <w:proofErr w:type="spellStart"/>
      <w:r w:rsidRPr="008E26B7">
        <w:t>C</w:t>
      </w:r>
      <w:r w:rsidRPr="008E26B7">
        <w:rPr>
          <w:vertAlign w:val="subscript"/>
        </w:rPr>
        <w:t>si</w:t>
      </w:r>
      <w:proofErr w:type="spellEnd"/>
      <w:r w:rsidRPr="008E26B7">
        <w:t xml:space="preserve"> = concentration of particulate matter from exhaust stream “</w:t>
      </w:r>
      <w:proofErr w:type="spellStart"/>
      <w:r w:rsidRPr="008E26B7">
        <w:t>i</w:t>
      </w:r>
      <w:proofErr w:type="spellEnd"/>
      <w:r w:rsidRPr="008E26B7">
        <w:t>”, mg/dscm (gr/dscf).</w:t>
      </w:r>
    </w:p>
    <w:p w:rsidR="008E26B7" w:rsidRPr="008E26B7" w:rsidRDefault="008E26B7" w:rsidP="008E26B7">
      <w:proofErr w:type="spellStart"/>
      <w:r w:rsidRPr="008E26B7">
        <w:t>Q</w:t>
      </w:r>
      <w:r w:rsidRPr="008E26B7">
        <w:rPr>
          <w:vertAlign w:val="subscript"/>
        </w:rPr>
        <w:t>sdi</w:t>
      </w:r>
      <w:proofErr w:type="spellEnd"/>
      <w:r w:rsidRPr="008E26B7">
        <w:t xml:space="preserve"> = volumetric flow rate of effluent gas from exhaust stream “</w:t>
      </w:r>
      <w:proofErr w:type="spellStart"/>
      <w:r w:rsidRPr="008E26B7">
        <w:t>i</w:t>
      </w:r>
      <w:proofErr w:type="spellEnd"/>
      <w:r w:rsidRPr="008E26B7">
        <w:t>”, dscm/hr (dscf/hr)</w:t>
      </w:r>
    </w:p>
    <w:p w:rsidR="008E26B7" w:rsidRPr="008E26B7" w:rsidRDefault="008E26B7" w:rsidP="008E26B7">
      <w:r w:rsidRPr="008E26B7">
        <w:t>K = conversion factor, 1 × 10</w:t>
      </w:r>
      <w:r w:rsidRPr="008E26B7">
        <w:rPr>
          <w:vertAlign w:val="superscript"/>
        </w:rPr>
        <w:t>6</w:t>
      </w:r>
      <w:r w:rsidRPr="008E26B7">
        <w:t xml:space="preserve"> mg/kg (7,000 gr/lb).</w:t>
      </w:r>
    </w:p>
    <w:p w:rsidR="008E26B7" w:rsidRPr="008E26B7" w:rsidRDefault="008E26B7" w:rsidP="008E26B7">
      <w:r w:rsidRPr="008E26B7">
        <w:t>(C) Compliance is demonstrated if the average of the mass rates for the three runs comprising the performance test does not exceed the standard.</w:t>
      </w:r>
    </w:p>
    <w:p w:rsidR="008E26B7" w:rsidRPr="008E26B7" w:rsidRDefault="008E26B7" w:rsidP="008E26B7">
      <w:r w:rsidRPr="008E26B7">
        <w:t>(iii) An owner or operator of sources subject to the particulate matter process-weighted rate standard in §63.1652(a</w:t>
      </w:r>
      <w:proofErr w:type="gramStart"/>
      <w:r w:rsidRPr="008E26B7">
        <w:t>)(</w:t>
      </w:r>
      <w:proofErr w:type="gramEnd"/>
      <w:r w:rsidRPr="008E26B7">
        <w:t>1) must determine compliance as follows:</w:t>
      </w:r>
    </w:p>
    <w:p w:rsidR="008E26B7" w:rsidRPr="008E26B7" w:rsidRDefault="008E26B7" w:rsidP="008E26B7">
      <w:r w:rsidRPr="008E26B7">
        <w:t>(A) Determine particulate matter concentration and volumetric flow rate using Method 5 or 5D, as applicable.</w:t>
      </w:r>
    </w:p>
    <w:p w:rsidR="008E26B7" w:rsidRPr="008E26B7" w:rsidRDefault="008E26B7" w:rsidP="008E26B7">
      <w:r w:rsidRPr="008E26B7">
        <w:t>(B) Compute the process-weighted mass rate (E</w:t>
      </w:r>
      <w:r w:rsidRPr="008E26B7">
        <w:rPr>
          <w:vertAlign w:val="subscript"/>
        </w:rPr>
        <w:t>P</w:t>
      </w:r>
      <w:r w:rsidRPr="008E26B7">
        <w:t>) of particulate matter for each run using the following equation:</w:t>
      </w:r>
    </w:p>
    <w:p w:rsidR="008E26B7" w:rsidRPr="008E26B7" w:rsidRDefault="008E26B7" w:rsidP="008E26B7">
      <w:r w:rsidRPr="008E26B7">
        <w:lastRenderedPageBreak/>
        <w:drawing>
          <wp:inline distT="0" distB="0" distL="0" distR="0">
            <wp:extent cx="1394460" cy="457200"/>
            <wp:effectExtent l="19050" t="0" r="0" b="0"/>
            <wp:docPr id="111" name="Picture 111" descr="eCFR graphic er20my9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eCFR graphic er20my99.001.gif"/>
                    <pic:cNvPicPr>
                      <a:picLocks noChangeAspect="1" noChangeArrowheads="1"/>
                    </pic:cNvPicPr>
                  </pic:nvPicPr>
                  <pic:blipFill>
                    <a:blip r:embed="rId32" cstate="print"/>
                    <a:srcRect/>
                    <a:stretch>
                      <a:fillRect/>
                    </a:stretch>
                  </pic:blipFill>
                  <pic:spPr bwMode="auto">
                    <a:xfrm>
                      <a:off x="0" y="0"/>
                      <a:ext cx="1394460" cy="457200"/>
                    </a:xfrm>
                    <a:prstGeom prst="rect">
                      <a:avLst/>
                    </a:prstGeom>
                    <a:noFill/>
                    <a:ln w="9525">
                      <a:noFill/>
                      <a:miter lim="800000"/>
                      <a:headEnd/>
                      <a:tailEnd/>
                    </a:ln>
                  </pic:spPr>
                </pic:pic>
              </a:graphicData>
            </a:graphic>
          </wp:inline>
        </w:drawing>
      </w:r>
    </w:p>
    <w:p w:rsidR="008E26B7" w:rsidRPr="008E26B7" w:rsidRDefault="008E26B7" w:rsidP="008E26B7">
      <w:hyperlink r:id="rId33" w:history="1">
        <w:r w:rsidRPr="008E26B7">
          <w:rPr>
            <w:rStyle w:val="Hyperlink"/>
          </w:rPr>
          <w:t>View or download PDF</w:t>
        </w:r>
      </w:hyperlink>
    </w:p>
    <w:p w:rsidR="008E26B7" w:rsidRPr="008E26B7" w:rsidRDefault="008E26B7" w:rsidP="008E26B7">
      <w:r w:rsidRPr="008E26B7">
        <w:t xml:space="preserve">Where: </w:t>
      </w:r>
    </w:p>
    <w:p w:rsidR="008E26B7" w:rsidRPr="008E26B7" w:rsidRDefault="008E26B7" w:rsidP="008E26B7">
      <w:r w:rsidRPr="008E26B7">
        <w:t>E</w:t>
      </w:r>
      <w:r w:rsidRPr="008E26B7">
        <w:rPr>
          <w:vertAlign w:val="subscript"/>
        </w:rPr>
        <w:t>P</w:t>
      </w:r>
      <w:r w:rsidRPr="008E26B7">
        <w:t xml:space="preserve"> = process-weighted mass rate of particulate matter, kg/hr/MW (lb/hr/MW).</w:t>
      </w:r>
    </w:p>
    <w:p w:rsidR="008E26B7" w:rsidRPr="008E26B7" w:rsidRDefault="008E26B7" w:rsidP="008E26B7">
      <w:r w:rsidRPr="008E26B7">
        <w:t>N = total number of exhaust streams at which emissions are quantified.</w:t>
      </w:r>
    </w:p>
    <w:p w:rsidR="008E26B7" w:rsidRPr="008E26B7" w:rsidRDefault="008E26B7" w:rsidP="008E26B7">
      <w:proofErr w:type="spellStart"/>
      <w:r w:rsidRPr="008E26B7">
        <w:t>C</w:t>
      </w:r>
      <w:r w:rsidRPr="008E26B7">
        <w:rPr>
          <w:vertAlign w:val="subscript"/>
        </w:rPr>
        <w:t>si</w:t>
      </w:r>
      <w:proofErr w:type="spellEnd"/>
      <w:r w:rsidRPr="008E26B7">
        <w:t xml:space="preserve"> = concentration of particulate matter from exhaust stream “</w:t>
      </w:r>
      <w:proofErr w:type="spellStart"/>
      <w:r w:rsidRPr="008E26B7">
        <w:t>i</w:t>
      </w:r>
      <w:proofErr w:type="spellEnd"/>
      <w:r w:rsidRPr="008E26B7">
        <w:t>”, mg/dscm (gr/dscf)</w:t>
      </w:r>
    </w:p>
    <w:p w:rsidR="008E26B7" w:rsidRPr="008E26B7" w:rsidRDefault="008E26B7" w:rsidP="008E26B7">
      <w:proofErr w:type="spellStart"/>
      <w:r w:rsidRPr="008E26B7">
        <w:t>Q</w:t>
      </w:r>
      <w:r w:rsidRPr="008E26B7">
        <w:rPr>
          <w:vertAlign w:val="subscript"/>
        </w:rPr>
        <w:t>sdi</w:t>
      </w:r>
      <w:proofErr w:type="spellEnd"/>
      <w:r w:rsidRPr="008E26B7">
        <w:t xml:space="preserve"> = volumetric flow rate of effluent gas from exhaust stream “</w:t>
      </w:r>
      <w:proofErr w:type="spellStart"/>
      <w:r w:rsidRPr="008E26B7">
        <w:t>i</w:t>
      </w:r>
      <w:proofErr w:type="spellEnd"/>
      <w:r w:rsidRPr="008E26B7">
        <w:t>”, dscm/hr (dscf/hr)</w:t>
      </w:r>
    </w:p>
    <w:p w:rsidR="008E26B7" w:rsidRPr="008E26B7" w:rsidRDefault="008E26B7" w:rsidP="008E26B7">
      <w:r w:rsidRPr="008E26B7">
        <w:t>P = Average furnace power input, MW</w:t>
      </w:r>
    </w:p>
    <w:p w:rsidR="008E26B7" w:rsidRPr="008E26B7" w:rsidRDefault="008E26B7" w:rsidP="008E26B7">
      <w:r w:rsidRPr="008E26B7">
        <w:t>K = conversion factor, 1 × 10</w:t>
      </w:r>
      <w:r w:rsidRPr="008E26B7">
        <w:rPr>
          <w:vertAlign w:val="superscript"/>
        </w:rPr>
        <w:t>6</w:t>
      </w:r>
      <w:r w:rsidRPr="008E26B7">
        <w:t xml:space="preserve"> mg/kg (7,000 gr/lb).</w:t>
      </w:r>
    </w:p>
    <w:p w:rsidR="008E26B7" w:rsidRPr="008E26B7" w:rsidRDefault="008E26B7" w:rsidP="008E26B7">
      <w:r w:rsidRPr="008E26B7">
        <w:t>(C) Compliance is demonstrated if the average process-weighted mass rate for the three runs comprising the performance test does not exceed the standard.</w:t>
      </w:r>
    </w:p>
    <w:p w:rsidR="008E26B7" w:rsidRPr="008E26B7" w:rsidRDefault="008E26B7" w:rsidP="008E26B7">
      <w:r w:rsidRPr="008E26B7">
        <w:t>(4) If a venturi scrubber is used to comply with the emission standards, the owner or operator must establish as a site-specific operating parameter the lowest average pressure drop on any individual complying run in the three runs constituting any compliant test. The pressure drop must be monitored at least every 5 minutes during the test and hourly averages recorded.</w:t>
      </w:r>
    </w:p>
    <w:p w:rsidR="008E26B7" w:rsidRPr="008E26B7" w:rsidRDefault="008E26B7" w:rsidP="008E26B7">
      <w:r w:rsidRPr="008E26B7">
        <w:t>(</w:t>
      </w:r>
      <w:proofErr w:type="spellStart"/>
      <w:r w:rsidRPr="008E26B7">
        <w:t>i</w:t>
      </w:r>
      <w:proofErr w:type="spellEnd"/>
      <w:r w:rsidRPr="008E26B7">
        <w:t>) [Reserved]</w:t>
      </w:r>
    </w:p>
    <w:p w:rsidR="008E26B7" w:rsidRPr="008E26B7" w:rsidRDefault="008E26B7" w:rsidP="008E26B7">
      <w:r w:rsidRPr="008E26B7">
        <w:t>(ii) The owner or operator may augment the data obtained under paragraph (a</w:t>
      </w:r>
      <w:proofErr w:type="gramStart"/>
      <w:r w:rsidRPr="008E26B7">
        <w:t>)(</w:t>
      </w:r>
      <w:proofErr w:type="gramEnd"/>
      <w:r w:rsidRPr="008E26B7">
        <w:t>4) of this section by conducting multiple performance tests to establish a range of compliant operating parameter values. The lowest value of this range would be selected as the operating parameter monitoring value. The use of historic compliance data may be used to establish the compliant operating parameter value if the previous values were recorded during performance tests using the same test methods specified in this subpart and established as required in paragraph (a)(4) of this section.</w:t>
      </w:r>
    </w:p>
    <w:p w:rsidR="008E26B7" w:rsidRPr="008E26B7" w:rsidRDefault="008E26B7" w:rsidP="008E26B7">
      <w:r w:rsidRPr="008E26B7">
        <w:t xml:space="preserve">(d) </w:t>
      </w:r>
      <w:r w:rsidRPr="008E26B7">
        <w:rPr>
          <w:i/>
          <w:iCs/>
        </w:rPr>
        <w:t>Compliance demonstration with opacity standards.</w:t>
      </w:r>
      <w:r w:rsidRPr="008E26B7">
        <w:t xml:space="preserve"> (1)(</w:t>
      </w:r>
      <w:proofErr w:type="spellStart"/>
      <w:r w:rsidRPr="008E26B7">
        <w:t>i</w:t>
      </w:r>
      <w:proofErr w:type="spellEnd"/>
      <w:r w:rsidRPr="008E26B7">
        <w:t>) The owner or operator subject to §63.1653 must conduct initial opacity observations of the shop building to demonstrate compliance with the applicable opacity standards according to §63.6(h</w:t>
      </w:r>
      <w:proofErr w:type="gramStart"/>
      <w:r w:rsidRPr="008E26B7">
        <w:t>)(</w:t>
      </w:r>
      <w:proofErr w:type="gramEnd"/>
      <w:r w:rsidRPr="008E26B7">
        <w:t>5), which addresses the conduct of opacity or visible emission observations.</w:t>
      </w:r>
    </w:p>
    <w:p w:rsidR="008E26B7" w:rsidRPr="008E26B7" w:rsidRDefault="008E26B7" w:rsidP="008E26B7">
      <w:r w:rsidRPr="008E26B7">
        <w:t>(ii) In conducting the opacity observations of the shop building, the observer must limit his or her field of view to the area of the shop building roof monitor that corresponds to the placement of the affected submerged arc furnaces.</w:t>
      </w:r>
    </w:p>
    <w:p w:rsidR="008E26B7" w:rsidRPr="008E26B7" w:rsidRDefault="008E26B7" w:rsidP="008E26B7">
      <w:r w:rsidRPr="008E26B7">
        <w:t>(iii) The owner or operator must conduct the opacity observations according to EPA Method 9 of 40 CFR part 60, appendix A, for a minimum of 60 minutes.</w:t>
      </w:r>
    </w:p>
    <w:p w:rsidR="008E26B7" w:rsidRPr="008E26B7" w:rsidRDefault="008E26B7" w:rsidP="008E26B7">
      <w:r w:rsidRPr="008E26B7">
        <w:t>(2)(</w:t>
      </w:r>
      <w:proofErr w:type="spellStart"/>
      <w:r w:rsidRPr="008E26B7">
        <w:t>i</w:t>
      </w:r>
      <w:proofErr w:type="spellEnd"/>
      <w:r w:rsidRPr="008E26B7">
        <w:t>) When demonstrating initial compliance with the shop building opacity standard, as required by paragraph (d)(1) of this section, the owner or operator must simultaneously establish parameter values for one of the following: the control system fan motor amperes and all capture system damper positions, the total volumetric flow rate to the air pollution control device and all capture system damper positions, or volumetric flow rate through each separately ducted hood that comprises the capture system.</w:t>
      </w:r>
    </w:p>
    <w:p w:rsidR="008E26B7" w:rsidRPr="008E26B7" w:rsidRDefault="008E26B7" w:rsidP="008E26B7">
      <w:r w:rsidRPr="008E26B7">
        <w:t>(ii) The owner or operator may petition the Administrator to reestablish these parameters whenever he or she can demonstrate to the Administrator's satisfaction that the submerged arc furnace operating conditions upon which the parameters were previously established are no longer applicable. The values of these parameters determined during the most recent demonstration of compliance must be maintained at the appropriate level for each applicable period.</w:t>
      </w:r>
    </w:p>
    <w:p w:rsidR="008E26B7" w:rsidRPr="008E26B7" w:rsidRDefault="008E26B7" w:rsidP="008E26B7">
      <w:r w:rsidRPr="008E26B7">
        <w:t>(3) The owner or operator must demonstrate continuing compliance with the opacity standards by following the monitoring requirements specified in §63.1657(c) and the reporting and recordkeeping requirements specified in §§63.1659(b</w:t>
      </w:r>
      <w:proofErr w:type="gramStart"/>
      <w:r w:rsidRPr="008E26B7">
        <w:t>)(</w:t>
      </w:r>
      <w:proofErr w:type="gramEnd"/>
      <w:r w:rsidRPr="008E26B7">
        <w:t>4) and 63.1660(b).</w:t>
      </w:r>
    </w:p>
    <w:p w:rsidR="008E26B7" w:rsidRPr="008E26B7" w:rsidRDefault="008E26B7" w:rsidP="008E26B7">
      <w:r w:rsidRPr="008E26B7">
        <w:t xml:space="preserve">(e) </w:t>
      </w:r>
      <w:r w:rsidRPr="008E26B7">
        <w:rPr>
          <w:i/>
          <w:iCs/>
        </w:rPr>
        <w:t>Compliance demonstration with the operational and work practice standards</w:t>
      </w:r>
      <w:r w:rsidRPr="008E26B7">
        <w:t xml:space="preserve">—(1) </w:t>
      </w:r>
      <w:r w:rsidRPr="008E26B7">
        <w:rPr>
          <w:i/>
          <w:iCs/>
        </w:rPr>
        <w:t>Fugitive dust sources.</w:t>
      </w:r>
      <w:r w:rsidRPr="008E26B7">
        <w:t xml:space="preserve"> Failure to have a fugitive dust control plan or failure to report deviations from the plan and take necessary corrective action would be a violation of the general duty to ensure that fugitive dust sources are operated and maintained in a manner consistent with good air pollution control practices for minimizing emissions per §63.6(e)(1)(</w:t>
      </w:r>
      <w:proofErr w:type="spellStart"/>
      <w:r w:rsidRPr="008E26B7">
        <w:t>i</w:t>
      </w:r>
      <w:proofErr w:type="spellEnd"/>
      <w:r w:rsidRPr="008E26B7">
        <w:t>) of subpart A.</w:t>
      </w:r>
    </w:p>
    <w:p w:rsidR="008E26B7" w:rsidRPr="008E26B7" w:rsidRDefault="008E26B7" w:rsidP="008E26B7">
      <w:r w:rsidRPr="008E26B7">
        <w:t xml:space="preserve">(2) </w:t>
      </w:r>
      <w:r w:rsidRPr="008E26B7">
        <w:rPr>
          <w:i/>
          <w:iCs/>
        </w:rPr>
        <w:t>Baghouses equipped with bag leak detection systems.</w:t>
      </w:r>
      <w:r w:rsidRPr="008E26B7">
        <w:t xml:space="preserve"> The owner or operator demonstrates compliance with the bag leak detection system requirements by submitting reports as required by §63.1659(b)(5) showing that the alarm on the system does not sound for more than 5 percent of the total operating time in a 6-month period. Calculate the percentage of total operating time the alarm on the bag leak detection system sounds as follows:</w:t>
      </w:r>
    </w:p>
    <w:p w:rsidR="008E26B7" w:rsidRPr="008E26B7" w:rsidRDefault="008E26B7" w:rsidP="008E26B7">
      <w:r w:rsidRPr="008E26B7">
        <w:t>(</w:t>
      </w:r>
      <w:proofErr w:type="spellStart"/>
      <w:r w:rsidRPr="008E26B7">
        <w:t>i</w:t>
      </w:r>
      <w:proofErr w:type="spellEnd"/>
      <w:r w:rsidRPr="008E26B7">
        <w:t>) Do not include alarms that occur due solely to a malfunction of the bag leak detection system in the calculation.</w:t>
      </w:r>
    </w:p>
    <w:p w:rsidR="008E26B7" w:rsidRPr="008E26B7" w:rsidRDefault="008E26B7" w:rsidP="008E26B7">
      <w:r w:rsidRPr="008E26B7">
        <w:t>(ii) Do not include alarms that occur during startup, shutdown, and malfunction in the calculation if the condition is described in the startup, shutdown, and malfunction plan and the owner or operator operates the source during such periods in accordance with §63.6(e)(1).</w:t>
      </w:r>
    </w:p>
    <w:p w:rsidR="008E26B7" w:rsidRPr="008E26B7" w:rsidRDefault="008E26B7" w:rsidP="008E26B7">
      <w:r w:rsidRPr="008E26B7">
        <w:lastRenderedPageBreak/>
        <w:t>(iii) Count 1 hour of alarm time for each alarm where the owner or operator initiates procedures to determine the cause within 1 hour of the alarm.</w:t>
      </w:r>
    </w:p>
    <w:p w:rsidR="008E26B7" w:rsidRPr="008E26B7" w:rsidRDefault="008E26B7" w:rsidP="008E26B7">
      <w:r w:rsidRPr="008E26B7">
        <w:t>(iv) Count the actual time it takes the owner or operator to initiate procedures to determine the cause of the alarm for each alarm where the owner or operator does not initiate procedures to determine the cause within 1 hour of the alarm.</w:t>
      </w:r>
    </w:p>
    <w:p w:rsidR="008E26B7" w:rsidRPr="008E26B7" w:rsidRDefault="008E26B7" w:rsidP="008E26B7">
      <w:r w:rsidRPr="008E26B7">
        <w:t>(v) Calculate the percentage of time the alarm on the bag leak detection system sounds as the ratio of the sum of alarm times to the total operating time multiplied by 100.</w:t>
      </w:r>
    </w:p>
    <w:p w:rsidR="008E26B7" w:rsidRPr="008E26B7" w:rsidRDefault="008E26B7" w:rsidP="008E26B7">
      <w:r w:rsidRPr="008E26B7">
        <w:t>[64 FR 27458, May 20, 1999, as amended at 71 FR 20462, Apr. 20, 2006]</w:t>
      </w:r>
    </w:p>
    <w:p w:rsidR="008E26B7" w:rsidRPr="008E26B7" w:rsidRDefault="008E26B7" w:rsidP="008E26B7">
      <w:hyperlink r:id="rId34" w:anchor="_top" w:history="1">
        <w:r w:rsidRPr="008E26B7">
          <w:rPr>
            <w:rStyle w:val="Hyperlink"/>
          </w:rPr>
          <w:drawing>
            <wp:inline distT="0" distB="0" distL="0" distR="0">
              <wp:extent cx="152400" cy="152400"/>
              <wp:effectExtent l="0" t="0" r="0" b="0"/>
              <wp:docPr id="112" name="Picture 112"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9" w:name="se40.13.63_11657"/>
      <w:bookmarkEnd w:id="9"/>
      <w:r w:rsidRPr="008E26B7">
        <w:rPr>
          <w:b/>
          <w:bCs/>
        </w:rPr>
        <w:t>§63.1657 Monitoring requirements.</w:t>
      </w:r>
    </w:p>
    <w:p w:rsidR="008E26B7" w:rsidRPr="008E26B7" w:rsidRDefault="008E26B7" w:rsidP="008E26B7">
      <w:r w:rsidRPr="008E26B7">
        <w:t xml:space="preserve">(a) </w:t>
      </w:r>
      <w:r w:rsidRPr="008E26B7">
        <w:rPr>
          <w:i/>
          <w:iCs/>
        </w:rPr>
        <w:t>Baghouses.</w:t>
      </w:r>
      <w:r w:rsidRPr="008E26B7">
        <w:t xml:space="preserve"> (1) For the baghouses serving the submerged arc furnaces, the metal oxygen refining process, and crushing and screening operations, the owner or operator must observe on a daily basis for the presence of any visible emissions.</w:t>
      </w:r>
    </w:p>
    <w:p w:rsidR="008E26B7" w:rsidRPr="008E26B7" w:rsidRDefault="008E26B7" w:rsidP="008E26B7">
      <w:r w:rsidRPr="008E26B7">
        <w:t>(2) In addition to the daily visible emissions observation, the owner or operator must conduct the following activities:</w:t>
      </w:r>
    </w:p>
    <w:p w:rsidR="008E26B7" w:rsidRPr="008E26B7" w:rsidRDefault="008E26B7" w:rsidP="008E26B7">
      <w:r w:rsidRPr="008E26B7">
        <w:t>(</w:t>
      </w:r>
      <w:proofErr w:type="spellStart"/>
      <w:r w:rsidRPr="008E26B7">
        <w:t>i</w:t>
      </w:r>
      <w:proofErr w:type="spellEnd"/>
      <w:r w:rsidRPr="008E26B7">
        <w:t xml:space="preserve">) Daily monitoring of pressure drop across each baghouse </w:t>
      </w:r>
      <w:proofErr w:type="gramStart"/>
      <w:r w:rsidRPr="008E26B7">
        <w:t>cell,</w:t>
      </w:r>
      <w:proofErr w:type="gramEnd"/>
      <w:r w:rsidRPr="008E26B7">
        <w:t xml:space="preserve"> or across the baghouse if it is not possible to monitor each cell individually, to ensure the pressure drop is within the normal operating range identified in the baghouse maintenance plan.</w:t>
      </w:r>
    </w:p>
    <w:p w:rsidR="008E26B7" w:rsidRPr="008E26B7" w:rsidRDefault="008E26B7" w:rsidP="008E26B7">
      <w:r w:rsidRPr="008E26B7">
        <w:t>(ii) Weekly confirmation that dust is being removed from hoppers through visual inspection, or equivalent means of ensuring the proper functioning of removal mechanisms.</w:t>
      </w:r>
    </w:p>
    <w:p w:rsidR="008E26B7" w:rsidRPr="008E26B7" w:rsidRDefault="008E26B7" w:rsidP="008E26B7">
      <w:r w:rsidRPr="008E26B7">
        <w:t>(iii) Daily check of compressed air supply for pulse-jet baghouses.</w:t>
      </w:r>
    </w:p>
    <w:p w:rsidR="008E26B7" w:rsidRPr="008E26B7" w:rsidRDefault="008E26B7" w:rsidP="008E26B7">
      <w:proofErr w:type="gramStart"/>
      <w:r w:rsidRPr="008E26B7">
        <w:t>(iv) An</w:t>
      </w:r>
      <w:proofErr w:type="gramEnd"/>
      <w:r w:rsidRPr="008E26B7">
        <w:t xml:space="preserve"> appropriate methodology for monitoring cleaning cycles to ensure proper operation.</w:t>
      </w:r>
    </w:p>
    <w:p w:rsidR="008E26B7" w:rsidRPr="008E26B7" w:rsidRDefault="008E26B7" w:rsidP="008E26B7">
      <w:r w:rsidRPr="008E26B7">
        <w:t>(v) Monthly check of bag cleaning mechanisms for proper functioning through visual inspection or equivalent means.</w:t>
      </w:r>
    </w:p>
    <w:p w:rsidR="008E26B7" w:rsidRPr="008E26B7" w:rsidRDefault="008E26B7" w:rsidP="008E26B7">
      <w:r w:rsidRPr="008E26B7">
        <w:t xml:space="preserve">(vi) Quarterly visual check of bag tension on reverse air and shaker-type baghouses to ensure that the bags are not kinked (kneed or bent) or </w:t>
      </w:r>
      <w:proofErr w:type="gramStart"/>
      <w:r w:rsidRPr="008E26B7">
        <w:t>laying</w:t>
      </w:r>
      <w:proofErr w:type="gramEnd"/>
      <w:r w:rsidRPr="008E26B7">
        <w:t xml:space="preserve"> on their sides. Such checks are not required for shaker-type baghouses using self-tensioning (spring loaded) devices.</w:t>
      </w:r>
    </w:p>
    <w:p w:rsidR="008E26B7" w:rsidRPr="008E26B7" w:rsidRDefault="008E26B7" w:rsidP="008E26B7">
      <w:r w:rsidRPr="008E26B7">
        <w:t>(vii) Quarterly confirmation of the physical integrity of the baghouse structure through visual inspection of the baghouse interior for air leaks.</w:t>
      </w:r>
    </w:p>
    <w:p w:rsidR="008E26B7" w:rsidRPr="008E26B7" w:rsidRDefault="008E26B7" w:rsidP="008E26B7">
      <w:r w:rsidRPr="008E26B7">
        <w:t>(viii) Semiannual inspection of fans for wear, material buildup, and corrosion through visual inspection, vibration detectors, or equivalent means.</w:t>
      </w:r>
    </w:p>
    <w:p w:rsidR="008E26B7" w:rsidRPr="008E26B7" w:rsidRDefault="008E26B7" w:rsidP="008E26B7">
      <w:r w:rsidRPr="008E26B7">
        <w:t>(3) In addition to meeting the requirements of paragraphs (a</w:t>
      </w:r>
      <w:proofErr w:type="gramStart"/>
      <w:r w:rsidRPr="008E26B7">
        <w:t>)(</w:t>
      </w:r>
      <w:proofErr w:type="gramEnd"/>
      <w:r w:rsidRPr="008E26B7">
        <w:t>1) and (a)(2) of this section, the owner or operator of a new or reconstructed submerged arc furnace must install and continuously operate a bag leak detection system if the furnace primary and/or tapping emissions are ducted to a negative pressure baghouse or to a positive pressure baghouse equipped with a stack. The bag leak detection system must meet the following requirements:</w:t>
      </w:r>
    </w:p>
    <w:p w:rsidR="008E26B7" w:rsidRPr="008E26B7" w:rsidRDefault="008E26B7" w:rsidP="008E26B7">
      <w:r w:rsidRPr="008E26B7">
        <w:t>(</w:t>
      </w:r>
      <w:proofErr w:type="spellStart"/>
      <w:r w:rsidRPr="008E26B7">
        <w:t>i</w:t>
      </w:r>
      <w:proofErr w:type="spellEnd"/>
      <w:r w:rsidRPr="008E26B7">
        <w:t>) The bag leak detection system must be certified by the manufacturer to be capable of detecting particulate matter emissions at concentrations of 10 milligrams per actual cubic meter (0.0044 grains per actual cubic foot) or less.</w:t>
      </w:r>
    </w:p>
    <w:p w:rsidR="008E26B7" w:rsidRPr="008E26B7" w:rsidRDefault="008E26B7" w:rsidP="008E26B7">
      <w:r w:rsidRPr="008E26B7">
        <w:t>(ii) The bag leak detection system sensor must provide output of relative particulate matter loadings, and the owner or operator must continuously record the output from the bag leak detection system.</w:t>
      </w:r>
    </w:p>
    <w:p w:rsidR="008E26B7" w:rsidRPr="008E26B7" w:rsidRDefault="008E26B7" w:rsidP="008E26B7">
      <w:r w:rsidRPr="008E26B7">
        <w:t>(iii) The bag leak detection system must be equipped with an alarm system that will sound when an increase in relative particulate loadings is detected over a preset level. The alarm must be located where it can be heard by the appropriate plant personnel.</w:t>
      </w:r>
    </w:p>
    <w:p w:rsidR="008E26B7" w:rsidRPr="008E26B7" w:rsidRDefault="008E26B7" w:rsidP="008E26B7">
      <w:proofErr w:type="gramStart"/>
      <w:r w:rsidRPr="008E26B7">
        <w:t>(iv) Each</w:t>
      </w:r>
      <w:proofErr w:type="gramEnd"/>
      <w:r w:rsidRPr="008E26B7">
        <w:t xml:space="preserve"> bag leak detection system that works based on the </w:t>
      </w:r>
      <w:proofErr w:type="spellStart"/>
      <w:r w:rsidRPr="008E26B7">
        <w:t>triboelectric</w:t>
      </w:r>
      <w:proofErr w:type="spellEnd"/>
      <w:r w:rsidRPr="008E26B7">
        <w:t xml:space="preserve"> effect must be installed, calibrated, operated, and maintained consistent with the U.S. Environmental Protection Agency guidance document “Fabric Filter Bag Leak Detection Guidance” (EPA-454/R-98-015). Other bag leak detection systems must be installed, calibrated, and maintained consistent with the manufacturer's written specifications and recommendations.</w:t>
      </w:r>
    </w:p>
    <w:p w:rsidR="008E26B7" w:rsidRPr="008E26B7" w:rsidRDefault="008E26B7" w:rsidP="008E26B7">
      <w:r w:rsidRPr="008E26B7">
        <w:t>(v) The initial adjustment of the system must, at a minimum, consist of establishing the baseline output by adjusting the sensitivity (range) and the averaging period of the device, and establishing the alarm set points and the alarm delay time.</w:t>
      </w:r>
    </w:p>
    <w:p w:rsidR="008E26B7" w:rsidRPr="008E26B7" w:rsidRDefault="008E26B7" w:rsidP="008E26B7">
      <w:r w:rsidRPr="008E26B7">
        <w:t>(vi) Following initial adjustment, the owner or operator must not adjust the sensitivity or range, averaging period, alarm set points, or alarm delay time, except as detailed in the maintenance plan required under §63.1655(b). In no event must the sensitivity be increased by more than 100 percent or decreased more than 50 percent over a 365-day period unless a responsible official certifies the baghouse has been inspected and found to be in good operating condition.</w:t>
      </w:r>
    </w:p>
    <w:p w:rsidR="008E26B7" w:rsidRPr="008E26B7" w:rsidRDefault="008E26B7" w:rsidP="008E26B7">
      <w:r w:rsidRPr="008E26B7">
        <w:t>(vii) Where multiple detectors are required, the system's instrumentation and alarm may be shared among detectors.</w:t>
      </w:r>
    </w:p>
    <w:p w:rsidR="008E26B7" w:rsidRPr="008E26B7" w:rsidRDefault="008E26B7" w:rsidP="008E26B7">
      <w:r w:rsidRPr="008E26B7">
        <w:lastRenderedPageBreak/>
        <w:t>(4) As part of the maintenance plan required by §63.1655(b), the owner or operator must develop and implement corrective action procedures to be followed in the case of a bag leak detection system alarm (for baghouses equipped with such a system), the observation of visible emissions from the baghouse, or the indication through the periodic baghouse system inspections that the system is not operating properly. The owner or operator must initiate corrective action as soon as practicable after the occurrence of the observation or event indicating a problem.</w:t>
      </w:r>
    </w:p>
    <w:p w:rsidR="008E26B7" w:rsidRPr="008E26B7" w:rsidRDefault="008E26B7" w:rsidP="008E26B7">
      <w:r w:rsidRPr="008E26B7">
        <w:t>(5) The corrective action plan must include procedures used to determine the cause of an alarm or other indications of problems as well as actions to minimize emissions. These actions may include the following:</w:t>
      </w:r>
    </w:p>
    <w:p w:rsidR="008E26B7" w:rsidRPr="008E26B7" w:rsidRDefault="008E26B7" w:rsidP="008E26B7">
      <w:r w:rsidRPr="008E26B7">
        <w:t>(</w:t>
      </w:r>
      <w:proofErr w:type="spellStart"/>
      <w:r w:rsidRPr="008E26B7">
        <w:t>i</w:t>
      </w:r>
      <w:proofErr w:type="spellEnd"/>
      <w:r w:rsidRPr="008E26B7">
        <w:t>) Inspecting the baghouse for air leaks, torn or broken bags or filter media, or any other condition that may cause an increase in emissions.</w:t>
      </w:r>
    </w:p>
    <w:p w:rsidR="008E26B7" w:rsidRPr="008E26B7" w:rsidRDefault="008E26B7" w:rsidP="008E26B7">
      <w:r w:rsidRPr="008E26B7">
        <w:t>(ii) Sealing off defective bags or filter media.</w:t>
      </w:r>
    </w:p>
    <w:p w:rsidR="008E26B7" w:rsidRPr="008E26B7" w:rsidRDefault="008E26B7" w:rsidP="008E26B7">
      <w:r w:rsidRPr="008E26B7">
        <w:t>(iii) Replacing defective bags or filter media, or otherwise repairing the control device.</w:t>
      </w:r>
    </w:p>
    <w:p w:rsidR="008E26B7" w:rsidRPr="008E26B7" w:rsidRDefault="008E26B7" w:rsidP="008E26B7">
      <w:proofErr w:type="gramStart"/>
      <w:r w:rsidRPr="008E26B7">
        <w:t>(iv) Sealing</w:t>
      </w:r>
      <w:proofErr w:type="gramEnd"/>
      <w:r w:rsidRPr="008E26B7">
        <w:t xml:space="preserve"> off a defective baghouse compartment.</w:t>
      </w:r>
    </w:p>
    <w:p w:rsidR="008E26B7" w:rsidRPr="008E26B7" w:rsidRDefault="008E26B7" w:rsidP="008E26B7">
      <w:r w:rsidRPr="008E26B7">
        <w:t>(v) Cleaning the bag leak detection system probe, or otherwise repairing the bag leak detection system.</w:t>
      </w:r>
    </w:p>
    <w:p w:rsidR="008E26B7" w:rsidRPr="008E26B7" w:rsidRDefault="008E26B7" w:rsidP="008E26B7">
      <w:proofErr w:type="gramStart"/>
      <w:r w:rsidRPr="008E26B7">
        <w:t>(vi) Shutting</w:t>
      </w:r>
      <w:proofErr w:type="gramEnd"/>
      <w:r w:rsidRPr="008E26B7">
        <w:t xml:space="preserve"> down the process producing the particulate matter emissions.</w:t>
      </w:r>
    </w:p>
    <w:p w:rsidR="008E26B7" w:rsidRPr="008E26B7" w:rsidRDefault="008E26B7" w:rsidP="008E26B7">
      <w:r w:rsidRPr="008E26B7">
        <w:t>(6) Failure to monitor or failure to take corrective action under the requirements of paragraph (a) of this section would be a violation of the general duty to operate in a manner consistent with good air pollution control practices that minimizes emissions per §63.6(e)(1)(</w:t>
      </w:r>
      <w:proofErr w:type="spellStart"/>
      <w:r w:rsidRPr="008E26B7">
        <w:t>i</w:t>
      </w:r>
      <w:proofErr w:type="spellEnd"/>
      <w:r w:rsidRPr="008E26B7">
        <w:t>) of subpart A.</w:t>
      </w:r>
    </w:p>
    <w:p w:rsidR="008E26B7" w:rsidRPr="008E26B7" w:rsidRDefault="008E26B7" w:rsidP="008E26B7">
      <w:r w:rsidRPr="008E26B7">
        <w:t xml:space="preserve">(b) </w:t>
      </w:r>
      <w:r w:rsidRPr="008E26B7">
        <w:rPr>
          <w:i/>
          <w:iCs/>
        </w:rPr>
        <w:t>Venturi scrubbers.</w:t>
      </w:r>
      <w:r w:rsidRPr="008E26B7">
        <w:t xml:space="preserve"> (1) The owner or operator must monitor the pressure drop across the venturi at least every 5 minutes and record the average hourly pressure drop. Measurement of an average hourly pressure drop less than the pressure drop operating parameter limit established during a successful compliance demonstration would be a violation of the applicable emission standard, unless the excursion in the pressure drop is due to a malfunction.</w:t>
      </w:r>
    </w:p>
    <w:p w:rsidR="008E26B7" w:rsidRPr="008E26B7" w:rsidRDefault="008E26B7" w:rsidP="008E26B7">
      <w:r w:rsidRPr="008E26B7">
        <w:t>(2) As part of the maintenance plan required by §63.1655(b), the owner or operator must develop and implement corrective action procedures to be followed in the case of a violation of the pressure drop requirement. The owner or operator must initiate corrective action as soon as practicable after the excursion.</w:t>
      </w:r>
    </w:p>
    <w:p w:rsidR="008E26B7" w:rsidRPr="008E26B7" w:rsidRDefault="008E26B7" w:rsidP="008E26B7">
      <w:r w:rsidRPr="008E26B7">
        <w:t>(3) Failure to monitor or failure to take corrective action under the requirements of paragraph (b) of this section is a violation of the general duty to operate in a manner consistent with good air pollution control practices that minimizes emissions per §63.6(e)(1)(</w:t>
      </w:r>
      <w:proofErr w:type="spellStart"/>
      <w:r w:rsidRPr="008E26B7">
        <w:t>i</w:t>
      </w:r>
      <w:proofErr w:type="spellEnd"/>
      <w:r w:rsidRPr="008E26B7">
        <w:t>).</w:t>
      </w:r>
    </w:p>
    <w:p w:rsidR="008E26B7" w:rsidRPr="008E26B7" w:rsidRDefault="008E26B7" w:rsidP="008E26B7">
      <w:r w:rsidRPr="008E26B7">
        <w:t xml:space="preserve">(c) </w:t>
      </w:r>
      <w:r w:rsidRPr="008E26B7">
        <w:rPr>
          <w:i/>
          <w:iCs/>
        </w:rPr>
        <w:t>Shop opacity.</w:t>
      </w:r>
      <w:r w:rsidRPr="008E26B7">
        <w:t xml:space="preserve"> The owner or operator subject to the opacity standards in §63.1653 must comply with one of the monitoring options in paragraphs (c)(1), (c)(2) or (c)(3) of this section. The selected option must be consistent with that selected during the initial performance test described in §63.1656(d</w:t>
      </w:r>
      <w:proofErr w:type="gramStart"/>
      <w:r w:rsidRPr="008E26B7">
        <w:t>)(</w:t>
      </w:r>
      <w:proofErr w:type="gramEnd"/>
      <w:r w:rsidRPr="008E26B7">
        <w:t>2). Alternatively, the owner or operator may use the provisions of §63.8(f) to request approval to use an alternative monitoring method.</w:t>
      </w:r>
    </w:p>
    <w:p w:rsidR="008E26B7" w:rsidRPr="008E26B7" w:rsidRDefault="008E26B7" w:rsidP="008E26B7">
      <w:r w:rsidRPr="008E26B7">
        <w:t>(1) The owner or operator must check and record the control system fan motor amperes and capture system damper positions once per shift.</w:t>
      </w:r>
    </w:p>
    <w:p w:rsidR="008E26B7" w:rsidRPr="008E26B7" w:rsidRDefault="008E26B7" w:rsidP="008E26B7">
      <w:r w:rsidRPr="008E26B7">
        <w:t>(2) The owner or operator must install, calibrate, and maintain a monitoring device that continuously records the volumetric flow rate through each separately ducted hood.</w:t>
      </w:r>
    </w:p>
    <w:p w:rsidR="008E26B7" w:rsidRPr="008E26B7" w:rsidRDefault="008E26B7" w:rsidP="008E26B7">
      <w:r w:rsidRPr="008E26B7">
        <w:t>(3) The owner or operator must install, calibrate, and maintain a monitoring device that continuously records the volumetric flow rate at the inlet of the air pollution control device and must check and record the capture system damper positions once per shift.</w:t>
      </w:r>
    </w:p>
    <w:p w:rsidR="008E26B7" w:rsidRPr="008E26B7" w:rsidRDefault="008E26B7" w:rsidP="008E26B7">
      <w:r w:rsidRPr="008E26B7">
        <w:t>(4) The flow rate monitoring devices must meet the following requirements:</w:t>
      </w:r>
    </w:p>
    <w:p w:rsidR="008E26B7" w:rsidRPr="008E26B7" w:rsidRDefault="008E26B7" w:rsidP="008E26B7">
      <w:r w:rsidRPr="008E26B7">
        <w:t>(</w:t>
      </w:r>
      <w:proofErr w:type="spellStart"/>
      <w:r w:rsidRPr="008E26B7">
        <w:t>i</w:t>
      </w:r>
      <w:proofErr w:type="spellEnd"/>
      <w:r w:rsidRPr="008E26B7">
        <w:t>) Be installed in an appropriate location in the exhaust duct such that reproducible flow rate monitoring will result.</w:t>
      </w:r>
    </w:p>
    <w:p w:rsidR="008E26B7" w:rsidRPr="008E26B7" w:rsidRDefault="008E26B7" w:rsidP="008E26B7">
      <w:r w:rsidRPr="008E26B7">
        <w:t>(ii) Have an accuracy ±10 percent over its normal operating range and be calibrated according to the manufacturer's instructions.</w:t>
      </w:r>
    </w:p>
    <w:p w:rsidR="008E26B7" w:rsidRPr="008E26B7" w:rsidRDefault="008E26B7" w:rsidP="008E26B7">
      <w:r w:rsidRPr="008E26B7">
        <w:t>(5) The Administrator may require the owner or operator to demonstrate the accuracy of the monitoring device(s) relative to Methods 1 and 2 of appendix A of part 60 of this chapter.</w:t>
      </w:r>
    </w:p>
    <w:p w:rsidR="008E26B7" w:rsidRPr="008E26B7" w:rsidRDefault="008E26B7" w:rsidP="008E26B7">
      <w:r w:rsidRPr="008E26B7">
        <w:t>(6) Failure to maintain the appropriate capture system parameters (fan motor amperes, flow rate, and/or damper positions) establishes the need to initiate corrective action as soon as practicable after the monitoring excursion in order to minimize excess emissions.</w:t>
      </w:r>
    </w:p>
    <w:p w:rsidR="008E26B7" w:rsidRPr="008E26B7" w:rsidRDefault="008E26B7" w:rsidP="008E26B7">
      <w:r w:rsidRPr="008E26B7">
        <w:t>(7) Failure to monitor or failure to take corrective action under the requirements of paragraph (c) of this section is a violation of the general duty to operate in a manner consistent with good air pollution control practices that minimizes emissions per §63.6(e)(1)(</w:t>
      </w:r>
      <w:proofErr w:type="spellStart"/>
      <w:r w:rsidRPr="008E26B7">
        <w:t>i</w:t>
      </w:r>
      <w:proofErr w:type="spellEnd"/>
      <w:r w:rsidRPr="008E26B7">
        <w:t>).</w:t>
      </w:r>
    </w:p>
    <w:p w:rsidR="008E26B7" w:rsidRPr="008E26B7" w:rsidRDefault="008E26B7" w:rsidP="008E26B7">
      <w:hyperlink r:id="rId35" w:anchor="_top" w:history="1">
        <w:r w:rsidRPr="008E26B7">
          <w:rPr>
            <w:rStyle w:val="Hyperlink"/>
          </w:rPr>
          <w:drawing>
            <wp:inline distT="0" distB="0" distL="0" distR="0">
              <wp:extent cx="152400" cy="152400"/>
              <wp:effectExtent l="0" t="0" r="0" b="0"/>
              <wp:docPr id="113" name="Picture 113"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10" w:name="se40.13.63_11658"/>
      <w:bookmarkEnd w:id="10"/>
      <w:r w:rsidRPr="008E26B7">
        <w:rPr>
          <w:b/>
          <w:bCs/>
        </w:rPr>
        <w:t>§63.1658 Notification requirements.</w:t>
      </w:r>
    </w:p>
    <w:p w:rsidR="008E26B7" w:rsidRPr="008E26B7" w:rsidRDefault="008E26B7" w:rsidP="008E26B7">
      <w:r w:rsidRPr="008E26B7">
        <w:t>(a) As required by §63.9(b) of subpart A, unless otherwise specified in this subpart, the owner or operator must submit the following written notifications to the Administrator:</w:t>
      </w:r>
    </w:p>
    <w:p w:rsidR="008E26B7" w:rsidRPr="008E26B7" w:rsidRDefault="008E26B7" w:rsidP="008E26B7">
      <w:r w:rsidRPr="008E26B7">
        <w:t>(1) The owner or operator of an area source that subsequently becomes subject to the requirements of the standard must provide notification to the applicable permitting authority as required by §63.9(b</w:t>
      </w:r>
      <w:proofErr w:type="gramStart"/>
      <w:r w:rsidRPr="008E26B7">
        <w:t>)(</w:t>
      </w:r>
      <w:proofErr w:type="gramEnd"/>
      <w:r w:rsidRPr="008E26B7">
        <w:t>1).</w:t>
      </w:r>
    </w:p>
    <w:p w:rsidR="008E26B7" w:rsidRPr="008E26B7" w:rsidRDefault="008E26B7" w:rsidP="008E26B7">
      <w:r w:rsidRPr="008E26B7">
        <w:lastRenderedPageBreak/>
        <w:t>(2) As required by §63.9(b)(2), the owner or operator of an affected source that has an initial startup before the effective date of the standard must notify the Administrator that the source is subject to the requirements of the standard. The notification must be submitted no later than 120 calendar days after May 20, 1999 (or within 120 calendar days after the source becomes subject to this standard) and must contain the information specified in §63.9(b)(2)(</w:t>
      </w:r>
      <w:proofErr w:type="spellStart"/>
      <w:r w:rsidRPr="008E26B7">
        <w:t>i</w:t>
      </w:r>
      <w:proofErr w:type="spellEnd"/>
      <w:r w:rsidRPr="008E26B7">
        <w:t>) through (b)(2)(v).</w:t>
      </w:r>
    </w:p>
    <w:p w:rsidR="008E26B7" w:rsidRPr="008E26B7" w:rsidRDefault="008E26B7" w:rsidP="008E26B7">
      <w:r w:rsidRPr="008E26B7">
        <w:t>(3) As required by §63.9(b</w:t>
      </w:r>
      <w:proofErr w:type="gramStart"/>
      <w:r w:rsidRPr="008E26B7">
        <w:t>)(</w:t>
      </w:r>
      <w:proofErr w:type="gramEnd"/>
      <w:r w:rsidRPr="008E26B7">
        <w:t>3), the owner or operator of a new or reconstructed affected source, or a source that has been reconstructed such that it is an affected source, that has an initial startup after the effective date and for which an application for approval of construction or reconstruction is not required under §63.5(d), must notify the Administrator in writing that the source is subject to the standards no later than 120 days after initial startup. The notification must contain the information specified in §63.9(b</w:t>
      </w:r>
      <w:proofErr w:type="gramStart"/>
      <w:r w:rsidRPr="008E26B7">
        <w:t>)(</w:t>
      </w:r>
      <w:proofErr w:type="gramEnd"/>
      <w:r w:rsidRPr="008E26B7">
        <w:t>2)(</w:t>
      </w:r>
      <w:proofErr w:type="spellStart"/>
      <w:r w:rsidRPr="008E26B7">
        <w:t>i</w:t>
      </w:r>
      <w:proofErr w:type="spellEnd"/>
      <w:r w:rsidRPr="008E26B7">
        <w:t>) through (b)(2)(v), delivered or postmarked with the notification required in §63.9(b)(5).</w:t>
      </w:r>
    </w:p>
    <w:p w:rsidR="008E26B7" w:rsidRPr="008E26B7" w:rsidRDefault="008E26B7" w:rsidP="008E26B7">
      <w:r w:rsidRPr="008E26B7">
        <w:t>(4) As required by §63.9(b</w:t>
      </w:r>
      <w:proofErr w:type="gramStart"/>
      <w:r w:rsidRPr="008E26B7">
        <w:t>)(</w:t>
      </w:r>
      <w:proofErr w:type="gramEnd"/>
      <w:r w:rsidRPr="008E26B7">
        <w:t>4), the owner or operator of a new or reconstructed major affected source that has an initial startup after the effective date of this standard and for which an application for approval of construction or reconstruction is required under §63.5(d) must provide the information specified in §63.9(b)(4)(</w:t>
      </w:r>
      <w:proofErr w:type="spellStart"/>
      <w:r w:rsidRPr="008E26B7">
        <w:t>i</w:t>
      </w:r>
      <w:proofErr w:type="spellEnd"/>
      <w:r w:rsidRPr="008E26B7">
        <w:t>) through (b)(4)(v).</w:t>
      </w:r>
    </w:p>
    <w:p w:rsidR="008E26B7" w:rsidRPr="008E26B7" w:rsidRDefault="008E26B7" w:rsidP="008E26B7">
      <w:r w:rsidRPr="008E26B7">
        <w:t>(5) As required by §63.9(b</w:t>
      </w:r>
      <w:proofErr w:type="gramStart"/>
      <w:r w:rsidRPr="008E26B7">
        <w:t>)(</w:t>
      </w:r>
      <w:proofErr w:type="gramEnd"/>
      <w:r w:rsidRPr="008E26B7">
        <w:t>5), the owner or operator who, after the effective date of this standard, intends to construct a new affected source or reconstruct an affected source subject to this standard, or reconstruct a source such that it becomes an affected source subject to this standard, must notify the Administrator, in writing, of the intended construction or reconstruction.</w:t>
      </w:r>
    </w:p>
    <w:p w:rsidR="008E26B7" w:rsidRPr="008E26B7" w:rsidRDefault="008E26B7" w:rsidP="008E26B7">
      <w:r w:rsidRPr="008E26B7">
        <w:t xml:space="preserve">(b) </w:t>
      </w:r>
      <w:r w:rsidRPr="008E26B7">
        <w:rPr>
          <w:i/>
          <w:iCs/>
        </w:rPr>
        <w:t>Request for extension of compliance.</w:t>
      </w:r>
      <w:r w:rsidRPr="008E26B7">
        <w:t xml:space="preserve"> As required by §63.9(c), if the owner or operator of an affected source cannot comply with this standard by the applicable compliance date for that source, or if the owner or operator has installed BACT or technology to meet LAER consistent with §63.6(</w:t>
      </w:r>
      <w:proofErr w:type="spellStart"/>
      <w:r w:rsidRPr="008E26B7">
        <w:t>i</w:t>
      </w:r>
      <w:proofErr w:type="spellEnd"/>
      <w:r w:rsidRPr="008E26B7">
        <w:t>)(5), he or she may submit to the Administrator (or the State with an approved permit program) a request for an extension of compliance as specified in §63.6(</w:t>
      </w:r>
      <w:proofErr w:type="spellStart"/>
      <w:r w:rsidRPr="008E26B7">
        <w:t>i</w:t>
      </w:r>
      <w:proofErr w:type="spellEnd"/>
      <w:r w:rsidRPr="008E26B7">
        <w:t>)(4) through (</w:t>
      </w:r>
      <w:proofErr w:type="spellStart"/>
      <w:r w:rsidRPr="008E26B7">
        <w:t>i</w:t>
      </w:r>
      <w:proofErr w:type="spellEnd"/>
      <w:r w:rsidRPr="008E26B7">
        <w:t>)(6).</w:t>
      </w:r>
    </w:p>
    <w:p w:rsidR="008E26B7" w:rsidRPr="008E26B7" w:rsidRDefault="008E26B7" w:rsidP="008E26B7">
      <w:r w:rsidRPr="008E26B7">
        <w:t xml:space="preserve">(c) </w:t>
      </w:r>
      <w:r w:rsidRPr="008E26B7">
        <w:rPr>
          <w:i/>
          <w:iCs/>
        </w:rPr>
        <w:t>Notification that source is subject to special compliance requirements.</w:t>
      </w:r>
      <w:r w:rsidRPr="008E26B7">
        <w:t xml:space="preserve"> As required by §63.9(d), an owner or operator of a new source that is subject to special compliance requirements as specified in §63.6(b)(3) and (b)(4) must notify the Administrator of his or her compliance obligations no later than the notification dates established in §63.9(b) for new sources that are not subject to the special provisions.</w:t>
      </w:r>
    </w:p>
    <w:p w:rsidR="008E26B7" w:rsidRPr="008E26B7" w:rsidRDefault="008E26B7" w:rsidP="008E26B7">
      <w:r w:rsidRPr="008E26B7">
        <w:t xml:space="preserve">(d) </w:t>
      </w:r>
      <w:r w:rsidRPr="008E26B7">
        <w:rPr>
          <w:i/>
          <w:iCs/>
        </w:rPr>
        <w:t>Notification of performance test.</w:t>
      </w:r>
      <w:r w:rsidRPr="008E26B7">
        <w:t xml:space="preserve"> As required by §63.9(e), the owner or operator of an affected source must notify the Administrator in writing of his or her intention to conduct a performance test at least 30 calendar days before the performance test is scheduled to begin to allow the Administrator to review and approve the site-specific test plan required under §63.7(c) and to have an observer present during the test.</w:t>
      </w:r>
    </w:p>
    <w:p w:rsidR="008E26B7" w:rsidRPr="008E26B7" w:rsidRDefault="008E26B7" w:rsidP="008E26B7">
      <w:r w:rsidRPr="008E26B7">
        <w:t>(</w:t>
      </w:r>
      <w:proofErr w:type="gramStart"/>
      <w:r w:rsidRPr="008E26B7">
        <w:t>e</w:t>
      </w:r>
      <w:proofErr w:type="gramEnd"/>
      <w:r w:rsidRPr="008E26B7">
        <w:t xml:space="preserve">) </w:t>
      </w:r>
      <w:r w:rsidRPr="008E26B7">
        <w:rPr>
          <w:i/>
          <w:iCs/>
        </w:rPr>
        <w:t>Notification of opacity and visible emission observations.</w:t>
      </w:r>
      <w:r w:rsidRPr="008E26B7">
        <w:t xml:space="preserve"> As required by §63.9(f), the owner or operator of an affected source must notify the Administrator in writing of the anticipated date for conducting the opacity or visible emission observations specified in §63.6(h</w:t>
      </w:r>
      <w:proofErr w:type="gramStart"/>
      <w:r w:rsidRPr="008E26B7">
        <w:t>)(</w:t>
      </w:r>
      <w:proofErr w:type="gramEnd"/>
      <w:r w:rsidRPr="008E26B7">
        <w:t>5). The notification must be submitted with the notification of the performance test date, as specified in paragraph (d) of this section, or if visibility or other conditions prevent the opacity or visible emission observations from being conducted concurrently with the initial performance test required under §63.7, the owner or operator must deliver or postmark the notification not less than 30 days before the opacity or visible emission observations are scheduled to take place.</w:t>
      </w:r>
    </w:p>
    <w:p w:rsidR="008E26B7" w:rsidRPr="008E26B7" w:rsidRDefault="008E26B7" w:rsidP="008E26B7">
      <w:r w:rsidRPr="008E26B7">
        <w:t xml:space="preserve">(f) </w:t>
      </w:r>
      <w:r w:rsidRPr="008E26B7">
        <w:rPr>
          <w:i/>
          <w:iCs/>
        </w:rPr>
        <w:t>Notification of compliance status.</w:t>
      </w:r>
      <w:r w:rsidRPr="008E26B7">
        <w:t xml:space="preserve"> The owner or operator of an affected source must submit a notification of compliance status as required by §63.9(h). The notification must be sent before the close of business on the 60th day following completion of the relevant compliance demonstration.</w:t>
      </w:r>
    </w:p>
    <w:p w:rsidR="008E26B7" w:rsidRPr="008E26B7" w:rsidRDefault="008E26B7" w:rsidP="008E26B7">
      <w:hyperlink r:id="rId36" w:anchor="_top" w:history="1">
        <w:r w:rsidRPr="008E26B7">
          <w:rPr>
            <w:rStyle w:val="Hyperlink"/>
          </w:rPr>
          <w:drawing>
            <wp:inline distT="0" distB="0" distL="0" distR="0">
              <wp:extent cx="152400" cy="152400"/>
              <wp:effectExtent l="0" t="0" r="0" b="0"/>
              <wp:docPr id="114" name="Picture 114"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11" w:name="se40.13.63_11659"/>
      <w:bookmarkEnd w:id="11"/>
      <w:r w:rsidRPr="008E26B7">
        <w:rPr>
          <w:b/>
          <w:bCs/>
        </w:rPr>
        <w:t>§63.1659 Reporting requirements.</w:t>
      </w:r>
    </w:p>
    <w:p w:rsidR="008E26B7" w:rsidRPr="008E26B7" w:rsidRDefault="008E26B7" w:rsidP="008E26B7">
      <w:r w:rsidRPr="008E26B7">
        <w:t xml:space="preserve">(a) </w:t>
      </w:r>
      <w:r w:rsidRPr="008E26B7">
        <w:rPr>
          <w:i/>
          <w:iCs/>
        </w:rPr>
        <w:t>General reporting requirements.</w:t>
      </w:r>
      <w:r w:rsidRPr="008E26B7">
        <w:t xml:space="preserve"> The owner or operator of a ferromanganese and </w:t>
      </w:r>
      <w:proofErr w:type="spellStart"/>
      <w:r w:rsidRPr="008E26B7">
        <w:t>silicomanganese</w:t>
      </w:r>
      <w:proofErr w:type="spellEnd"/>
      <w:r w:rsidRPr="008E26B7">
        <w:t xml:space="preserve"> production facility must comply with all of the reporting requirements under §63.10 of subpart A, unless otherwise specified in this subpart.</w:t>
      </w:r>
    </w:p>
    <w:p w:rsidR="008E26B7" w:rsidRPr="008E26B7" w:rsidRDefault="008E26B7" w:rsidP="008E26B7">
      <w:r w:rsidRPr="008E26B7">
        <w:t xml:space="preserve">(1) </w:t>
      </w:r>
      <w:r w:rsidRPr="008E26B7">
        <w:rPr>
          <w:i/>
          <w:iCs/>
        </w:rPr>
        <w:t>Frequency of reports.</w:t>
      </w:r>
      <w:r w:rsidRPr="008E26B7">
        <w:t xml:space="preserve"> As provided by §63.10(a</w:t>
      </w:r>
      <w:proofErr w:type="gramStart"/>
      <w:r w:rsidRPr="008E26B7">
        <w:t>)(</w:t>
      </w:r>
      <w:proofErr w:type="gramEnd"/>
      <w:r w:rsidRPr="008E26B7">
        <w:t>5), if the owner or operator is required to submit periodic reports to a State on an established time line, he or she may change the dates by which periodic reports submitted under this part may be submitted (without changing the frequency of reporting) to be consistent with the State's schedule by mutual agreement between the owner or operator and the State. This provision may be applied at any point after the source's compliance date.</w:t>
      </w:r>
    </w:p>
    <w:p w:rsidR="008E26B7" w:rsidRPr="008E26B7" w:rsidRDefault="008E26B7" w:rsidP="008E26B7">
      <w:r w:rsidRPr="008E26B7">
        <w:t xml:space="preserve">(2) </w:t>
      </w:r>
      <w:r w:rsidRPr="008E26B7">
        <w:rPr>
          <w:i/>
          <w:iCs/>
        </w:rPr>
        <w:t>Reporting results of performance tests.</w:t>
      </w:r>
      <w:r w:rsidRPr="008E26B7">
        <w:t xml:space="preserve"> As required by §63.10(d)(2), the owner or operator of an affected source must report the results of the initial performance test as part of the notification of compliance status required in §63.1658(f).</w:t>
      </w:r>
    </w:p>
    <w:p w:rsidR="008E26B7" w:rsidRPr="008E26B7" w:rsidRDefault="008E26B7" w:rsidP="008E26B7">
      <w:r w:rsidRPr="008E26B7">
        <w:t>(3) [Reserved]</w:t>
      </w:r>
    </w:p>
    <w:p w:rsidR="008E26B7" w:rsidRPr="008E26B7" w:rsidRDefault="008E26B7" w:rsidP="008E26B7">
      <w:r w:rsidRPr="008E26B7">
        <w:lastRenderedPageBreak/>
        <w:t xml:space="preserve">(4) </w:t>
      </w:r>
      <w:r w:rsidRPr="008E26B7">
        <w:rPr>
          <w:i/>
          <w:iCs/>
        </w:rPr>
        <w:t>Periodic startup, shutdown, and malfunction reports.</w:t>
      </w:r>
      <w:r w:rsidRPr="008E26B7">
        <w:t xml:space="preserve"> (</w:t>
      </w:r>
      <w:proofErr w:type="spellStart"/>
      <w:r w:rsidRPr="008E26B7">
        <w:t>i</w:t>
      </w:r>
      <w:proofErr w:type="spellEnd"/>
      <w:r w:rsidRPr="008E26B7">
        <w:t>) As required by §63.10(d)(5)(</w:t>
      </w:r>
      <w:proofErr w:type="spellStart"/>
      <w:r w:rsidRPr="008E26B7">
        <w:t>i</w:t>
      </w:r>
      <w:proofErr w:type="spellEnd"/>
      <w:r w:rsidRPr="008E26B7">
        <w:t>), if actions taken by an owner or operator during a startup, shutdown, or malfunction of an affected source (including actions taken to correct a malfunction) are consistent with the procedures specified in the startup, shutdown, and malfunction plan, the owner or operator must state such information in a semiannual report. The report, to be certified by the owner or operator or other responsible official, must be submitted semiannually and delivered or postmarked by the 30th day following the end of each calendar half; and</w:t>
      </w:r>
    </w:p>
    <w:p w:rsidR="008E26B7" w:rsidRPr="008E26B7" w:rsidRDefault="008E26B7" w:rsidP="008E26B7">
      <w:r w:rsidRPr="008E26B7">
        <w:t>(ii) Any time an action taken by an owner or operator during a startup, shutdown, or malfunction (including actions taken to correct a malfunction) is not consistent with the procedures in the startup, shutdown, and malfunction plan, the owner or operator must comply with all requirements of §63.10(d)(5)(ii).</w:t>
      </w:r>
    </w:p>
    <w:p w:rsidR="008E26B7" w:rsidRPr="008E26B7" w:rsidRDefault="008E26B7" w:rsidP="008E26B7">
      <w:r w:rsidRPr="008E26B7">
        <w:t xml:space="preserve">(b) </w:t>
      </w:r>
      <w:r w:rsidRPr="008E26B7">
        <w:rPr>
          <w:i/>
          <w:iCs/>
        </w:rPr>
        <w:t>Specific reporting requirements.</w:t>
      </w:r>
      <w:r w:rsidRPr="008E26B7">
        <w:t xml:space="preserve"> In addition to the information required under §63.10, reports required under paragraph (a) of this section must include the information specified in paragraphs (b</w:t>
      </w:r>
      <w:proofErr w:type="gramStart"/>
      <w:r w:rsidRPr="008E26B7">
        <w:t>)(</w:t>
      </w:r>
      <w:proofErr w:type="gramEnd"/>
      <w:r w:rsidRPr="008E26B7">
        <w:t>1) through (b)(5) of this section. As allowed by §63.10(a)(3), if any State requires a report that contains all of the information required in a report listed in this section, an owner or operator may send the Administrator a copy of the report sent to the State to satisfy the requirements of this section for that report.</w:t>
      </w:r>
    </w:p>
    <w:p w:rsidR="008E26B7" w:rsidRPr="008E26B7" w:rsidRDefault="008E26B7" w:rsidP="008E26B7">
      <w:r w:rsidRPr="008E26B7">
        <w:t xml:space="preserve">(1) </w:t>
      </w:r>
      <w:r w:rsidRPr="008E26B7">
        <w:rPr>
          <w:i/>
          <w:iCs/>
        </w:rPr>
        <w:t>Air pollution control devices.</w:t>
      </w:r>
      <w:r w:rsidRPr="008E26B7">
        <w:t xml:space="preserve"> The owner or operator must submit reports that summarize the records maintained as part of the practices described in the maintenance plan for air pollution control devices required under §63.1655(b), including an explanation of the periods when the procedures were not followed and the corrective actions taken.</w:t>
      </w:r>
    </w:p>
    <w:p w:rsidR="008E26B7" w:rsidRPr="008E26B7" w:rsidRDefault="008E26B7" w:rsidP="008E26B7">
      <w:r w:rsidRPr="008E26B7">
        <w:t xml:space="preserve">(2) </w:t>
      </w:r>
      <w:r w:rsidRPr="008E26B7">
        <w:rPr>
          <w:i/>
          <w:iCs/>
        </w:rPr>
        <w:t>Venturi scrubbers.</w:t>
      </w:r>
      <w:r w:rsidRPr="008E26B7">
        <w:t xml:space="preserve"> In addition to the information required to be submitted in paragraph (b)(1) of this section, the owner or operator must submit reports that identify the periods when the average hourly pressure drop of venturi scrubbers used to control particulate emissions dropped below the levels established in §63.1656(c)(4), and an explanation of the corrective actions taken.</w:t>
      </w:r>
    </w:p>
    <w:p w:rsidR="008E26B7" w:rsidRPr="008E26B7" w:rsidRDefault="008E26B7" w:rsidP="008E26B7">
      <w:r w:rsidRPr="008E26B7">
        <w:t xml:space="preserve">(3) </w:t>
      </w:r>
      <w:r w:rsidRPr="008E26B7">
        <w:rPr>
          <w:i/>
          <w:iCs/>
        </w:rPr>
        <w:t>Fugitive dust.</w:t>
      </w:r>
      <w:r w:rsidRPr="008E26B7">
        <w:t xml:space="preserve"> The owner or operator must submit reports that explain the periods when the procedures outlined in the fugitive dust control plan pursuant to §63.1654(a) were not followed and the corrective actions taken.</w:t>
      </w:r>
    </w:p>
    <w:p w:rsidR="008E26B7" w:rsidRPr="008E26B7" w:rsidRDefault="008E26B7" w:rsidP="008E26B7">
      <w:r w:rsidRPr="008E26B7">
        <w:t xml:space="preserve">(4) </w:t>
      </w:r>
      <w:r w:rsidRPr="008E26B7">
        <w:rPr>
          <w:i/>
          <w:iCs/>
        </w:rPr>
        <w:t>Capture system.</w:t>
      </w:r>
      <w:r w:rsidRPr="008E26B7">
        <w:t xml:space="preserve"> The owner or operator must submit reports that summarize the monitoring parameter excursions measured pursuant to §63.1657(c) and the corrective actions taken.</w:t>
      </w:r>
    </w:p>
    <w:p w:rsidR="008E26B7" w:rsidRPr="008E26B7" w:rsidRDefault="008E26B7" w:rsidP="008E26B7">
      <w:r w:rsidRPr="008E26B7">
        <w:t xml:space="preserve">(5) </w:t>
      </w:r>
      <w:r w:rsidRPr="008E26B7">
        <w:rPr>
          <w:i/>
          <w:iCs/>
        </w:rPr>
        <w:t>Bag leak detection system.</w:t>
      </w:r>
      <w:r w:rsidRPr="008E26B7">
        <w:t xml:space="preserve"> The owner or operator must submit reports including the following information:</w:t>
      </w:r>
    </w:p>
    <w:p w:rsidR="008E26B7" w:rsidRPr="008E26B7" w:rsidRDefault="008E26B7" w:rsidP="008E26B7">
      <w:r w:rsidRPr="008E26B7">
        <w:t>(</w:t>
      </w:r>
      <w:proofErr w:type="spellStart"/>
      <w:r w:rsidRPr="008E26B7">
        <w:t>i</w:t>
      </w:r>
      <w:proofErr w:type="spellEnd"/>
      <w:r w:rsidRPr="008E26B7">
        <w:t>) Records of all alarms.</w:t>
      </w:r>
    </w:p>
    <w:p w:rsidR="008E26B7" w:rsidRPr="008E26B7" w:rsidRDefault="008E26B7" w:rsidP="008E26B7">
      <w:r w:rsidRPr="008E26B7">
        <w:t>(ii) Description of the actions taken following each bag leak detection system alarm.</w:t>
      </w:r>
    </w:p>
    <w:p w:rsidR="008E26B7" w:rsidRPr="008E26B7" w:rsidRDefault="008E26B7" w:rsidP="008E26B7">
      <w:r w:rsidRPr="008E26B7">
        <w:t>(iii) Calculation of the percent of time the alarm on the bag leak detection system sounded during the reporting period.</w:t>
      </w:r>
    </w:p>
    <w:p w:rsidR="008E26B7" w:rsidRPr="008E26B7" w:rsidRDefault="008E26B7" w:rsidP="008E26B7">
      <w:r w:rsidRPr="008E26B7">
        <w:t xml:space="preserve">(6) </w:t>
      </w:r>
      <w:r w:rsidRPr="008E26B7">
        <w:rPr>
          <w:i/>
          <w:iCs/>
        </w:rPr>
        <w:t>Frequency of reports.</w:t>
      </w:r>
      <w:r w:rsidRPr="008E26B7">
        <w:t xml:space="preserve"> (</w:t>
      </w:r>
      <w:proofErr w:type="spellStart"/>
      <w:r w:rsidRPr="008E26B7">
        <w:t>i</w:t>
      </w:r>
      <w:proofErr w:type="spellEnd"/>
      <w:r w:rsidRPr="008E26B7">
        <w:t>) The owner or operator must submit reports pursuant to §63.10(e)(3) that are associated with excess emissions events such as the excursion of the scrubber pressure drop limit per paragraph (b)(2) of this section. These reports are to be submitted on a quarterly basis, unless the owner or operator can satisfy the requirements in §63.10(e</w:t>
      </w:r>
      <w:proofErr w:type="gramStart"/>
      <w:r w:rsidRPr="008E26B7">
        <w:t>)(</w:t>
      </w:r>
      <w:proofErr w:type="gramEnd"/>
      <w:r w:rsidRPr="008E26B7">
        <w:t>3) to reduce the frequency to a semiannual basis.</w:t>
      </w:r>
    </w:p>
    <w:p w:rsidR="008E26B7" w:rsidRPr="008E26B7" w:rsidRDefault="008E26B7" w:rsidP="008E26B7">
      <w:r w:rsidRPr="008E26B7">
        <w:t>(ii) All other reports specified in paragraphs (b</w:t>
      </w:r>
      <w:proofErr w:type="gramStart"/>
      <w:r w:rsidRPr="008E26B7">
        <w:t>)(</w:t>
      </w:r>
      <w:proofErr w:type="gramEnd"/>
      <w:r w:rsidRPr="008E26B7">
        <w:t>1) through (b)(5) of this section must be submitted semiannually.</w:t>
      </w:r>
    </w:p>
    <w:p w:rsidR="008E26B7" w:rsidRPr="008E26B7" w:rsidRDefault="008E26B7" w:rsidP="008E26B7">
      <w:hyperlink r:id="rId37" w:anchor="_top" w:history="1">
        <w:r w:rsidRPr="008E26B7">
          <w:rPr>
            <w:rStyle w:val="Hyperlink"/>
          </w:rPr>
          <w:drawing>
            <wp:inline distT="0" distB="0" distL="0" distR="0">
              <wp:extent cx="152400" cy="152400"/>
              <wp:effectExtent l="0" t="0" r="0" b="0"/>
              <wp:docPr id="115" name="Picture 115"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12" w:name="se40.13.63_11660"/>
      <w:bookmarkEnd w:id="12"/>
      <w:r w:rsidRPr="008E26B7">
        <w:rPr>
          <w:b/>
          <w:bCs/>
        </w:rPr>
        <w:t>§63.1660 Recordkeeping requirements.</w:t>
      </w:r>
    </w:p>
    <w:p w:rsidR="008E26B7" w:rsidRPr="008E26B7" w:rsidRDefault="008E26B7" w:rsidP="008E26B7">
      <w:r w:rsidRPr="008E26B7">
        <w:t xml:space="preserve">(a) </w:t>
      </w:r>
      <w:r w:rsidRPr="008E26B7">
        <w:rPr>
          <w:i/>
          <w:iCs/>
        </w:rPr>
        <w:t xml:space="preserve">General </w:t>
      </w:r>
      <w:proofErr w:type="gramStart"/>
      <w:r w:rsidRPr="008E26B7">
        <w:rPr>
          <w:i/>
          <w:iCs/>
        </w:rPr>
        <w:t>recordkeeping</w:t>
      </w:r>
      <w:proofErr w:type="gramEnd"/>
      <w:r w:rsidRPr="008E26B7">
        <w:rPr>
          <w:i/>
          <w:iCs/>
        </w:rPr>
        <w:t xml:space="preserve"> requirements.</w:t>
      </w:r>
      <w:r w:rsidRPr="008E26B7">
        <w:t xml:space="preserve"> (1) The owner or operator of a ferromanganese and </w:t>
      </w:r>
      <w:proofErr w:type="spellStart"/>
      <w:r w:rsidRPr="008E26B7">
        <w:t>silicomanganese</w:t>
      </w:r>
      <w:proofErr w:type="spellEnd"/>
      <w:r w:rsidRPr="008E26B7">
        <w:t xml:space="preserve"> production facility must comply with all of the recordkeeping requirements under §63.10.</w:t>
      </w:r>
    </w:p>
    <w:p w:rsidR="008E26B7" w:rsidRPr="008E26B7" w:rsidRDefault="008E26B7" w:rsidP="008E26B7">
      <w:r w:rsidRPr="008E26B7">
        <w:t>(2) As required by §63.10(b</w:t>
      </w:r>
      <w:proofErr w:type="gramStart"/>
      <w:r w:rsidRPr="008E26B7">
        <w:t>)(</w:t>
      </w:r>
      <w:proofErr w:type="gramEnd"/>
      <w:r w:rsidRPr="008E26B7">
        <w:t>2), the owner or operator must maintain records for 5 years from the date of each record of:</w:t>
      </w:r>
    </w:p>
    <w:p w:rsidR="008E26B7" w:rsidRPr="008E26B7" w:rsidRDefault="008E26B7" w:rsidP="008E26B7">
      <w:r w:rsidRPr="008E26B7">
        <w:t>(</w:t>
      </w:r>
      <w:proofErr w:type="spellStart"/>
      <w:r w:rsidRPr="008E26B7">
        <w:t>i</w:t>
      </w:r>
      <w:proofErr w:type="spellEnd"/>
      <w:r w:rsidRPr="008E26B7">
        <w:t>) The occurrence and duration of each startup, shutdown, or malfunction of operation (i.e., process equipment and control devices);</w:t>
      </w:r>
    </w:p>
    <w:p w:rsidR="008E26B7" w:rsidRPr="008E26B7" w:rsidRDefault="008E26B7" w:rsidP="008E26B7">
      <w:r w:rsidRPr="008E26B7">
        <w:t>(ii) The occurrence and duration of each malfunction of the source or air pollution control equipment;</w:t>
      </w:r>
    </w:p>
    <w:p w:rsidR="008E26B7" w:rsidRPr="008E26B7" w:rsidRDefault="008E26B7" w:rsidP="008E26B7">
      <w:r w:rsidRPr="008E26B7">
        <w:t>(iii) All maintenance performed on the air pollution control equipment;</w:t>
      </w:r>
    </w:p>
    <w:p w:rsidR="008E26B7" w:rsidRPr="008E26B7" w:rsidRDefault="008E26B7" w:rsidP="008E26B7">
      <w:r w:rsidRPr="008E26B7">
        <w:t>(iv) Actions taken during periods of startup, shutdown, and malfunction (including corrective actions to restore malfunctioning process and air pollution control equipment to its normal or usual manner of operation) when such actions are different from the procedures specified in the startup, shutdown, and malfunction plan;</w:t>
      </w:r>
    </w:p>
    <w:p w:rsidR="008E26B7" w:rsidRPr="008E26B7" w:rsidRDefault="008E26B7" w:rsidP="008E26B7">
      <w:r w:rsidRPr="008E26B7">
        <w:t>(v) All information necessary to demonstrate conformance with the startup, shutdown, and malfunction plan when all actions taken during periods of startup, shutdown, and malfunction (including corrective actions) are consistent with the procedures specified in such plan. This information can be recorded in a checklist or similar form (see §63.10(b</w:t>
      </w:r>
      <w:proofErr w:type="gramStart"/>
      <w:r w:rsidRPr="008E26B7">
        <w:t>)(</w:t>
      </w:r>
      <w:proofErr w:type="gramEnd"/>
      <w:r w:rsidRPr="008E26B7">
        <w:t>2)(v));</w:t>
      </w:r>
    </w:p>
    <w:p w:rsidR="008E26B7" w:rsidRPr="008E26B7" w:rsidRDefault="008E26B7" w:rsidP="008E26B7">
      <w:r w:rsidRPr="008E26B7">
        <w:t xml:space="preserve">(vi) All required measurements needed to demonstrate compliance with the standard and to support data that the source is required to report, including, but not limited to, performance test measurements (including initial and any </w:t>
      </w:r>
      <w:r w:rsidRPr="008E26B7">
        <w:lastRenderedPageBreak/>
        <w:t>subsequent performance tests) and measurements as may be necessary to determine the conditions of the initial test or subsequent tests;</w:t>
      </w:r>
    </w:p>
    <w:p w:rsidR="008E26B7" w:rsidRPr="008E26B7" w:rsidRDefault="008E26B7" w:rsidP="008E26B7">
      <w:r w:rsidRPr="008E26B7">
        <w:t>(vii) All results of initial or subsequent performance tests;</w:t>
      </w:r>
    </w:p>
    <w:p w:rsidR="008E26B7" w:rsidRPr="008E26B7" w:rsidRDefault="008E26B7" w:rsidP="008E26B7">
      <w:r w:rsidRPr="008E26B7">
        <w:t>(viii) If the owner or operator has been granted a waiver from recordkeeping or reporting requirements under §63.10(f), any information demonstrating whether a source is meeting the requirements for a waiver of recordkeeping or reporting requirements;</w:t>
      </w:r>
    </w:p>
    <w:p w:rsidR="008E26B7" w:rsidRPr="008E26B7" w:rsidRDefault="008E26B7" w:rsidP="008E26B7">
      <w:r w:rsidRPr="008E26B7">
        <w:t>(ix) If the owner or operator has been granted a waiver from the initial performance test under §63.7(h), a copy of the full request and the Administrator's approval or disapproval;</w:t>
      </w:r>
    </w:p>
    <w:p w:rsidR="008E26B7" w:rsidRPr="008E26B7" w:rsidRDefault="008E26B7" w:rsidP="008E26B7">
      <w:r w:rsidRPr="008E26B7">
        <w:t>(x) All documentation supporting initial notifications and notifications of compliance status required by §63.9; and</w:t>
      </w:r>
    </w:p>
    <w:p w:rsidR="008E26B7" w:rsidRPr="008E26B7" w:rsidRDefault="008E26B7" w:rsidP="008E26B7">
      <w:r w:rsidRPr="008E26B7">
        <w:t>(xi) As required by §63.10(b</w:t>
      </w:r>
      <w:proofErr w:type="gramStart"/>
      <w:r w:rsidRPr="008E26B7">
        <w:t>)(</w:t>
      </w:r>
      <w:proofErr w:type="gramEnd"/>
      <w:r w:rsidRPr="008E26B7">
        <w:t>3), records of any applicability determination, including supporting analyses.</w:t>
      </w:r>
    </w:p>
    <w:p w:rsidR="008E26B7" w:rsidRPr="008E26B7" w:rsidRDefault="008E26B7" w:rsidP="008E26B7">
      <w:r w:rsidRPr="008E26B7">
        <w:t xml:space="preserve">(b) </w:t>
      </w:r>
      <w:r w:rsidRPr="008E26B7">
        <w:rPr>
          <w:i/>
          <w:iCs/>
        </w:rPr>
        <w:t>Specific recordkeeping requirements.</w:t>
      </w:r>
      <w:r w:rsidRPr="008E26B7">
        <w:t xml:space="preserve"> (1) In addition to the general records required by paragraph (a) of this section, the owner or operator must maintain records for 5 years from the date of each record of:</w:t>
      </w:r>
    </w:p>
    <w:p w:rsidR="008E26B7" w:rsidRPr="008E26B7" w:rsidRDefault="008E26B7" w:rsidP="008E26B7">
      <w:r w:rsidRPr="008E26B7">
        <w:t>(</w:t>
      </w:r>
      <w:proofErr w:type="spellStart"/>
      <w:r w:rsidRPr="008E26B7">
        <w:t>i</w:t>
      </w:r>
      <w:proofErr w:type="spellEnd"/>
      <w:r w:rsidRPr="008E26B7">
        <w:t>) Records of pressure drop across the venturi if a venturi scrubber is used.</w:t>
      </w:r>
    </w:p>
    <w:p w:rsidR="008E26B7" w:rsidRPr="008E26B7" w:rsidRDefault="008E26B7" w:rsidP="008E26B7">
      <w:r w:rsidRPr="008E26B7">
        <w:t>(ii) Records of manufacturer certification that monitoring devices are accurate to within 5 percent (unless otherwise specified in this subpart) and of calibrations performed at the manufacturer's recommended frequency, or at a frequency consistent with good engineering practice, or as experience dictates.</w:t>
      </w:r>
    </w:p>
    <w:p w:rsidR="008E26B7" w:rsidRPr="008E26B7" w:rsidRDefault="008E26B7" w:rsidP="008E26B7">
      <w:r w:rsidRPr="008E26B7">
        <w:t>(iii) Records of bag leak detection system output.</w:t>
      </w:r>
    </w:p>
    <w:p w:rsidR="008E26B7" w:rsidRPr="008E26B7" w:rsidRDefault="008E26B7" w:rsidP="008E26B7">
      <w:r w:rsidRPr="008E26B7">
        <w:t>(iv) An identification of the date and time of all bag leak detection system alarms, the time that procedures to determine the cause of the alarm were initiated, the cause of the alarm, an explanation of the actions taken, and the date and time the alarm was corrected.</w:t>
      </w:r>
    </w:p>
    <w:p w:rsidR="008E26B7" w:rsidRPr="008E26B7" w:rsidRDefault="008E26B7" w:rsidP="008E26B7">
      <w:r w:rsidRPr="008E26B7">
        <w:t>(v) Copy of the written maintenance plan for each air pollution control device.</w:t>
      </w:r>
    </w:p>
    <w:p w:rsidR="008E26B7" w:rsidRPr="008E26B7" w:rsidRDefault="008E26B7" w:rsidP="008E26B7">
      <w:proofErr w:type="gramStart"/>
      <w:r w:rsidRPr="008E26B7">
        <w:t>(vi) Copy</w:t>
      </w:r>
      <w:proofErr w:type="gramEnd"/>
      <w:r w:rsidRPr="008E26B7">
        <w:t xml:space="preserve"> of the fugitive dust control plan.</w:t>
      </w:r>
    </w:p>
    <w:p w:rsidR="008E26B7" w:rsidRPr="008E26B7" w:rsidRDefault="008E26B7" w:rsidP="008E26B7">
      <w:r w:rsidRPr="008E26B7">
        <w:t>(vii) Records of each maintenance inspection and repair, replacement, or other corrective action.</w:t>
      </w:r>
    </w:p>
    <w:p w:rsidR="008E26B7" w:rsidRPr="008E26B7" w:rsidRDefault="008E26B7" w:rsidP="008E26B7">
      <w:r w:rsidRPr="008E26B7">
        <w:t>(2) All records for the most recent 2 years of operation must be maintained on site. Records for the previous 3 years may be maintained off site.</w:t>
      </w:r>
    </w:p>
    <w:p w:rsidR="008E26B7" w:rsidRPr="008E26B7" w:rsidRDefault="008E26B7" w:rsidP="008E26B7">
      <w:hyperlink r:id="rId38" w:anchor="_top" w:history="1">
        <w:r w:rsidRPr="008E26B7">
          <w:rPr>
            <w:rStyle w:val="Hyperlink"/>
          </w:rPr>
          <w:drawing>
            <wp:inline distT="0" distB="0" distL="0" distR="0">
              <wp:extent cx="152400" cy="152400"/>
              <wp:effectExtent l="0" t="0" r="0" b="0"/>
              <wp:docPr id="116" name="Picture 116"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13" w:name="se40.13.63_11661"/>
      <w:bookmarkEnd w:id="13"/>
      <w:r w:rsidRPr="008E26B7">
        <w:rPr>
          <w:b/>
          <w:bCs/>
        </w:rPr>
        <w:t>§63.1661 Implementation and enforcement.</w:t>
      </w:r>
    </w:p>
    <w:p w:rsidR="008E26B7" w:rsidRPr="008E26B7" w:rsidRDefault="008E26B7" w:rsidP="008E26B7">
      <w:r w:rsidRPr="008E26B7">
        <w:t>(a) This subpart can be implemented and enforced by the U.S. EPA, or a delegated authority such as the applicable State, local, or Tribal agency. If the U.S. EPA Administrator has delegated authority to a State, local, or Tribal agency, then that agency, in addition to the U.S. EPA, has the authority to implement and enforce this subpart. Contact the applicable U.S. EPA Regional Office to find out if this subpart is delegated to a State, local, or Tribal agency.</w:t>
      </w:r>
    </w:p>
    <w:p w:rsidR="008E26B7" w:rsidRPr="008E26B7" w:rsidRDefault="008E26B7" w:rsidP="008E26B7">
      <w:r w:rsidRPr="008E26B7">
        <w:t>(b) In delegating implementation and enforcement authority of this subpart to a State, local, or Tribal agency under subpart E of this part, the authorities contained in paragraph (c) of this section are retained by the Administrator of U.S. EPA and cannot be transferred to the State, local, or Tribal agency.</w:t>
      </w:r>
    </w:p>
    <w:p w:rsidR="008E26B7" w:rsidRPr="008E26B7" w:rsidRDefault="008E26B7" w:rsidP="008E26B7">
      <w:r w:rsidRPr="008E26B7">
        <w:t>(c) The authorities that cannot be delegated to State, local, or Tribal agencies are as specified in paragraphs (c</w:t>
      </w:r>
      <w:proofErr w:type="gramStart"/>
      <w:r w:rsidRPr="008E26B7">
        <w:t>)(</w:t>
      </w:r>
      <w:proofErr w:type="gramEnd"/>
      <w:r w:rsidRPr="008E26B7">
        <w:t>1) through (4) of this section.</w:t>
      </w:r>
    </w:p>
    <w:p w:rsidR="008E26B7" w:rsidRPr="008E26B7" w:rsidRDefault="008E26B7" w:rsidP="008E26B7">
      <w:r w:rsidRPr="008E26B7">
        <w:t>(1) Approval of alternatives to requirements in §§63.1650 and 63.1652 through 63.1654.</w:t>
      </w:r>
    </w:p>
    <w:p w:rsidR="008E26B7" w:rsidRPr="008E26B7" w:rsidRDefault="008E26B7" w:rsidP="008E26B7">
      <w:r w:rsidRPr="008E26B7">
        <w:t>(2) Approval of major alternatives to test methods under §63.7(e</w:t>
      </w:r>
      <w:proofErr w:type="gramStart"/>
      <w:r w:rsidRPr="008E26B7">
        <w:t>)(</w:t>
      </w:r>
      <w:proofErr w:type="gramEnd"/>
      <w:r w:rsidRPr="008E26B7">
        <w:t>2)(ii) and (f), as defined in §63.90, and as required in this subpart.</w:t>
      </w:r>
    </w:p>
    <w:p w:rsidR="008E26B7" w:rsidRPr="008E26B7" w:rsidRDefault="008E26B7" w:rsidP="008E26B7">
      <w:r w:rsidRPr="008E26B7">
        <w:t>(3) Approval of major alternatives to monitoring under §63.8(f), as defined in §63.90, and as required in this subpart.</w:t>
      </w:r>
    </w:p>
    <w:p w:rsidR="008E26B7" w:rsidRPr="008E26B7" w:rsidRDefault="008E26B7" w:rsidP="008E26B7">
      <w:r w:rsidRPr="008E26B7">
        <w:t>(4) Approval of major alternatives to recordkeeping and reporting under §63.10(f), as defined in §63.90, and as required in this subpart.</w:t>
      </w:r>
    </w:p>
    <w:p w:rsidR="008E26B7" w:rsidRPr="008E26B7" w:rsidRDefault="008E26B7" w:rsidP="008E26B7">
      <w:r w:rsidRPr="008E26B7">
        <w:t>[68 FR 37360, June 23, 2003]</w:t>
      </w:r>
    </w:p>
    <w:p w:rsidR="008E26B7" w:rsidRPr="008E26B7" w:rsidRDefault="008E26B7" w:rsidP="008E26B7">
      <w:hyperlink r:id="rId39" w:anchor="_top" w:history="1">
        <w:r w:rsidRPr="008E26B7">
          <w:rPr>
            <w:rStyle w:val="Hyperlink"/>
          </w:rPr>
          <w:drawing>
            <wp:inline distT="0" distB="0" distL="0" distR="0">
              <wp:extent cx="152400" cy="152400"/>
              <wp:effectExtent l="0" t="0" r="0" b="0"/>
              <wp:docPr id="117" name="Picture 117" descr="return arro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E26B7">
          <w:rPr>
            <w:rStyle w:val="Hyperlink"/>
          </w:rPr>
          <w:t>Back to Top</w:t>
        </w:r>
      </w:hyperlink>
    </w:p>
    <w:p w:rsidR="008E26B7" w:rsidRPr="008E26B7" w:rsidRDefault="008E26B7" w:rsidP="008E26B7">
      <w:pPr>
        <w:numPr>
          <w:ilvl w:val="0"/>
          <w:numId w:val="9"/>
        </w:numPr>
        <w:rPr>
          <w:b/>
          <w:bCs/>
        </w:rPr>
      </w:pPr>
      <w:bookmarkStart w:id="14" w:name="se40.13.63_11662_663_11679"/>
      <w:bookmarkEnd w:id="14"/>
      <w:r w:rsidRPr="008E26B7">
        <w:rPr>
          <w:b/>
          <w:bCs/>
        </w:rPr>
        <w:t>§§63.1662-63.1679 [Reserved]</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E26B7"/>
    <w:rsid w:val="000459F4"/>
    <w:rsid w:val="00060120"/>
    <w:rsid w:val="00067040"/>
    <w:rsid w:val="000B4697"/>
    <w:rsid w:val="000D2973"/>
    <w:rsid w:val="000D5C02"/>
    <w:rsid w:val="00104AC6"/>
    <w:rsid w:val="00146C92"/>
    <w:rsid w:val="00147547"/>
    <w:rsid w:val="001559E2"/>
    <w:rsid w:val="00176EEF"/>
    <w:rsid w:val="001838BD"/>
    <w:rsid w:val="00195444"/>
    <w:rsid w:val="00195FC2"/>
    <w:rsid w:val="00197570"/>
    <w:rsid w:val="001A22A5"/>
    <w:rsid w:val="001B4C01"/>
    <w:rsid w:val="001C5A74"/>
    <w:rsid w:val="001D19AE"/>
    <w:rsid w:val="001F0FD8"/>
    <w:rsid w:val="001F4127"/>
    <w:rsid w:val="001F4426"/>
    <w:rsid w:val="001F6108"/>
    <w:rsid w:val="0020056E"/>
    <w:rsid w:val="0020509F"/>
    <w:rsid w:val="002616A5"/>
    <w:rsid w:val="002A506D"/>
    <w:rsid w:val="002D5E18"/>
    <w:rsid w:val="002D698C"/>
    <w:rsid w:val="00312201"/>
    <w:rsid w:val="00340C2A"/>
    <w:rsid w:val="003419DD"/>
    <w:rsid w:val="0035471E"/>
    <w:rsid w:val="0037020C"/>
    <w:rsid w:val="00394250"/>
    <w:rsid w:val="0039781C"/>
    <w:rsid w:val="003A1E7B"/>
    <w:rsid w:val="003A2167"/>
    <w:rsid w:val="003A60DE"/>
    <w:rsid w:val="003B54E8"/>
    <w:rsid w:val="003C2C6E"/>
    <w:rsid w:val="003D37E3"/>
    <w:rsid w:val="00400586"/>
    <w:rsid w:val="00414F67"/>
    <w:rsid w:val="0043117D"/>
    <w:rsid w:val="00432365"/>
    <w:rsid w:val="00451F91"/>
    <w:rsid w:val="004A35C7"/>
    <w:rsid w:val="004A69AF"/>
    <w:rsid w:val="004B2364"/>
    <w:rsid w:val="004C0F0A"/>
    <w:rsid w:val="004D578D"/>
    <w:rsid w:val="004F506B"/>
    <w:rsid w:val="005015D1"/>
    <w:rsid w:val="00515305"/>
    <w:rsid w:val="00516616"/>
    <w:rsid w:val="00526BD8"/>
    <w:rsid w:val="005575A3"/>
    <w:rsid w:val="00583080"/>
    <w:rsid w:val="0058737B"/>
    <w:rsid w:val="005A4F7A"/>
    <w:rsid w:val="005B3E72"/>
    <w:rsid w:val="005D4E89"/>
    <w:rsid w:val="005D7215"/>
    <w:rsid w:val="005F2679"/>
    <w:rsid w:val="00621182"/>
    <w:rsid w:val="00665BB2"/>
    <w:rsid w:val="0066636C"/>
    <w:rsid w:val="00691FFD"/>
    <w:rsid w:val="006A1C1A"/>
    <w:rsid w:val="006A72B3"/>
    <w:rsid w:val="006E23E4"/>
    <w:rsid w:val="006E4A30"/>
    <w:rsid w:val="006F65EA"/>
    <w:rsid w:val="006F6D02"/>
    <w:rsid w:val="007142DA"/>
    <w:rsid w:val="007260E4"/>
    <w:rsid w:val="0072678D"/>
    <w:rsid w:val="00732F05"/>
    <w:rsid w:val="00734469"/>
    <w:rsid w:val="00791DB9"/>
    <w:rsid w:val="00796081"/>
    <w:rsid w:val="007B704E"/>
    <w:rsid w:val="007C644B"/>
    <w:rsid w:val="007E2042"/>
    <w:rsid w:val="008114C7"/>
    <w:rsid w:val="00822FC3"/>
    <w:rsid w:val="00844B9F"/>
    <w:rsid w:val="00882A13"/>
    <w:rsid w:val="008A12AC"/>
    <w:rsid w:val="008A1D3D"/>
    <w:rsid w:val="008A5039"/>
    <w:rsid w:val="008A7A14"/>
    <w:rsid w:val="008D48FD"/>
    <w:rsid w:val="008E26B7"/>
    <w:rsid w:val="008F7F7D"/>
    <w:rsid w:val="009206BF"/>
    <w:rsid w:val="00942A04"/>
    <w:rsid w:val="00946703"/>
    <w:rsid w:val="00983606"/>
    <w:rsid w:val="00997E45"/>
    <w:rsid w:val="009B3E5A"/>
    <w:rsid w:val="009F2E6A"/>
    <w:rsid w:val="009F5924"/>
    <w:rsid w:val="00A74511"/>
    <w:rsid w:val="00A75B68"/>
    <w:rsid w:val="00A931E0"/>
    <w:rsid w:val="00AA2DB5"/>
    <w:rsid w:val="00AD2D39"/>
    <w:rsid w:val="00AE1F83"/>
    <w:rsid w:val="00AE630B"/>
    <w:rsid w:val="00B03D23"/>
    <w:rsid w:val="00B45EA8"/>
    <w:rsid w:val="00B517E5"/>
    <w:rsid w:val="00B54B70"/>
    <w:rsid w:val="00B80CC8"/>
    <w:rsid w:val="00BA746E"/>
    <w:rsid w:val="00BB2762"/>
    <w:rsid w:val="00BC407B"/>
    <w:rsid w:val="00BE33CA"/>
    <w:rsid w:val="00C2695F"/>
    <w:rsid w:val="00C34A32"/>
    <w:rsid w:val="00C47403"/>
    <w:rsid w:val="00C75249"/>
    <w:rsid w:val="00CB3E5D"/>
    <w:rsid w:val="00CB5269"/>
    <w:rsid w:val="00CB57AD"/>
    <w:rsid w:val="00CF0D39"/>
    <w:rsid w:val="00CF18E6"/>
    <w:rsid w:val="00CF2E54"/>
    <w:rsid w:val="00D127AE"/>
    <w:rsid w:val="00D3170B"/>
    <w:rsid w:val="00D52EBF"/>
    <w:rsid w:val="00D677B1"/>
    <w:rsid w:val="00D83263"/>
    <w:rsid w:val="00D866AB"/>
    <w:rsid w:val="00DA0F01"/>
    <w:rsid w:val="00DF05EA"/>
    <w:rsid w:val="00E21A48"/>
    <w:rsid w:val="00E60434"/>
    <w:rsid w:val="00E939D0"/>
    <w:rsid w:val="00E966A8"/>
    <w:rsid w:val="00EA1896"/>
    <w:rsid w:val="00EB4211"/>
    <w:rsid w:val="00EC7C87"/>
    <w:rsid w:val="00ED5A52"/>
    <w:rsid w:val="00EE7408"/>
    <w:rsid w:val="00EE7544"/>
    <w:rsid w:val="00EF19FA"/>
    <w:rsid w:val="00EF4C04"/>
    <w:rsid w:val="00F004DB"/>
    <w:rsid w:val="00F032C1"/>
    <w:rsid w:val="00F21A48"/>
    <w:rsid w:val="00F24902"/>
    <w:rsid w:val="00F367C5"/>
    <w:rsid w:val="00F40738"/>
    <w:rsid w:val="00F469F5"/>
    <w:rsid w:val="00FA69E6"/>
    <w:rsid w:val="00FC1EB7"/>
    <w:rsid w:val="00FC6C23"/>
    <w:rsid w:val="00FD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8E26B7"/>
    <w:rPr>
      <w:color w:val="0000FF" w:themeColor="hyperlink"/>
      <w:u w:val="single"/>
    </w:rPr>
  </w:style>
  <w:style w:type="paragraph" w:styleId="BalloonText">
    <w:name w:val="Balloon Text"/>
    <w:basedOn w:val="Normal"/>
    <w:link w:val="BalloonTextChar"/>
    <w:uiPriority w:val="99"/>
    <w:semiHidden/>
    <w:unhideWhenUsed/>
    <w:rsid w:val="008E26B7"/>
    <w:rPr>
      <w:rFonts w:ascii="Tahoma" w:hAnsi="Tahoma" w:cs="Tahoma"/>
      <w:sz w:val="16"/>
      <w:szCs w:val="16"/>
    </w:rPr>
  </w:style>
  <w:style w:type="character" w:customStyle="1" w:styleId="BalloonTextChar">
    <w:name w:val="Balloon Text Char"/>
    <w:basedOn w:val="DefaultParagraphFont"/>
    <w:link w:val="BalloonText"/>
    <w:uiPriority w:val="99"/>
    <w:semiHidden/>
    <w:rsid w:val="008E26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255708">
      <w:bodyDiv w:val="1"/>
      <w:marLeft w:val="0"/>
      <w:marRight w:val="0"/>
      <w:marTop w:val="27"/>
      <w:marBottom w:val="667"/>
      <w:divBdr>
        <w:top w:val="none" w:sz="0" w:space="0" w:color="auto"/>
        <w:left w:val="none" w:sz="0" w:space="0" w:color="auto"/>
        <w:bottom w:val="none" w:sz="0" w:space="0" w:color="auto"/>
        <w:right w:val="none" w:sz="0" w:space="0" w:color="auto"/>
      </w:divBdr>
      <w:divsChild>
        <w:div w:id="1903828596">
          <w:marLeft w:val="0"/>
          <w:marRight w:val="0"/>
          <w:marTop w:val="0"/>
          <w:marBottom w:val="0"/>
          <w:divBdr>
            <w:top w:val="none" w:sz="0" w:space="0" w:color="auto"/>
            <w:left w:val="none" w:sz="0" w:space="0" w:color="auto"/>
            <w:bottom w:val="none" w:sz="0" w:space="0" w:color="auto"/>
            <w:right w:val="none" w:sz="0" w:space="0" w:color="auto"/>
          </w:divBdr>
          <w:divsChild>
            <w:div w:id="400837882">
              <w:marLeft w:val="0"/>
              <w:marRight w:val="0"/>
              <w:marTop w:val="0"/>
              <w:marBottom w:val="0"/>
              <w:divBdr>
                <w:top w:val="none" w:sz="0" w:space="0" w:color="auto"/>
                <w:left w:val="none" w:sz="0" w:space="0" w:color="auto"/>
                <w:bottom w:val="none" w:sz="0" w:space="0" w:color="auto"/>
                <w:right w:val="none" w:sz="0" w:space="0" w:color="auto"/>
              </w:divBdr>
            </w:div>
            <w:div w:id="526987843">
              <w:marLeft w:val="0"/>
              <w:marRight w:val="0"/>
              <w:marTop w:val="0"/>
              <w:marBottom w:val="0"/>
              <w:divBdr>
                <w:top w:val="none" w:sz="0" w:space="0" w:color="auto"/>
                <w:left w:val="none" w:sz="0" w:space="0" w:color="auto"/>
                <w:bottom w:val="none" w:sz="0" w:space="0" w:color="auto"/>
                <w:right w:val="none" w:sz="0" w:space="0" w:color="auto"/>
              </w:divBdr>
            </w:div>
            <w:div w:id="724064013">
              <w:marLeft w:val="0"/>
              <w:marRight w:val="0"/>
              <w:marTop w:val="0"/>
              <w:marBottom w:val="0"/>
              <w:divBdr>
                <w:top w:val="none" w:sz="0" w:space="0" w:color="auto"/>
                <w:left w:val="none" w:sz="0" w:space="0" w:color="auto"/>
                <w:bottom w:val="none" w:sz="0" w:space="0" w:color="auto"/>
                <w:right w:val="none" w:sz="0" w:space="0" w:color="auto"/>
              </w:divBdr>
              <w:divsChild>
                <w:div w:id="955328814">
                  <w:marLeft w:val="0"/>
                  <w:marRight w:val="0"/>
                  <w:marTop w:val="0"/>
                  <w:marBottom w:val="0"/>
                  <w:divBdr>
                    <w:top w:val="none" w:sz="0" w:space="0" w:color="auto"/>
                    <w:left w:val="none" w:sz="0" w:space="0" w:color="auto"/>
                    <w:bottom w:val="none" w:sz="0" w:space="0" w:color="auto"/>
                    <w:right w:val="none" w:sz="0" w:space="0" w:color="auto"/>
                  </w:divBdr>
                </w:div>
                <w:div w:id="156310417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63723661">
              <w:marLeft w:val="0"/>
              <w:marRight w:val="0"/>
              <w:marTop w:val="0"/>
              <w:marBottom w:val="0"/>
              <w:divBdr>
                <w:top w:val="none" w:sz="0" w:space="0" w:color="auto"/>
                <w:left w:val="none" w:sz="0" w:space="0" w:color="auto"/>
                <w:bottom w:val="none" w:sz="0" w:space="0" w:color="auto"/>
                <w:right w:val="none" w:sz="0" w:space="0" w:color="auto"/>
              </w:divBdr>
            </w:div>
            <w:div w:id="1897936822">
              <w:marLeft w:val="0"/>
              <w:marRight w:val="0"/>
              <w:marTop w:val="0"/>
              <w:marBottom w:val="0"/>
              <w:divBdr>
                <w:top w:val="none" w:sz="0" w:space="0" w:color="auto"/>
                <w:left w:val="none" w:sz="0" w:space="0" w:color="auto"/>
                <w:bottom w:val="none" w:sz="0" w:space="0" w:color="auto"/>
                <w:right w:val="none" w:sz="0" w:space="0" w:color="auto"/>
              </w:divBdr>
            </w:div>
            <w:div w:id="1387754294">
              <w:marLeft w:val="0"/>
              <w:marRight w:val="0"/>
              <w:marTop w:val="0"/>
              <w:marBottom w:val="0"/>
              <w:divBdr>
                <w:top w:val="none" w:sz="0" w:space="0" w:color="auto"/>
                <w:left w:val="none" w:sz="0" w:space="0" w:color="auto"/>
                <w:bottom w:val="none" w:sz="0" w:space="0" w:color="auto"/>
                <w:right w:val="none" w:sz="0" w:space="0" w:color="auto"/>
              </w:divBdr>
            </w:div>
            <w:div w:id="2045210371">
              <w:marLeft w:val="0"/>
              <w:marRight w:val="0"/>
              <w:marTop w:val="0"/>
              <w:marBottom w:val="0"/>
              <w:divBdr>
                <w:top w:val="none" w:sz="0" w:space="0" w:color="auto"/>
                <w:left w:val="none" w:sz="0" w:space="0" w:color="auto"/>
                <w:bottom w:val="none" w:sz="0" w:space="0" w:color="auto"/>
                <w:right w:val="none" w:sz="0" w:space="0" w:color="auto"/>
              </w:divBdr>
            </w:div>
            <w:div w:id="1550610655">
              <w:marLeft w:val="0"/>
              <w:marRight w:val="0"/>
              <w:marTop w:val="0"/>
              <w:marBottom w:val="0"/>
              <w:divBdr>
                <w:top w:val="none" w:sz="0" w:space="0" w:color="auto"/>
                <w:left w:val="none" w:sz="0" w:space="0" w:color="auto"/>
                <w:bottom w:val="none" w:sz="0" w:space="0" w:color="auto"/>
                <w:right w:val="none" w:sz="0" w:space="0" w:color="auto"/>
              </w:divBdr>
            </w:div>
            <w:div w:id="1376541850">
              <w:marLeft w:val="0"/>
              <w:marRight w:val="0"/>
              <w:marTop w:val="0"/>
              <w:marBottom w:val="0"/>
              <w:divBdr>
                <w:top w:val="none" w:sz="0" w:space="0" w:color="auto"/>
                <w:left w:val="none" w:sz="0" w:space="0" w:color="auto"/>
                <w:bottom w:val="none" w:sz="0" w:space="0" w:color="auto"/>
                <w:right w:val="none" w:sz="0" w:space="0" w:color="auto"/>
              </w:divBdr>
            </w:div>
            <w:div w:id="783840015">
              <w:marLeft w:val="0"/>
              <w:marRight w:val="0"/>
              <w:marTop w:val="0"/>
              <w:marBottom w:val="0"/>
              <w:divBdr>
                <w:top w:val="none" w:sz="0" w:space="0" w:color="auto"/>
                <w:left w:val="none" w:sz="0" w:space="0" w:color="auto"/>
                <w:bottom w:val="none" w:sz="0" w:space="0" w:color="auto"/>
                <w:right w:val="none" w:sz="0" w:space="0" w:color="auto"/>
              </w:divBdr>
            </w:div>
            <w:div w:id="565383930">
              <w:marLeft w:val="0"/>
              <w:marRight w:val="0"/>
              <w:marTop w:val="0"/>
              <w:marBottom w:val="0"/>
              <w:divBdr>
                <w:top w:val="none" w:sz="0" w:space="0" w:color="auto"/>
                <w:left w:val="none" w:sz="0" w:space="0" w:color="auto"/>
                <w:bottom w:val="none" w:sz="0" w:space="0" w:color="auto"/>
                <w:right w:val="none" w:sz="0" w:space="0" w:color="auto"/>
              </w:divBdr>
            </w:div>
            <w:div w:id="2079011012">
              <w:marLeft w:val="0"/>
              <w:marRight w:val="0"/>
              <w:marTop w:val="0"/>
              <w:marBottom w:val="0"/>
              <w:divBdr>
                <w:top w:val="none" w:sz="0" w:space="0" w:color="auto"/>
                <w:left w:val="none" w:sz="0" w:space="0" w:color="auto"/>
                <w:bottom w:val="none" w:sz="0" w:space="0" w:color="auto"/>
                <w:right w:val="none" w:sz="0" w:space="0" w:color="auto"/>
              </w:divBdr>
            </w:div>
            <w:div w:id="1943146207">
              <w:marLeft w:val="0"/>
              <w:marRight w:val="0"/>
              <w:marTop w:val="0"/>
              <w:marBottom w:val="0"/>
              <w:divBdr>
                <w:top w:val="none" w:sz="0" w:space="0" w:color="auto"/>
                <w:left w:val="none" w:sz="0" w:space="0" w:color="auto"/>
                <w:bottom w:val="none" w:sz="0" w:space="0" w:color="auto"/>
                <w:right w:val="none" w:sz="0" w:space="0" w:color="auto"/>
              </w:divBdr>
            </w:div>
            <w:div w:id="494536890">
              <w:marLeft w:val="0"/>
              <w:marRight w:val="0"/>
              <w:marTop w:val="0"/>
              <w:marBottom w:val="0"/>
              <w:divBdr>
                <w:top w:val="none" w:sz="0" w:space="0" w:color="auto"/>
                <w:left w:val="none" w:sz="0" w:space="0" w:color="auto"/>
                <w:bottom w:val="none" w:sz="0" w:space="0" w:color="auto"/>
                <w:right w:val="none" w:sz="0" w:space="0" w:color="auto"/>
              </w:divBdr>
            </w:div>
            <w:div w:id="1671761123">
              <w:marLeft w:val="0"/>
              <w:marRight w:val="0"/>
              <w:marTop w:val="0"/>
              <w:marBottom w:val="0"/>
              <w:divBdr>
                <w:top w:val="none" w:sz="0" w:space="0" w:color="auto"/>
                <w:left w:val="none" w:sz="0" w:space="0" w:color="auto"/>
                <w:bottom w:val="none" w:sz="0" w:space="0" w:color="auto"/>
                <w:right w:val="none" w:sz="0" w:space="0" w:color="auto"/>
              </w:divBdr>
            </w:div>
            <w:div w:id="1900045634">
              <w:marLeft w:val="0"/>
              <w:marRight w:val="0"/>
              <w:marTop w:val="0"/>
              <w:marBottom w:val="0"/>
              <w:divBdr>
                <w:top w:val="none" w:sz="0" w:space="0" w:color="auto"/>
                <w:left w:val="none" w:sz="0" w:space="0" w:color="auto"/>
                <w:bottom w:val="none" w:sz="0" w:space="0" w:color="auto"/>
                <w:right w:val="none" w:sz="0" w:space="0" w:color="auto"/>
              </w:divBdr>
            </w:div>
            <w:div w:id="69042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0604">
      <w:bodyDiv w:val="1"/>
      <w:marLeft w:val="0"/>
      <w:marRight w:val="0"/>
      <w:marTop w:val="24"/>
      <w:marBottom w:val="600"/>
      <w:divBdr>
        <w:top w:val="none" w:sz="0" w:space="0" w:color="auto"/>
        <w:left w:val="none" w:sz="0" w:space="0" w:color="auto"/>
        <w:bottom w:val="none" w:sz="0" w:space="0" w:color="auto"/>
        <w:right w:val="none" w:sz="0" w:space="0" w:color="auto"/>
      </w:divBdr>
      <w:divsChild>
        <w:div w:id="484664884">
          <w:marLeft w:val="0"/>
          <w:marRight w:val="0"/>
          <w:marTop w:val="0"/>
          <w:marBottom w:val="0"/>
          <w:divBdr>
            <w:top w:val="none" w:sz="0" w:space="0" w:color="auto"/>
            <w:left w:val="none" w:sz="0" w:space="0" w:color="auto"/>
            <w:bottom w:val="none" w:sz="0" w:space="0" w:color="auto"/>
            <w:right w:val="none" w:sz="0" w:space="0" w:color="auto"/>
          </w:divBdr>
          <w:divsChild>
            <w:div w:id="385960226">
              <w:marLeft w:val="0"/>
              <w:marRight w:val="0"/>
              <w:marTop w:val="0"/>
              <w:marBottom w:val="0"/>
              <w:divBdr>
                <w:top w:val="none" w:sz="0" w:space="0" w:color="auto"/>
                <w:left w:val="none" w:sz="0" w:space="0" w:color="auto"/>
                <w:bottom w:val="none" w:sz="0" w:space="0" w:color="auto"/>
                <w:right w:val="none" w:sz="0" w:space="0" w:color="auto"/>
              </w:divBdr>
            </w:div>
            <w:div w:id="900025438">
              <w:marLeft w:val="0"/>
              <w:marRight w:val="0"/>
              <w:marTop w:val="0"/>
              <w:marBottom w:val="0"/>
              <w:divBdr>
                <w:top w:val="none" w:sz="0" w:space="0" w:color="auto"/>
                <w:left w:val="none" w:sz="0" w:space="0" w:color="auto"/>
                <w:bottom w:val="none" w:sz="0" w:space="0" w:color="auto"/>
                <w:right w:val="none" w:sz="0" w:space="0" w:color="auto"/>
              </w:divBdr>
            </w:div>
            <w:div w:id="1645155858">
              <w:marLeft w:val="0"/>
              <w:marRight w:val="0"/>
              <w:marTop w:val="0"/>
              <w:marBottom w:val="0"/>
              <w:divBdr>
                <w:top w:val="none" w:sz="0" w:space="0" w:color="auto"/>
                <w:left w:val="none" w:sz="0" w:space="0" w:color="auto"/>
                <w:bottom w:val="none" w:sz="0" w:space="0" w:color="auto"/>
                <w:right w:val="none" w:sz="0" w:space="0" w:color="auto"/>
              </w:divBdr>
              <w:divsChild>
                <w:div w:id="1114442736">
                  <w:marLeft w:val="0"/>
                  <w:marRight w:val="0"/>
                  <w:marTop w:val="0"/>
                  <w:marBottom w:val="0"/>
                  <w:divBdr>
                    <w:top w:val="none" w:sz="0" w:space="0" w:color="auto"/>
                    <w:left w:val="none" w:sz="0" w:space="0" w:color="auto"/>
                    <w:bottom w:val="none" w:sz="0" w:space="0" w:color="auto"/>
                    <w:right w:val="none" w:sz="0" w:space="0" w:color="auto"/>
                  </w:divBdr>
                </w:div>
                <w:div w:id="189623704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78978233">
              <w:marLeft w:val="0"/>
              <w:marRight w:val="0"/>
              <w:marTop w:val="0"/>
              <w:marBottom w:val="0"/>
              <w:divBdr>
                <w:top w:val="none" w:sz="0" w:space="0" w:color="auto"/>
                <w:left w:val="none" w:sz="0" w:space="0" w:color="auto"/>
                <w:bottom w:val="none" w:sz="0" w:space="0" w:color="auto"/>
                <w:right w:val="none" w:sz="0" w:space="0" w:color="auto"/>
              </w:divBdr>
            </w:div>
            <w:div w:id="1870683857">
              <w:marLeft w:val="0"/>
              <w:marRight w:val="0"/>
              <w:marTop w:val="0"/>
              <w:marBottom w:val="0"/>
              <w:divBdr>
                <w:top w:val="none" w:sz="0" w:space="0" w:color="auto"/>
                <w:left w:val="none" w:sz="0" w:space="0" w:color="auto"/>
                <w:bottom w:val="none" w:sz="0" w:space="0" w:color="auto"/>
                <w:right w:val="none" w:sz="0" w:space="0" w:color="auto"/>
              </w:divBdr>
            </w:div>
            <w:div w:id="406000424">
              <w:marLeft w:val="0"/>
              <w:marRight w:val="0"/>
              <w:marTop w:val="0"/>
              <w:marBottom w:val="0"/>
              <w:divBdr>
                <w:top w:val="none" w:sz="0" w:space="0" w:color="auto"/>
                <w:left w:val="none" w:sz="0" w:space="0" w:color="auto"/>
                <w:bottom w:val="none" w:sz="0" w:space="0" w:color="auto"/>
                <w:right w:val="none" w:sz="0" w:space="0" w:color="auto"/>
              </w:divBdr>
            </w:div>
            <w:div w:id="1974672673">
              <w:marLeft w:val="0"/>
              <w:marRight w:val="0"/>
              <w:marTop w:val="0"/>
              <w:marBottom w:val="0"/>
              <w:divBdr>
                <w:top w:val="none" w:sz="0" w:space="0" w:color="auto"/>
                <w:left w:val="none" w:sz="0" w:space="0" w:color="auto"/>
                <w:bottom w:val="none" w:sz="0" w:space="0" w:color="auto"/>
                <w:right w:val="none" w:sz="0" w:space="0" w:color="auto"/>
              </w:divBdr>
            </w:div>
            <w:div w:id="314377778">
              <w:marLeft w:val="0"/>
              <w:marRight w:val="0"/>
              <w:marTop w:val="0"/>
              <w:marBottom w:val="0"/>
              <w:divBdr>
                <w:top w:val="none" w:sz="0" w:space="0" w:color="auto"/>
                <w:left w:val="none" w:sz="0" w:space="0" w:color="auto"/>
                <w:bottom w:val="none" w:sz="0" w:space="0" w:color="auto"/>
                <w:right w:val="none" w:sz="0" w:space="0" w:color="auto"/>
              </w:divBdr>
            </w:div>
            <w:div w:id="1147936709">
              <w:marLeft w:val="0"/>
              <w:marRight w:val="0"/>
              <w:marTop w:val="0"/>
              <w:marBottom w:val="0"/>
              <w:divBdr>
                <w:top w:val="none" w:sz="0" w:space="0" w:color="auto"/>
                <w:left w:val="none" w:sz="0" w:space="0" w:color="auto"/>
                <w:bottom w:val="none" w:sz="0" w:space="0" w:color="auto"/>
                <w:right w:val="none" w:sz="0" w:space="0" w:color="auto"/>
              </w:divBdr>
            </w:div>
            <w:div w:id="1312831231">
              <w:marLeft w:val="0"/>
              <w:marRight w:val="0"/>
              <w:marTop w:val="0"/>
              <w:marBottom w:val="0"/>
              <w:divBdr>
                <w:top w:val="none" w:sz="0" w:space="0" w:color="auto"/>
                <w:left w:val="none" w:sz="0" w:space="0" w:color="auto"/>
                <w:bottom w:val="none" w:sz="0" w:space="0" w:color="auto"/>
                <w:right w:val="none" w:sz="0" w:space="0" w:color="auto"/>
              </w:divBdr>
            </w:div>
            <w:div w:id="1684818992">
              <w:marLeft w:val="0"/>
              <w:marRight w:val="0"/>
              <w:marTop w:val="0"/>
              <w:marBottom w:val="0"/>
              <w:divBdr>
                <w:top w:val="none" w:sz="0" w:space="0" w:color="auto"/>
                <w:left w:val="none" w:sz="0" w:space="0" w:color="auto"/>
                <w:bottom w:val="none" w:sz="0" w:space="0" w:color="auto"/>
                <w:right w:val="none" w:sz="0" w:space="0" w:color="auto"/>
              </w:divBdr>
            </w:div>
            <w:div w:id="1796831826">
              <w:marLeft w:val="0"/>
              <w:marRight w:val="0"/>
              <w:marTop w:val="0"/>
              <w:marBottom w:val="0"/>
              <w:divBdr>
                <w:top w:val="none" w:sz="0" w:space="0" w:color="auto"/>
                <w:left w:val="none" w:sz="0" w:space="0" w:color="auto"/>
                <w:bottom w:val="none" w:sz="0" w:space="0" w:color="auto"/>
                <w:right w:val="none" w:sz="0" w:space="0" w:color="auto"/>
              </w:divBdr>
            </w:div>
            <w:div w:id="1058477346">
              <w:marLeft w:val="0"/>
              <w:marRight w:val="0"/>
              <w:marTop w:val="0"/>
              <w:marBottom w:val="0"/>
              <w:divBdr>
                <w:top w:val="none" w:sz="0" w:space="0" w:color="auto"/>
                <w:left w:val="none" w:sz="0" w:space="0" w:color="auto"/>
                <w:bottom w:val="none" w:sz="0" w:space="0" w:color="auto"/>
                <w:right w:val="none" w:sz="0" w:space="0" w:color="auto"/>
              </w:divBdr>
            </w:div>
            <w:div w:id="1196384010">
              <w:marLeft w:val="0"/>
              <w:marRight w:val="0"/>
              <w:marTop w:val="0"/>
              <w:marBottom w:val="0"/>
              <w:divBdr>
                <w:top w:val="none" w:sz="0" w:space="0" w:color="auto"/>
                <w:left w:val="none" w:sz="0" w:space="0" w:color="auto"/>
                <w:bottom w:val="none" w:sz="0" w:space="0" w:color="auto"/>
                <w:right w:val="none" w:sz="0" w:space="0" w:color="auto"/>
              </w:divBdr>
            </w:div>
            <w:div w:id="968704493">
              <w:marLeft w:val="0"/>
              <w:marRight w:val="0"/>
              <w:marTop w:val="0"/>
              <w:marBottom w:val="0"/>
              <w:divBdr>
                <w:top w:val="none" w:sz="0" w:space="0" w:color="auto"/>
                <w:left w:val="none" w:sz="0" w:space="0" w:color="auto"/>
                <w:bottom w:val="none" w:sz="0" w:space="0" w:color="auto"/>
                <w:right w:val="none" w:sz="0" w:space="0" w:color="auto"/>
              </w:divBdr>
            </w:div>
            <w:div w:id="999505887">
              <w:marLeft w:val="0"/>
              <w:marRight w:val="0"/>
              <w:marTop w:val="0"/>
              <w:marBottom w:val="0"/>
              <w:divBdr>
                <w:top w:val="none" w:sz="0" w:space="0" w:color="auto"/>
                <w:left w:val="none" w:sz="0" w:space="0" w:color="auto"/>
                <w:bottom w:val="none" w:sz="0" w:space="0" w:color="auto"/>
                <w:right w:val="none" w:sz="0" w:space="0" w:color="auto"/>
              </w:divBdr>
            </w:div>
            <w:div w:id="16794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node=sp40.13.63.xxx" TargetMode="External"/><Relationship Id="rId13" Type="http://schemas.openxmlformats.org/officeDocument/2006/relationships/hyperlink" Target="http://www.ecfr.gov/cgi-bin/text-idx?node=sp40.13.63.xxx" TargetMode="External"/><Relationship Id="rId18" Type="http://schemas.openxmlformats.org/officeDocument/2006/relationships/hyperlink" Target="http://www.ecfr.gov/cgi-bin/text-idx?node=sp40.13.63.xxx" TargetMode="External"/><Relationship Id="rId26" Type="http://schemas.openxmlformats.org/officeDocument/2006/relationships/hyperlink" Target="http://www.ecfr.gov/cgi-bin/text-idx?node=sp40.13.63.xxx" TargetMode="External"/><Relationship Id="rId39" Type="http://schemas.openxmlformats.org/officeDocument/2006/relationships/hyperlink" Target="http://www.ecfr.gov/cgi-bin/text-idx?node=sp40.13.63.xxx" TargetMode="External"/><Relationship Id="rId3" Type="http://schemas.openxmlformats.org/officeDocument/2006/relationships/settings" Target="settings.xml"/><Relationship Id="rId21" Type="http://schemas.openxmlformats.org/officeDocument/2006/relationships/hyperlink" Target="http://www.ecfr.gov/cgi-bin/text-idx?node=sp40.13.63.xxx#_top" TargetMode="External"/><Relationship Id="rId34" Type="http://schemas.openxmlformats.org/officeDocument/2006/relationships/hyperlink" Target="http://www.ecfr.gov/cgi-bin/text-idx?node=sp40.13.63.xxx" TargetMode="External"/><Relationship Id="rId7" Type="http://schemas.openxmlformats.org/officeDocument/2006/relationships/hyperlink" Target="http://www.ecfr.gov/cgi-bin/text-idx?node=sp40.13.63.xxx" TargetMode="External"/><Relationship Id="rId12" Type="http://schemas.openxmlformats.org/officeDocument/2006/relationships/hyperlink" Target="http://www.ecfr.gov/cgi-bin/text-idx?node=sp40.13.63.xxx" TargetMode="External"/><Relationship Id="rId17" Type="http://schemas.openxmlformats.org/officeDocument/2006/relationships/hyperlink" Target="http://www.ecfr.gov/cgi-bin/text-idx?node=sp40.13.63.xxx" TargetMode="External"/><Relationship Id="rId25" Type="http://schemas.openxmlformats.org/officeDocument/2006/relationships/hyperlink" Target="http://www.ecfr.gov/cgi-bin/text-idx?node=sp40.13.63.xxx" TargetMode="External"/><Relationship Id="rId33" Type="http://schemas.openxmlformats.org/officeDocument/2006/relationships/hyperlink" Target="http://www.ecfr.gov/graphics/pdfs/er20my99.001.pdf" TargetMode="External"/><Relationship Id="rId38" Type="http://schemas.openxmlformats.org/officeDocument/2006/relationships/hyperlink" Target="http://www.ecfr.gov/cgi-bin/text-idx?node=sp40.13.63.xxx" TargetMode="External"/><Relationship Id="rId2" Type="http://schemas.openxmlformats.org/officeDocument/2006/relationships/styles" Target="styles.xml"/><Relationship Id="rId16" Type="http://schemas.openxmlformats.org/officeDocument/2006/relationships/hyperlink" Target="http://www.ecfr.gov/cgi-bin/text-idx?node=sp40.13.63.xxx" TargetMode="External"/><Relationship Id="rId20" Type="http://schemas.openxmlformats.org/officeDocument/2006/relationships/hyperlink" Target="http://www.ecfr.gov/cgi-bin/text-idx?node=sp40.13.63.xxx" TargetMode="External"/><Relationship Id="rId29" Type="http://schemas.openxmlformats.org/officeDocument/2006/relationships/hyperlink" Target="http://www.ecfr.gov/cgi-bin/text-idx?node=sp40.13.63.xx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fr.gov/cgi-bin/text-idx?node=sp40.13.63.xxx" TargetMode="External"/><Relationship Id="rId11" Type="http://schemas.openxmlformats.org/officeDocument/2006/relationships/hyperlink" Target="http://www.ecfr.gov/cgi-bin/text-idx?node=sp40.13.63.xxx" TargetMode="External"/><Relationship Id="rId24" Type="http://schemas.openxmlformats.org/officeDocument/2006/relationships/hyperlink" Target="http://www.ecfr.gov/cgi-bin/text-idx?node=sp40.13.63.xxx" TargetMode="External"/><Relationship Id="rId32" Type="http://schemas.openxmlformats.org/officeDocument/2006/relationships/image" Target="media/image3.gif"/><Relationship Id="rId37" Type="http://schemas.openxmlformats.org/officeDocument/2006/relationships/hyperlink" Target="http://www.ecfr.gov/cgi-bin/text-idx?node=sp40.13.63.xxx" TargetMode="External"/><Relationship Id="rId40" Type="http://schemas.openxmlformats.org/officeDocument/2006/relationships/fontTable" Target="fontTable.xml"/><Relationship Id="rId5" Type="http://schemas.openxmlformats.org/officeDocument/2006/relationships/hyperlink" Target="http://www.ecfr.gov/cgi-bin/retrieveECFR?gp=&amp;SID=78769350dcad81dc471254723001d209&amp;n=pt40.13.63&amp;r=PART&amp;ty=HTML" TargetMode="External"/><Relationship Id="rId15" Type="http://schemas.openxmlformats.org/officeDocument/2006/relationships/hyperlink" Target="http://www.ecfr.gov/cgi-bin/text-idx?node=sp40.13.63.xxx" TargetMode="External"/><Relationship Id="rId23" Type="http://schemas.openxmlformats.org/officeDocument/2006/relationships/hyperlink" Target="http://www.ecfr.gov/cgi-bin/text-idx?node=sp40.13.63.xxx" TargetMode="External"/><Relationship Id="rId28" Type="http://schemas.openxmlformats.org/officeDocument/2006/relationships/hyperlink" Target="http://www.ecfr.gov/cgi-bin/text-idx?node=sp40.13.63.xxx" TargetMode="External"/><Relationship Id="rId36" Type="http://schemas.openxmlformats.org/officeDocument/2006/relationships/hyperlink" Target="http://www.ecfr.gov/cgi-bin/text-idx?node=sp40.13.63.xxx" TargetMode="External"/><Relationship Id="rId10" Type="http://schemas.openxmlformats.org/officeDocument/2006/relationships/hyperlink" Target="http://www.ecfr.gov/cgi-bin/text-idx?node=sp40.13.63.xxx" TargetMode="External"/><Relationship Id="rId19" Type="http://schemas.openxmlformats.org/officeDocument/2006/relationships/hyperlink" Target="http://www.ecfr.gov/cgi-bin/text-idx?node=sp40.13.63.xxx" TargetMode="External"/><Relationship Id="rId31" Type="http://schemas.openxmlformats.org/officeDocument/2006/relationships/hyperlink" Target="http://www.ecfr.gov/graphics/pdfs/er20my99.000.pdf" TargetMode="External"/><Relationship Id="rId4" Type="http://schemas.openxmlformats.org/officeDocument/2006/relationships/webSettings" Target="webSettings.xml"/><Relationship Id="rId9" Type="http://schemas.openxmlformats.org/officeDocument/2006/relationships/hyperlink" Target="http://www.ecfr.gov/cgi-bin/text-idx?node=sp40.13.63.xxx" TargetMode="External"/><Relationship Id="rId14" Type="http://schemas.openxmlformats.org/officeDocument/2006/relationships/hyperlink" Target="http://www.ecfr.gov/cgi-bin/text-idx?node=sp40.13.63.xxx" TargetMode="External"/><Relationship Id="rId22" Type="http://schemas.openxmlformats.org/officeDocument/2006/relationships/image" Target="media/image1.gif"/><Relationship Id="rId27" Type="http://schemas.openxmlformats.org/officeDocument/2006/relationships/hyperlink" Target="http://www.ecfr.gov/cgi-bin/text-idx?node=sp40.13.63.xxx" TargetMode="External"/><Relationship Id="rId30" Type="http://schemas.openxmlformats.org/officeDocument/2006/relationships/image" Target="media/image2.gif"/><Relationship Id="rId35" Type="http://schemas.openxmlformats.org/officeDocument/2006/relationships/hyperlink" Target="http://www.ecfr.gov/cgi-bin/text-idx?node=sp40.13.63.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7663</Words>
  <Characters>43685</Characters>
  <Application>Microsoft Office Word</Application>
  <DocSecurity>0</DocSecurity>
  <Lines>364</Lines>
  <Paragraphs>102</Paragraphs>
  <ScaleCrop>false</ScaleCrop>
  <Company>State of Oregon Department of Environmental Quality</Company>
  <LinksUpToDate>false</LinksUpToDate>
  <CharactersWithSpaces>51246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2014-10-27T22:49:00Z</dcterms:created>
  <dcterms:modified xsi:type="dcterms:W3CDTF">2014-10-27T22:50:00Z</dcterms:modified>
</cp:coreProperties>
</file>