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3C" w:rsidRPr="00D42F07" w:rsidRDefault="00A4663C" w:rsidP="00AF4C63">
      <w:pPr>
        <w:rPr>
          <w:rFonts w:ascii="Times New Roman" w:hAnsi="Times New Roman" w:cs="Times New Roman"/>
          <w:b/>
        </w:rPr>
      </w:pPr>
    </w:p>
    <w:p w:rsidR="0047763F" w:rsidRPr="00D42F07" w:rsidRDefault="0047763F" w:rsidP="0047763F">
      <w:pPr>
        <w:autoSpaceDE w:val="0"/>
        <w:autoSpaceDN w:val="0"/>
        <w:spacing w:after="120"/>
        <w:ind w:left="720" w:right="490"/>
        <w:rPr>
          <w:rFonts w:ascii="Times New Roman" w:hAnsi="Times New Roman" w:cs="Times New Roman"/>
          <w:i/>
          <w:iCs/>
        </w:rPr>
      </w:pPr>
      <w:r w:rsidRPr="00D42F07">
        <w:rPr>
          <w:rFonts w:ascii="Times New Roman" w:hAnsi="Times New Roman" w:cs="Times New Roman"/>
          <w:i/>
          <w:iCs/>
        </w:rPr>
        <w:t xml:space="preserve">Jill’s “Ye </w:t>
      </w:r>
      <w:proofErr w:type="spellStart"/>
      <w:r w:rsidRPr="00D42F07">
        <w:rPr>
          <w:rFonts w:ascii="Times New Roman" w:hAnsi="Times New Roman" w:cs="Times New Roman"/>
          <w:i/>
          <w:iCs/>
        </w:rPr>
        <w:t>Liste</w:t>
      </w:r>
      <w:proofErr w:type="spellEnd"/>
      <w:r w:rsidRPr="00D42F07">
        <w:rPr>
          <w:rFonts w:ascii="Times New Roman" w:hAnsi="Times New Roman" w:cs="Times New Roman"/>
          <w:i/>
          <w:iCs/>
        </w:rPr>
        <w:t xml:space="preserve"> of Nine”… this document may or may not follow the </w:t>
      </w:r>
      <w:proofErr w:type="spellStart"/>
      <w:r w:rsidRPr="00D42F07">
        <w:rPr>
          <w:rFonts w:ascii="Times New Roman" w:hAnsi="Times New Roman" w:cs="Times New Roman"/>
          <w:i/>
          <w:iCs/>
        </w:rPr>
        <w:t>Liste</w:t>
      </w:r>
      <w:proofErr w:type="spellEnd"/>
    </w:p>
    <w:p w:rsidR="0047763F" w:rsidRPr="00D42F07" w:rsidRDefault="0047763F" w:rsidP="0047763F">
      <w:pPr>
        <w:autoSpaceDE w:val="0"/>
        <w:autoSpaceDN w:val="0"/>
        <w:spacing w:after="120"/>
        <w:ind w:left="2160" w:right="490" w:hanging="720"/>
        <w:rPr>
          <w:rFonts w:ascii="Times New Roman" w:hAnsi="Times New Roman" w:cs="Times New Roman"/>
          <w:i/>
          <w:iCs/>
        </w:rPr>
      </w:pPr>
      <w:r w:rsidRPr="00886E29">
        <w:rPr>
          <w:rFonts w:ascii="Times New Roman" w:hAnsi="Times New Roman" w:cs="Times New Roman"/>
          <w:i/>
          <w:iCs/>
          <w:highlight w:val="yellow"/>
        </w:rPr>
        <w:t>3.         Change permitting requirements for emergency generators and small natural gas or oil-fired equipment</w:t>
      </w:r>
    </w:p>
    <w:p w:rsidR="00DA40F8" w:rsidRDefault="00DA40F8" w:rsidP="00AF4C63">
      <w:pPr>
        <w:rPr>
          <w:rFonts w:ascii="Times New Roman" w:hAnsi="Times New Roman" w:cs="Times New Roman"/>
        </w:rPr>
      </w:pPr>
    </w:p>
    <w:p w:rsidR="00DA40F8" w:rsidRPr="00D42F07" w:rsidRDefault="00DA40F8" w:rsidP="00AF4C63">
      <w:pPr>
        <w:rPr>
          <w:rFonts w:ascii="Times New Roman" w:hAnsi="Times New Roman" w:cs="Times New Roman"/>
        </w:rPr>
      </w:pPr>
    </w:p>
    <w:tbl>
      <w:tblPr>
        <w:tblStyle w:val="TableGrid"/>
        <w:tblW w:w="0" w:type="auto"/>
        <w:tblLook w:val="04A0"/>
      </w:tblPr>
      <w:tblGrid>
        <w:gridCol w:w="570"/>
        <w:gridCol w:w="5346"/>
        <w:gridCol w:w="6972"/>
      </w:tblGrid>
      <w:tr w:rsidR="00A4663C" w:rsidRPr="00D42F07" w:rsidTr="00547113">
        <w:tc>
          <w:tcPr>
            <w:tcW w:w="570" w:type="dxa"/>
          </w:tcPr>
          <w:p w:rsidR="00A4663C" w:rsidRPr="00D42F07" w:rsidRDefault="00A4663C" w:rsidP="00A4663C">
            <w:pPr>
              <w:rPr>
                <w:rFonts w:ascii="Times New Roman" w:hAnsi="Times New Roman" w:cs="Times New Roman"/>
              </w:rPr>
            </w:pPr>
            <w:r w:rsidRPr="00D42F07">
              <w:rPr>
                <w:rFonts w:ascii="Times New Roman" w:hAnsi="Times New Roman" w:cs="Times New Roman"/>
              </w:rPr>
              <w:t>No.</w:t>
            </w:r>
          </w:p>
        </w:tc>
        <w:tc>
          <w:tcPr>
            <w:tcW w:w="5346" w:type="dxa"/>
          </w:tcPr>
          <w:p w:rsidR="00A4663C" w:rsidRPr="00D42F07" w:rsidRDefault="00A4663C" w:rsidP="00A4663C">
            <w:pPr>
              <w:rPr>
                <w:rFonts w:ascii="Times New Roman" w:hAnsi="Times New Roman" w:cs="Times New Roman"/>
              </w:rPr>
            </w:pPr>
            <w:r w:rsidRPr="00D42F07">
              <w:rPr>
                <w:rFonts w:ascii="Times New Roman" w:hAnsi="Times New Roman" w:cs="Times New Roman"/>
              </w:rPr>
              <w:t>Comment</w:t>
            </w:r>
          </w:p>
        </w:tc>
        <w:tc>
          <w:tcPr>
            <w:tcW w:w="6972" w:type="dxa"/>
          </w:tcPr>
          <w:p w:rsidR="00A4663C" w:rsidRPr="00D42F07" w:rsidRDefault="00A4663C" w:rsidP="00A4663C">
            <w:pPr>
              <w:rPr>
                <w:rFonts w:ascii="Times New Roman" w:hAnsi="Times New Roman" w:cs="Times New Roman"/>
              </w:rPr>
            </w:pPr>
            <w:r w:rsidRPr="00D42F07">
              <w:rPr>
                <w:rFonts w:ascii="Times New Roman" w:hAnsi="Times New Roman" w:cs="Times New Roman"/>
              </w:rPr>
              <w:t>Answer</w:t>
            </w:r>
          </w:p>
        </w:tc>
      </w:tr>
      <w:tr w:rsidR="003E2AFA" w:rsidRPr="00D42F07" w:rsidTr="00547113">
        <w:trPr>
          <w:trHeight w:val="314"/>
        </w:trPr>
        <w:tc>
          <w:tcPr>
            <w:tcW w:w="12888" w:type="dxa"/>
            <w:gridSpan w:val="3"/>
            <w:tcBorders>
              <w:bottom w:val="single" w:sz="4" w:space="0" w:color="auto"/>
            </w:tcBorders>
          </w:tcPr>
          <w:p w:rsidR="003E2AFA" w:rsidRPr="00D42F07" w:rsidRDefault="003E2AFA" w:rsidP="00A4663C">
            <w:pPr>
              <w:rPr>
                <w:rFonts w:ascii="Times New Roman" w:hAnsi="Times New Roman" w:cs="Times New Roman"/>
              </w:rPr>
            </w:pPr>
            <w:r w:rsidRPr="00D42F07">
              <w:rPr>
                <w:rFonts w:ascii="Times New Roman" w:hAnsi="Times New Roman" w:cs="Times New Roman"/>
              </w:rPr>
              <w:tab/>
              <w:t>Clarify and update air quality rules</w:t>
            </w:r>
          </w:p>
        </w:tc>
      </w:tr>
      <w:tr w:rsidR="0061290D" w:rsidRPr="00D42F07" w:rsidTr="00547113">
        <w:tc>
          <w:tcPr>
            <w:tcW w:w="570" w:type="dxa"/>
            <w:shd w:val="clear" w:color="auto" w:fill="B6DDE8" w:themeFill="accent5" w:themeFillTint="66"/>
          </w:tcPr>
          <w:p w:rsidR="0061290D" w:rsidRPr="00D42F07" w:rsidRDefault="0061290D" w:rsidP="00A4663C">
            <w:pPr>
              <w:rPr>
                <w:rFonts w:ascii="Times New Roman" w:hAnsi="Times New Roman" w:cs="Times New Roman"/>
              </w:rPr>
            </w:pPr>
          </w:p>
        </w:tc>
        <w:tc>
          <w:tcPr>
            <w:tcW w:w="5346" w:type="dxa"/>
            <w:shd w:val="clear" w:color="auto" w:fill="B6DDE8" w:themeFill="accent5" w:themeFillTint="66"/>
          </w:tcPr>
          <w:p w:rsidR="0061290D" w:rsidRPr="00D42F07" w:rsidRDefault="0061290D" w:rsidP="00A4663C">
            <w:pPr>
              <w:rPr>
                <w:rFonts w:ascii="Times New Roman" w:hAnsi="Times New Roman" w:cs="Times New Roman"/>
              </w:rPr>
            </w:pPr>
          </w:p>
        </w:tc>
        <w:tc>
          <w:tcPr>
            <w:tcW w:w="6972" w:type="dxa"/>
            <w:shd w:val="clear" w:color="auto" w:fill="B6DDE8" w:themeFill="accent5" w:themeFillTint="66"/>
          </w:tcPr>
          <w:p w:rsidR="0061290D" w:rsidRPr="00D42F07" w:rsidRDefault="0061290D" w:rsidP="00A4663C">
            <w:pPr>
              <w:rPr>
                <w:rFonts w:ascii="Times New Roman" w:hAnsi="Times New Roman" w:cs="Times New Roman"/>
              </w:rPr>
            </w:pPr>
          </w:p>
        </w:tc>
      </w:tr>
      <w:tr w:rsidR="00AB228F" w:rsidRPr="00D42F07" w:rsidTr="00547113">
        <w:tc>
          <w:tcPr>
            <w:tcW w:w="12888" w:type="dxa"/>
            <w:gridSpan w:val="3"/>
            <w:shd w:val="clear" w:color="auto" w:fill="auto"/>
          </w:tcPr>
          <w:p w:rsidR="00AB228F" w:rsidRPr="00D42F07" w:rsidRDefault="00AB228F" w:rsidP="00A4663C">
            <w:pPr>
              <w:rPr>
                <w:rFonts w:ascii="Times New Roman" w:hAnsi="Times New Roman" w:cs="Times New Roman"/>
              </w:rPr>
            </w:pPr>
            <w:r w:rsidRPr="00D42F07">
              <w:rPr>
                <w:rFonts w:ascii="Times New Roman" w:hAnsi="Times New Roman" w:cs="Times New Roman"/>
              </w:rPr>
              <w:t>Change permitting requirements for emergency generators and small natural gas or oil-fired equipment</w:t>
            </w:r>
          </w:p>
        </w:tc>
      </w:tr>
      <w:tr w:rsidR="00281FAE" w:rsidRPr="00D42F07" w:rsidTr="00547113">
        <w:tc>
          <w:tcPr>
            <w:tcW w:w="570" w:type="dxa"/>
            <w:shd w:val="clear" w:color="auto" w:fill="B6DDE8" w:themeFill="accent5" w:themeFillTint="66"/>
          </w:tcPr>
          <w:p w:rsidR="00281FAE" w:rsidRPr="00D42F07" w:rsidRDefault="005F1A02" w:rsidP="00A4663C">
            <w:pPr>
              <w:rPr>
                <w:rFonts w:ascii="Times New Roman" w:hAnsi="Times New Roman" w:cs="Times New Roman"/>
              </w:rPr>
            </w:pPr>
            <w:r w:rsidRPr="00D42F07">
              <w:rPr>
                <w:rFonts w:ascii="Times New Roman" w:hAnsi="Times New Roman" w:cs="Times New Roman"/>
              </w:rPr>
              <w:t>27</w:t>
            </w:r>
          </w:p>
        </w:tc>
        <w:tc>
          <w:tcPr>
            <w:tcW w:w="5346" w:type="dxa"/>
            <w:shd w:val="clear" w:color="auto" w:fill="B6DDE8" w:themeFill="accent5" w:themeFillTint="66"/>
          </w:tcPr>
          <w:p w:rsidR="004A380C" w:rsidRPr="00D42F07" w:rsidRDefault="004A380C" w:rsidP="004A380C">
            <w:pPr>
              <w:rPr>
                <w:rFonts w:ascii="Times New Roman" w:hAnsi="Times New Roman" w:cs="Times New Roman"/>
              </w:rPr>
            </w:pPr>
            <w:r w:rsidRPr="00D42F07">
              <w:rPr>
                <w:rFonts w:ascii="Times New Roman" w:hAnsi="Times New Roman" w:cs="Times New Roman"/>
              </w:rPr>
              <w:t>AOI:</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Source Category Table (OAR 340-216-8010) </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The Department’s proposed list of source categories that require an ACDP, OAR 340-216-8010, repeats two problems noted in the comments above. </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First, source category number 87 on Part B of the list would apply to certain emergency generators and firewater pumps, i.e., those with “emissions, in aggregate, []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AOI thus requests that the Department change the permitting threshold for this source category such that permits would only be </w:t>
            </w:r>
            <w:r w:rsidRPr="00D42F07">
              <w:rPr>
                <w:rFonts w:ascii="Times New Roman" w:hAnsi="Times New Roman" w:cs="Times New Roman"/>
              </w:rPr>
              <w:lastRenderedPageBreak/>
              <w:t xml:space="preserve">required for “emergency generators and firewater pumps, the actual emissions from which over a calendar year, in aggregate, are greater than 10 tons for any regulated pollutant.” Second, source category number 89 on Part B of the list would apply to any portable sources the Department determines present “an air quality concern,” “significant malodorous emissions,” or actual emissions over specified levels. The Department lacks jurisdiction to regulate portable, mobile or nonroad sources unless they are or are part of a stationary source. Accordingly, we request that the Department either delete proposed source category 89entirely or revise it to make clear that it only applies to portable sources that are or are part of a stationary source. </w:t>
            </w:r>
          </w:p>
          <w:p w:rsidR="00281FAE" w:rsidRPr="00D42F07" w:rsidRDefault="00281FAE" w:rsidP="00A4663C">
            <w:pPr>
              <w:rPr>
                <w:rFonts w:ascii="Times New Roman" w:hAnsi="Times New Roman" w:cs="Times New Roman"/>
              </w:rPr>
            </w:pPr>
          </w:p>
        </w:tc>
        <w:tc>
          <w:tcPr>
            <w:tcW w:w="6972" w:type="dxa"/>
            <w:shd w:val="clear" w:color="auto" w:fill="B6DDE8" w:themeFill="accent5" w:themeFillTint="66"/>
          </w:tcPr>
          <w:p w:rsidR="00281FAE" w:rsidRDefault="001452E5" w:rsidP="00A4663C">
            <w:pPr>
              <w:rPr>
                <w:rFonts w:ascii="Times New Roman" w:hAnsi="Times New Roman" w:cs="Times New Roman"/>
              </w:rPr>
            </w:pPr>
            <w:r>
              <w:rPr>
                <w:rFonts w:ascii="Times New Roman" w:hAnsi="Times New Roman" w:cs="Times New Roman"/>
              </w:rPr>
              <w:lastRenderedPageBreak/>
              <w:t xml:space="preserve">See </w:t>
            </w:r>
            <w:proofErr w:type="spellStart"/>
            <w:r>
              <w:rPr>
                <w:rFonts w:ascii="Times New Roman" w:hAnsi="Times New Roman" w:cs="Times New Roman"/>
              </w:rPr>
              <w:t>gfd’s</w:t>
            </w:r>
            <w:proofErr w:type="spellEnd"/>
            <w:r>
              <w:rPr>
                <w:rFonts w:ascii="Times New Roman" w:hAnsi="Times New Roman" w:cs="Times New Roman"/>
              </w:rPr>
              <w:t xml:space="preserve"> response to comments at the end of this document</w:t>
            </w:r>
            <w:r w:rsidR="00A11722">
              <w:rPr>
                <w:rFonts w:ascii="Times New Roman" w:hAnsi="Times New Roman" w:cs="Times New Roman"/>
              </w:rPr>
              <w:t>, starting on page 12</w:t>
            </w:r>
            <w:r>
              <w:rPr>
                <w:rFonts w:ascii="Times New Roman" w:hAnsi="Times New Roman" w:cs="Times New Roman"/>
              </w:rPr>
              <w:t>. Note the use of footnotes. Don’t know if footnotes are compatible with the way the final RTC will be formatted.</w:t>
            </w:r>
          </w:p>
          <w:p w:rsidR="001452E5" w:rsidRPr="00D42F07" w:rsidRDefault="001452E5" w:rsidP="00A4663C">
            <w:pPr>
              <w:rPr>
                <w:rFonts w:ascii="Times New Roman" w:hAnsi="Times New Roman" w:cs="Times New Roman"/>
              </w:rPr>
            </w:pPr>
            <w:r>
              <w:rPr>
                <w:rFonts w:ascii="Times New Roman" w:hAnsi="Times New Roman" w:cs="Times New Roman"/>
              </w:rPr>
              <w:t>George</w:t>
            </w:r>
          </w:p>
        </w:tc>
      </w:tr>
      <w:tr w:rsidR="00281FAE" w:rsidRPr="00D42F07" w:rsidTr="00547113">
        <w:tc>
          <w:tcPr>
            <w:tcW w:w="570" w:type="dxa"/>
            <w:tcBorders>
              <w:bottom w:val="single" w:sz="4" w:space="0" w:color="auto"/>
            </w:tcBorders>
            <w:shd w:val="clear" w:color="auto" w:fill="92D050"/>
          </w:tcPr>
          <w:p w:rsidR="00281FAE" w:rsidRPr="00D42F07" w:rsidRDefault="005F1A02" w:rsidP="00A4663C">
            <w:pPr>
              <w:rPr>
                <w:rFonts w:ascii="Times New Roman" w:hAnsi="Times New Roman" w:cs="Times New Roman"/>
              </w:rPr>
            </w:pPr>
            <w:r w:rsidRPr="00D42F07">
              <w:rPr>
                <w:rFonts w:ascii="Times New Roman" w:hAnsi="Times New Roman" w:cs="Times New Roman"/>
              </w:rPr>
              <w:lastRenderedPageBreak/>
              <w:t>28</w:t>
            </w:r>
          </w:p>
        </w:tc>
        <w:tc>
          <w:tcPr>
            <w:tcW w:w="5346" w:type="dxa"/>
            <w:tcBorders>
              <w:bottom w:val="single" w:sz="4" w:space="0" w:color="auto"/>
            </w:tcBorders>
            <w:shd w:val="clear" w:color="auto" w:fill="92D050"/>
          </w:tcPr>
          <w:p w:rsidR="004A380C" w:rsidRPr="00D42F07" w:rsidRDefault="004A380C" w:rsidP="004A380C">
            <w:pPr>
              <w:rPr>
                <w:rFonts w:ascii="Times New Roman" w:hAnsi="Times New Roman" w:cs="Times New Roman"/>
              </w:rPr>
            </w:pPr>
            <w:r w:rsidRPr="00D42F07">
              <w:rPr>
                <w:rFonts w:ascii="Times New Roman" w:hAnsi="Times New Roman" w:cs="Times New Roman"/>
              </w:rPr>
              <w:t>PGE:</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PGE does not support changes in the definition of emergency generators and pumps in OAR 430-0200-0020(23</w:t>
            </w:r>
            <w:proofErr w:type="gramStart"/>
            <w:r w:rsidRPr="00D42F07">
              <w:rPr>
                <w:rFonts w:ascii="Times New Roman" w:hAnsi="Times New Roman" w:cs="Times New Roman"/>
              </w:rPr>
              <w:t>)(</w:t>
            </w:r>
            <w:proofErr w:type="gramEnd"/>
            <w:r w:rsidRPr="00D42F07">
              <w:rPr>
                <w:rFonts w:ascii="Times New Roman" w:hAnsi="Times New Roman" w:cs="Times New Roman"/>
              </w:rPr>
              <w:t xml:space="preserve">uu) to include emergency engines or pumps greater than 500 hp or with aggregate emissions greater than de minimis thresholds. The regulatory burden will be disproportionally large given the insignificant emissions of such units.  </w:t>
            </w:r>
          </w:p>
          <w:p w:rsidR="00281FAE" w:rsidRPr="00D42F07" w:rsidRDefault="00281FAE" w:rsidP="00A4663C">
            <w:pPr>
              <w:rPr>
                <w:rFonts w:ascii="Times New Roman" w:hAnsi="Times New Roman" w:cs="Times New Roman"/>
              </w:rPr>
            </w:pPr>
          </w:p>
        </w:tc>
        <w:tc>
          <w:tcPr>
            <w:tcW w:w="6972" w:type="dxa"/>
            <w:tcBorders>
              <w:bottom w:val="single" w:sz="4" w:space="0" w:color="auto"/>
            </w:tcBorders>
            <w:shd w:val="clear" w:color="auto" w:fill="92D050"/>
          </w:tcPr>
          <w:p w:rsidR="00281FAE" w:rsidRPr="00D42F07" w:rsidRDefault="00B93D0B" w:rsidP="00A4663C">
            <w:pPr>
              <w:rPr>
                <w:rFonts w:ascii="Times New Roman" w:hAnsi="Times New Roman" w:cs="Times New Roman"/>
              </w:rPr>
            </w:pPr>
            <w:r w:rsidRPr="00D42F07">
              <w:rPr>
                <w:rFonts w:ascii="Times New Roman" w:hAnsi="Times New Roman" w:cs="Times New Roman"/>
              </w:rPr>
              <w:t xml:space="preserve">See </w:t>
            </w:r>
            <w:r w:rsidR="00547113">
              <w:rPr>
                <w:rFonts w:ascii="Times New Roman" w:hAnsi="Times New Roman" w:cs="Times New Roman"/>
              </w:rPr>
              <w:t>29</w:t>
            </w:r>
          </w:p>
        </w:tc>
      </w:tr>
      <w:tr w:rsidR="00281FAE" w:rsidRPr="00D42F07" w:rsidTr="00547113">
        <w:tc>
          <w:tcPr>
            <w:tcW w:w="570" w:type="dxa"/>
            <w:shd w:val="clear" w:color="auto" w:fill="92D050"/>
          </w:tcPr>
          <w:p w:rsidR="00281FAE" w:rsidRPr="00D42F07" w:rsidRDefault="005F1A02" w:rsidP="00A4663C">
            <w:pPr>
              <w:rPr>
                <w:rFonts w:ascii="Times New Roman" w:hAnsi="Times New Roman" w:cs="Times New Roman"/>
              </w:rPr>
            </w:pPr>
            <w:r w:rsidRPr="00D42F07">
              <w:rPr>
                <w:rFonts w:ascii="Times New Roman" w:hAnsi="Times New Roman" w:cs="Times New Roman"/>
              </w:rPr>
              <w:t>29</w:t>
            </w:r>
          </w:p>
        </w:tc>
        <w:tc>
          <w:tcPr>
            <w:tcW w:w="5346" w:type="dxa"/>
            <w:shd w:val="clear" w:color="auto" w:fill="92D050"/>
          </w:tcPr>
          <w:p w:rsidR="00CA1879" w:rsidRPr="00D42F07" w:rsidRDefault="004A380C" w:rsidP="00CA1879">
            <w:pPr>
              <w:rPr>
                <w:rFonts w:ascii="Times New Roman" w:hAnsi="Times New Roman" w:cs="Times New Roman"/>
              </w:rPr>
            </w:pPr>
            <w:r w:rsidRPr="00D42F07">
              <w:rPr>
                <w:rFonts w:ascii="Times New Roman" w:hAnsi="Times New Roman" w:cs="Times New Roman"/>
              </w:rPr>
              <w:t>Associated Oregon Industries</w:t>
            </w:r>
            <w:r w:rsidR="00CA1879" w:rsidRPr="00D42F07">
              <w:rPr>
                <w:rFonts w:ascii="Times New Roman" w:hAnsi="Times New Roman" w:cs="Times New Roman"/>
              </w:rPr>
              <w:t>, Oregon Association of Clean Water Agencies, The Western States Petroleum Association (WSPA)</w:t>
            </w: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 (3):</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lastRenderedPageBreak/>
              <w:t>DEQ proposed revisions to the categorically insignificant activity category for emergency generators and pumps are overly broad and overreaching. DEQs proposal would make the definition of categorically insignificant emergency generators much too narrow, and impose new costs and administrative burdens on myriad sources with emergency generators the emissions from which are clearly insignificant. To fix this, AOI asks the Department to make the following two edits to its proposed definition of the emergency generator categorically insignificant activity category:</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First, the Department should eliminate part (B) of the proposed definition. The mere fact that a source has an emergency unit rated at 500 horsepower or greater does not reflect the source’s actual emissions from that unit, or other of its emergency generators. </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Second, the Department should revise part (A) of the proposed definition to clarify that the assessment of a source’s aggregate emergency generator emissions should be made by reference to actual emissions from those units over the calendar year. In particular, we request that part (A) be revised to state: “The actual aggregate emissions from stationary emergency generators and pumps over a calendar year are greater than the de minimis level for any regulated pollutant.” </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The vast majority of sources lack any incentive to </w:t>
            </w:r>
            <w:r w:rsidRPr="00D42F07">
              <w:rPr>
                <w:rFonts w:ascii="Times New Roman" w:hAnsi="Times New Roman" w:cs="Times New Roman"/>
              </w:rPr>
              <w:lastRenderedPageBreak/>
              <w:t>actually operate their emergency generators for any longer than is necessary. For the overwhelming majority of sources, estimating emergency generator emissions by reference to the 100 total readiness testing hours of operation allowed by applicable NSPS or NESHAP requirements would grossly exaggerate emissions from those units. Such sources (and DEQ) would bear new costs and regulatory burdens (e.g., construction approvals, permit modifications, emission factor development) disproportionate to the insignificant emissions from those units. To avoid these unintended consequences, DEQ should define categorically insignificant emergency generators by reference to the actual emissions from those units.</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Insignificant emission units – small natural gas and oil fired units could require permitting that is currently exempt from permitting. It is important to note that many wastewater treatment plants are REQUIRED by the DEQ water quality permitting program to install and maintain backup generator sources of power. </w:t>
            </w: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p>
          <w:p w:rsidR="004A380C" w:rsidRPr="00D42F07" w:rsidRDefault="004A380C" w:rsidP="004A380C">
            <w:pPr>
              <w:rPr>
                <w:rFonts w:ascii="Times New Roman" w:hAnsi="Times New Roman" w:cs="Times New Roman"/>
              </w:rPr>
            </w:pPr>
            <w:r w:rsidRPr="00D42F07">
              <w:rPr>
                <w:rFonts w:ascii="Times New Roman" w:hAnsi="Times New Roman" w:cs="Times New Roman"/>
              </w:rPr>
              <w:t xml:space="preserve">DEQ should not impose the more restrictive definitions of Categorically Insignificant Activities (OAR 340-200-0020) and corresponding additions to the list of categories requiring an ACDP (OAR 340-216-8010), because they appear to have little or no </w:t>
            </w:r>
            <w:r w:rsidRPr="00D42F07">
              <w:rPr>
                <w:rFonts w:ascii="Times New Roman" w:hAnsi="Times New Roman" w:cs="Times New Roman"/>
              </w:rPr>
              <w:lastRenderedPageBreak/>
              <w:t>benefit but increase permitting burdens</w:t>
            </w:r>
          </w:p>
          <w:p w:rsidR="00281FAE" w:rsidRPr="00D42F07" w:rsidRDefault="00281FAE" w:rsidP="00A4663C">
            <w:pPr>
              <w:rPr>
                <w:rFonts w:ascii="Times New Roman" w:hAnsi="Times New Roman" w:cs="Times New Roman"/>
              </w:rPr>
            </w:pPr>
          </w:p>
        </w:tc>
        <w:tc>
          <w:tcPr>
            <w:tcW w:w="6972" w:type="dxa"/>
            <w:shd w:val="clear" w:color="auto" w:fill="92D050"/>
          </w:tcPr>
          <w:p w:rsidR="00B93D0B" w:rsidRPr="00D42F07" w:rsidRDefault="00B93D0B" w:rsidP="00A4663C">
            <w:pPr>
              <w:rPr>
                <w:rFonts w:ascii="Times New Roman" w:hAnsi="Times New Roman" w:cs="Times New Roman"/>
              </w:rPr>
            </w:pPr>
          </w:p>
        </w:tc>
      </w:tr>
      <w:tr w:rsidR="00281FAE" w:rsidRPr="00D42F07" w:rsidTr="00547113">
        <w:tc>
          <w:tcPr>
            <w:tcW w:w="570" w:type="dxa"/>
            <w:shd w:val="clear" w:color="auto" w:fill="B6DDE8" w:themeFill="accent5" w:themeFillTint="66"/>
          </w:tcPr>
          <w:p w:rsidR="00281FAE" w:rsidRPr="00D42F07" w:rsidRDefault="00281FAE" w:rsidP="00A4663C">
            <w:pPr>
              <w:rPr>
                <w:rFonts w:ascii="Times New Roman" w:hAnsi="Times New Roman" w:cs="Times New Roman"/>
              </w:rPr>
            </w:pPr>
          </w:p>
        </w:tc>
        <w:tc>
          <w:tcPr>
            <w:tcW w:w="5346" w:type="dxa"/>
            <w:shd w:val="clear" w:color="auto" w:fill="B6DDE8" w:themeFill="accent5" w:themeFillTint="66"/>
          </w:tcPr>
          <w:p w:rsidR="00281FAE" w:rsidRPr="00D42F07" w:rsidRDefault="00281FAE" w:rsidP="00A4663C">
            <w:pPr>
              <w:rPr>
                <w:rFonts w:ascii="Times New Roman" w:hAnsi="Times New Roman" w:cs="Times New Roman"/>
              </w:rPr>
            </w:pPr>
          </w:p>
        </w:tc>
        <w:tc>
          <w:tcPr>
            <w:tcW w:w="6972" w:type="dxa"/>
            <w:shd w:val="clear" w:color="auto" w:fill="B6DDE8" w:themeFill="accent5" w:themeFillTint="66"/>
          </w:tcPr>
          <w:p w:rsidR="00281FAE" w:rsidRPr="00D42F07" w:rsidRDefault="00281FAE" w:rsidP="00A4663C">
            <w:pPr>
              <w:rPr>
                <w:rFonts w:ascii="Times New Roman" w:hAnsi="Times New Roman" w:cs="Times New Roman"/>
              </w:rPr>
            </w:pPr>
          </w:p>
        </w:tc>
      </w:tr>
      <w:tr w:rsidR="00281FAE" w:rsidRPr="00D42F07" w:rsidTr="00547113">
        <w:tc>
          <w:tcPr>
            <w:tcW w:w="570" w:type="dxa"/>
            <w:tcBorders>
              <w:bottom w:val="single" w:sz="4" w:space="0" w:color="auto"/>
            </w:tcBorders>
            <w:shd w:val="clear" w:color="auto" w:fill="92D050"/>
          </w:tcPr>
          <w:p w:rsidR="00281FAE" w:rsidRPr="00D42F07" w:rsidRDefault="005F1A02" w:rsidP="00A4663C">
            <w:pPr>
              <w:rPr>
                <w:rFonts w:ascii="Times New Roman" w:hAnsi="Times New Roman" w:cs="Times New Roman"/>
              </w:rPr>
            </w:pPr>
            <w:r w:rsidRPr="00D42F07">
              <w:rPr>
                <w:rFonts w:ascii="Times New Roman" w:hAnsi="Times New Roman" w:cs="Times New Roman"/>
              </w:rPr>
              <w:t>42</w:t>
            </w:r>
          </w:p>
        </w:tc>
        <w:tc>
          <w:tcPr>
            <w:tcW w:w="5346" w:type="dxa"/>
            <w:tcBorders>
              <w:bottom w:val="single" w:sz="4" w:space="0" w:color="auto"/>
            </w:tcBorders>
            <w:shd w:val="clear" w:color="auto" w:fill="92D050"/>
          </w:tcPr>
          <w:p w:rsidR="007073CE" w:rsidRPr="00D42F07" w:rsidRDefault="007073CE" w:rsidP="007073CE">
            <w:pPr>
              <w:rPr>
                <w:rFonts w:ascii="Times New Roman" w:hAnsi="Times New Roman" w:cs="Times New Roman"/>
              </w:rPr>
            </w:pPr>
            <w:r w:rsidRPr="00D42F07">
              <w:rPr>
                <w:rFonts w:ascii="Times New Roman" w:hAnsi="Times New Roman" w:cs="Times New Roman"/>
              </w:rPr>
              <w:t>Associated Oregon Industries:</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DEQ should not change the current definition of “categorically insignificant activity,” which includes “[n]</w:t>
            </w:r>
            <w:proofErr w:type="spellStart"/>
            <w:r w:rsidRPr="00D42F07">
              <w:rPr>
                <w:rFonts w:ascii="Times New Roman" w:hAnsi="Times New Roman" w:cs="Times New Roman"/>
              </w:rPr>
              <w:t>atural</w:t>
            </w:r>
            <w:proofErr w:type="spellEnd"/>
            <w:r w:rsidRPr="00D42F07">
              <w:rPr>
                <w:rFonts w:ascii="Times New Roman" w:hAnsi="Times New Roman" w:cs="Times New Roman"/>
              </w:rPr>
              <w:t xml:space="preserve"> gas and propane burning equipment rated at less than or equal to 2.0 million Btu/hr.” OAR 340-200-0020(20</w:t>
            </w:r>
            <w:proofErr w:type="gramStart"/>
            <w:r w:rsidRPr="00D42F07">
              <w:rPr>
                <w:rFonts w:ascii="Times New Roman" w:hAnsi="Times New Roman" w:cs="Times New Roman"/>
              </w:rPr>
              <w:t>)(</w:t>
            </w:r>
            <w:proofErr w:type="gramEnd"/>
            <w:r w:rsidRPr="00D42F07">
              <w:rPr>
                <w:rFonts w:ascii="Times New Roman" w:hAnsi="Times New Roman" w:cs="Times New Roman"/>
              </w:rPr>
              <w:t>d). Emissions from such equipment are insignificant, it would be inappropriately costly (to sources and of the Department’s limited resources) to subject this equipment to the full extent of regulation under the state’s air quality rules.</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 xml:space="preserve">DEQ proposes to limit the small natural gas and propane burning equipment qualifying as a categorically insignificant activity. This would dramatically reduce the universe of small natural gas and propane burning equipment qualifying as categorically insignificant. Under the proposed language, 2.0 million Btu/hour natural-gas fired hot water heaters used for heating a dozen of buildings will no longer qualify as categorically insignificant only because the facility also operating a single natural-gas fired 40 million Btu/hour </w:t>
            </w:r>
            <w:proofErr w:type="gramStart"/>
            <w:r w:rsidRPr="00D42F07">
              <w:rPr>
                <w:rFonts w:ascii="Times New Roman" w:hAnsi="Times New Roman" w:cs="Times New Roman"/>
              </w:rPr>
              <w:t>boiler</w:t>
            </w:r>
            <w:proofErr w:type="gramEnd"/>
            <w:r w:rsidRPr="00D42F07">
              <w:rPr>
                <w:rFonts w:ascii="Times New Roman" w:hAnsi="Times New Roman" w:cs="Times New Roman"/>
              </w:rPr>
              <w:t xml:space="preserve"> for industrial processes. DEQ’s proposed language will subject (for the first time) a vast array of equipment with truly trivial emissions to regulation, with all attending costs and administrative burdens, but </w:t>
            </w:r>
            <w:r w:rsidRPr="00D42F07">
              <w:rPr>
                <w:rFonts w:ascii="Times New Roman" w:hAnsi="Times New Roman" w:cs="Times New Roman"/>
              </w:rPr>
              <w:lastRenderedPageBreak/>
              <w:t>without any proportionate benefit to human health or the environment. Most problematic, every one of those 2.0 million Btu/hour water heaters will now require a notice of construction (NOC). Such a requirement would be administratively impossible for sources to implement. The installation and modification of minor heating equipment (whether natural gas or propane-fired) typically occurs as routine maintenance activity completed without sufficient advance planning or documentation to enable preparation of a NOC. It would be an imprudent use of the state’s limited resources to require the Department to review a NOC for every hot water heater (and similar device) installed in every stationary source statewide. DEQ should either retract its revisions to this proposed categorically insignificant activity category or revise OAR 340-210-0205(2) to add a new subsection (f) which states:</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 xml:space="preserve"> “(2) OAR 340-210-0205 through 340-210-0250 do not apply to the following sources:” </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 xml:space="preserve">* * * </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 xml:space="preserve">“(f) Natural gas or propane burning equipment with a heat input less than or equal </w:t>
            </w:r>
            <w:proofErr w:type="gramStart"/>
            <w:r w:rsidRPr="00D42F07">
              <w:rPr>
                <w:rFonts w:ascii="Times New Roman" w:hAnsi="Times New Roman" w:cs="Times New Roman"/>
              </w:rPr>
              <w:t>to 2.0 million Btu/hour</w:t>
            </w:r>
            <w:proofErr w:type="gramEnd"/>
            <w:r w:rsidRPr="00D42F07">
              <w:rPr>
                <w:rFonts w:ascii="Times New Roman" w:hAnsi="Times New Roman" w:cs="Times New Roman"/>
              </w:rPr>
              <w:t xml:space="preserve">.” </w:t>
            </w:r>
          </w:p>
          <w:p w:rsidR="00281FAE" w:rsidRPr="00D42F07" w:rsidRDefault="00281FAE" w:rsidP="00A4663C">
            <w:pPr>
              <w:rPr>
                <w:rFonts w:ascii="Times New Roman" w:hAnsi="Times New Roman" w:cs="Times New Roman"/>
              </w:rPr>
            </w:pPr>
          </w:p>
        </w:tc>
        <w:tc>
          <w:tcPr>
            <w:tcW w:w="6972" w:type="dxa"/>
            <w:tcBorders>
              <w:bottom w:val="single" w:sz="4" w:space="0" w:color="auto"/>
            </w:tcBorders>
            <w:shd w:val="clear" w:color="auto" w:fill="92D050"/>
          </w:tcPr>
          <w:p w:rsidR="00281FAE" w:rsidRPr="00D42F07" w:rsidRDefault="00CC6414" w:rsidP="00A4663C">
            <w:pPr>
              <w:rPr>
                <w:rFonts w:ascii="Times New Roman" w:hAnsi="Times New Roman" w:cs="Times New Roman"/>
              </w:rPr>
            </w:pPr>
            <w:r w:rsidRPr="00D42F07">
              <w:rPr>
                <w:rFonts w:ascii="Times New Roman" w:hAnsi="Times New Roman" w:cs="Times New Roman"/>
              </w:rPr>
              <w:lastRenderedPageBreak/>
              <w:t>read this</w:t>
            </w:r>
          </w:p>
          <w:p w:rsidR="00CC6414" w:rsidRPr="00D42F07" w:rsidRDefault="00CC6414" w:rsidP="00A4663C">
            <w:pPr>
              <w:rPr>
                <w:rFonts w:ascii="Times New Roman" w:hAnsi="Times New Roman" w:cs="Times New Roman"/>
              </w:rPr>
            </w:pPr>
          </w:p>
          <w:p w:rsidR="00CC6414" w:rsidRPr="00D42F07" w:rsidRDefault="00CC6414" w:rsidP="00A4663C">
            <w:pPr>
              <w:rPr>
                <w:rFonts w:ascii="Times New Roman" w:hAnsi="Times New Roman" w:cs="Times New Roman"/>
              </w:rPr>
            </w:pPr>
            <w:r w:rsidRPr="00D42F07">
              <w:rPr>
                <w:rFonts w:ascii="Times New Roman" w:hAnsi="Times New Roman" w:cs="Times New Roman"/>
              </w:rPr>
              <w:t>needs to be combined with ACWA comment</w:t>
            </w:r>
          </w:p>
        </w:tc>
      </w:tr>
      <w:tr w:rsidR="00575E4B" w:rsidRPr="00D42F07" w:rsidTr="00547113">
        <w:tc>
          <w:tcPr>
            <w:tcW w:w="570" w:type="dxa"/>
            <w:tcBorders>
              <w:bottom w:val="single" w:sz="4" w:space="0" w:color="auto"/>
            </w:tcBorders>
            <w:shd w:val="clear" w:color="auto" w:fill="92D050"/>
          </w:tcPr>
          <w:p w:rsidR="00575E4B" w:rsidRPr="00D42F07" w:rsidRDefault="00575E4B" w:rsidP="00A4663C">
            <w:pPr>
              <w:rPr>
                <w:rFonts w:ascii="Times New Roman" w:hAnsi="Times New Roman" w:cs="Times New Roman"/>
              </w:rPr>
            </w:pPr>
            <w:r w:rsidRPr="00D42F07">
              <w:rPr>
                <w:rFonts w:ascii="Times New Roman" w:hAnsi="Times New Roman" w:cs="Times New Roman"/>
              </w:rPr>
              <w:lastRenderedPageBreak/>
              <w:t>43</w:t>
            </w:r>
          </w:p>
        </w:tc>
        <w:tc>
          <w:tcPr>
            <w:tcW w:w="5346" w:type="dxa"/>
            <w:tcBorders>
              <w:bottom w:val="single" w:sz="4" w:space="0" w:color="auto"/>
            </w:tcBorders>
            <w:shd w:val="clear" w:color="auto" w:fill="92D050"/>
          </w:tcPr>
          <w:p w:rsidR="007073CE" w:rsidRPr="00D42F07" w:rsidRDefault="007073CE" w:rsidP="007073CE">
            <w:pPr>
              <w:rPr>
                <w:rFonts w:ascii="Times New Roman" w:hAnsi="Times New Roman" w:cs="Times New Roman"/>
              </w:rPr>
            </w:pPr>
            <w:r w:rsidRPr="00D42F07">
              <w:rPr>
                <w:rFonts w:ascii="Times New Roman" w:hAnsi="Times New Roman" w:cs="Times New Roman"/>
              </w:rPr>
              <w:t>Associated Oregon Industries:</w:t>
            </w:r>
          </w:p>
          <w:p w:rsidR="007073CE" w:rsidRPr="00D42F07" w:rsidRDefault="007073CE" w:rsidP="007073CE">
            <w:pPr>
              <w:rPr>
                <w:rFonts w:ascii="Times New Roman" w:hAnsi="Times New Roman" w:cs="Times New Roman"/>
              </w:rPr>
            </w:pPr>
            <w:r w:rsidRPr="00D42F07">
              <w:rPr>
                <w:rFonts w:ascii="Times New Roman" w:hAnsi="Times New Roman" w:cs="Times New Roman"/>
              </w:rPr>
              <w:t xml:space="preserve">AOI requests that DEQ reconsider its approach to </w:t>
            </w:r>
            <w:r w:rsidRPr="00D42F07">
              <w:rPr>
                <w:rFonts w:ascii="Times New Roman" w:hAnsi="Times New Roman" w:cs="Times New Roman"/>
              </w:rPr>
              <w:lastRenderedPageBreak/>
              <w:t xml:space="preserve">regulating emissions from distillate oil, kerosene or gasoline fuel-burning equipment rated at less than or equal to 0.4 million Btu/hour. DEQ should either remove its proposed revisions to this categorically insignificant activity category or, at the very least, revise OAR 340-210-0205(2) to make clear that construction approval is not required for insignificant distillate oil, kerosene or gasoline fuel-burning equipment. Otherwise, the proposed regulations will have real impacts on regulated sources. For example, the fact that a source had even a single oil-fired unit rated at greater than 0.4 million Btu/hour would mean that none of the de minimis oil-fired comfort heaters (rated well below 0.4 million Btu/hour) that source may also operate would qualify as categorically insignificant. That same source would need to obtain construction approvals before installing or modifying any of its oil-fired combustion devices, irrespective of those units’ emissions. These changes impose even more costs and administrative burdens on sources without any discernible benefit to human health or the environment. </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 xml:space="preserve">To that end, the Department could add a new subsection (g) which states: </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“(2) OAR 340-210-0205 through 340-210-0250 do not apply to the following sources:”</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lastRenderedPageBreak/>
              <w:t xml:space="preserve">* * * </w:t>
            </w:r>
          </w:p>
          <w:p w:rsidR="007073CE" w:rsidRPr="00D42F07" w:rsidRDefault="007073CE" w:rsidP="007073CE">
            <w:pPr>
              <w:rPr>
                <w:rFonts w:ascii="Times New Roman" w:hAnsi="Times New Roman" w:cs="Times New Roman"/>
              </w:rPr>
            </w:pPr>
          </w:p>
          <w:p w:rsidR="007073CE" w:rsidRPr="00D42F07" w:rsidRDefault="007073CE" w:rsidP="007073CE">
            <w:pPr>
              <w:rPr>
                <w:rFonts w:ascii="Times New Roman" w:hAnsi="Times New Roman" w:cs="Times New Roman"/>
              </w:rPr>
            </w:pPr>
            <w:r w:rsidRPr="00D42F07">
              <w:rPr>
                <w:rFonts w:ascii="Times New Roman" w:hAnsi="Times New Roman" w:cs="Times New Roman"/>
              </w:rPr>
              <w:t>“(g) Distillate oil, kerosene, or gasoline fuel burning equipment rated at less than or equal to 0.4 million Btu/hour.”</w:t>
            </w:r>
          </w:p>
          <w:p w:rsidR="00575E4B" w:rsidRPr="00D42F07" w:rsidRDefault="00575E4B" w:rsidP="00A4663C">
            <w:pPr>
              <w:rPr>
                <w:rFonts w:ascii="Times New Roman" w:hAnsi="Times New Roman" w:cs="Times New Roman"/>
              </w:rPr>
            </w:pPr>
          </w:p>
        </w:tc>
        <w:tc>
          <w:tcPr>
            <w:tcW w:w="6972" w:type="dxa"/>
            <w:tcBorders>
              <w:bottom w:val="single" w:sz="4" w:space="0" w:color="auto"/>
            </w:tcBorders>
            <w:shd w:val="clear" w:color="auto" w:fill="92D050"/>
          </w:tcPr>
          <w:p w:rsidR="00575E4B" w:rsidRPr="00D42F07" w:rsidRDefault="00CC6414" w:rsidP="00A4663C">
            <w:pPr>
              <w:rPr>
                <w:rFonts w:ascii="Times New Roman" w:hAnsi="Times New Roman" w:cs="Times New Roman"/>
              </w:rPr>
            </w:pPr>
            <w:r w:rsidRPr="00D42F07">
              <w:rPr>
                <w:rFonts w:ascii="Times New Roman" w:hAnsi="Times New Roman" w:cs="Times New Roman"/>
              </w:rPr>
              <w:lastRenderedPageBreak/>
              <w:t>read this,</w:t>
            </w:r>
          </w:p>
          <w:p w:rsidR="00CC6414" w:rsidRPr="00D42F07" w:rsidRDefault="00CC6414" w:rsidP="00A4663C">
            <w:pPr>
              <w:rPr>
                <w:rFonts w:ascii="Times New Roman" w:hAnsi="Times New Roman" w:cs="Times New Roman"/>
              </w:rPr>
            </w:pPr>
          </w:p>
          <w:p w:rsidR="00CC6414" w:rsidRPr="00D42F07" w:rsidRDefault="00CC6414" w:rsidP="00A4663C">
            <w:pPr>
              <w:rPr>
                <w:rFonts w:ascii="Times New Roman" w:hAnsi="Times New Roman" w:cs="Times New Roman"/>
              </w:rPr>
            </w:pPr>
            <w:r w:rsidRPr="00D42F07">
              <w:rPr>
                <w:rFonts w:ascii="Times New Roman" w:hAnsi="Times New Roman" w:cs="Times New Roman"/>
              </w:rPr>
              <w:lastRenderedPageBreak/>
              <w:t>needs to be combined with ACWA comment</w:t>
            </w:r>
          </w:p>
        </w:tc>
      </w:tr>
      <w:tr w:rsidR="00575E4B" w:rsidRPr="00D42F07" w:rsidTr="00547113">
        <w:tc>
          <w:tcPr>
            <w:tcW w:w="570" w:type="dxa"/>
            <w:tcBorders>
              <w:bottom w:val="single" w:sz="4" w:space="0" w:color="auto"/>
            </w:tcBorders>
            <w:shd w:val="clear" w:color="auto" w:fill="B6DDE8" w:themeFill="accent5" w:themeFillTint="66"/>
          </w:tcPr>
          <w:p w:rsidR="00575E4B" w:rsidRPr="00D42F07" w:rsidRDefault="00575E4B" w:rsidP="00A4663C">
            <w:pPr>
              <w:rPr>
                <w:rFonts w:ascii="Times New Roman" w:hAnsi="Times New Roman" w:cs="Times New Roman"/>
              </w:rPr>
            </w:pPr>
          </w:p>
        </w:tc>
        <w:tc>
          <w:tcPr>
            <w:tcW w:w="5346" w:type="dxa"/>
            <w:tcBorders>
              <w:bottom w:val="single" w:sz="4" w:space="0" w:color="auto"/>
            </w:tcBorders>
            <w:shd w:val="clear" w:color="auto" w:fill="B6DDE8" w:themeFill="accent5" w:themeFillTint="66"/>
          </w:tcPr>
          <w:p w:rsidR="00575E4B" w:rsidRPr="00D42F07" w:rsidRDefault="00575E4B" w:rsidP="00A4663C">
            <w:pPr>
              <w:rPr>
                <w:rFonts w:ascii="Times New Roman" w:hAnsi="Times New Roman" w:cs="Times New Roman"/>
              </w:rPr>
            </w:pPr>
          </w:p>
        </w:tc>
        <w:tc>
          <w:tcPr>
            <w:tcW w:w="6972" w:type="dxa"/>
            <w:tcBorders>
              <w:bottom w:val="single" w:sz="4" w:space="0" w:color="auto"/>
            </w:tcBorders>
            <w:shd w:val="clear" w:color="auto" w:fill="B6DDE8" w:themeFill="accent5" w:themeFillTint="66"/>
          </w:tcPr>
          <w:p w:rsidR="00575E4B" w:rsidRPr="00D42F07" w:rsidRDefault="00575E4B" w:rsidP="00A4663C">
            <w:pPr>
              <w:rPr>
                <w:rFonts w:ascii="Times New Roman" w:hAnsi="Times New Roman" w:cs="Times New Roman"/>
              </w:rPr>
            </w:pPr>
          </w:p>
        </w:tc>
      </w:tr>
      <w:tr w:rsidR="001B2C82" w:rsidRPr="00D42F07" w:rsidTr="00547113">
        <w:tc>
          <w:tcPr>
            <w:tcW w:w="570" w:type="dxa"/>
            <w:tcBorders>
              <w:bottom w:val="single" w:sz="4" w:space="0" w:color="auto"/>
            </w:tcBorders>
            <w:shd w:val="clear" w:color="auto" w:fill="92D050"/>
          </w:tcPr>
          <w:p w:rsidR="001B2C82" w:rsidRPr="00D42F07" w:rsidRDefault="009F623F" w:rsidP="00A4663C">
            <w:pPr>
              <w:rPr>
                <w:rFonts w:ascii="Times New Roman" w:hAnsi="Times New Roman" w:cs="Times New Roman"/>
              </w:rPr>
            </w:pPr>
            <w:r w:rsidRPr="00D42F07">
              <w:rPr>
                <w:rFonts w:ascii="Times New Roman" w:hAnsi="Times New Roman" w:cs="Times New Roman"/>
              </w:rPr>
              <w:t>73</w:t>
            </w:r>
          </w:p>
        </w:tc>
        <w:tc>
          <w:tcPr>
            <w:tcW w:w="5346" w:type="dxa"/>
            <w:tcBorders>
              <w:bottom w:val="single" w:sz="4" w:space="0" w:color="auto"/>
            </w:tcBorders>
            <w:shd w:val="clear" w:color="auto" w:fill="92D050"/>
          </w:tcPr>
          <w:p w:rsidR="001B2C82" w:rsidRPr="00D42F07" w:rsidRDefault="001B2C82" w:rsidP="001B2C82">
            <w:pPr>
              <w:rPr>
                <w:rFonts w:ascii="Times New Roman" w:hAnsi="Times New Roman" w:cs="Times New Roman"/>
              </w:rPr>
            </w:pPr>
            <w:r w:rsidRPr="00D42F07">
              <w:rPr>
                <w:rFonts w:ascii="Times New Roman" w:hAnsi="Times New Roman" w:cs="Times New Roman"/>
              </w:rPr>
              <w:t>PGE, BCPW (2):</w:t>
            </w:r>
          </w:p>
          <w:p w:rsidR="001B2C82" w:rsidRPr="00D42F07" w:rsidRDefault="001B2C82" w:rsidP="001B2C82">
            <w:pPr>
              <w:rPr>
                <w:rFonts w:ascii="Times New Roman" w:hAnsi="Times New Roman" w:cs="Times New Roman"/>
                <w:color w:val="FF6600"/>
              </w:rPr>
            </w:pPr>
          </w:p>
          <w:p w:rsidR="001B2C82" w:rsidRPr="00D42F07" w:rsidRDefault="001B2C82" w:rsidP="001B2C82">
            <w:pPr>
              <w:rPr>
                <w:rFonts w:ascii="Times New Roman" w:hAnsi="Times New Roman" w:cs="Times New Roman"/>
              </w:rPr>
            </w:pPr>
            <w:r w:rsidRPr="00D42F07">
              <w:rPr>
                <w:rFonts w:ascii="Times New Roman" w:hAnsi="Times New Roman" w:cs="Times New Roman"/>
              </w:rPr>
              <w:t xml:space="preserve">The proposed changes to Categorically insignificant Units appear to add an unnecessary complexity to the air-permitting program. The proposed changes will require significant accounting efforts for insignificant emission sources. Complete inventory of very small emission units will be </w:t>
            </w:r>
            <w:proofErr w:type="gramStart"/>
            <w:r w:rsidRPr="00D42F07">
              <w:rPr>
                <w:rFonts w:ascii="Times New Roman" w:hAnsi="Times New Roman" w:cs="Times New Roman"/>
              </w:rPr>
              <w:t>a continues</w:t>
            </w:r>
            <w:proofErr w:type="gramEnd"/>
            <w:r w:rsidRPr="00D42F07">
              <w:rPr>
                <w:rFonts w:ascii="Times New Roman" w:hAnsi="Times New Roman" w:cs="Times New Roman"/>
              </w:rPr>
              <w:t xml:space="preserve"> process that will cause many repeated modification to the air permits to account for every new unit listed. The fees for continues routine permit modifications can quickly accumulate to considerable sums. If DEQ insists on regulation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 </w:t>
            </w:r>
          </w:p>
          <w:p w:rsidR="001B2C82" w:rsidRPr="00D42F07" w:rsidRDefault="001B2C82" w:rsidP="001B2C82">
            <w:pPr>
              <w:rPr>
                <w:rFonts w:ascii="Times New Roman" w:hAnsi="Times New Roman" w:cs="Times New Roman"/>
              </w:rPr>
            </w:pPr>
          </w:p>
        </w:tc>
        <w:tc>
          <w:tcPr>
            <w:tcW w:w="6972" w:type="dxa"/>
            <w:tcBorders>
              <w:bottom w:val="single" w:sz="4" w:space="0" w:color="auto"/>
            </w:tcBorders>
            <w:shd w:val="clear" w:color="auto" w:fill="92D050"/>
          </w:tcPr>
          <w:p w:rsidR="001B2C82" w:rsidRPr="00D42F07" w:rsidRDefault="00112A6B" w:rsidP="00A4663C">
            <w:pPr>
              <w:rPr>
                <w:rFonts w:ascii="Times New Roman" w:hAnsi="Times New Roman" w:cs="Times New Roman"/>
              </w:rPr>
            </w:pPr>
            <w:r w:rsidRPr="00D42F07">
              <w:rPr>
                <w:rFonts w:ascii="Times New Roman" w:hAnsi="Times New Roman" w:cs="Times New Roman"/>
              </w:rPr>
              <w:t>combine this with other comments on CIA</w:t>
            </w:r>
          </w:p>
        </w:tc>
      </w:tr>
      <w:tr w:rsidR="000053C2" w:rsidRPr="00D42F07" w:rsidTr="00547113">
        <w:tc>
          <w:tcPr>
            <w:tcW w:w="570" w:type="dxa"/>
            <w:shd w:val="clear" w:color="auto" w:fill="B6DDE8" w:themeFill="accent5" w:themeFillTint="66"/>
          </w:tcPr>
          <w:p w:rsidR="000053C2" w:rsidRPr="00D42F07" w:rsidRDefault="000053C2" w:rsidP="00A4663C">
            <w:pPr>
              <w:rPr>
                <w:rFonts w:ascii="Times New Roman" w:hAnsi="Times New Roman" w:cs="Times New Roman"/>
              </w:rPr>
            </w:pPr>
          </w:p>
        </w:tc>
        <w:tc>
          <w:tcPr>
            <w:tcW w:w="5346" w:type="dxa"/>
            <w:shd w:val="clear" w:color="auto" w:fill="B6DDE8" w:themeFill="accent5" w:themeFillTint="66"/>
          </w:tcPr>
          <w:p w:rsidR="000053C2" w:rsidRPr="00D42F07" w:rsidRDefault="000053C2" w:rsidP="000053C2">
            <w:pPr>
              <w:rPr>
                <w:rFonts w:ascii="Times New Roman" w:hAnsi="Times New Roman" w:cs="Times New Roman"/>
                <w:color w:val="FF6600"/>
              </w:rPr>
            </w:pPr>
          </w:p>
        </w:tc>
        <w:tc>
          <w:tcPr>
            <w:tcW w:w="6972" w:type="dxa"/>
            <w:shd w:val="clear" w:color="auto" w:fill="B6DDE8" w:themeFill="accent5" w:themeFillTint="66"/>
          </w:tcPr>
          <w:p w:rsidR="000053C2" w:rsidRPr="00D42F07" w:rsidRDefault="000053C2" w:rsidP="00A4663C">
            <w:pPr>
              <w:rPr>
                <w:rFonts w:ascii="Times New Roman" w:hAnsi="Times New Roman" w:cs="Times New Roman"/>
              </w:rPr>
            </w:pPr>
          </w:p>
        </w:tc>
      </w:tr>
      <w:tr w:rsidR="000053C2" w:rsidRPr="00D42F07" w:rsidTr="00547113">
        <w:tc>
          <w:tcPr>
            <w:tcW w:w="570" w:type="dxa"/>
            <w:shd w:val="clear" w:color="auto" w:fill="92D050"/>
          </w:tcPr>
          <w:p w:rsidR="000053C2" w:rsidRPr="00D42F07" w:rsidRDefault="00FC73FA" w:rsidP="00A4663C">
            <w:pPr>
              <w:rPr>
                <w:rFonts w:ascii="Times New Roman" w:hAnsi="Times New Roman" w:cs="Times New Roman"/>
              </w:rPr>
            </w:pPr>
            <w:r w:rsidRPr="00D42F07">
              <w:rPr>
                <w:rFonts w:ascii="Times New Roman" w:hAnsi="Times New Roman" w:cs="Times New Roman"/>
              </w:rPr>
              <w:t>82</w:t>
            </w:r>
          </w:p>
        </w:tc>
        <w:tc>
          <w:tcPr>
            <w:tcW w:w="5346" w:type="dxa"/>
            <w:shd w:val="clear" w:color="auto" w:fill="92D050"/>
          </w:tcPr>
          <w:p w:rsidR="000053C2" w:rsidRPr="00D42F07" w:rsidRDefault="000053C2" w:rsidP="000053C2">
            <w:pPr>
              <w:rPr>
                <w:rFonts w:ascii="Times New Roman" w:hAnsi="Times New Roman" w:cs="Times New Roman"/>
              </w:rPr>
            </w:pPr>
            <w:r w:rsidRPr="00D42F07">
              <w:rPr>
                <w:rFonts w:ascii="Times New Roman" w:hAnsi="Times New Roman" w:cs="Times New Roman"/>
              </w:rPr>
              <w:t>The Collins Companies, OFIC (2):</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color w:val="FF6600"/>
              </w:rPr>
            </w:pPr>
          </w:p>
          <w:p w:rsidR="000053C2" w:rsidRPr="00D42F07" w:rsidRDefault="000053C2" w:rsidP="000053C2">
            <w:pPr>
              <w:rPr>
                <w:rFonts w:ascii="Times New Roman" w:hAnsi="Times New Roman" w:cs="Times New Roman"/>
              </w:rPr>
            </w:pPr>
            <w:r w:rsidRPr="00D42F07">
              <w:rPr>
                <w:rFonts w:ascii="Times New Roman" w:hAnsi="Times New Roman" w:cs="Times New Roman"/>
              </w:rPr>
              <w:lastRenderedPageBreak/>
              <w:t xml:space="preserve">OFIC objects to the Department’s proposed revisions to the categorically insignificant activity category of natural gas and propane equipment less than or equal to 2.0 MMBtu per hour.  The Department has proposed language that would prohibit a facility from being able to manage any of its natural gas fired units as categorically insignificant if any single gas-fired piece of equipment anywhere on site is rated at more than 2.0 MMBtu per hour.  As a result of this proposed language, a forest products company with a 30 MMBtu per hour natural gas fired boiler would be required to treat a tiny gas-fired comfort heater as a fully regulated emissions source while a 650 MMBtu per hour coal-fired power plant would not.  There is no sound policy underlying such a distinction.  </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rPr>
            </w:pPr>
            <w:r w:rsidRPr="00D42F07">
              <w:rPr>
                <w:rFonts w:ascii="Times New Roman" w:hAnsi="Times New Roman" w:cs="Times New Roman"/>
              </w:rPr>
              <w:t xml:space="preserve">In addition, the proposed rule language would require that a source inventory every single gas-fired appliance on site (including water heaters, comfort heaters, cook stoves, decorative fireplaces) in order to determine whether their emissions could conceivably exceed 1 ton per year of any pollutant.  This alone is an enormous administrative task regardless of the outcome.  If the collective plant-wide emissions could conceivably exceed 1 ton per year, then all of these devices, right down to the smallest hot water heater, would have to be fully permitted and the installation of a new hot water heater would require DEQ’s full permitting review.  There is no reasonable policy purpose underlying </w:t>
            </w:r>
            <w:r w:rsidRPr="00D42F07">
              <w:rPr>
                <w:rFonts w:ascii="Times New Roman" w:hAnsi="Times New Roman" w:cs="Times New Roman"/>
              </w:rPr>
              <w:lastRenderedPageBreak/>
              <w:t xml:space="preserve">this proposed rule change.  </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rPr>
            </w:pPr>
            <w:r w:rsidRPr="00D42F07">
              <w:rPr>
                <w:rFonts w:ascii="Times New Roman" w:hAnsi="Times New Roman" w:cs="Times New Roman"/>
              </w:rPr>
              <w:t>Oregon’s existing categorically insignificant activity is already substantially more stringent than what is defined as insignificant in Washington.  For a source in Washington, any combustion source firing natural gas, butane, propane or LPG is considered insignificant if it is rated at less than 5 MMBtu per hour.  No assessment is required under Washington law of how many of these units are on site.  Washington’s listing of these units as categorically insignificant was upheld by the Ninth Circuit and so clearly there is a legitimate legal basis for these higher insignificance thresholds.</w:t>
            </w:r>
          </w:p>
          <w:p w:rsidR="000053C2" w:rsidRPr="00D42F07" w:rsidRDefault="000053C2" w:rsidP="000053C2">
            <w:pPr>
              <w:rPr>
                <w:rFonts w:ascii="Times New Roman" w:hAnsi="Times New Roman" w:cs="Times New Roman"/>
                <w:color w:val="FF6600"/>
              </w:rPr>
            </w:pPr>
          </w:p>
        </w:tc>
        <w:tc>
          <w:tcPr>
            <w:tcW w:w="6972" w:type="dxa"/>
            <w:shd w:val="clear" w:color="auto" w:fill="92D050"/>
          </w:tcPr>
          <w:p w:rsidR="000053C2" w:rsidRPr="00D42F07" w:rsidRDefault="00D807C2" w:rsidP="00A4663C">
            <w:pPr>
              <w:rPr>
                <w:rFonts w:ascii="Times New Roman" w:hAnsi="Times New Roman" w:cs="Times New Roman"/>
              </w:rPr>
            </w:pPr>
            <w:r w:rsidRPr="00D42F07">
              <w:rPr>
                <w:rFonts w:ascii="Times New Roman" w:hAnsi="Times New Roman" w:cs="Times New Roman"/>
              </w:rPr>
              <w:lastRenderedPageBreak/>
              <w:t>Combine with other CIA comments</w:t>
            </w:r>
          </w:p>
        </w:tc>
      </w:tr>
      <w:tr w:rsidR="000053C2" w:rsidRPr="00D42F07" w:rsidTr="00547113">
        <w:tc>
          <w:tcPr>
            <w:tcW w:w="570" w:type="dxa"/>
            <w:tcBorders>
              <w:bottom w:val="single" w:sz="4" w:space="0" w:color="auto"/>
            </w:tcBorders>
            <w:shd w:val="clear" w:color="auto" w:fill="92D050"/>
          </w:tcPr>
          <w:p w:rsidR="000053C2" w:rsidRPr="00D42F07" w:rsidRDefault="00FC73FA" w:rsidP="00A4663C">
            <w:pPr>
              <w:rPr>
                <w:rFonts w:ascii="Times New Roman" w:hAnsi="Times New Roman" w:cs="Times New Roman"/>
              </w:rPr>
            </w:pPr>
            <w:r w:rsidRPr="00D42F07">
              <w:rPr>
                <w:rFonts w:ascii="Times New Roman" w:hAnsi="Times New Roman" w:cs="Times New Roman"/>
              </w:rPr>
              <w:lastRenderedPageBreak/>
              <w:t>83</w:t>
            </w:r>
          </w:p>
        </w:tc>
        <w:tc>
          <w:tcPr>
            <w:tcW w:w="5346" w:type="dxa"/>
            <w:tcBorders>
              <w:bottom w:val="single" w:sz="4" w:space="0" w:color="auto"/>
            </w:tcBorders>
            <w:shd w:val="clear" w:color="auto" w:fill="92D050"/>
          </w:tcPr>
          <w:p w:rsidR="000053C2" w:rsidRPr="00D42F07" w:rsidRDefault="000053C2" w:rsidP="000053C2">
            <w:pPr>
              <w:rPr>
                <w:rFonts w:ascii="Times New Roman" w:hAnsi="Times New Roman" w:cs="Times New Roman"/>
              </w:rPr>
            </w:pPr>
            <w:r w:rsidRPr="00D42F07">
              <w:rPr>
                <w:rFonts w:ascii="Times New Roman" w:hAnsi="Times New Roman" w:cs="Times New Roman"/>
              </w:rPr>
              <w:t>The Collins Companies, OFIC (2):</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rPr>
            </w:pPr>
            <w:r w:rsidRPr="00D42F07">
              <w:rPr>
                <w:rFonts w:ascii="Times New Roman" w:hAnsi="Times New Roman" w:cs="Times New Roman"/>
              </w:rPr>
              <w:t xml:space="preserve">Collins similarly objects to DEQ’s proposed revisions to the categorically insignificant activity category of distillate, kerosene and gasoline-fired equipment less than or equal to 0.4 MMBtu per hour.  DEQ has proposed language that would prohibit a facility from being able to manage any of its distillate, kerosene or gasoline-fired units as categorically insignificant if any single piece of liquid fuel-fired equipment anywhere on the mill site is rated at more than 0.4 MMBtu per hour.  As with the gas-fired units, there is no sound policy underlying such a distinction.  </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rPr>
            </w:pPr>
            <w:r w:rsidRPr="00D42F07">
              <w:rPr>
                <w:rFonts w:ascii="Times New Roman" w:hAnsi="Times New Roman" w:cs="Times New Roman"/>
              </w:rPr>
              <w:t xml:space="preserve">In addition, the proposed rule language would </w:t>
            </w:r>
            <w:r w:rsidRPr="00D42F07">
              <w:rPr>
                <w:rFonts w:ascii="Times New Roman" w:hAnsi="Times New Roman" w:cs="Times New Roman"/>
              </w:rPr>
              <w:lastRenderedPageBreak/>
              <w:t>require that we would have to inventory every single distillate, kerosene and gasoline-fired device on site--no matter how small--in order to determine whether their emissions, in aggregate, could conceivably exceed 1 ton per year of any pollutant.  This alone is an enormous administrative task regardless of the outcome.  If the aggregate emissions could conceivably exceed 1 ton per year, then all of those devices, right down to the comfort heaters in our maintenance shops, would have to be fully permitted and the installation or modification of a heater would require DEQ’s full permitting review.  There is no reasonable policy purpose served by this proposed rule change. DEQ has had this categorically insignificant activity unchanged in its rules for 22 years and we do not see any new development that justifies its revision.  The burden placed on us and DEQ are not justified by any material environmental benefit that DEQ failed to identify 22 years ago when it adopted this provision.</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rPr>
            </w:pPr>
            <w:r w:rsidRPr="00D42F07">
              <w:rPr>
                <w:rFonts w:ascii="Times New Roman" w:hAnsi="Times New Roman" w:cs="Times New Roman"/>
              </w:rPr>
              <w:t xml:space="preserve">Existing categorically insignificant activity is already substantially more limited than what is defined as insignificant in Washington.  For a source in Washington, any combustion source firing kerosene or distillate is considered insignificant if it is rated at less than 1 MMBtu per hour and </w:t>
            </w:r>
            <w:proofErr w:type="gramStart"/>
            <w:r w:rsidRPr="00D42F07">
              <w:rPr>
                <w:rFonts w:ascii="Times New Roman" w:hAnsi="Times New Roman" w:cs="Times New Roman"/>
              </w:rPr>
              <w:t>this increases</w:t>
            </w:r>
            <w:proofErr w:type="gramEnd"/>
            <w:r w:rsidRPr="00D42F07">
              <w:rPr>
                <w:rFonts w:ascii="Times New Roman" w:hAnsi="Times New Roman" w:cs="Times New Roman"/>
              </w:rPr>
              <w:t xml:space="preserve"> to 5 MMBtu per hour for space heaters and hot water heaters.  Washington’s listing of these units as categorically insignificant was upheld by the Ninth Circuit and so clearly there is a legitimate legal basis </w:t>
            </w:r>
            <w:r w:rsidRPr="00D42F07">
              <w:rPr>
                <w:rFonts w:ascii="Times New Roman" w:hAnsi="Times New Roman" w:cs="Times New Roman"/>
              </w:rPr>
              <w:lastRenderedPageBreak/>
              <w:t>for these higher insignificance thresholds.</w:t>
            </w:r>
          </w:p>
          <w:p w:rsidR="000053C2" w:rsidRPr="00D42F07" w:rsidRDefault="000053C2" w:rsidP="000053C2">
            <w:pPr>
              <w:rPr>
                <w:rFonts w:ascii="Times New Roman" w:hAnsi="Times New Roman" w:cs="Times New Roman"/>
              </w:rPr>
            </w:pPr>
          </w:p>
          <w:p w:rsidR="000053C2" w:rsidRPr="00D42F07" w:rsidRDefault="000053C2" w:rsidP="000053C2">
            <w:pPr>
              <w:rPr>
                <w:rFonts w:ascii="Times New Roman" w:hAnsi="Times New Roman" w:cs="Times New Roman"/>
                <w:color w:val="FF6600"/>
              </w:rPr>
            </w:pPr>
          </w:p>
        </w:tc>
        <w:tc>
          <w:tcPr>
            <w:tcW w:w="6972" w:type="dxa"/>
            <w:tcBorders>
              <w:bottom w:val="single" w:sz="4" w:space="0" w:color="auto"/>
            </w:tcBorders>
            <w:shd w:val="clear" w:color="auto" w:fill="92D050"/>
          </w:tcPr>
          <w:p w:rsidR="000053C2" w:rsidRPr="00D42F07" w:rsidRDefault="00D807C2" w:rsidP="00A4663C">
            <w:pPr>
              <w:rPr>
                <w:rFonts w:ascii="Times New Roman" w:hAnsi="Times New Roman" w:cs="Times New Roman"/>
              </w:rPr>
            </w:pPr>
            <w:r w:rsidRPr="00D42F07">
              <w:rPr>
                <w:rFonts w:ascii="Times New Roman" w:hAnsi="Times New Roman" w:cs="Times New Roman"/>
              </w:rPr>
              <w:lastRenderedPageBreak/>
              <w:t>Combine with other CIA comments</w:t>
            </w:r>
          </w:p>
        </w:tc>
      </w:tr>
    </w:tbl>
    <w:p w:rsidR="00FD31DD" w:rsidRPr="00D42F07" w:rsidRDefault="00FD31DD" w:rsidP="00AF4C63">
      <w:pPr>
        <w:rPr>
          <w:rFonts w:ascii="Times New Roman" w:hAnsi="Times New Roman" w:cs="Times New Roman"/>
        </w:rPr>
      </w:pPr>
    </w:p>
    <w:p w:rsidR="009B2E1A" w:rsidRPr="00D42F07" w:rsidRDefault="009B2E1A" w:rsidP="00AF4C63">
      <w:pPr>
        <w:rPr>
          <w:rFonts w:ascii="Times New Roman" w:hAnsi="Times New Roman" w:cs="Times New Roman"/>
        </w:rPr>
      </w:pPr>
    </w:p>
    <w:p w:rsidR="00A96179" w:rsidRPr="001452E5" w:rsidRDefault="001452E5" w:rsidP="00A96179">
      <w:pPr>
        <w:rPr>
          <w:rFonts w:ascii="Times New Roman" w:hAnsi="Times New Roman" w:cs="Times New Roman"/>
          <w:b/>
          <w:u w:val="single"/>
        </w:rPr>
      </w:pPr>
      <w:r w:rsidRPr="001452E5">
        <w:rPr>
          <w:rFonts w:ascii="Times New Roman" w:hAnsi="Times New Roman" w:cs="Times New Roman"/>
          <w:b/>
          <w:u w:val="single"/>
        </w:rPr>
        <w:t>RTC</w:t>
      </w:r>
      <w:r w:rsidR="00A96179" w:rsidRPr="001452E5">
        <w:rPr>
          <w:rFonts w:ascii="Times New Roman" w:hAnsi="Times New Roman" w:cs="Times New Roman"/>
          <w:b/>
          <w:u w:val="single"/>
        </w:rPr>
        <w:t xml:space="preserve"> on CIA, small fuel burning and emergency RICE</w:t>
      </w:r>
    </w:p>
    <w:p w:rsidR="00A96179" w:rsidRPr="00893F50" w:rsidRDefault="00A96179" w:rsidP="00A96179">
      <w:pPr>
        <w:rPr>
          <w:rFonts w:ascii="Times New Roman" w:hAnsi="Times New Roman" w:cs="Times New Roman"/>
        </w:rPr>
      </w:pP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 xml:space="preserve">DEQ proposed revisions to how four categorically insignificant activities are defined because it has been found that emissions </w:t>
      </w:r>
      <w:r w:rsidR="00C45847" w:rsidRPr="00893F50">
        <w:rPr>
          <w:rFonts w:ascii="Times New Roman" w:hAnsi="Times New Roman" w:cs="Times New Roman"/>
        </w:rPr>
        <w:t xml:space="preserve">or potential to emit </w:t>
      </w:r>
      <w:r w:rsidRPr="00893F50">
        <w:rPr>
          <w:rFonts w:ascii="Times New Roman" w:hAnsi="Times New Roman" w:cs="Times New Roman"/>
        </w:rPr>
        <w:t>from</w:t>
      </w:r>
      <w:r w:rsidR="00C45847" w:rsidRPr="00893F50">
        <w:rPr>
          <w:rFonts w:ascii="Times New Roman" w:hAnsi="Times New Roman" w:cs="Times New Roman"/>
        </w:rPr>
        <w:t xml:space="preserve"> those activities ar</w:t>
      </w:r>
      <w:r w:rsidRPr="00893F50">
        <w:rPr>
          <w:rFonts w:ascii="Times New Roman" w:hAnsi="Times New Roman" w:cs="Times New Roman"/>
        </w:rPr>
        <w:t>e significant</w:t>
      </w:r>
      <w:r w:rsidR="00C45847" w:rsidRPr="00893F50">
        <w:rPr>
          <w:rFonts w:ascii="Times New Roman" w:hAnsi="Times New Roman" w:cs="Times New Roman"/>
        </w:rPr>
        <w:t xml:space="preserve"> at some sources</w:t>
      </w:r>
      <w:r w:rsidRPr="00893F50">
        <w:rPr>
          <w:rFonts w:ascii="Times New Roman" w:hAnsi="Times New Roman" w:cs="Times New Roman"/>
        </w:rPr>
        <w:t>, i.e. equal to or more than the de minimis emission rate for a regulated pollutant</w:t>
      </w:r>
      <w:r w:rsidR="002F29F4">
        <w:rPr>
          <w:rFonts w:ascii="Times New Roman" w:hAnsi="Times New Roman" w:cs="Times New Roman"/>
        </w:rPr>
        <w:t xml:space="preserve">, which </w:t>
      </w:r>
      <w:proofErr w:type="gramStart"/>
      <w:r w:rsidR="002F29F4">
        <w:rPr>
          <w:rFonts w:ascii="Times New Roman" w:hAnsi="Times New Roman" w:cs="Times New Roman"/>
        </w:rPr>
        <w:t>was the criteria</w:t>
      </w:r>
      <w:proofErr w:type="gramEnd"/>
      <w:r w:rsidR="002F29F4">
        <w:rPr>
          <w:rFonts w:ascii="Times New Roman" w:hAnsi="Times New Roman" w:cs="Times New Roman"/>
        </w:rPr>
        <w:t xml:space="preserve"> in determining the original list of categorically insignificant activities</w:t>
      </w:r>
      <w:r w:rsidRPr="00893F50">
        <w:rPr>
          <w:rFonts w:ascii="Times New Roman" w:hAnsi="Times New Roman" w:cs="Times New Roman"/>
        </w:rPr>
        <w:t>.</w:t>
      </w:r>
      <w:r w:rsidR="002F29F4">
        <w:rPr>
          <w:rFonts w:ascii="Times New Roman" w:hAnsi="Times New Roman" w:cs="Times New Roman"/>
        </w:rPr>
        <w:t xml:space="preserve"> </w:t>
      </w:r>
      <w:r w:rsidRPr="009E1917">
        <w:rPr>
          <w:rFonts w:ascii="Times New Roman" w:hAnsi="Times New Roman" w:cs="Times New Roman"/>
        </w:rPr>
        <w:t xml:space="preserve">DEQ has also proposed other </w:t>
      </w:r>
      <w:r w:rsidRPr="009E1917">
        <w:rPr>
          <w:rFonts w:ascii="Times New Roman" w:hAnsi="Times New Roman" w:cs="Times New Roman"/>
        </w:rPr>
        <w:t>rule changes to ensure that including formerly categorically insignificant activities in a permit will not trigger new regulatory requirements, other than the requirement to include them in a source’s permit and account for their emissions.</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DEQ proposed changes to the list of categorically insignificant activities to exclude activities whose emission</w:t>
      </w:r>
      <w:r w:rsidR="00404786" w:rsidRPr="00893F50">
        <w:rPr>
          <w:rFonts w:ascii="Times New Roman" w:hAnsi="Times New Roman" w:cs="Times New Roman"/>
        </w:rPr>
        <w:t>s</w:t>
      </w:r>
      <w:r w:rsidRPr="00893F50">
        <w:rPr>
          <w:rFonts w:ascii="Times New Roman" w:hAnsi="Times New Roman" w:cs="Times New Roman"/>
        </w:rPr>
        <w:t xml:space="preserve"> would exceed the de minimis</w:t>
      </w:r>
      <w:r w:rsidR="00404786" w:rsidRPr="00893F50">
        <w:rPr>
          <w:rFonts w:ascii="Times New Roman" w:hAnsi="Times New Roman" w:cs="Times New Roman"/>
        </w:rPr>
        <w:t xml:space="preserve"> level and to </w:t>
      </w:r>
      <w:r w:rsidRPr="00893F50">
        <w:rPr>
          <w:rFonts w:ascii="Times New Roman" w:hAnsi="Times New Roman" w:cs="Times New Roman"/>
        </w:rPr>
        <w:t>account for their emissions for the purpose of properly administering the air permitting program. Revising these categories will result in some equipment no longer being considered categorically insignificant.DEQ believes commenters raised good points regarding the proposed changes. DEQ re-examined the proposed changes to all four categorically insignificant activities and has revised each of them as explained below.</w:t>
      </w:r>
    </w:p>
    <w:p w:rsidR="00A96179" w:rsidRPr="00893F50" w:rsidRDefault="00A96179" w:rsidP="001E0283">
      <w:pPr>
        <w:spacing w:after="120"/>
        <w:rPr>
          <w:rFonts w:ascii="Times New Roman" w:hAnsi="Times New Roman" w:cs="Times New Roman"/>
          <w:u w:val="single"/>
        </w:rPr>
      </w:pPr>
      <w:r w:rsidRPr="00893F50">
        <w:rPr>
          <w:rFonts w:ascii="Times New Roman" w:hAnsi="Times New Roman" w:cs="Times New Roman"/>
          <w:u w:val="single"/>
        </w:rPr>
        <w:t>Categories (c) and (d)</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 xml:space="preserve">The current rules read as follows: </w:t>
      </w:r>
    </w:p>
    <w:p w:rsidR="00A96179" w:rsidRPr="00893F50" w:rsidRDefault="00A96179" w:rsidP="006803CF">
      <w:pPr>
        <w:spacing w:after="120"/>
        <w:ind w:left="720"/>
        <w:rPr>
          <w:rFonts w:ascii="Times New Roman" w:hAnsi="Times New Roman" w:cs="Times New Roman"/>
        </w:rPr>
      </w:pPr>
      <w:r w:rsidRPr="00893F50">
        <w:rPr>
          <w:rFonts w:ascii="Times New Roman" w:hAnsi="Times New Roman" w:cs="Times New Roman"/>
        </w:rPr>
        <w:t xml:space="preserve">(c) Distillate oil, kerosene, and gasoline fuel burning equipment rated at less than or equal to 0.4 million Btu/hr; </w:t>
      </w:r>
    </w:p>
    <w:p w:rsidR="00A96179" w:rsidRPr="00893F50" w:rsidRDefault="00A96179" w:rsidP="006803CF">
      <w:pPr>
        <w:spacing w:after="120"/>
        <w:ind w:left="720"/>
        <w:rPr>
          <w:rFonts w:ascii="Times New Roman" w:hAnsi="Times New Roman" w:cs="Times New Roman"/>
        </w:rPr>
      </w:pPr>
      <w:r w:rsidRPr="00893F50">
        <w:rPr>
          <w:rFonts w:ascii="Times New Roman" w:hAnsi="Times New Roman" w:cs="Times New Roman"/>
        </w:rPr>
        <w:t>(d) Natural gas and propane burning equipment rated at less than or equal to 2.0 million Btu/hr;</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DEQ believes that categories (c) and (d) cover generally similar types of equipment, with the primary difference being the type of fuel used. Under the final rules, DEQ has therefore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w:t>
      </w:r>
      <w:r w:rsidR="00C62F81" w:rsidRPr="00893F50">
        <w:rPr>
          <w:rFonts w:ascii="Times New Roman" w:hAnsi="Times New Roman" w:cs="Times New Roman"/>
        </w:rPr>
        <w:t xml:space="preserve"> </w:t>
      </w:r>
      <w:r w:rsidR="00404786" w:rsidRPr="00893F50">
        <w:rPr>
          <w:rFonts w:ascii="Times New Roman" w:hAnsi="Times New Roman" w:cs="Times New Roman"/>
        </w:rPr>
        <w:t xml:space="preserve">DEQ has calculated a default </w:t>
      </w:r>
      <w:r w:rsidR="00404786" w:rsidRPr="00893F50">
        <w:rPr>
          <w:rFonts w:ascii="Times New Roman" w:hAnsi="Times New Roman" w:cs="Times New Roman"/>
        </w:rPr>
        <w:lastRenderedPageBreak/>
        <w:t>aggregate heat input rating of 5.0 million Btu per hour for the categorically insignificant equipment</w:t>
      </w:r>
      <w:r w:rsidR="00EF21FF">
        <w:rPr>
          <w:rFonts w:ascii="Times New Roman" w:hAnsi="Times New Roman" w:cs="Times New Roman"/>
        </w:rPr>
        <w:t>, knowing that equipment less than this heat input rating will have emissions less than de minimis levels</w:t>
      </w:r>
      <w:r w:rsidR="00404786" w:rsidRPr="00893F50">
        <w:rPr>
          <w:rFonts w:ascii="Times New Roman" w:hAnsi="Times New Roman" w:cs="Times New Roman"/>
        </w:rPr>
        <w:t>. As an alternative, sources may</w:t>
      </w:r>
      <w:r w:rsidRPr="00893F50">
        <w:rPr>
          <w:rFonts w:ascii="Times New Roman" w:hAnsi="Times New Roman" w:cs="Times New Roman"/>
        </w:rPr>
        <w:t xml:space="preserve"> identify</w:t>
      </w:r>
      <w:r w:rsidR="00404786" w:rsidRPr="00893F50">
        <w:rPr>
          <w:rFonts w:ascii="Times New Roman" w:hAnsi="Times New Roman" w:cs="Times New Roman"/>
        </w:rPr>
        <w:t xml:space="preserve"> which devices are categorically insignificant based on site specific expected usage</w:t>
      </w:r>
      <w:r w:rsidRPr="00893F50">
        <w:rPr>
          <w:rFonts w:ascii="Times New Roman" w:hAnsi="Times New Roman" w:cs="Times New Roman"/>
        </w:rPr>
        <w:t>.</w:t>
      </w:r>
    </w:p>
    <w:p w:rsidR="00AA5151" w:rsidRPr="00893F50" w:rsidRDefault="00AA5151" w:rsidP="001E0283">
      <w:pPr>
        <w:spacing w:after="120"/>
        <w:rPr>
          <w:rFonts w:ascii="Times New Roman" w:hAnsi="Times New Roman" w:cs="Times New Roman"/>
        </w:rPr>
      </w:pPr>
      <w:r w:rsidRPr="00893F50">
        <w:rPr>
          <w:rFonts w:ascii="Times New Roman" w:hAnsi="Times New Roman" w:cs="Times New Roman"/>
        </w:rPr>
        <w:t xml:space="preserve">DEQ determined the default aggregate heat input rating of 5.0 million Btu per hour </w:t>
      </w:r>
      <w:r w:rsidR="00EF21FF">
        <w:rPr>
          <w:rFonts w:ascii="Times New Roman" w:hAnsi="Times New Roman" w:cs="Times New Roman"/>
        </w:rPr>
        <w:t>by converting e</w:t>
      </w:r>
      <w:r w:rsidR="0088477F" w:rsidRPr="00893F50">
        <w:rPr>
          <w:rFonts w:ascii="Times New Roman" w:hAnsi="Times New Roman" w:cs="Times New Roman"/>
        </w:rPr>
        <w:t xml:space="preserve">mission factors from AP-42 for external combustion devices rated less than 100 million Btu per hour for distillate fuel oil and natural gas to a pound per million Btu </w:t>
      </w:r>
      <w:proofErr w:type="gramStart"/>
      <w:r w:rsidR="0088477F" w:rsidRPr="00893F50">
        <w:rPr>
          <w:rFonts w:ascii="Times New Roman" w:hAnsi="Times New Roman" w:cs="Times New Roman"/>
        </w:rPr>
        <w:t>basis</w:t>
      </w:r>
      <w:proofErr w:type="gramEnd"/>
      <w:r w:rsidR="0088477F" w:rsidRPr="00893F50">
        <w:rPr>
          <w:rFonts w:ascii="Times New Roman" w:hAnsi="Times New Roman" w:cs="Times New Roman"/>
        </w:rPr>
        <w:t xml:space="preserve"> and compared. The hig</w:t>
      </w:r>
      <w:r w:rsidR="008306C6">
        <w:rPr>
          <w:rFonts w:ascii="Times New Roman" w:hAnsi="Times New Roman" w:cs="Times New Roman"/>
        </w:rPr>
        <w:t xml:space="preserve">her of the two factors was </w:t>
      </w:r>
      <w:r w:rsidR="009E1917">
        <w:rPr>
          <w:rFonts w:ascii="Times New Roman" w:hAnsi="Times New Roman" w:cs="Times New Roman"/>
        </w:rPr>
        <w:t xml:space="preserve">then </w:t>
      </w:r>
      <w:r w:rsidR="008306C6">
        <w:rPr>
          <w:rFonts w:ascii="Times New Roman" w:hAnsi="Times New Roman" w:cs="Times New Roman"/>
        </w:rPr>
        <w:t>used to calculate a maximum heat input rating based on a 33 1/3 percent capacity factor</w:t>
      </w:r>
      <w:r w:rsidR="009E1917">
        <w:rPr>
          <w:rFonts w:ascii="Times New Roman" w:hAnsi="Times New Roman" w:cs="Times New Roman"/>
        </w:rPr>
        <w:t xml:space="preserve"> </w:t>
      </w:r>
      <w:r w:rsidR="009E1917" w:rsidRPr="00893F50">
        <w:rPr>
          <w:rFonts w:ascii="Times New Roman" w:hAnsi="Times New Roman" w:cs="Times New Roman"/>
        </w:rPr>
        <w:t>(that is, assuming the maximum firing rate for 1/3 o</w:t>
      </w:r>
      <w:r w:rsidR="009E1917">
        <w:rPr>
          <w:rFonts w:ascii="Times New Roman" w:hAnsi="Times New Roman" w:cs="Times New Roman"/>
        </w:rPr>
        <w:t>f a year or 2,920 hours</w:t>
      </w:r>
      <w:r w:rsidR="009E1917" w:rsidRPr="00893F50">
        <w:rPr>
          <w:rFonts w:ascii="Times New Roman" w:hAnsi="Times New Roman" w:cs="Times New Roman"/>
        </w:rPr>
        <w:t>)</w:t>
      </w:r>
      <w:r w:rsidR="008306C6">
        <w:rPr>
          <w:rFonts w:ascii="Times New Roman" w:hAnsi="Times New Roman" w:cs="Times New Roman"/>
        </w:rPr>
        <w:t>.</w:t>
      </w:r>
    </w:p>
    <w:p w:rsidR="0088477F" w:rsidRPr="00893F50" w:rsidRDefault="0088477F" w:rsidP="00E95A53">
      <w:pPr>
        <w:ind w:left="720"/>
        <w:rPr>
          <w:rFonts w:ascii="Times New Roman" w:hAnsi="Times New Roman" w:cs="Times New Roman"/>
        </w:rPr>
      </w:pPr>
      <w:r w:rsidRPr="00893F50">
        <w:rPr>
          <w:rFonts w:ascii="Times New Roman" w:hAnsi="Times New Roman" w:cs="Times New Roman"/>
        </w:rPr>
        <w:t>Distillate fuel oil (</w:t>
      </w:r>
      <w:r w:rsidR="001E0283">
        <w:rPr>
          <w:rFonts w:ascii="Times New Roman" w:hAnsi="Times New Roman" w:cs="Times New Roman"/>
        </w:rPr>
        <w:t>u</w:t>
      </w:r>
      <w:r w:rsidR="00EF21FF">
        <w:rPr>
          <w:rFonts w:ascii="Times New Roman" w:hAnsi="Times New Roman" w:cs="Times New Roman"/>
        </w:rPr>
        <w:t>ltra-</w:t>
      </w:r>
      <w:r w:rsidR="001E0283">
        <w:rPr>
          <w:rFonts w:ascii="Times New Roman" w:hAnsi="Times New Roman" w:cs="Times New Roman"/>
        </w:rPr>
        <w:t>low sulfur diesel</w:t>
      </w:r>
      <w:r w:rsidRPr="00893F50">
        <w:rPr>
          <w:rFonts w:ascii="Times New Roman" w:hAnsi="Times New Roman" w:cs="Times New Roman"/>
        </w:rPr>
        <w:t xml:space="preserve"> is assumed)</w:t>
      </w:r>
    </w:p>
    <w:p w:rsidR="00D11210" w:rsidRPr="00893F50" w:rsidRDefault="00D11210" w:rsidP="001E0283">
      <w:pPr>
        <w:spacing w:after="120"/>
        <w:ind w:left="720"/>
        <w:rPr>
          <w:rFonts w:ascii="Times New Roman" w:hAnsi="Times New Roman" w:cs="Times New Roman"/>
        </w:rPr>
      </w:pPr>
      <w:r w:rsidRPr="00893F50">
        <w:rPr>
          <w:rFonts w:ascii="Times New Roman" w:hAnsi="Times New Roman" w:cs="Times New Roman"/>
        </w:rPr>
        <w:t>20 lb/kgal × 1 kgal/10</w:t>
      </w:r>
      <w:r w:rsidR="00BC106D">
        <w:rPr>
          <w:rFonts w:ascii="Times New Roman" w:hAnsi="Times New Roman" w:cs="Times New Roman"/>
        </w:rPr>
        <w:t>00 gal × 1 gal/140,000 Btu × 1,000,000</w:t>
      </w:r>
      <w:r w:rsidRPr="00893F50">
        <w:rPr>
          <w:rFonts w:ascii="Times New Roman" w:hAnsi="Times New Roman" w:cs="Times New Roman"/>
        </w:rPr>
        <w:t xml:space="preserve"> Btu/MMBtu = 0.14 lb/MMBtu</w:t>
      </w:r>
    </w:p>
    <w:p w:rsidR="0088477F" w:rsidRPr="00893F50" w:rsidRDefault="0088477F" w:rsidP="00E95A53">
      <w:pPr>
        <w:ind w:left="720"/>
        <w:rPr>
          <w:rFonts w:ascii="Times New Roman" w:hAnsi="Times New Roman" w:cs="Times New Roman"/>
        </w:rPr>
      </w:pPr>
      <w:r w:rsidRPr="00893F50">
        <w:rPr>
          <w:rFonts w:ascii="Times New Roman" w:hAnsi="Times New Roman" w:cs="Times New Roman"/>
        </w:rPr>
        <w:t>Natural gas</w:t>
      </w:r>
    </w:p>
    <w:p w:rsidR="00D11210" w:rsidRPr="00893F50" w:rsidRDefault="00BC106D" w:rsidP="001E0283">
      <w:pPr>
        <w:spacing w:after="120"/>
        <w:ind w:left="720"/>
        <w:rPr>
          <w:rFonts w:ascii="Times New Roman" w:hAnsi="Times New Roman" w:cs="Times New Roman"/>
        </w:rPr>
      </w:pPr>
      <w:r>
        <w:rPr>
          <w:rFonts w:ascii="Times New Roman" w:hAnsi="Times New Roman" w:cs="Times New Roman"/>
        </w:rPr>
        <w:t>100 lb/MMcf × 1 MMcf/1,000,000 cubic feet × 1 cubic feet/1025 Btu × 1,000,000</w:t>
      </w:r>
      <w:r w:rsidR="00D11210" w:rsidRPr="00893F50">
        <w:rPr>
          <w:rFonts w:ascii="Times New Roman" w:hAnsi="Times New Roman" w:cs="Times New Roman"/>
        </w:rPr>
        <w:t xml:space="preserve"> Btu/MMBtu = 0.10 lb/MMBtu</w:t>
      </w:r>
    </w:p>
    <w:p w:rsidR="00363DD3" w:rsidRPr="00893F50" w:rsidRDefault="00363DD3" w:rsidP="001E0283">
      <w:pPr>
        <w:spacing w:after="120"/>
        <w:rPr>
          <w:rFonts w:ascii="Times New Roman" w:hAnsi="Times New Roman" w:cs="Times New Roman"/>
        </w:rPr>
      </w:pPr>
      <w:r w:rsidRPr="00893F50">
        <w:rPr>
          <w:rFonts w:ascii="Times New Roman" w:hAnsi="Times New Roman" w:cs="Times New Roman"/>
        </w:rPr>
        <w:t>The maximum heat input rating that would result in emissions of 1 ton of NOx</w:t>
      </w:r>
      <w:r w:rsidR="009E1917">
        <w:rPr>
          <w:rFonts w:ascii="Times New Roman" w:hAnsi="Times New Roman" w:cs="Times New Roman"/>
        </w:rPr>
        <w:t>, which has the highest emission factor</w:t>
      </w:r>
      <w:r w:rsidR="00EF21FF">
        <w:rPr>
          <w:rFonts w:ascii="Times New Roman" w:hAnsi="Times New Roman" w:cs="Times New Roman"/>
        </w:rPr>
        <w:t xml:space="preserve"> of the criteria pollutants</w:t>
      </w:r>
      <w:r w:rsidR="009E1917">
        <w:rPr>
          <w:rFonts w:ascii="Times New Roman" w:hAnsi="Times New Roman" w:cs="Times New Roman"/>
        </w:rPr>
        <w:t>,</w:t>
      </w:r>
      <w:r w:rsidRPr="00893F50">
        <w:rPr>
          <w:rFonts w:ascii="Times New Roman" w:hAnsi="Times New Roman" w:cs="Times New Roman"/>
        </w:rPr>
        <w:t xml:space="preserve"> was then calculated, based on an annual capacity factor of 33 1/3 percent.</w:t>
      </w:r>
    </w:p>
    <w:p w:rsidR="00D11210" w:rsidRPr="00893F50" w:rsidRDefault="00D11210" w:rsidP="001E0283">
      <w:pPr>
        <w:spacing w:after="120"/>
        <w:ind w:left="720"/>
        <w:rPr>
          <w:rFonts w:ascii="Times New Roman" w:hAnsi="Times New Roman" w:cs="Times New Roman"/>
        </w:rPr>
      </w:pPr>
      <w:r w:rsidRPr="00893F50">
        <w:rPr>
          <w:rFonts w:ascii="Times New Roman" w:hAnsi="Times New Roman" w:cs="Times New Roman"/>
        </w:rPr>
        <w:t>X MMBtu/hr × 0.14 lb/MMBtu × 292</w:t>
      </w:r>
      <w:r w:rsidR="003A5BEE">
        <w:rPr>
          <w:rFonts w:ascii="Times New Roman" w:hAnsi="Times New Roman" w:cs="Times New Roman"/>
        </w:rPr>
        <w:t>0</w:t>
      </w:r>
      <w:r w:rsidRPr="00893F50">
        <w:rPr>
          <w:rFonts w:ascii="Times New Roman" w:hAnsi="Times New Roman" w:cs="Times New Roman"/>
        </w:rPr>
        <w:t xml:space="preserve"> hr/y</w:t>
      </w:r>
      <w:r w:rsidR="00BC106D">
        <w:rPr>
          <w:rFonts w:ascii="Times New Roman" w:hAnsi="Times New Roman" w:cs="Times New Roman"/>
        </w:rPr>
        <w:t xml:space="preserve">r × 1 ton/2000 lb = 1 ton per </w:t>
      </w:r>
      <w:r w:rsidRPr="00893F50">
        <w:rPr>
          <w:rFonts w:ascii="Times New Roman" w:hAnsi="Times New Roman" w:cs="Times New Roman"/>
        </w:rPr>
        <w:t>y</w:t>
      </w:r>
      <w:r w:rsidR="00BC106D">
        <w:rPr>
          <w:rFonts w:ascii="Times New Roman" w:hAnsi="Times New Roman" w:cs="Times New Roman"/>
        </w:rPr>
        <w:t>ea</w:t>
      </w:r>
      <w:r w:rsidRPr="00893F50">
        <w:rPr>
          <w:rFonts w:ascii="Times New Roman" w:hAnsi="Times New Roman" w:cs="Times New Roman"/>
        </w:rPr>
        <w:t>r</w:t>
      </w:r>
    </w:p>
    <w:p w:rsidR="00D11210" w:rsidRPr="00893F50" w:rsidRDefault="00D11210" w:rsidP="001E0283">
      <w:pPr>
        <w:spacing w:after="120"/>
        <w:rPr>
          <w:rFonts w:ascii="Times New Roman" w:hAnsi="Times New Roman" w:cs="Times New Roman"/>
        </w:rPr>
      </w:pPr>
      <w:r w:rsidRPr="00893F50">
        <w:rPr>
          <w:rFonts w:ascii="Times New Roman" w:hAnsi="Times New Roman" w:cs="Times New Roman"/>
        </w:rPr>
        <w:t>Solving for X gives</w:t>
      </w:r>
      <w:r w:rsidR="00C964F6" w:rsidRPr="00C964F6">
        <w:rPr>
          <w:rFonts w:ascii="Times New Roman" w:hAnsi="Times New Roman" w:cs="Times New Roman"/>
        </w:rPr>
        <w:t xml:space="preserve"> the default aggregate heat input rating</w:t>
      </w:r>
      <w:r w:rsidRPr="00893F50">
        <w:rPr>
          <w:rFonts w:ascii="Times New Roman" w:hAnsi="Times New Roman" w:cs="Times New Roman"/>
        </w:rPr>
        <w:t>:</w:t>
      </w:r>
    </w:p>
    <w:p w:rsidR="00D11210" w:rsidRPr="00893F50" w:rsidRDefault="00D11210" w:rsidP="001E0283">
      <w:pPr>
        <w:spacing w:after="120"/>
        <w:ind w:left="720"/>
        <w:rPr>
          <w:rFonts w:ascii="Times New Roman" w:hAnsi="Times New Roman" w:cs="Times New Roman"/>
        </w:rPr>
      </w:pPr>
      <w:r w:rsidRPr="00893F50">
        <w:rPr>
          <w:rFonts w:ascii="Times New Roman" w:hAnsi="Times New Roman" w:cs="Times New Roman"/>
        </w:rPr>
        <w:t>X = 4</w:t>
      </w:r>
      <w:r w:rsidR="00BC106D">
        <w:rPr>
          <w:rFonts w:ascii="Times New Roman" w:hAnsi="Times New Roman" w:cs="Times New Roman"/>
        </w:rPr>
        <w:t>.9 MMBtu/hr (rounded up to 5.0)</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 xml:space="preserve">In reviewing categories (c) and (d), DEQ also noted that category (c) includes the phrase “fuel burning equipment”, but category (d) </w:t>
      </w:r>
      <w:proofErr w:type="gramStart"/>
      <w:r w:rsidRPr="00893F50">
        <w:rPr>
          <w:rFonts w:ascii="Times New Roman" w:hAnsi="Times New Roman" w:cs="Times New Roman"/>
        </w:rPr>
        <w:t>does</w:t>
      </w:r>
      <w:proofErr w:type="gramEnd"/>
      <w:r w:rsidRPr="00893F50">
        <w:rPr>
          <w:rFonts w:ascii="Times New Roman" w:hAnsi="Times New Roman" w:cs="Times New Roman"/>
        </w:rPr>
        <w:t xml:space="preserve"> not include this phrase. The phrase “fuel burning equipment” has a particular meaning in DEQ’s rules which is too restrictive for the type </w:t>
      </w:r>
      <w:r w:rsidR="005930CB" w:rsidRPr="00893F50">
        <w:rPr>
          <w:rFonts w:ascii="Times New Roman" w:hAnsi="Times New Roman" w:cs="Times New Roman"/>
        </w:rPr>
        <w:t>of equipment that DEQ intends</w:t>
      </w:r>
      <w:r w:rsidRPr="00893F50">
        <w:rPr>
          <w:rFonts w:ascii="Times New Roman" w:hAnsi="Times New Roman" w:cs="Times New Roman"/>
        </w:rPr>
        <w:t xml:space="preserve"> to address in these categories. The equipment that DEQ intends to address includes water heaters and space heat</w:t>
      </w:r>
      <w:r w:rsidR="005930CB" w:rsidRPr="00893F50">
        <w:rPr>
          <w:rFonts w:ascii="Times New Roman" w:hAnsi="Times New Roman" w:cs="Times New Roman"/>
        </w:rPr>
        <w:t xml:space="preserve">ers, or more generally, </w:t>
      </w:r>
      <w:r w:rsidRPr="00893F50">
        <w:rPr>
          <w:rFonts w:ascii="Times New Roman" w:hAnsi="Times New Roman" w:cs="Times New Roman"/>
        </w:rPr>
        <w:t>equipment that uses either direct or indirect heat transfer. DEQ has therefore removed the phrase “fuel burning equipment” and replaced it with “equipment utilizing direct or indirect h</w:t>
      </w:r>
      <w:r w:rsidR="005930CB" w:rsidRPr="00893F50">
        <w:rPr>
          <w:rFonts w:ascii="Times New Roman" w:hAnsi="Times New Roman" w:cs="Times New Roman"/>
        </w:rPr>
        <w:t xml:space="preserve">eat transfer”. </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The final proposed revision for categories (c) and (d) are as follows:</w:t>
      </w:r>
    </w:p>
    <w:p w:rsidR="005A7F95" w:rsidRPr="00893F50" w:rsidRDefault="005A7F95" w:rsidP="00BC106D">
      <w:pPr>
        <w:ind w:left="1022" w:hanging="302"/>
        <w:rPr>
          <w:rFonts w:ascii="Times New Roman" w:hAnsi="Times New Roman" w:cs="Times New Roman"/>
        </w:rPr>
      </w:pPr>
      <w:commentRangeStart w:id="0"/>
      <w:r w:rsidRPr="00893F50">
        <w:rPr>
          <w:rFonts w:ascii="Times New Roman" w:hAnsi="Times New Roman" w:cs="Times New Roman"/>
        </w:rPr>
        <w:t>(c) Distillate oil, kerosene, gasoline, natural gas or propane burning equipment, or a subgroup of such equipment</w:t>
      </w:r>
      <w:r w:rsidR="005221D7" w:rsidRPr="00893F50">
        <w:rPr>
          <w:rFonts w:ascii="Times New Roman" w:hAnsi="Times New Roman" w:cs="Times New Roman"/>
        </w:rPr>
        <w:t xml:space="preserve"> identified by the </w:t>
      </w:r>
      <w:proofErr w:type="gramStart"/>
      <w:r w:rsidR="005221D7" w:rsidRPr="00893F50">
        <w:rPr>
          <w:rFonts w:ascii="Times New Roman" w:hAnsi="Times New Roman" w:cs="Times New Roman"/>
        </w:rPr>
        <w:t>source</w:t>
      </w:r>
      <w:r w:rsidR="00484430" w:rsidRPr="00893F50">
        <w:rPr>
          <w:rFonts w:ascii="Times New Roman" w:hAnsi="Times New Roman" w:cs="Times New Roman"/>
        </w:rPr>
        <w:t>,</w:t>
      </w:r>
      <w:r w:rsidR="008A3A5D" w:rsidRPr="00893F50">
        <w:rPr>
          <w:rFonts w:ascii="Times New Roman" w:hAnsi="Times New Roman" w:cs="Times New Roman"/>
        </w:rPr>
        <w:t xml:space="preserve"> that meet</w:t>
      </w:r>
      <w:proofErr w:type="gramEnd"/>
      <w:r w:rsidRPr="00893F50">
        <w:rPr>
          <w:rFonts w:ascii="Times New Roman" w:hAnsi="Times New Roman" w:cs="Times New Roman"/>
        </w:rPr>
        <w:t xml:space="preserve"> the criteria in par</w:t>
      </w:r>
      <w:r w:rsidR="00484430" w:rsidRPr="00893F50">
        <w:rPr>
          <w:rFonts w:ascii="Times New Roman" w:hAnsi="Times New Roman" w:cs="Times New Roman"/>
        </w:rPr>
        <w:t>agraphs (A) and (B)</w:t>
      </w:r>
      <w:r w:rsidRPr="00893F50">
        <w:rPr>
          <w:rFonts w:ascii="Times New Roman" w:hAnsi="Times New Roman" w:cs="Times New Roman"/>
        </w:rPr>
        <w:t xml:space="preserve">. </w:t>
      </w:r>
    </w:p>
    <w:p w:rsidR="005A7F95" w:rsidRPr="00893F50" w:rsidRDefault="005A7F95" w:rsidP="00BC106D">
      <w:pPr>
        <w:ind w:left="720" w:firstLine="302"/>
        <w:rPr>
          <w:rFonts w:ascii="Times New Roman" w:hAnsi="Times New Roman" w:cs="Times New Roman"/>
        </w:rPr>
      </w:pPr>
      <w:r w:rsidRPr="00893F50">
        <w:rPr>
          <w:rFonts w:ascii="Times New Roman" w:hAnsi="Times New Roman" w:cs="Times New Roman"/>
        </w:rPr>
        <w:t>(A) The</w:t>
      </w:r>
      <w:r w:rsidR="006C1577" w:rsidRPr="00893F50">
        <w:rPr>
          <w:rFonts w:ascii="Times New Roman" w:hAnsi="Times New Roman" w:cs="Times New Roman"/>
        </w:rPr>
        <w:t xml:space="preserve"> categorically insignificant</w:t>
      </w:r>
      <w:r w:rsidRPr="00893F50">
        <w:rPr>
          <w:rFonts w:ascii="Times New Roman" w:hAnsi="Times New Roman" w:cs="Times New Roman"/>
        </w:rPr>
        <w:t xml:space="preserve"> equipment or subgroup must meet one of the following criteria:</w:t>
      </w:r>
    </w:p>
    <w:p w:rsidR="005A7F95" w:rsidRPr="00893F50" w:rsidRDefault="005A7F95" w:rsidP="00BC106D">
      <w:pPr>
        <w:ind w:left="1440"/>
        <w:rPr>
          <w:rFonts w:ascii="Times New Roman" w:hAnsi="Times New Roman" w:cs="Times New Roman"/>
        </w:rPr>
      </w:pPr>
      <w:r w:rsidRPr="00893F50">
        <w:rPr>
          <w:rFonts w:ascii="Times New Roman" w:hAnsi="Times New Roman" w:cs="Times New Roman"/>
        </w:rPr>
        <w:t>(</w:t>
      </w:r>
      <w:proofErr w:type="spellStart"/>
      <w:r w:rsidRPr="00893F50">
        <w:rPr>
          <w:rFonts w:ascii="Times New Roman" w:hAnsi="Times New Roman" w:cs="Times New Roman"/>
        </w:rPr>
        <w:t>i</w:t>
      </w:r>
      <w:proofErr w:type="spellEnd"/>
      <w:r w:rsidRPr="00893F50">
        <w:rPr>
          <w:rFonts w:ascii="Times New Roman" w:hAnsi="Times New Roman" w:cs="Times New Roman"/>
        </w:rPr>
        <w:t xml:space="preserve">) </w:t>
      </w:r>
      <w:proofErr w:type="gramStart"/>
      <w:r w:rsidRPr="00893F50">
        <w:rPr>
          <w:rFonts w:ascii="Times New Roman" w:hAnsi="Times New Roman" w:cs="Times New Roman"/>
        </w:rPr>
        <w:t>the</w:t>
      </w:r>
      <w:proofErr w:type="gramEnd"/>
      <w:r w:rsidRPr="00893F50">
        <w:rPr>
          <w:rFonts w:ascii="Times New Roman" w:hAnsi="Times New Roman" w:cs="Times New Roman"/>
        </w:rPr>
        <w:t xml:space="preserve"> aggregate maximum heat input rating of the equipment or subgroup may not exceed 5.0 million Btu/hr; or</w:t>
      </w:r>
    </w:p>
    <w:p w:rsidR="005A7F95" w:rsidRPr="00893F50" w:rsidRDefault="005A7F95" w:rsidP="00BC106D">
      <w:pPr>
        <w:ind w:left="1440"/>
        <w:rPr>
          <w:rFonts w:ascii="Times New Roman" w:hAnsi="Times New Roman" w:cs="Times New Roman"/>
        </w:rPr>
      </w:pPr>
      <w:r w:rsidRPr="00893F50">
        <w:rPr>
          <w:rFonts w:ascii="Times New Roman" w:hAnsi="Times New Roman" w:cs="Times New Roman"/>
        </w:rPr>
        <w:lastRenderedPageBreak/>
        <w:t xml:space="preserve">(ii) </w:t>
      </w:r>
      <w:proofErr w:type="gramStart"/>
      <w:r w:rsidRPr="00893F50">
        <w:rPr>
          <w:rFonts w:ascii="Times New Roman" w:hAnsi="Times New Roman" w:cs="Times New Roman"/>
        </w:rPr>
        <w:t>the</w:t>
      </w:r>
      <w:proofErr w:type="gramEnd"/>
      <w:r w:rsidRPr="00893F50">
        <w:rPr>
          <w:rFonts w:ascii="Times New Roman" w:hAnsi="Times New Roman" w:cs="Times New Roman"/>
        </w:rPr>
        <w:t xml:space="preserve"> aggregate emissions of the equipment or subgroup may not exceed the de minimis level for any regulated pollutant, based on the expected maximum an</w:t>
      </w:r>
      <w:r w:rsidR="0062354C" w:rsidRPr="00893F50">
        <w:rPr>
          <w:rFonts w:ascii="Times New Roman" w:hAnsi="Times New Roman" w:cs="Times New Roman"/>
        </w:rPr>
        <w:t>nual operation of the equipment.</w:t>
      </w:r>
    </w:p>
    <w:p w:rsidR="00EE7253" w:rsidRPr="00893F50" w:rsidRDefault="005A7F95" w:rsidP="00BC106D">
      <w:pPr>
        <w:ind w:left="720" w:firstLine="302"/>
        <w:rPr>
          <w:rFonts w:ascii="Times New Roman" w:hAnsi="Times New Roman" w:cs="Times New Roman"/>
        </w:rPr>
      </w:pPr>
      <w:r w:rsidRPr="00893F50">
        <w:rPr>
          <w:rFonts w:ascii="Times New Roman" w:hAnsi="Times New Roman" w:cs="Times New Roman"/>
        </w:rPr>
        <w:t>(B) The</w:t>
      </w:r>
      <w:r w:rsidR="00EE7253" w:rsidRPr="00893F50">
        <w:rPr>
          <w:rFonts w:ascii="Times New Roman" w:hAnsi="Times New Roman" w:cs="Times New Roman"/>
        </w:rPr>
        <w:t xml:space="preserve"> </w:t>
      </w:r>
      <w:r w:rsidRPr="00893F50">
        <w:rPr>
          <w:rFonts w:ascii="Times New Roman" w:hAnsi="Times New Roman" w:cs="Times New Roman"/>
        </w:rPr>
        <w:t>categorically insignificant equipment or subgroup may</w:t>
      </w:r>
      <w:r w:rsidR="009A6B61" w:rsidRPr="00893F50">
        <w:rPr>
          <w:rFonts w:ascii="Times New Roman" w:hAnsi="Times New Roman" w:cs="Times New Roman"/>
        </w:rPr>
        <w:t xml:space="preserve"> not</w:t>
      </w:r>
      <w:r w:rsidRPr="00893F50">
        <w:rPr>
          <w:rFonts w:ascii="Times New Roman" w:hAnsi="Times New Roman" w:cs="Times New Roman"/>
        </w:rPr>
        <w:t xml:space="preserve"> include</w:t>
      </w:r>
      <w:r w:rsidR="009A6B61" w:rsidRPr="00893F50">
        <w:rPr>
          <w:rFonts w:ascii="Times New Roman" w:hAnsi="Times New Roman" w:cs="Times New Roman"/>
        </w:rPr>
        <w:t xml:space="preserve"> </w:t>
      </w:r>
      <w:r w:rsidR="00EE7253" w:rsidRPr="00893F50">
        <w:rPr>
          <w:rFonts w:ascii="Times New Roman" w:hAnsi="Times New Roman" w:cs="Times New Roman"/>
        </w:rPr>
        <w:t>the following:</w:t>
      </w:r>
    </w:p>
    <w:p w:rsidR="005A7F95" w:rsidRPr="00893F50" w:rsidRDefault="00EE7253" w:rsidP="00BC106D">
      <w:pPr>
        <w:ind w:left="1440"/>
        <w:rPr>
          <w:rFonts w:ascii="Times New Roman" w:hAnsi="Times New Roman" w:cs="Times New Roman"/>
        </w:rPr>
      </w:pPr>
      <w:r w:rsidRPr="00893F50">
        <w:rPr>
          <w:rFonts w:ascii="Times New Roman" w:hAnsi="Times New Roman" w:cs="Times New Roman"/>
        </w:rPr>
        <w:t>(</w:t>
      </w:r>
      <w:proofErr w:type="spellStart"/>
      <w:r w:rsidRPr="00893F50">
        <w:rPr>
          <w:rFonts w:ascii="Times New Roman" w:hAnsi="Times New Roman" w:cs="Times New Roman"/>
        </w:rPr>
        <w:t>i</w:t>
      </w:r>
      <w:proofErr w:type="spellEnd"/>
      <w:r w:rsidRPr="00893F50">
        <w:rPr>
          <w:rFonts w:ascii="Times New Roman" w:hAnsi="Times New Roman" w:cs="Times New Roman"/>
        </w:rPr>
        <w:t>)</w:t>
      </w:r>
      <w:r w:rsidR="005A7F95" w:rsidRPr="00893F50">
        <w:rPr>
          <w:rFonts w:ascii="Times New Roman" w:hAnsi="Times New Roman" w:cs="Times New Roman"/>
        </w:rPr>
        <w:t xml:space="preserve"> </w:t>
      </w:r>
      <w:proofErr w:type="gramStart"/>
      <w:r w:rsidR="005A7F95" w:rsidRPr="00893F50">
        <w:rPr>
          <w:rFonts w:ascii="Times New Roman" w:hAnsi="Times New Roman" w:cs="Times New Roman"/>
        </w:rPr>
        <w:t>individual</w:t>
      </w:r>
      <w:proofErr w:type="gramEnd"/>
      <w:r w:rsidR="005A7F95" w:rsidRPr="00893F50">
        <w:rPr>
          <w:rFonts w:ascii="Times New Roman" w:hAnsi="Times New Roman" w:cs="Times New Roman"/>
        </w:rPr>
        <w:t xml:space="preserve"> distillate oil, kerosene or gasoline burning equipment with a</w:t>
      </w:r>
      <w:r w:rsidR="009A6B61" w:rsidRPr="00893F50">
        <w:rPr>
          <w:rFonts w:ascii="Times New Roman" w:hAnsi="Times New Roman" w:cs="Times New Roman"/>
        </w:rPr>
        <w:t xml:space="preserve"> heat input rating greater than</w:t>
      </w:r>
      <w:r w:rsidR="005A7F95" w:rsidRPr="00893F50">
        <w:rPr>
          <w:rFonts w:ascii="Times New Roman" w:hAnsi="Times New Roman" w:cs="Times New Roman"/>
        </w:rPr>
        <w:t xml:space="preserve"> 0.4 million Btu/hr</w:t>
      </w:r>
      <w:r w:rsidR="009A6B61" w:rsidRPr="00893F50">
        <w:rPr>
          <w:rFonts w:ascii="Times New Roman" w:hAnsi="Times New Roman" w:cs="Times New Roman"/>
        </w:rPr>
        <w:t>;</w:t>
      </w:r>
      <w:r w:rsidR="005A7F95" w:rsidRPr="00893F50">
        <w:rPr>
          <w:rFonts w:ascii="Times New Roman" w:hAnsi="Times New Roman" w:cs="Times New Roman"/>
        </w:rPr>
        <w:t xml:space="preserve"> </w:t>
      </w:r>
      <w:r w:rsidRPr="00893F50">
        <w:rPr>
          <w:rFonts w:ascii="Times New Roman" w:hAnsi="Times New Roman" w:cs="Times New Roman"/>
        </w:rPr>
        <w:t>or</w:t>
      </w:r>
    </w:p>
    <w:p w:rsidR="005A7F95" w:rsidRPr="00893F50" w:rsidRDefault="00EE7253" w:rsidP="00BC106D">
      <w:pPr>
        <w:ind w:left="1440"/>
        <w:rPr>
          <w:rFonts w:ascii="Times New Roman" w:hAnsi="Times New Roman" w:cs="Times New Roman"/>
        </w:rPr>
      </w:pPr>
      <w:r w:rsidRPr="00893F50">
        <w:rPr>
          <w:rFonts w:ascii="Times New Roman" w:hAnsi="Times New Roman" w:cs="Times New Roman"/>
        </w:rPr>
        <w:t xml:space="preserve">(ii) </w:t>
      </w:r>
      <w:proofErr w:type="gramStart"/>
      <w:r w:rsidR="005A7F95" w:rsidRPr="00893F50">
        <w:rPr>
          <w:rFonts w:ascii="Times New Roman" w:hAnsi="Times New Roman" w:cs="Times New Roman"/>
        </w:rPr>
        <w:t>individual</w:t>
      </w:r>
      <w:proofErr w:type="gramEnd"/>
      <w:r w:rsidR="005A7F95" w:rsidRPr="00893F50">
        <w:rPr>
          <w:rFonts w:ascii="Times New Roman" w:hAnsi="Times New Roman" w:cs="Times New Roman"/>
        </w:rPr>
        <w:t xml:space="preserve"> natural gas or propane burning equipment with a </w:t>
      </w:r>
      <w:r w:rsidR="009A6B61" w:rsidRPr="00893F50">
        <w:rPr>
          <w:rFonts w:ascii="Times New Roman" w:hAnsi="Times New Roman" w:cs="Times New Roman"/>
        </w:rPr>
        <w:t>heat input rating greater than</w:t>
      </w:r>
      <w:r w:rsidR="005A7F95" w:rsidRPr="00893F50">
        <w:rPr>
          <w:rFonts w:ascii="Times New Roman" w:hAnsi="Times New Roman" w:cs="Times New Roman"/>
        </w:rPr>
        <w:t xml:space="preserve"> 2.0 million Btu/hour</w:t>
      </w:r>
      <w:r w:rsidR="009A6B61" w:rsidRPr="00893F50">
        <w:rPr>
          <w:rFonts w:ascii="Times New Roman" w:hAnsi="Times New Roman" w:cs="Times New Roman"/>
        </w:rPr>
        <w:t>;</w:t>
      </w:r>
    </w:p>
    <w:p w:rsidR="005A7F95" w:rsidRPr="00893F50" w:rsidRDefault="002B0924" w:rsidP="001E0283">
      <w:pPr>
        <w:spacing w:after="120"/>
        <w:ind w:left="720"/>
        <w:rPr>
          <w:rFonts w:ascii="Times New Roman" w:hAnsi="Times New Roman" w:cs="Times New Roman"/>
        </w:rPr>
      </w:pPr>
      <w:r w:rsidRPr="00893F50">
        <w:rPr>
          <w:rFonts w:ascii="Times New Roman" w:hAnsi="Times New Roman" w:cs="Times New Roman"/>
        </w:rPr>
        <w:t>(d) (</w:t>
      </w:r>
      <w:proofErr w:type="gramStart"/>
      <w:r w:rsidRPr="00893F50">
        <w:rPr>
          <w:rFonts w:ascii="Times New Roman" w:hAnsi="Times New Roman" w:cs="Times New Roman"/>
        </w:rPr>
        <w:t>reserved</w:t>
      </w:r>
      <w:proofErr w:type="gramEnd"/>
      <w:r w:rsidRPr="00893F50">
        <w:rPr>
          <w:rFonts w:ascii="Times New Roman" w:hAnsi="Times New Roman" w:cs="Times New Roman"/>
        </w:rPr>
        <w:t>)</w:t>
      </w:r>
    </w:p>
    <w:commentRangeEnd w:id="0"/>
    <w:p w:rsidR="00A96179" w:rsidRPr="00893F50" w:rsidRDefault="006803CF" w:rsidP="001E0283">
      <w:pPr>
        <w:spacing w:after="120"/>
        <w:rPr>
          <w:rFonts w:ascii="Times New Roman" w:hAnsi="Times New Roman" w:cs="Times New Roman"/>
          <w:u w:val="single"/>
        </w:rPr>
      </w:pPr>
      <w:r>
        <w:rPr>
          <w:rStyle w:val="CommentReference"/>
          <w:rFonts w:ascii="Times New Roman" w:eastAsiaTheme="minorHAnsi" w:hAnsi="Times New Roman" w:cs="Times New Roman"/>
        </w:rPr>
        <w:commentReference w:id="0"/>
      </w:r>
      <w:r w:rsidR="00510669" w:rsidRPr="00893F50">
        <w:rPr>
          <w:rFonts w:ascii="Times New Roman" w:hAnsi="Times New Roman" w:cs="Times New Roman"/>
          <w:u w:val="single"/>
        </w:rPr>
        <w:t>Category (uu)</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In recent years reciprocating internal combustion engines (RICE) used to power emergency generators and pumps have become more of a concern to DEQ for the following reasons:</w:t>
      </w:r>
    </w:p>
    <w:p w:rsidR="00A96179" w:rsidRPr="00893F50" w:rsidRDefault="00A96179" w:rsidP="001E0283">
      <w:pPr>
        <w:numPr>
          <w:ilvl w:val="0"/>
          <w:numId w:val="6"/>
        </w:numPr>
        <w:spacing w:after="120"/>
        <w:rPr>
          <w:rFonts w:ascii="Times New Roman" w:hAnsi="Times New Roman" w:cs="Times New Roman"/>
        </w:rPr>
      </w:pPr>
      <w:r w:rsidRPr="00893F50">
        <w:rPr>
          <w:rFonts w:ascii="Times New Roman" w:hAnsi="Times New Roman" w:cs="Times New Roman"/>
        </w:rPr>
        <w:t xml:space="preserve">EPA promulgated two New Source Performance </w:t>
      </w:r>
      <w:r w:rsidR="00BC106D">
        <w:rPr>
          <w:rFonts w:ascii="Times New Roman" w:hAnsi="Times New Roman" w:cs="Times New Roman"/>
        </w:rPr>
        <w:t>Standards (NSPS</w:t>
      </w:r>
      <w:r w:rsidRPr="00893F50">
        <w:rPr>
          <w:rFonts w:ascii="Times New Roman" w:hAnsi="Times New Roman" w:cs="Times New Roman"/>
        </w:rPr>
        <w:t>), 40 CFR Part 60, Subparts IIII and JJJJ, and a National Emission Standard for Hazardous Air Pollutants (NESHAP), 40 CFR Part 63, Subpart ZZZZ, for reciprocating internal combustion engines;</w:t>
      </w:r>
    </w:p>
    <w:p w:rsidR="00A96179" w:rsidRPr="00893F50" w:rsidRDefault="00EF21FF" w:rsidP="001E0283">
      <w:pPr>
        <w:numPr>
          <w:ilvl w:val="0"/>
          <w:numId w:val="6"/>
        </w:numPr>
        <w:spacing w:after="120"/>
        <w:rPr>
          <w:rFonts w:ascii="Times New Roman" w:hAnsi="Times New Roman" w:cs="Times New Roman"/>
        </w:rPr>
      </w:pPr>
      <w:r>
        <w:rPr>
          <w:rFonts w:ascii="Times New Roman" w:hAnsi="Times New Roman" w:cs="Times New Roman"/>
        </w:rPr>
        <w:t>T</w:t>
      </w:r>
      <w:r w:rsidR="00A96179" w:rsidRPr="00893F50">
        <w:rPr>
          <w:rFonts w:ascii="Times New Roman" w:hAnsi="Times New Roman" w:cs="Times New Roman"/>
        </w:rPr>
        <w:t>he construction of data centers equipped with a large backup generator capacity powered by emergency engines; and</w:t>
      </w:r>
    </w:p>
    <w:p w:rsidR="00A96179" w:rsidRPr="00893F50" w:rsidRDefault="00EF21FF" w:rsidP="001E0283">
      <w:pPr>
        <w:numPr>
          <w:ilvl w:val="0"/>
          <w:numId w:val="6"/>
        </w:numPr>
        <w:spacing w:after="120"/>
        <w:rPr>
          <w:rFonts w:ascii="Times New Roman" w:hAnsi="Times New Roman" w:cs="Times New Roman"/>
        </w:rPr>
      </w:pPr>
      <w:r>
        <w:rPr>
          <w:rFonts w:ascii="Times New Roman" w:hAnsi="Times New Roman" w:cs="Times New Roman"/>
        </w:rPr>
        <w:t>F</w:t>
      </w:r>
      <w:r w:rsidR="00510669" w:rsidRPr="00893F50">
        <w:rPr>
          <w:rFonts w:ascii="Times New Roman" w:hAnsi="Times New Roman" w:cs="Times New Roman"/>
        </w:rPr>
        <w:t>inding</w:t>
      </w:r>
      <w:r w:rsidR="00A96179" w:rsidRPr="00893F50">
        <w:rPr>
          <w:rFonts w:ascii="Times New Roman" w:hAnsi="Times New Roman" w:cs="Times New Roman"/>
        </w:rPr>
        <w:t xml:space="preserve"> that at least one existing source is also equipped with a large backup generator capacity powered by emergency engines.</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Prior to this rulemaking,</w:t>
      </w:r>
      <w:r w:rsidR="00BB0BE9" w:rsidRPr="00893F50">
        <w:rPr>
          <w:rFonts w:ascii="Times New Roman" w:hAnsi="Times New Roman" w:cs="Times New Roman"/>
        </w:rPr>
        <w:t xml:space="preserve"> all</w:t>
      </w:r>
      <w:r w:rsidRPr="00893F50">
        <w:rPr>
          <w:rFonts w:ascii="Times New Roman" w:hAnsi="Times New Roman" w:cs="Times New Roman"/>
        </w:rPr>
        <w:t xml:space="preserve"> emergenc</w:t>
      </w:r>
      <w:r w:rsidR="004A1D3D" w:rsidRPr="00893F50">
        <w:rPr>
          <w:rFonts w:ascii="Times New Roman" w:hAnsi="Times New Roman" w:cs="Times New Roman"/>
        </w:rPr>
        <w:t>y generators and pumps were</w:t>
      </w:r>
      <w:r w:rsidRPr="00893F50">
        <w:rPr>
          <w:rFonts w:ascii="Times New Roman" w:hAnsi="Times New Roman" w:cs="Times New Roman"/>
        </w:rPr>
        <w:t xml:space="preserve"> classified as “categorically insignificant activities” and have generally not been addressed in permits. In this rulemaking, DEQ proposed to exclude emergency engines from being categorically insignificant if their aggregate emissions, based on 100 hours</w:t>
      </w:r>
      <w:r w:rsidR="00F06812" w:rsidRPr="00893F50">
        <w:rPr>
          <w:rFonts w:ascii="Times New Roman" w:hAnsi="Times New Roman" w:cs="Times New Roman"/>
        </w:rPr>
        <w:t xml:space="preserve"> per year </w:t>
      </w:r>
      <w:r w:rsidRPr="00893F50">
        <w:rPr>
          <w:rFonts w:ascii="Times New Roman" w:hAnsi="Times New Roman" w:cs="Times New Roman"/>
        </w:rPr>
        <w:t xml:space="preserve">of operation, exceed the de minimis rate. </w:t>
      </w:r>
      <w:r w:rsidR="00BB0BE9" w:rsidRPr="00893F50">
        <w:rPr>
          <w:rFonts w:ascii="Times New Roman" w:hAnsi="Times New Roman" w:cs="Times New Roman"/>
        </w:rPr>
        <w:t>Commenters indicated that sources have no incentive to operate emergency engines more than necessary, and upon review, DEQ agrees. DEQ also believes this category can be simplified, as explained below.</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Emergency engines are usually diesel engines, and NOx is the pollutant emitted that will exceed the de minimis level first, assuming the use of ultra-low sulfur diesel fuel. The de minimis emission level for NOx is 1 ton per year. DEQ believes there are sources that have enough emergency engine capacity to emit more than 1 ton per year from maintenance and readiness testing operation of their emergency engines. Therefore, DEQ believes it is appropriate to revise the category of emergency generators and fire pumps in the definition of categorically insignificant activities to exclude emergency engines if they exceed a specified thr</w:t>
      </w:r>
      <w:r w:rsidR="00C76055" w:rsidRPr="00893F50">
        <w:rPr>
          <w:rFonts w:ascii="Times New Roman" w:hAnsi="Times New Roman" w:cs="Times New Roman"/>
        </w:rPr>
        <w:t>eshold</w:t>
      </w:r>
      <w:r w:rsidRPr="00893F50">
        <w:rPr>
          <w:rFonts w:ascii="Times New Roman" w:hAnsi="Times New Roman" w:cs="Times New Roman"/>
        </w:rPr>
        <w:t>.</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 xml:space="preserve">DEQ </w:t>
      </w:r>
      <w:r w:rsidR="00C76055" w:rsidRPr="00893F50">
        <w:rPr>
          <w:rFonts w:ascii="Times New Roman" w:hAnsi="Times New Roman" w:cs="Times New Roman"/>
        </w:rPr>
        <w:t xml:space="preserve">originally </w:t>
      </w:r>
      <w:r w:rsidRPr="00893F50">
        <w:rPr>
          <w:rFonts w:ascii="Times New Roman" w:hAnsi="Times New Roman" w:cs="Times New Roman"/>
        </w:rPr>
        <w:t>proposed to change this category to read as follows:</w:t>
      </w:r>
    </w:p>
    <w:p w:rsidR="00A96179" w:rsidRPr="00893F50" w:rsidRDefault="00A96179" w:rsidP="001E0283">
      <w:pPr>
        <w:spacing w:after="120"/>
        <w:ind w:left="720"/>
        <w:rPr>
          <w:rFonts w:ascii="Times New Roman" w:hAnsi="Times New Roman" w:cs="Times New Roman"/>
        </w:rPr>
      </w:pPr>
      <w:r w:rsidRPr="00893F50">
        <w:rPr>
          <w:rFonts w:ascii="Times New Roman" w:hAnsi="Times New Roman" w:cs="Times New Roman"/>
        </w:rPr>
        <w:lastRenderedPageBreak/>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A96179" w:rsidRPr="00893F50" w:rsidRDefault="00A96179" w:rsidP="001E0283">
      <w:pPr>
        <w:spacing w:after="120"/>
        <w:ind w:left="720"/>
        <w:rPr>
          <w:rFonts w:ascii="Times New Roman" w:hAnsi="Times New Roman" w:cs="Times New Roman"/>
        </w:rPr>
      </w:pPr>
      <w:r w:rsidRPr="00893F50">
        <w:rPr>
          <w:rFonts w:ascii="Times New Roman" w:hAnsi="Times New Roman" w:cs="Times New Roman"/>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A96179" w:rsidRPr="00893F50" w:rsidRDefault="00A96179" w:rsidP="001E0283">
      <w:pPr>
        <w:spacing w:after="120"/>
        <w:ind w:left="720"/>
        <w:rPr>
          <w:rFonts w:ascii="Times New Roman" w:hAnsi="Times New Roman" w:cs="Times New Roman"/>
        </w:rPr>
      </w:pPr>
      <w:r w:rsidRPr="00893F50">
        <w:rPr>
          <w:rFonts w:ascii="Times New Roman" w:hAnsi="Times New Roman" w:cs="Times New Roman"/>
        </w:rPr>
        <w:t>(B) Any individual stationary emergency generator or pump is rated at 500 horsepower or more.</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believes that the proposed change would create an additional workload for affected sources as well as for DEQ with little or no environmental benefit.</w:t>
      </w:r>
    </w:p>
    <w:p w:rsidR="00A96179" w:rsidRDefault="00A96179" w:rsidP="001E0283">
      <w:pPr>
        <w:spacing w:after="120"/>
        <w:rPr>
          <w:rFonts w:ascii="Times New Roman" w:hAnsi="Times New Roman" w:cs="Times New Roman"/>
        </w:rPr>
      </w:pPr>
      <w:r w:rsidRPr="00893F50">
        <w:rPr>
          <w:rFonts w:ascii="Times New Roman" w:hAnsi="Times New Roman" w:cs="Times New Roman"/>
        </w:rPr>
        <w:t>Instead, DEQ believes it is possible to establish a conservative default aggregate engine horsepower level at which emissions can reliably be assumed to not exceed the de minimis level. DEQ believes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A96179" w:rsidRDefault="00A96179" w:rsidP="001E0283">
      <w:pPr>
        <w:spacing w:after="120"/>
        <w:rPr>
          <w:rFonts w:ascii="Times New Roman" w:hAnsi="Times New Roman" w:cs="Times New Roman"/>
        </w:rPr>
      </w:pPr>
      <w:r w:rsidRPr="00893F50">
        <w:rPr>
          <w:rFonts w:ascii="Times New Roman" w:hAnsi="Times New Roman" w:cs="Times New Roman"/>
        </w:rPr>
        <w:t>DEQ conservatively estimated the default maximum aggregate horsepower as explained below.</w:t>
      </w:r>
    </w:p>
    <w:p w:rsidR="00A96179" w:rsidRPr="00893F50" w:rsidRDefault="00A96179" w:rsidP="001E0283">
      <w:pPr>
        <w:numPr>
          <w:ilvl w:val="0"/>
          <w:numId w:val="5"/>
        </w:numPr>
        <w:spacing w:after="120"/>
        <w:rPr>
          <w:rFonts w:ascii="Times New Roman" w:hAnsi="Times New Roman" w:cs="Times New Roman"/>
        </w:rPr>
      </w:pPr>
      <w:r w:rsidRPr="00893F50">
        <w:rPr>
          <w:rFonts w:ascii="Times New Roman" w:hAnsi="Times New Roman" w:cs="Times New Roman"/>
        </w:rPr>
        <w:t>DEQ used the uncontrolled diesel engine NOx emission factor of 0.024 lb/hp-hr from AP-42, Table 3.4-1, and</w:t>
      </w:r>
    </w:p>
    <w:p w:rsidR="00A96179" w:rsidRPr="00893F50" w:rsidRDefault="00A96179" w:rsidP="001E0283">
      <w:pPr>
        <w:numPr>
          <w:ilvl w:val="0"/>
          <w:numId w:val="5"/>
        </w:numPr>
        <w:spacing w:after="120"/>
        <w:rPr>
          <w:rFonts w:ascii="Times New Roman" w:hAnsi="Times New Roman" w:cs="Times New Roman"/>
        </w:rPr>
      </w:pPr>
      <w:r w:rsidRPr="00893F50">
        <w:rPr>
          <w:rFonts w:ascii="Times New Roman" w:hAnsi="Times New Roman" w:cs="Times New Roman"/>
        </w:rPr>
        <w:t>DEQ used 28 hours per year of operation for testing and maintenance, determined as follows:</w:t>
      </w:r>
    </w:p>
    <w:p w:rsidR="00DD4EF5" w:rsidRPr="000A33B0" w:rsidRDefault="00A96179" w:rsidP="000A33B0">
      <w:pPr>
        <w:numPr>
          <w:ilvl w:val="0"/>
          <w:numId w:val="5"/>
        </w:numPr>
        <w:spacing w:after="120"/>
        <w:rPr>
          <w:rFonts w:ascii="Times New Roman" w:hAnsi="Times New Roman" w:cs="Times New Roman"/>
        </w:rPr>
      </w:pPr>
      <w:r w:rsidRPr="00893F50">
        <w:rPr>
          <w:rFonts w:ascii="Times New Roman" w:hAnsi="Times New Roman" w:cs="Times New Roman"/>
        </w:rPr>
        <w:t>Two information sources</w:t>
      </w:r>
      <w:r w:rsidR="00C35ABC" w:rsidRPr="00893F50">
        <w:rPr>
          <w:rStyle w:val="FootnoteReference"/>
          <w:rFonts w:ascii="Times New Roman" w:hAnsi="Times New Roman" w:cs="Times New Roman"/>
        </w:rPr>
        <w:footnoteReference w:id="1"/>
      </w:r>
      <w:r w:rsidRPr="00893F50">
        <w:rPr>
          <w:rFonts w:ascii="Times New Roman" w:hAnsi="Times New Roman" w:cs="Times New Roman"/>
        </w:rPr>
        <w:t xml:space="preserve"> indicate that emergency generators should be tested for 30 minutes per month. Another source</w:t>
      </w:r>
      <w:r w:rsidR="00C35ABC" w:rsidRPr="00893F50">
        <w:rPr>
          <w:rStyle w:val="FootnoteReference"/>
          <w:rFonts w:ascii="Times New Roman" w:hAnsi="Times New Roman" w:cs="Times New Roman"/>
        </w:rPr>
        <w:footnoteReference w:id="2"/>
      </w:r>
      <w:r w:rsidRPr="00893F50">
        <w:rPr>
          <w:rFonts w:ascii="Times New Roman" w:hAnsi="Times New Roman" w:cs="Times New Roman"/>
        </w:rPr>
        <w:t xml:space="preserve"> indicated that the 30 minutes does not include warm-up and cool-down time; DEQ has therefore assumed a minimum of 1 hour </w:t>
      </w:r>
      <w:r w:rsidRPr="00893F50">
        <w:rPr>
          <w:rFonts w:ascii="Times New Roman" w:hAnsi="Times New Roman" w:cs="Times New Roman"/>
        </w:rPr>
        <w:lastRenderedPageBreak/>
        <w:t>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Based on the above, the default maximum horsepower rating is:</w:t>
      </w:r>
    </w:p>
    <w:p w:rsidR="00A96179" w:rsidRPr="00893F50" w:rsidRDefault="00A96179" w:rsidP="000A33B0">
      <w:pPr>
        <w:spacing w:after="120"/>
        <w:ind w:left="720"/>
        <w:rPr>
          <w:rFonts w:ascii="Times New Roman" w:hAnsi="Times New Roman" w:cs="Times New Roman"/>
        </w:rPr>
      </w:pPr>
      <w:r w:rsidRPr="00893F50">
        <w:rPr>
          <w:rFonts w:ascii="Times New Roman" w:hAnsi="Times New Roman" w:cs="Times New Roman"/>
        </w:rPr>
        <w:t xml:space="preserve">1 ton/yr </w:t>
      </w:r>
      <w:r w:rsidR="00D11210" w:rsidRPr="00893F50">
        <w:rPr>
          <w:rFonts w:ascii="Times New Roman" w:hAnsi="Times New Roman" w:cs="Times New Roman"/>
        </w:rPr>
        <w:t>×</w:t>
      </w:r>
      <w:r w:rsidRPr="00893F50">
        <w:rPr>
          <w:rFonts w:ascii="Times New Roman" w:hAnsi="Times New Roman" w:cs="Times New Roman"/>
        </w:rPr>
        <w:t xml:space="preserve"> 2000 lb/ton / (0.024 lb/hp-hr </w:t>
      </w:r>
      <w:r w:rsidR="00D11210" w:rsidRPr="00893F50">
        <w:rPr>
          <w:rFonts w:ascii="Times New Roman" w:hAnsi="Times New Roman" w:cs="Times New Roman"/>
        </w:rPr>
        <w:t>×</w:t>
      </w:r>
      <w:r w:rsidRPr="00893F50">
        <w:rPr>
          <w:rFonts w:ascii="Times New Roman" w:hAnsi="Times New Roman" w:cs="Times New Roman"/>
        </w:rPr>
        <w:t xml:space="preserve"> 28 hr/yr) = 2,976 hp (rounded to 3,000 hp).</w:t>
      </w:r>
    </w:p>
    <w:p w:rsidR="00A96179" w:rsidRPr="00893F50" w:rsidRDefault="00A96179" w:rsidP="001E0283">
      <w:pPr>
        <w:spacing w:after="120"/>
        <w:rPr>
          <w:rFonts w:ascii="Times New Roman" w:hAnsi="Times New Roman" w:cs="Times New Roman"/>
        </w:rPr>
      </w:pPr>
      <w:r w:rsidRPr="00893F50">
        <w:rPr>
          <w:rFonts w:ascii="Times New Roman" w:hAnsi="Times New Roman" w:cs="Times New Roman"/>
        </w:rPr>
        <w:t>The final proposed revision for category (uu) reads as follows:</w:t>
      </w:r>
    </w:p>
    <w:p w:rsidR="00A96179" w:rsidRPr="00893F50" w:rsidRDefault="00A96179" w:rsidP="001E0283">
      <w:pPr>
        <w:spacing w:after="120"/>
        <w:ind w:left="720"/>
        <w:rPr>
          <w:rFonts w:ascii="Times New Roman" w:hAnsi="Times New Roman" w:cs="Times New Roman"/>
        </w:rPr>
      </w:pPr>
      <w:r w:rsidRPr="00893F50">
        <w:rPr>
          <w:rFonts w:ascii="Times New Roman" w:hAnsi="Times New Roman" w:cs="Times New Roman"/>
        </w:rPr>
        <w:t>(</w:t>
      </w:r>
      <w:proofErr w:type="gramStart"/>
      <w:r w:rsidRPr="00893F50">
        <w:rPr>
          <w:rFonts w:ascii="Times New Roman" w:hAnsi="Times New Roman" w:cs="Times New Roman"/>
        </w:rPr>
        <w:t>uu</w:t>
      </w:r>
      <w:proofErr w:type="gramEnd"/>
      <w:r w:rsidRPr="00893F50">
        <w:rPr>
          <w:rFonts w:ascii="Times New Roman" w:hAnsi="Times New Roman" w:cs="Times New Roman"/>
        </w:rPr>
        <w:t>)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66BE8" w:rsidRPr="00893F50" w:rsidRDefault="00566BE8" w:rsidP="00A96179">
      <w:pPr>
        <w:rPr>
          <w:rFonts w:ascii="Times New Roman" w:hAnsi="Times New Roman" w:cs="Times New Roman"/>
          <w:u w:val="single"/>
        </w:rPr>
      </w:pPr>
    </w:p>
    <w:p w:rsidR="00566BE8" w:rsidRPr="00893F50" w:rsidRDefault="00030131" w:rsidP="00A96179">
      <w:pPr>
        <w:rPr>
          <w:rFonts w:ascii="Times New Roman" w:hAnsi="Times New Roman" w:cs="Times New Roman"/>
          <w:u w:val="single"/>
        </w:rPr>
      </w:pPr>
      <w:r w:rsidRPr="00DD4EF5">
        <w:rPr>
          <w:rFonts w:ascii="Times New Roman" w:hAnsi="Times New Roman" w:cs="Times New Roman"/>
          <w:highlight w:val="green"/>
          <w:u w:val="single"/>
        </w:rPr>
        <w:t>Need to add something for category bb</w:t>
      </w:r>
      <w:bookmarkStart w:id="1" w:name="_GoBack"/>
      <w:bookmarkEnd w:id="1"/>
      <w:r w:rsidR="00DD4EF5" w:rsidRPr="00DD4EF5">
        <w:rPr>
          <w:rFonts w:ascii="Times New Roman" w:hAnsi="Times New Roman" w:cs="Times New Roman"/>
          <w:highlight w:val="green"/>
          <w:u w:val="single"/>
        </w:rPr>
        <w:t>b, get from Max</w:t>
      </w:r>
    </w:p>
    <w:p w:rsidR="00566BE8" w:rsidRPr="00893F50" w:rsidRDefault="00566BE8" w:rsidP="00A96179">
      <w:pPr>
        <w:rPr>
          <w:rFonts w:ascii="Times New Roman" w:hAnsi="Times New Roman" w:cs="Times New Roman"/>
          <w:u w:val="single"/>
        </w:rPr>
      </w:pPr>
    </w:p>
    <w:p w:rsidR="00566BE8" w:rsidRPr="00893F50" w:rsidRDefault="00566BE8" w:rsidP="00A96179">
      <w:pPr>
        <w:rPr>
          <w:rFonts w:ascii="Times New Roman" w:hAnsi="Times New Roman" w:cs="Times New Roman"/>
          <w:u w:val="single"/>
        </w:rPr>
      </w:pPr>
    </w:p>
    <w:p w:rsidR="00566BE8" w:rsidRDefault="00566BE8" w:rsidP="00A96179">
      <w:pPr>
        <w:rPr>
          <w:rFonts w:ascii="Times New Roman" w:hAnsi="Times New Roman" w:cs="Times New Roman"/>
          <w:u w:val="single"/>
        </w:rPr>
      </w:pPr>
    </w:p>
    <w:p w:rsidR="00620E80" w:rsidRPr="00620E80" w:rsidRDefault="00620E80" w:rsidP="00A96179">
      <w:pPr>
        <w:rPr>
          <w:rFonts w:ascii="Times New Roman" w:hAnsi="Times New Roman" w:cs="Times New Roman"/>
        </w:rPr>
      </w:pPr>
      <w:r w:rsidRPr="00620E80">
        <w:rPr>
          <w:rFonts w:ascii="Times New Roman" w:hAnsi="Times New Roman" w:cs="Times New Roman"/>
          <w:highlight w:val="yellow"/>
        </w:rPr>
        <w:t>*************   Jill, below is for division 216, new permitting category</w:t>
      </w:r>
    </w:p>
    <w:p w:rsidR="00620E80" w:rsidRPr="00620E80" w:rsidRDefault="00620E80" w:rsidP="00A96179">
      <w:pPr>
        <w:rPr>
          <w:rFonts w:ascii="Times New Roman" w:hAnsi="Times New Roman" w:cs="Times New Roman"/>
        </w:rPr>
      </w:pPr>
    </w:p>
    <w:p w:rsidR="00A96179" w:rsidRPr="00893F50" w:rsidRDefault="00A96179" w:rsidP="00A96179">
      <w:pPr>
        <w:rPr>
          <w:rFonts w:ascii="Times New Roman" w:hAnsi="Times New Roman" w:cs="Times New Roman"/>
          <w:u w:val="single"/>
        </w:rPr>
      </w:pPr>
      <w:r w:rsidRPr="00893F50">
        <w:rPr>
          <w:rFonts w:ascii="Times New Roman" w:hAnsi="Times New Roman" w:cs="Times New Roman"/>
          <w:u w:val="single"/>
        </w:rPr>
        <w:t>Proposed new permitting category in division 216 for emergency generators</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A96179" w:rsidRPr="00893F50" w:rsidRDefault="00A96179" w:rsidP="00A96179">
      <w:pPr>
        <w:rPr>
          <w:rFonts w:ascii="Times New Roman" w:hAnsi="Times New Roman" w:cs="Times New Roman"/>
        </w:rPr>
      </w:pPr>
      <w:r w:rsidRPr="00893F50">
        <w:rPr>
          <w:rFonts w:ascii="Times New Roman" w:hAnsi="Times New Roman" w:cs="Times New Roman"/>
        </w:rPr>
        <w:lastRenderedPageBreak/>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Upon reconsideration of this proposed permitting category, DEQ took into consideration the comment on the proposed change to category (uu) in categorically insignificant activi</w:t>
      </w:r>
      <w:r w:rsidR="00C35ABC" w:rsidRPr="00893F50">
        <w:rPr>
          <w:rFonts w:ascii="Times New Roman" w:hAnsi="Times New Roman" w:cs="Times New Roman"/>
        </w:rPr>
        <w:t>t</w:t>
      </w:r>
      <w:r w:rsidRPr="00893F50">
        <w:rPr>
          <w:rFonts w:ascii="Times New Roman" w:hAnsi="Times New Roman" w:cs="Times New Roman"/>
        </w:rPr>
        <w: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As discussed above in the section on categorically insignificant activities, 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The approach used to calculate a threshold horsepower level for permitting is similar to the approach used to calculate a threshold horsepower level for categorically insignificant activities.</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DEQ conservatively estimated the default maximum aggregate horsepower as explained below.</w:t>
      </w:r>
    </w:p>
    <w:p w:rsidR="00A96179" w:rsidRPr="00893F50" w:rsidRDefault="00A96179" w:rsidP="00A96179">
      <w:pPr>
        <w:numPr>
          <w:ilvl w:val="0"/>
          <w:numId w:val="5"/>
        </w:numPr>
        <w:rPr>
          <w:rFonts w:ascii="Times New Roman" w:hAnsi="Times New Roman" w:cs="Times New Roman"/>
        </w:rPr>
      </w:pPr>
      <w:r w:rsidRPr="00893F50">
        <w:rPr>
          <w:rFonts w:ascii="Times New Roman" w:hAnsi="Times New Roman" w:cs="Times New Roman"/>
        </w:rPr>
        <w:t>DEQ used the uncontrolled diesel engine NOx emission factor of 0.024 lb/hp-hr from AP-42, Table 3.4-1, and</w:t>
      </w:r>
    </w:p>
    <w:p w:rsidR="00A96179" w:rsidRPr="00893F50" w:rsidRDefault="00A96179" w:rsidP="00A96179">
      <w:pPr>
        <w:numPr>
          <w:ilvl w:val="0"/>
          <w:numId w:val="5"/>
        </w:numPr>
        <w:rPr>
          <w:rFonts w:ascii="Times New Roman" w:hAnsi="Times New Roman" w:cs="Times New Roman"/>
        </w:rPr>
      </w:pPr>
      <w:r w:rsidRPr="00893F50">
        <w:rPr>
          <w:rFonts w:ascii="Times New Roman" w:hAnsi="Times New Roman" w:cs="Times New Roman"/>
        </w:rPr>
        <w:t>DEQ used 28 hours per year of operation for testing and maintenance, determined as described in the preceding section on categorically insignificant activities.</w:t>
      </w:r>
    </w:p>
    <w:p w:rsidR="00A96179" w:rsidRPr="00893F50" w:rsidRDefault="00A96179" w:rsidP="00A96179">
      <w:pPr>
        <w:rPr>
          <w:rFonts w:ascii="Times New Roman" w:hAnsi="Times New Roman" w:cs="Times New Roman"/>
        </w:rPr>
      </w:pPr>
      <w:r w:rsidRPr="00893F50">
        <w:rPr>
          <w:rFonts w:ascii="Times New Roman" w:hAnsi="Times New Roman" w:cs="Times New Roman"/>
        </w:rPr>
        <w:t>Based on the above, the permitting threshold based on the aggregate horsepower rating of the source is:</w:t>
      </w:r>
    </w:p>
    <w:p w:rsidR="00A96179" w:rsidRPr="00893F50" w:rsidRDefault="00A96179" w:rsidP="00A96179">
      <w:pPr>
        <w:rPr>
          <w:rFonts w:ascii="Times New Roman" w:hAnsi="Times New Roman" w:cs="Times New Roman"/>
        </w:rPr>
      </w:pPr>
      <w:r w:rsidRPr="00893F50">
        <w:rPr>
          <w:rFonts w:ascii="Times New Roman" w:hAnsi="Times New Roman" w:cs="Times New Roman"/>
        </w:rPr>
        <w:lastRenderedPageBreak/>
        <w:t>10 ton/yr x 2000 lb/ton / (0.024 lb/hp-hr x 28 hr/yr) = 29,762 hp (rounded to 30,000).</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00C35ABC" w:rsidRPr="00893F50">
        <w:rPr>
          <w:rStyle w:val="FootnoteReference"/>
          <w:rFonts w:ascii="Times New Roman" w:hAnsi="Times New Roman" w:cs="Times New Roman"/>
        </w:rPr>
        <w:footnoteReference w:id="3"/>
      </w:r>
      <w:r w:rsidRPr="00893F50">
        <w:rPr>
          <w:rFonts w:ascii="Times New Roman" w:hAnsi="Times New Roman" w:cs="Times New Roman"/>
        </w:rPr>
        <w:t xml:space="preserve"> horsepower. Therefore the data centers already permitted will be required to have a permit under the proposed permitting threshold as well.</w:t>
      </w:r>
    </w:p>
    <w:p w:rsidR="00A96179" w:rsidRPr="00893F50" w:rsidRDefault="00A96179" w:rsidP="00A96179">
      <w:pPr>
        <w:rPr>
          <w:rFonts w:ascii="Times New Roman" w:hAnsi="Times New Roman" w:cs="Times New Roman"/>
        </w:rPr>
      </w:pPr>
    </w:p>
    <w:p w:rsidR="00A96179" w:rsidRPr="00893F50" w:rsidRDefault="00A96179" w:rsidP="00A96179">
      <w:pPr>
        <w:rPr>
          <w:rFonts w:ascii="Times New Roman" w:hAnsi="Times New Roman" w:cs="Times New Roman"/>
        </w:rPr>
      </w:pPr>
      <w:r w:rsidRPr="00893F50">
        <w:rPr>
          <w:rFonts w:ascii="Times New Roman" w:hAnsi="Times New Roman" w:cs="Times New Roman"/>
        </w:rPr>
        <w:t>The final proposed revision to division 216, Table 1, Part B, category 87(a) is:</w:t>
      </w:r>
    </w:p>
    <w:p w:rsidR="00A96179" w:rsidRPr="00893F50" w:rsidRDefault="00A96179" w:rsidP="00A96179">
      <w:pPr>
        <w:rPr>
          <w:rFonts w:ascii="Times New Roman" w:hAnsi="Times New Roman" w:cs="Times New Roman"/>
        </w:rPr>
      </w:pPr>
    </w:p>
    <w:p w:rsidR="00A96179" w:rsidRPr="00893F50" w:rsidRDefault="00A96179" w:rsidP="00A96179">
      <w:pPr>
        <w:tabs>
          <w:tab w:val="left" w:pos="738"/>
        </w:tabs>
        <w:ind w:left="734" w:hanging="734"/>
        <w:rPr>
          <w:rFonts w:ascii="Times New Roman" w:hAnsi="Times New Roman" w:cs="Times New Roman"/>
        </w:rPr>
      </w:pPr>
      <w:r w:rsidRPr="00893F50">
        <w:rPr>
          <w:rFonts w:ascii="Times New Roman" w:hAnsi="Times New Roman" w:cs="Times New Roman"/>
        </w:rPr>
        <w:t>87</w:t>
      </w:r>
      <w:r w:rsidRPr="00893F50">
        <w:rPr>
          <w:rFonts w:ascii="Times New Roman" w:hAnsi="Times New Roman" w:cs="Times New Roman"/>
        </w:rPr>
        <w:tab/>
        <w:t>Stationary internal combustion engines only if the aggregate horsepower rating of all emergency generators and firewater pumps is 30,000 horsepower or more; or</w:t>
      </w:r>
    </w:p>
    <w:p w:rsidR="00A96179" w:rsidRPr="00893F50" w:rsidRDefault="00A96179" w:rsidP="00A96179">
      <w:pPr>
        <w:tabs>
          <w:tab w:val="left" w:pos="738"/>
        </w:tabs>
        <w:ind w:left="734" w:hanging="734"/>
        <w:rPr>
          <w:rFonts w:ascii="Times New Roman" w:hAnsi="Times New Roman" w:cs="Times New Roman"/>
        </w:rPr>
      </w:pPr>
      <w:r w:rsidRPr="00893F50">
        <w:rPr>
          <w:rFonts w:ascii="Times New Roman" w:hAnsi="Times New Roman" w:cs="Times New Roman"/>
          <w:highlight w:val="yellow"/>
        </w:rPr>
        <w:t>Note, final language on b, c and d is from Jerry</w:t>
      </w:r>
    </w:p>
    <w:p w:rsidR="00A96179" w:rsidRPr="00893F50" w:rsidRDefault="00A96179" w:rsidP="00A96179">
      <w:pPr>
        <w:tabs>
          <w:tab w:val="left" w:pos="738"/>
        </w:tabs>
        <w:ind w:left="734" w:hanging="734"/>
        <w:rPr>
          <w:rFonts w:ascii="Times New Roman" w:hAnsi="Times New Roman" w:cs="Times New Roman"/>
          <w:highlight w:val="yellow"/>
        </w:rPr>
      </w:pPr>
      <w:r w:rsidRPr="00893F50">
        <w:rPr>
          <w:rFonts w:ascii="Times New Roman" w:hAnsi="Times New Roman" w:cs="Times New Roman"/>
        </w:rPr>
        <w:tab/>
      </w:r>
      <w:r w:rsidRPr="00893F50">
        <w:rPr>
          <w:rFonts w:ascii="Times New Roman" w:hAnsi="Times New Roman" w:cs="Times New Roman"/>
          <w:highlight w:val="yellow"/>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96179" w:rsidRPr="00893F50" w:rsidRDefault="00A96179" w:rsidP="00A96179">
      <w:pPr>
        <w:tabs>
          <w:tab w:val="left" w:pos="738"/>
        </w:tabs>
        <w:ind w:left="734" w:hanging="734"/>
        <w:rPr>
          <w:rFonts w:ascii="Times New Roman" w:hAnsi="Times New Roman" w:cs="Times New Roman"/>
          <w:highlight w:val="yellow"/>
        </w:rPr>
      </w:pPr>
      <w:r w:rsidRPr="00893F50">
        <w:rPr>
          <w:rFonts w:ascii="Times New Roman" w:hAnsi="Times New Roman" w:cs="Times New Roman"/>
          <w:highlight w:val="yellow"/>
        </w:rPr>
        <w:tab/>
        <w:t xml:space="preserve">(c) For any individual non-emergency engine, the engine is subject to 40 CFR </w:t>
      </w:r>
      <w:proofErr w:type="gramStart"/>
      <w:r w:rsidRPr="00893F50">
        <w:rPr>
          <w:rFonts w:ascii="Times New Roman" w:hAnsi="Times New Roman" w:cs="Times New Roman"/>
          <w:highlight w:val="yellow"/>
        </w:rPr>
        <w:t>part</w:t>
      </w:r>
      <w:proofErr w:type="gramEnd"/>
      <w:r w:rsidRPr="00893F50">
        <w:rPr>
          <w:rFonts w:ascii="Times New Roman" w:hAnsi="Times New Roman" w:cs="Times New Roman"/>
          <w:highlight w:val="yellow"/>
        </w:rPr>
        <w:t xml:space="preserve"> 60, subpart IIII and:</w:t>
      </w:r>
    </w:p>
    <w:p w:rsidR="00A96179" w:rsidRPr="00893F50" w:rsidRDefault="00A96179" w:rsidP="00A96179">
      <w:pPr>
        <w:tabs>
          <w:tab w:val="left" w:pos="738"/>
        </w:tabs>
        <w:ind w:left="734" w:hanging="734"/>
        <w:rPr>
          <w:rFonts w:ascii="Times New Roman" w:hAnsi="Times New Roman" w:cs="Times New Roman"/>
          <w:highlight w:val="yellow"/>
        </w:rPr>
      </w:pPr>
      <w:r w:rsidRPr="00893F50">
        <w:rPr>
          <w:rFonts w:ascii="Times New Roman" w:hAnsi="Times New Roman" w:cs="Times New Roman"/>
          <w:highlight w:val="yellow"/>
        </w:rPr>
        <w:tab/>
      </w:r>
      <w:r w:rsidRPr="00893F50">
        <w:rPr>
          <w:rFonts w:ascii="Times New Roman" w:hAnsi="Times New Roman" w:cs="Times New Roman"/>
          <w:highlight w:val="yellow"/>
        </w:rPr>
        <w:tab/>
      </w:r>
      <w:r w:rsidRPr="00893F50">
        <w:rPr>
          <w:rFonts w:ascii="Times New Roman" w:hAnsi="Times New Roman" w:cs="Times New Roman"/>
          <w:highlight w:val="yellow"/>
        </w:rPr>
        <w:tab/>
        <w:t>(A) The engine has a displacement of 30 liters or more per cylinder; or</w:t>
      </w:r>
    </w:p>
    <w:p w:rsidR="00A96179" w:rsidRPr="00893F50" w:rsidRDefault="00A96179" w:rsidP="00A96179">
      <w:pPr>
        <w:tabs>
          <w:tab w:val="left" w:pos="738"/>
        </w:tabs>
        <w:ind w:left="1440" w:hanging="734"/>
        <w:rPr>
          <w:rFonts w:ascii="Times New Roman" w:hAnsi="Times New Roman" w:cs="Times New Roman"/>
          <w:highlight w:val="yellow"/>
        </w:rPr>
      </w:pPr>
      <w:r w:rsidRPr="00893F50">
        <w:rPr>
          <w:rFonts w:ascii="Times New Roman" w:hAnsi="Times New Roman" w:cs="Times New Roman"/>
          <w:highlight w:val="yellow"/>
        </w:rPr>
        <w:tab/>
      </w:r>
      <w:r w:rsidRPr="00893F50">
        <w:rPr>
          <w:rFonts w:ascii="Times New Roman" w:hAnsi="Times New Roman" w:cs="Times New Roman"/>
          <w:highlight w:val="yellow"/>
        </w:rPr>
        <w:tab/>
        <w:t>(B) The engine has a displacement of less than 30 liters per cylinder and is rated at 500 horsepower or more; or</w:t>
      </w:r>
    </w:p>
    <w:p w:rsidR="00A96179" w:rsidRPr="00893F50" w:rsidRDefault="00A96179" w:rsidP="00A96179">
      <w:pPr>
        <w:tabs>
          <w:tab w:val="left" w:pos="738"/>
        </w:tabs>
        <w:ind w:left="734" w:hanging="734"/>
        <w:rPr>
          <w:rFonts w:ascii="Times New Roman" w:hAnsi="Times New Roman" w:cs="Times New Roman"/>
        </w:rPr>
      </w:pPr>
      <w:r w:rsidRPr="00893F50">
        <w:rPr>
          <w:rFonts w:ascii="Times New Roman" w:hAnsi="Times New Roman" w:cs="Times New Roman"/>
          <w:highlight w:val="yellow"/>
        </w:rPr>
        <w:tab/>
        <w:t xml:space="preserve">(d) For any individual non-emergency engine, the engine is subject to 40 CFR </w:t>
      </w:r>
      <w:proofErr w:type="gramStart"/>
      <w:r w:rsidRPr="00893F50">
        <w:rPr>
          <w:rFonts w:ascii="Times New Roman" w:hAnsi="Times New Roman" w:cs="Times New Roman"/>
          <w:highlight w:val="yellow"/>
        </w:rPr>
        <w:t>part</w:t>
      </w:r>
      <w:proofErr w:type="gramEnd"/>
      <w:r w:rsidRPr="00893F50">
        <w:rPr>
          <w:rFonts w:ascii="Times New Roman" w:hAnsi="Times New Roman" w:cs="Times New Roman"/>
          <w:highlight w:val="yellow"/>
        </w:rPr>
        <w:t xml:space="preserve"> 60, subpart JJJJ and is rated at 500 horsepower or more,</w:t>
      </w:r>
    </w:p>
    <w:p w:rsidR="00937747" w:rsidRPr="00893F50" w:rsidRDefault="00937747" w:rsidP="005556D9">
      <w:pPr>
        <w:rPr>
          <w:rFonts w:ascii="Times New Roman" w:hAnsi="Times New Roman" w:cs="Times New Roman"/>
        </w:rPr>
      </w:pPr>
    </w:p>
    <w:sectPr w:rsidR="00937747" w:rsidRPr="00893F50" w:rsidSect="00547113">
      <w:headerReference w:type="default" r:id="rId9"/>
      <w:footerReference w:type="even" r:id="rId10"/>
      <w:footerReference w:type="default" r:id="rId11"/>
      <w:pgSz w:w="15840" w:h="12240" w:orient="landscape"/>
      <w:pgMar w:top="1800" w:right="1440" w:bottom="180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4-11-03T13:02:00Z" w:initials="j">
    <w:p w:rsidR="006803CF" w:rsidRDefault="006803CF">
      <w:pPr>
        <w:pStyle w:val="CommentText"/>
      </w:pPr>
      <w:r>
        <w:rPr>
          <w:rStyle w:val="CommentReference"/>
        </w:rPr>
        <w:annotationRef/>
      </w:r>
      <w:r w:rsidRPr="006803CF">
        <w:t>Note to reviewers: please leave this note - rulemaking team, be sure the final rule language is quoted below, delete this note in final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E8B8C" w15:done="0"/>
  <w15:commentEx w15:paraId="23C0F0E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973" w:rsidRDefault="00063973" w:rsidP="00BD1C10">
      <w:r>
        <w:separator/>
      </w:r>
    </w:p>
  </w:endnote>
  <w:endnote w:type="continuationSeparator" w:id="0">
    <w:p w:rsidR="00063973" w:rsidRDefault="00063973" w:rsidP="00BD1C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BC" w:rsidRDefault="00C455C7" w:rsidP="00BD1C10">
    <w:pPr>
      <w:pStyle w:val="Footer"/>
      <w:framePr w:wrap="around" w:vAnchor="text" w:hAnchor="margin" w:xAlign="right" w:y="1"/>
      <w:rPr>
        <w:rStyle w:val="PageNumber"/>
      </w:rPr>
    </w:pPr>
    <w:r>
      <w:rPr>
        <w:rStyle w:val="PageNumber"/>
      </w:rPr>
      <w:fldChar w:fldCharType="begin"/>
    </w:r>
    <w:r w:rsidR="00213DBC">
      <w:rPr>
        <w:rStyle w:val="PageNumber"/>
      </w:rPr>
      <w:instrText xml:space="preserve">PAGE  </w:instrText>
    </w:r>
    <w:r>
      <w:rPr>
        <w:rStyle w:val="PageNumber"/>
      </w:rPr>
      <w:fldChar w:fldCharType="end"/>
    </w:r>
  </w:p>
  <w:p w:rsidR="00213DBC" w:rsidRDefault="00213DBC" w:rsidP="00BD1C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DBC" w:rsidRDefault="00C455C7" w:rsidP="00BD1C10">
    <w:pPr>
      <w:pStyle w:val="Footer"/>
      <w:framePr w:wrap="around" w:vAnchor="text" w:hAnchor="margin" w:xAlign="right" w:y="1"/>
      <w:rPr>
        <w:rStyle w:val="PageNumber"/>
      </w:rPr>
    </w:pPr>
    <w:r>
      <w:rPr>
        <w:rStyle w:val="PageNumber"/>
      </w:rPr>
      <w:fldChar w:fldCharType="begin"/>
    </w:r>
    <w:r w:rsidR="00213DBC">
      <w:rPr>
        <w:rStyle w:val="PageNumber"/>
      </w:rPr>
      <w:instrText xml:space="preserve">PAGE  </w:instrText>
    </w:r>
    <w:r>
      <w:rPr>
        <w:rStyle w:val="PageNumber"/>
      </w:rPr>
      <w:fldChar w:fldCharType="separate"/>
    </w:r>
    <w:r w:rsidR="000A33B0">
      <w:rPr>
        <w:rStyle w:val="PageNumber"/>
        <w:noProof/>
      </w:rPr>
      <w:t>16</w:t>
    </w:r>
    <w:r>
      <w:rPr>
        <w:rStyle w:val="PageNumber"/>
      </w:rPr>
      <w:fldChar w:fldCharType="end"/>
    </w:r>
  </w:p>
  <w:p w:rsidR="00213DBC" w:rsidRDefault="00213DBC" w:rsidP="00BD1C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973" w:rsidRDefault="00063973" w:rsidP="00BD1C10">
      <w:r>
        <w:separator/>
      </w:r>
    </w:p>
  </w:footnote>
  <w:footnote w:type="continuationSeparator" w:id="0">
    <w:p w:rsidR="00063973" w:rsidRDefault="00063973" w:rsidP="00BD1C10">
      <w:r>
        <w:continuationSeparator/>
      </w:r>
    </w:p>
  </w:footnote>
  <w:footnote w:id="1">
    <w:p w:rsidR="00C35ABC" w:rsidRPr="00C35ABC" w:rsidRDefault="00C35ABC" w:rsidP="00C35ABC">
      <w:pPr>
        <w:pStyle w:val="FootnoteText"/>
        <w:spacing w:after="0"/>
        <w:rPr>
          <w:b/>
          <w:sz w:val="20"/>
        </w:rPr>
      </w:pPr>
      <w:r>
        <w:rPr>
          <w:rStyle w:val="FootnoteReference"/>
        </w:rPr>
        <w:footnoteRef/>
      </w:r>
      <w:r>
        <w:t xml:space="preserve"> </w:t>
      </w:r>
      <w:r w:rsidRPr="00F376C6">
        <w:rPr>
          <w:sz w:val="20"/>
        </w:rPr>
        <w:t>Maintaining Emergency and Standby Engine-Generator Sets</w:t>
      </w:r>
    </w:p>
    <w:p w:rsidR="00C35ABC" w:rsidRPr="00C35ABC" w:rsidRDefault="00C35ABC" w:rsidP="00C35ABC">
      <w:pPr>
        <w:pStyle w:val="FootnoteText"/>
        <w:spacing w:after="0"/>
        <w:rPr>
          <w:sz w:val="20"/>
        </w:rPr>
      </w:pPr>
      <w:r w:rsidRPr="00C35ABC">
        <w:rPr>
          <w:bCs/>
          <w:sz w:val="20"/>
        </w:rPr>
        <w:t>Hartford Steam Boiler</w:t>
      </w:r>
      <w:r w:rsidRPr="00C35ABC">
        <w:rPr>
          <w:b/>
          <w:bCs/>
          <w:sz w:val="20"/>
        </w:rPr>
        <w:t xml:space="preserve"> </w:t>
      </w:r>
      <w:r w:rsidRPr="00C35ABC">
        <w:rPr>
          <w:sz w:val="20"/>
        </w:rPr>
        <w:t>One State Street P.O. Box 5024 Hartford, CT 06102-5024 Tel: (800) 472-1866 www.hsb.com  June 2014</w:t>
      </w:r>
    </w:p>
    <w:p w:rsidR="00C35ABC" w:rsidRPr="00F376C6" w:rsidRDefault="00F376C6" w:rsidP="00C35ABC">
      <w:pPr>
        <w:pStyle w:val="FootnoteText"/>
        <w:spacing w:after="0"/>
        <w:rPr>
          <w:sz w:val="20"/>
        </w:rPr>
      </w:pPr>
      <w:r>
        <w:rPr>
          <w:sz w:val="20"/>
        </w:rPr>
        <w:t xml:space="preserve">   </w:t>
      </w:r>
      <w:r w:rsidR="00C35ABC" w:rsidRPr="00F376C6">
        <w:rPr>
          <w:sz w:val="20"/>
        </w:rPr>
        <w:t>Power topic #7004 | Technical information from Cummins Power Generation</w:t>
      </w:r>
    </w:p>
    <w:p w:rsidR="00C35ABC" w:rsidRPr="00C35ABC" w:rsidRDefault="00C35ABC" w:rsidP="00C35ABC">
      <w:pPr>
        <w:pStyle w:val="FootnoteText"/>
        <w:spacing w:after="0"/>
        <w:rPr>
          <w:sz w:val="20"/>
        </w:rPr>
      </w:pPr>
      <w:r w:rsidRPr="00C35ABC">
        <w:rPr>
          <w:sz w:val="20"/>
        </w:rPr>
        <w:t>Maintenance is one key to diesel generator set reliability</w:t>
      </w:r>
      <w:r w:rsidR="00F376C6">
        <w:rPr>
          <w:sz w:val="20"/>
        </w:rPr>
        <w:t xml:space="preserve"> </w:t>
      </w:r>
      <w:r w:rsidRPr="00C35ABC">
        <w:rPr>
          <w:sz w:val="20"/>
        </w:rPr>
        <w:t xml:space="preserve">&gt; White paper     By Timothy A. </w:t>
      </w:r>
      <w:proofErr w:type="spellStart"/>
      <w:r w:rsidRPr="00C35ABC">
        <w:rPr>
          <w:sz w:val="20"/>
        </w:rPr>
        <w:t>Loehlein</w:t>
      </w:r>
      <w:proofErr w:type="spellEnd"/>
      <w:r w:rsidRPr="00C35ABC">
        <w:rPr>
          <w:sz w:val="20"/>
        </w:rPr>
        <w:t>, Project Manager</w:t>
      </w:r>
    </w:p>
    <w:p w:rsidR="00C35ABC" w:rsidRPr="00C35ABC" w:rsidRDefault="00C35ABC" w:rsidP="00C35ABC">
      <w:pPr>
        <w:pStyle w:val="FootnoteText"/>
        <w:spacing w:after="0"/>
        <w:rPr>
          <w:sz w:val="20"/>
        </w:rPr>
      </w:pPr>
    </w:p>
  </w:footnote>
  <w:footnote w:id="2">
    <w:p w:rsidR="00C35ABC" w:rsidRPr="00C35ABC" w:rsidRDefault="00C35ABC" w:rsidP="00C35ABC">
      <w:pPr>
        <w:pStyle w:val="FootnoteText"/>
        <w:spacing w:after="0"/>
        <w:rPr>
          <w:sz w:val="20"/>
        </w:rPr>
      </w:pPr>
      <w:r w:rsidRPr="00C35ABC">
        <w:rPr>
          <w:rStyle w:val="FootnoteReference"/>
          <w:sz w:val="20"/>
        </w:rPr>
        <w:footnoteRef/>
      </w:r>
      <w:r w:rsidRPr="00C35ABC">
        <w:rPr>
          <w:sz w:val="20"/>
        </w:rPr>
        <w:t xml:space="preserve"> </w:t>
      </w:r>
      <w:r w:rsidRPr="00F376C6">
        <w:rPr>
          <w:sz w:val="20"/>
        </w:rPr>
        <w:t>INSPECTION AND TESTING OF EMERGENCY GENERATORS</w:t>
      </w:r>
      <w:r w:rsidR="00F376C6">
        <w:rPr>
          <w:sz w:val="20"/>
        </w:rPr>
        <w:t xml:space="preserve">, </w:t>
      </w:r>
      <w:r w:rsidRPr="00C35ABC">
        <w:rPr>
          <w:sz w:val="20"/>
        </w:rPr>
        <w:t>available at: http://www.health.state.mn.us/divs/fpc/Gensets2.pdf</w:t>
      </w:r>
    </w:p>
    <w:p w:rsidR="00C35ABC" w:rsidRDefault="00C35ABC">
      <w:pPr>
        <w:pStyle w:val="FootnoteText"/>
      </w:pPr>
    </w:p>
  </w:footnote>
  <w:footnote w:id="3">
    <w:p w:rsidR="00C35ABC" w:rsidRPr="00C35ABC" w:rsidRDefault="00C35ABC" w:rsidP="00C35ABC">
      <w:pPr>
        <w:pStyle w:val="FootnoteText"/>
        <w:spacing w:after="0"/>
      </w:pPr>
      <w:r>
        <w:rPr>
          <w:rStyle w:val="FootnoteReference"/>
        </w:rPr>
        <w:footnoteRef/>
      </w:r>
      <w:r>
        <w:t xml:space="preserve"> </w:t>
      </w:r>
      <w:r w:rsidRPr="00C35ABC">
        <w:rPr>
          <w:sz w:val="20"/>
        </w:rPr>
        <w:t>22,500 kW/(0.7457 kW/hp x 0.85) = 35,498 hp</w:t>
      </w:r>
    </w:p>
    <w:p w:rsidR="00C35ABC" w:rsidRDefault="00C35ABC">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952"/>
      <w:gridCol w:w="2952"/>
      <w:gridCol w:w="2952"/>
    </w:tblGrid>
    <w:tr w:rsidR="00213DBC" w:rsidRPr="00922679" w:rsidTr="007B1FC6">
      <w:tc>
        <w:tcPr>
          <w:tcW w:w="2952" w:type="dxa"/>
          <w:shd w:val="clear" w:color="auto" w:fill="92D050"/>
        </w:tcPr>
        <w:p w:rsidR="00213DBC" w:rsidRPr="00922679" w:rsidRDefault="00213DBC" w:rsidP="00922679">
          <w:pPr>
            <w:pStyle w:val="Header"/>
          </w:pPr>
          <w:r w:rsidRPr="00922679">
            <w:t>Green is George</w:t>
          </w:r>
        </w:p>
      </w:tc>
      <w:tc>
        <w:tcPr>
          <w:tcW w:w="2952" w:type="dxa"/>
          <w:shd w:val="clear" w:color="auto" w:fill="B6DDE8" w:themeFill="accent5" w:themeFillTint="66"/>
        </w:tcPr>
        <w:p w:rsidR="00213DBC" w:rsidRPr="00922679" w:rsidRDefault="00213DBC" w:rsidP="00922679">
          <w:pPr>
            <w:pStyle w:val="Header"/>
          </w:pPr>
          <w:r w:rsidRPr="00922679">
            <w:t>Blue is Jill</w:t>
          </w:r>
        </w:p>
      </w:tc>
      <w:tc>
        <w:tcPr>
          <w:tcW w:w="2952" w:type="dxa"/>
          <w:shd w:val="clear" w:color="auto" w:fill="FFC000"/>
        </w:tcPr>
        <w:p w:rsidR="00213DBC" w:rsidRPr="00922679" w:rsidRDefault="00213DBC" w:rsidP="00922679">
          <w:pPr>
            <w:pStyle w:val="Header"/>
          </w:pPr>
          <w:r w:rsidRPr="00922679">
            <w:t>Orange is Paul</w:t>
          </w:r>
        </w:p>
      </w:tc>
    </w:tr>
  </w:tbl>
  <w:p w:rsidR="00B717EB" w:rsidRPr="00B717EB" w:rsidRDefault="00B717EB" w:rsidP="00B717EB">
    <w:pPr>
      <w:pStyle w:val="Header"/>
      <w:rPr>
        <w:i/>
        <w:iCs/>
      </w:rPr>
    </w:pPr>
    <w:r w:rsidRPr="00B717EB">
      <w:rPr>
        <w:i/>
        <w:iCs/>
      </w:rPr>
      <w:t>3.         Change permitting requirements for emergency generators and small natural gas or oil-fired equipment</w:t>
    </w:r>
  </w:p>
  <w:p w:rsidR="00213DBC" w:rsidRDefault="00213D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409E"/>
    <w:multiLevelType w:val="hybridMultilevel"/>
    <w:tmpl w:val="A9A6B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D3CA3"/>
    <w:multiLevelType w:val="hybridMultilevel"/>
    <w:tmpl w:val="FA5C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2388D"/>
    <w:multiLevelType w:val="multilevel"/>
    <w:tmpl w:val="8E827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908AF"/>
    <w:multiLevelType w:val="hybridMultilevel"/>
    <w:tmpl w:val="599E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42FD5"/>
    <w:multiLevelType w:val="hybridMultilevel"/>
    <w:tmpl w:val="6D28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60255"/>
    <w:multiLevelType w:val="hybridMultilevel"/>
    <w:tmpl w:val="6C9E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8"/>
  </w:num>
  <w:num w:numId="6">
    <w:abstractNumId w:val="4"/>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4521AE"/>
    <w:rsid w:val="00001C9B"/>
    <w:rsid w:val="0000337A"/>
    <w:rsid w:val="00004347"/>
    <w:rsid w:val="000053C2"/>
    <w:rsid w:val="000071F6"/>
    <w:rsid w:val="00007D9C"/>
    <w:rsid w:val="00010169"/>
    <w:rsid w:val="00014921"/>
    <w:rsid w:val="00015C33"/>
    <w:rsid w:val="00016525"/>
    <w:rsid w:val="00016DE2"/>
    <w:rsid w:val="0001785F"/>
    <w:rsid w:val="000207B5"/>
    <w:rsid w:val="0002145D"/>
    <w:rsid w:val="00023D68"/>
    <w:rsid w:val="00025121"/>
    <w:rsid w:val="00030063"/>
    <w:rsid w:val="00030131"/>
    <w:rsid w:val="000302AA"/>
    <w:rsid w:val="000315C6"/>
    <w:rsid w:val="00031DF1"/>
    <w:rsid w:val="00033B49"/>
    <w:rsid w:val="000378FF"/>
    <w:rsid w:val="000409BA"/>
    <w:rsid w:val="00040BE2"/>
    <w:rsid w:val="00042646"/>
    <w:rsid w:val="00044B2E"/>
    <w:rsid w:val="00046D77"/>
    <w:rsid w:val="000540E3"/>
    <w:rsid w:val="00055EBA"/>
    <w:rsid w:val="000574E5"/>
    <w:rsid w:val="00057A9A"/>
    <w:rsid w:val="00061977"/>
    <w:rsid w:val="00063973"/>
    <w:rsid w:val="0006465C"/>
    <w:rsid w:val="000653F0"/>
    <w:rsid w:val="000659A6"/>
    <w:rsid w:val="00071548"/>
    <w:rsid w:val="0007292B"/>
    <w:rsid w:val="0007377F"/>
    <w:rsid w:val="00073D2D"/>
    <w:rsid w:val="000745DF"/>
    <w:rsid w:val="00076CF0"/>
    <w:rsid w:val="000774B9"/>
    <w:rsid w:val="00077A41"/>
    <w:rsid w:val="00082A92"/>
    <w:rsid w:val="000831C2"/>
    <w:rsid w:val="00085670"/>
    <w:rsid w:val="000907F8"/>
    <w:rsid w:val="00090AE7"/>
    <w:rsid w:val="000932C5"/>
    <w:rsid w:val="00095C84"/>
    <w:rsid w:val="000A1335"/>
    <w:rsid w:val="000A2B7C"/>
    <w:rsid w:val="000A33B0"/>
    <w:rsid w:val="000A7E1D"/>
    <w:rsid w:val="000B1681"/>
    <w:rsid w:val="000B2B7A"/>
    <w:rsid w:val="000B44BC"/>
    <w:rsid w:val="000B4D65"/>
    <w:rsid w:val="000B60EC"/>
    <w:rsid w:val="000B78A7"/>
    <w:rsid w:val="000C116E"/>
    <w:rsid w:val="000C1344"/>
    <w:rsid w:val="000C1D38"/>
    <w:rsid w:val="000D17F7"/>
    <w:rsid w:val="000D29C4"/>
    <w:rsid w:val="000D724F"/>
    <w:rsid w:val="000E0063"/>
    <w:rsid w:val="000E043E"/>
    <w:rsid w:val="000E1291"/>
    <w:rsid w:val="000E19B3"/>
    <w:rsid w:val="000E6624"/>
    <w:rsid w:val="000E6813"/>
    <w:rsid w:val="000F2789"/>
    <w:rsid w:val="000F2BD6"/>
    <w:rsid w:val="000F333E"/>
    <w:rsid w:val="000F3EAD"/>
    <w:rsid w:val="000F5D09"/>
    <w:rsid w:val="001034C8"/>
    <w:rsid w:val="00103BCA"/>
    <w:rsid w:val="0010590E"/>
    <w:rsid w:val="00106036"/>
    <w:rsid w:val="001078AB"/>
    <w:rsid w:val="0010799F"/>
    <w:rsid w:val="00107C64"/>
    <w:rsid w:val="001106B7"/>
    <w:rsid w:val="001122B8"/>
    <w:rsid w:val="00112A6B"/>
    <w:rsid w:val="00112AF9"/>
    <w:rsid w:val="00112E20"/>
    <w:rsid w:val="00115E74"/>
    <w:rsid w:val="00116150"/>
    <w:rsid w:val="0011623D"/>
    <w:rsid w:val="001227F4"/>
    <w:rsid w:val="00123E05"/>
    <w:rsid w:val="0012520F"/>
    <w:rsid w:val="00125521"/>
    <w:rsid w:val="00126D50"/>
    <w:rsid w:val="0013117F"/>
    <w:rsid w:val="0013457D"/>
    <w:rsid w:val="0013565E"/>
    <w:rsid w:val="00137323"/>
    <w:rsid w:val="00137589"/>
    <w:rsid w:val="0014491F"/>
    <w:rsid w:val="001452E5"/>
    <w:rsid w:val="001471A9"/>
    <w:rsid w:val="00155013"/>
    <w:rsid w:val="001555D9"/>
    <w:rsid w:val="00156238"/>
    <w:rsid w:val="00156964"/>
    <w:rsid w:val="001611B5"/>
    <w:rsid w:val="00162871"/>
    <w:rsid w:val="00164049"/>
    <w:rsid w:val="0017253C"/>
    <w:rsid w:val="00175D2F"/>
    <w:rsid w:val="0017689E"/>
    <w:rsid w:val="001771FF"/>
    <w:rsid w:val="00182026"/>
    <w:rsid w:val="00183CB6"/>
    <w:rsid w:val="00187105"/>
    <w:rsid w:val="0018778A"/>
    <w:rsid w:val="0019474E"/>
    <w:rsid w:val="001A3967"/>
    <w:rsid w:val="001A48BC"/>
    <w:rsid w:val="001A7916"/>
    <w:rsid w:val="001A7A8B"/>
    <w:rsid w:val="001B00E6"/>
    <w:rsid w:val="001B0A5E"/>
    <w:rsid w:val="001B1EE5"/>
    <w:rsid w:val="001B2C82"/>
    <w:rsid w:val="001B2F05"/>
    <w:rsid w:val="001B338D"/>
    <w:rsid w:val="001B3C5A"/>
    <w:rsid w:val="001B5AC2"/>
    <w:rsid w:val="001B5B9E"/>
    <w:rsid w:val="001B62FF"/>
    <w:rsid w:val="001C08BD"/>
    <w:rsid w:val="001C0D3F"/>
    <w:rsid w:val="001C21A1"/>
    <w:rsid w:val="001C5332"/>
    <w:rsid w:val="001D18F5"/>
    <w:rsid w:val="001D4EB1"/>
    <w:rsid w:val="001D6AB6"/>
    <w:rsid w:val="001D757F"/>
    <w:rsid w:val="001E0283"/>
    <w:rsid w:val="001E628B"/>
    <w:rsid w:val="001E64E7"/>
    <w:rsid w:val="001E752C"/>
    <w:rsid w:val="001E7D15"/>
    <w:rsid w:val="001F2926"/>
    <w:rsid w:val="001F2FC5"/>
    <w:rsid w:val="001F3908"/>
    <w:rsid w:val="002002CB"/>
    <w:rsid w:val="00202B37"/>
    <w:rsid w:val="00204DD7"/>
    <w:rsid w:val="00206B18"/>
    <w:rsid w:val="002077CC"/>
    <w:rsid w:val="00210AFF"/>
    <w:rsid w:val="00211124"/>
    <w:rsid w:val="00211823"/>
    <w:rsid w:val="00213DBC"/>
    <w:rsid w:val="0021401C"/>
    <w:rsid w:val="00214A12"/>
    <w:rsid w:val="002170FE"/>
    <w:rsid w:val="002178F2"/>
    <w:rsid w:val="00217E7C"/>
    <w:rsid w:val="00222276"/>
    <w:rsid w:val="00223DE2"/>
    <w:rsid w:val="002264EA"/>
    <w:rsid w:val="00227F41"/>
    <w:rsid w:val="002327F7"/>
    <w:rsid w:val="002346D5"/>
    <w:rsid w:val="00246ACD"/>
    <w:rsid w:val="00247AA9"/>
    <w:rsid w:val="002526A4"/>
    <w:rsid w:val="0025383B"/>
    <w:rsid w:val="00255286"/>
    <w:rsid w:val="0025611A"/>
    <w:rsid w:val="00256178"/>
    <w:rsid w:val="00256B0A"/>
    <w:rsid w:val="002574A5"/>
    <w:rsid w:val="0026063C"/>
    <w:rsid w:val="0026415B"/>
    <w:rsid w:val="00264E75"/>
    <w:rsid w:val="00266C9A"/>
    <w:rsid w:val="00270563"/>
    <w:rsid w:val="00271B32"/>
    <w:rsid w:val="002732AD"/>
    <w:rsid w:val="00277633"/>
    <w:rsid w:val="00277B75"/>
    <w:rsid w:val="00281CF7"/>
    <w:rsid w:val="00281FAE"/>
    <w:rsid w:val="002822E0"/>
    <w:rsid w:val="00282FD4"/>
    <w:rsid w:val="00286A7E"/>
    <w:rsid w:val="002936EF"/>
    <w:rsid w:val="00294858"/>
    <w:rsid w:val="00297330"/>
    <w:rsid w:val="00297594"/>
    <w:rsid w:val="002A28F4"/>
    <w:rsid w:val="002A3DEF"/>
    <w:rsid w:val="002A47B4"/>
    <w:rsid w:val="002A57D6"/>
    <w:rsid w:val="002A61E9"/>
    <w:rsid w:val="002A6CDF"/>
    <w:rsid w:val="002A73D6"/>
    <w:rsid w:val="002B0924"/>
    <w:rsid w:val="002B2EB3"/>
    <w:rsid w:val="002B451F"/>
    <w:rsid w:val="002B54B9"/>
    <w:rsid w:val="002C32D0"/>
    <w:rsid w:val="002C6A65"/>
    <w:rsid w:val="002C765C"/>
    <w:rsid w:val="002D225C"/>
    <w:rsid w:val="002D3A3A"/>
    <w:rsid w:val="002D4C1A"/>
    <w:rsid w:val="002D70D8"/>
    <w:rsid w:val="002E04C2"/>
    <w:rsid w:val="002E0E01"/>
    <w:rsid w:val="002E16D0"/>
    <w:rsid w:val="002E4631"/>
    <w:rsid w:val="002F0DDF"/>
    <w:rsid w:val="002F2363"/>
    <w:rsid w:val="002F29F4"/>
    <w:rsid w:val="002F39EF"/>
    <w:rsid w:val="002F43FC"/>
    <w:rsid w:val="002F6020"/>
    <w:rsid w:val="003037DD"/>
    <w:rsid w:val="00306CFE"/>
    <w:rsid w:val="0030796E"/>
    <w:rsid w:val="00307AC8"/>
    <w:rsid w:val="00310DA0"/>
    <w:rsid w:val="00312E5B"/>
    <w:rsid w:val="003152F0"/>
    <w:rsid w:val="00316AFE"/>
    <w:rsid w:val="0032640B"/>
    <w:rsid w:val="00332173"/>
    <w:rsid w:val="003325E0"/>
    <w:rsid w:val="003333CE"/>
    <w:rsid w:val="00334351"/>
    <w:rsid w:val="00337271"/>
    <w:rsid w:val="003401E1"/>
    <w:rsid w:val="00343E39"/>
    <w:rsid w:val="003440D6"/>
    <w:rsid w:val="0034452F"/>
    <w:rsid w:val="00345716"/>
    <w:rsid w:val="003461E2"/>
    <w:rsid w:val="003467F3"/>
    <w:rsid w:val="00346F31"/>
    <w:rsid w:val="00355708"/>
    <w:rsid w:val="0035759D"/>
    <w:rsid w:val="003578FB"/>
    <w:rsid w:val="003608E5"/>
    <w:rsid w:val="00361A51"/>
    <w:rsid w:val="00362481"/>
    <w:rsid w:val="00363DD3"/>
    <w:rsid w:val="0036562E"/>
    <w:rsid w:val="003703F9"/>
    <w:rsid w:val="00370DF2"/>
    <w:rsid w:val="003736D7"/>
    <w:rsid w:val="00376688"/>
    <w:rsid w:val="003778F5"/>
    <w:rsid w:val="0038283D"/>
    <w:rsid w:val="00384545"/>
    <w:rsid w:val="00390D39"/>
    <w:rsid w:val="003921A1"/>
    <w:rsid w:val="00392B1F"/>
    <w:rsid w:val="00395346"/>
    <w:rsid w:val="00397A21"/>
    <w:rsid w:val="003A5BEE"/>
    <w:rsid w:val="003A7328"/>
    <w:rsid w:val="003B1626"/>
    <w:rsid w:val="003B2548"/>
    <w:rsid w:val="003B2C71"/>
    <w:rsid w:val="003B5CEB"/>
    <w:rsid w:val="003C6E67"/>
    <w:rsid w:val="003D120F"/>
    <w:rsid w:val="003D19B1"/>
    <w:rsid w:val="003D5324"/>
    <w:rsid w:val="003D7F08"/>
    <w:rsid w:val="003E02C8"/>
    <w:rsid w:val="003E0849"/>
    <w:rsid w:val="003E2AFA"/>
    <w:rsid w:val="003E4309"/>
    <w:rsid w:val="003E61F8"/>
    <w:rsid w:val="003F0A3A"/>
    <w:rsid w:val="003F3188"/>
    <w:rsid w:val="003F5358"/>
    <w:rsid w:val="003F58D0"/>
    <w:rsid w:val="004046BC"/>
    <w:rsid w:val="00404786"/>
    <w:rsid w:val="004058CE"/>
    <w:rsid w:val="004067E2"/>
    <w:rsid w:val="0041430E"/>
    <w:rsid w:val="004154C6"/>
    <w:rsid w:val="004167B5"/>
    <w:rsid w:val="0041711D"/>
    <w:rsid w:val="0042040F"/>
    <w:rsid w:val="004219CD"/>
    <w:rsid w:val="004222F0"/>
    <w:rsid w:val="00425CC5"/>
    <w:rsid w:val="004332ED"/>
    <w:rsid w:val="00433D19"/>
    <w:rsid w:val="0043479C"/>
    <w:rsid w:val="00442D84"/>
    <w:rsid w:val="00443D70"/>
    <w:rsid w:val="00450539"/>
    <w:rsid w:val="004521AE"/>
    <w:rsid w:val="004533A2"/>
    <w:rsid w:val="00454855"/>
    <w:rsid w:val="00455C7F"/>
    <w:rsid w:val="00457A71"/>
    <w:rsid w:val="00457D1B"/>
    <w:rsid w:val="00460377"/>
    <w:rsid w:val="00461D95"/>
    <w:rsid w:val="004670E5"/>
    <w:rsid w:val="004675C5"/>
    <w:rsid w:val="004756E9"/>
    <w:rsid w:val="00476AF5"/>
    <w:rsid w:val="0047763F"/>
    <w:rsid w:val="0048080E"/>
    <w:rsid w:val="00480E79"/>
    <w:rsid w:val="00481E22"/>
    <w:rsid w:val="00482DFD"/>
    <w:rsid w:val="00484430"/>
    <w:rsid w:val="00484E1D"/>
    <w:rsid w:val="00491EF8"/>
    <w:rsid w:val="00492C53"/>
    <w:rsid w:val="0049795A"/>
    <w:rsid w:val="004A0968"/>
    <w:rsid w:val="004A1D3D"/>
    <w:rsid w:val="004A263A"/>
    <w:rsid w:val="004A3428"/>
    <w:rsid w:val="004A380C"/>
    <w:rsid w:val="004A4EA8"/>
    <w:rsid w:val="004B10BE"/>
    <w:rsid w:val="004B1CDE"/>
    <w:rsid w:val="004C5788"/>
    <w:rsid w:val="004D240E"/>
    <w:rsid w:val="004D34B9"/>
    <w:rsid w:val="004D3829"/>
    <w:rsid w:val="004D3CE4"/>
    <w:rsid w:val="004D433C"/>
    <w:rsid w:val="004D4B78"/>
    <w:rsid w:val="004D66C3"/>
    <w:rsid w:val="004E1688"/>
    <w:rsid w:val="004E6B66"/>
    <w:rsid w:val="004F32ED"/>
    <w:rsid w:val="004F5950"/>
    <w:rsid w:val="004F7121"/>
    <w:rsid w:val="00501171"/>
    <w:rsid w:val="00501E4D"/>
    <w:rsid w:val="00501E5E"/>
    <w:rsid w:val="00502412"/>
    <w:rsid w:val="00503436"/>
    <w:rsid w:val="005034FD"/>
    <w:rsid w:val="00503C0A"/>
    <w:rsid w:val="00506593"/>
    <w:rsid w:val="00510669"/>
    <w:rsid w:val="0051604B"/>
    <w:rsid w:val="005164EC"/>
    <w:rsid w:val="00516938"/>
    <w:rsid w:val="00517950"/>
    <w:rsid w:val="00517DED"/>
    <w:rsid w:val="005221D7"/>
    <w:rsid w:val="00522F01"/>
    <w:rsid w:val="00525C7F"/>
    <w:rsid w:val="005269CF"/>
    <w:rsid w:val="00530BEC"/>
    <w:rsid w:val="00537334"/>
    <w:rsid w:val="00541042"/>
    <w:rsid w:val="005414A2"/>
    <w:rsid w:val="00544C10"/>
    <w:rsid w:val="0054685D"/>
    <w:rsid w:val="00547113"/>
    <w:rsid w:val="005516FD"/>
    <w:rsid w:val="00552788"/>
    <w:rsid w:val="00554792"/>
    <w:rsid w:val="0055545E"/>
    <w:rsid w:val="005556D9"/>
    <w:rsid w:val="0056091D"/>
    <w:rsid w:val="00562FF5"/>
    <w:rsid w:val="00566BE8"/>
    <w:rsid w:val="0057004A"/>
    <w:rsid w:val="00572C9B"/>
    <w:rsid w:val="0057382A"/>
    <w:rsid w:val="00573E9B"/>
    <w:rsid w:val="00574077"/>
    <w:rsid w:val="00575E4B"/>
    <w:rsid w:val="00576305"/>
    <w:rsid w:val="00581C50"/>
    <w:rsid w:val="00584256"/>
    <w:rsid w:val="005864FB"/>
    <w:rsid w:val="0059039F"/>
    <w:rsid w:val="00590618"/>
    <w:rsid w:val="00590F0B"/>
    <w:rsid w:val="005922D4"/>
    <w:rsid w:val="00592DEB"/>
    <w:rsid w:val="005930CB"/>
    <w:rsid w:val="00593E37"/>
    <w:rsid w:val="00595180"/>
    <w:rsid w:val="00595B32"/>
    <w:rsid w:val="00596557"/>
    <w:rsid w:val="005A1EDD"/>
    <w:rsid w:val="005A1F4F"/>
    <w:rsid w:val="005A341D"/>
    <w:rsid w:val="005A4A96"/>
    <w:rsid w:val="005A5478"/>
    <w:rsid w:val="005A7F95"/>
    <w:rsid w:val="005B0170"/>
    <w:rsid w:val="005B3BE6"/>
    <w:rsid w:val="005B7D9C"/>
    <w:rsid w:val="005C112F"/>
    <w:rsid w:val="005C1CFB"/>
    <w:rsid w:val="005C3BCA"/>
    <w:rsid w:val="005C54AB"/>
    <w:rsid w:val="005C7D7D"/>
    <w:rsid w:val="005D3382"/>
    <w:rsid w:val="005D466D"/>
    <w:rsid w:val="005D4A82"/>
    <w:rsid w:val="005D584A"/>
    <w:rsid w:val="005D5BA1"/>
    <w:rsid w:val="005D668C"/>
    <w:rsid w:val="005D7B74"/>
    <w:rsid w:val="005E13BF"/>
    <w:rsid w:val="005E18EC"/>
    <w:rsid w:val="005E5732"/>
    <w:rsid w:val="005E768B"/>
    <w:rsid w:val="005E7E69"/>
    <w:rsid w:val="005F0B7C"/>
    <w:rsid w:val="005F1A02"/>
    <w:rsid w:val="005F3976"/>
    <w:rsid w:val="00603124"/>
    <w:rsid w:val="0060343C"/>
    <w:rsid w:val="0060635F"/>
    <w:rsid w:val="0061290D"/>
    <w:rsid w:val="00613B95"/>
    <w:rsid w:val="006202BD"/>
    <w:rsid w:val="00620E80"/>
    <w:rsid w:val="00623133"/>
    <w:rsid w:val="0062354C"/>
    <w:rsid w:val="00625CEF"/>
    <w:rsid w:val="00627102"/>
    <w:rsid w:val="00627E90"/>
    <w:rsid w:val="006324F1"/>
    <w:rsid w:val="00632690"/>
    <w:rsid w:val="006349CE"/>
    <w:rsid w:val="0063784E"/>
    <w:rsid w:val="00637CD4"/>
    <w:rsid w:val="00641E9F"/>
    <w:rsid w:val="00642982"/>
    <w:rsid w:val="00642AAD"/>
    <w:rsid w:val="0064465E"/>
    <w:rsid w:val="0064562C"/>
    <w:rsid w:val="0064776A"/>
    <w:rsid w:val="00650DDF"/>
    <w:rsid w:val="006510C7"/>
    <w:rsid w:val="006548B6"/>
    <w:rsid w:val="00654949"/>
    <w:rsid w:val="006560EE"/>
    <w:rsid w:val="006617C9"/>
    <w:rsid w:val="00661F5C"/>
    <w:rsid w:val="00662467"/>
    <w:rsid w:val="00662A10"/>
    <w:rsid w:val="0066367C"/>
    <w:rsid w:val="00665C11"/>
    <w:rsid w:val="0067077A"/>
    <w:rsid w:val="00671EC5"/>
    <w:rsid w:val="0067206F"/>
    <w:rsid w:val="006730F7"/>
    <w:rsid w:val="00675EB8"/>
    <w:rsid w:val="00675FF8"/>
    <w:rsid w:val="006763E9"/>
    <w:rsid w:val="00676560"/>
    <w:rsid w:val="006770F0"/>
    <w:rsid w:val="006803CF"/>
    <w:rsid w:val="00682DFC"/>
    <w:rsid w:val="00683FDD"/>
    <w:rsid w:val="00684571"/>
    <w:rsid w:val="006855AF"/>
    <w:rsid w:val="00687251"/>
    <w:rsid w:val="00692740"/>
    <w:rsid w:val="006956C4"/>
    <w:rsid w:val="0069730E"/>
    <w:rsid w:val="006A1495"/>
    <w:rsid w:val="006A1B68"/>
    <w:rsid w:val="006A32C7"/>
    <w:rsid w:val="006A6328"/>
    <w:rsid w:val="006B1E70"/>
    <w:rsid w:val="006B3DB6"/>
    <w:rsid w:val="006C1577"/>
    <w:rsid w:val="006C1AD5"/>
    <w:rsid w:val="006C2D6B"/>
    <w:rsid w:val="006C36C2"/>
    <w:rsid w:val="006C4C34"/>
    <w:rsid w:val="006C53CA"/>
    <w:rsid w:val="006C5B02"/>
    <w:rsid w:val="006C5E00"/>
    <w:rsid w:val="006C6327"/>
    <w:rsid w:val="006C7F76"/>
    <w:rsid w:val="006D071B"/>
    <w:rsid w:val="006D4F71"/>
    <w:rsid w:val="006D5E9A"/>
    <w:rsid w:val="006D5F5A"/>
    <w:rsid w:val="006E13FC"/>
    <w:rsid w:val="006E2130"/>
    <w:rsid w:val="006E215A"/>
    <w:rsid w:val="006E4EF0"/>
    <w:rsid w:val="006E78A1"/>
    <w:rsid w:val="006F022F"/>
    <w:rsid w:val="006F31A4"/>
    <w:rsid w:val="006F357A"/>
    <w:rsid w:val="006F4231"/>
    <w:rsid w:val="006F4A5C"/>
    <w:rsid w:val="006F5E15"/>
    <w:rsid w:val="006F65E6"/>
    <w:rsid w:val="006F6683"/>
    <w:rsid w:val="006F67F2"/>
    <w:rsid w:val="007002E8"/>
    <w:rsid w:val="0070429A"/>
    <w:rsid w:val="00705610"/>
    <w:rsid w:val="007073CE"/>
    <w:rsid w:val="00711FA9"/>
    <w:rsid w:val="0071271E"/>
    <w:rsid w:val="00713F82"/>
    <w:rsid w:val="0071434E"/>
    <w:rsid w:val="00717CEC"/>
    <w:rsid w:val="0072330D"/>
    <w:rsid w:val="00723AF7"/>
    <w:rsid w:val="00724C28"/>
    <w:rsid w:val="0072543A"/>
    <w:rsid w:val="00726D59"/>
    <w:rsid w:val="0073095C"/>
    <w:rsid w:val="007311B3"/>
    <w:rsid w:val="007377F2"/>
    <w:rsid w:val="007402E4"/>
    <w:rsid w:val="00740432"/>
    <w:rsid w:val="00741F1E"/>
    <w:rsid w:val="007424C0"/>
    <w:rsid w:val="00742C8C"/>
    <w:rsid w:val="007459E3"/>
    <w:rsid w:val="007468AC"/>
    <w:rsid w:val="00750890"/>
    <w:rsid w:val="0075099C"/>
    <w:rsid w:val="0075366B"/>
    <w:rsid w:val="00756F48"/>
    <w:rsid w:val="007642D1"/>
    <w:rsid w:val="00764340"/>
    <w:rsid w:val="0076471A"/>
    <w:rsid w:val="0076510B"/>
    <w:rsid w:val="007671A8"/>
    <w:rsid w:val="00767CDE"/>
    <w:rsid w:val="00773882"/>
    <w:rsid w:val="00775189"/>
    <w:rsid w:val="00776602"/>
    <w:rsid w:val="00780E9F"/>
    <w:rsid w:val="00781586"/>
    <w:rsid w:val="00782EAA"/>
    <w:rsid w:val="007834F8"/>
    <w:rsid w:val="00784A5C"/>
    <w:rsid w:val="007857D4"/>
    <w:rsid w:val="007860A4"/>
    <w:rsid w:val="0078785A"/>
    <w:rsid w:val="00793FB8"/>
    <w:rsid w:val="007A2F36"/>
    <w:rsid w:val="007B0206"/>
    <w:rsid w:val="007B1FC6"/>
    <w:rsid w:val="007B2581"/>
    <w:rsid w:val="007B7154"/>
    <w:rsid w:val="007C2CCA"/>
    <w:rsid w:val="007C33F5"/>
    <w:rsid w:val="007C3FF1"/>
    <w:rsid w:val="007C44CE"/>
    <w:rsid w:val="007C4A10"/>
    <w:rsid w:val="007C507B"/>
    <w:rsid w:val="007C5091"/>
    <w:rsid w:val="007C6A3A"/>
    <w:rsid w:val="007D0A2B"/>
    <w:rsid w:val="007D5C17"/>
    <w:rsid w:val="007D7B7C"/>
    <w:rsid w:val="007E0A38"/>
    <w:rsid w:val="007E4DC4"/>
    <w:rsid w:val="007E7322"/>
    <w:rsid w:val="007F2750"/>
    <w:rsid w:val="007F368D"/>
    <w:rsid w:val="008000BD"/>
    <w:rsid w:val="0080174E"/>
    <w:rsid w:val="00802353"/>
    <w:rsid w:val="0080239D"/>
    <w:rsid w:val="00805342"/>
    <w:rsid w:val="00812CBB"/>
    <w:rsid w:val="00813068"/>
    <w:rsid w:val="00814AD3"/>
    <w:rsid w:val="008151AD"/>
    <w:rsid w:val="00815654"/>
    <w:rsid w:val="00815E0A"/>
    <w:rsid w:val="008174BC"/>
    <w:rsid w:val="00820D6C"/>
    <w:rsid w:val="0082208B"/>
    <w:rsid w:val="00823FF5"/>
    <w:rsid w:val="008306C6"/>
    <w:rsid w:val="008325D3"/>
    <w:rsid w:val="008326C7"/>
    <w:rsid w:val="00833C69"/>
    <w:rsid w:val="00835785"/>
    <w:rsid w:val="00835ED1"/>
    <w:rsid w:val="00840E00"/>
    <w:rsid w:val="00843D12"/>
    <w:rsid w:val="00844493"/>
    <w:rsid w:val="00844D67"/>
    <w:rsid w:val="00845D2F"/>
    <w:rsid w:val="00845EB3"/>
    <w:rsid w:val="00846323"/>
    <w:rsid w:val="00846C4C"/>
    <w:rsid w:val="00850594"/>
    <w:rsid w:val="00854EC7"/>
    <w:rsid w:val="0085682A"/>
    <w:rsid w:val="00857CB6"/>
    <w:rsid w:val="0086183B"/>
    <w:rsid w:val="008629F8"/>
    <w:rsid w:val="00862CF3"/>
    <w:rsid w:val="00863F8B"/>
    <w:rsid w:val="00866560"/>
    <w:rsid w:val="00866F39"/>
    <w:rsid w:val="00867B68"/>
    <w:rsid w:val="00871599"/>
    <w:rsid w:val="00875559"/>
    <w:rsid w:val="00875CCA"/>
    <w:rsid w:val="0087606B"/>
    <w:rsid w:val="00881991"/>
    <w:rsid w:val="00881E85"/>
    <w:rsid w:val="0088477F"/>
    <w:rsid w:val="00886E29"/>
    <w:rsid w:val="0088791B"/>
    <w:rsid w:val="00891F90"/>
    <w:rsid w:val="00892311"/>
    <w:rsid w:val="00893F50"/>
    <w:rsid w:val="0089469B"/>
    <w:rsid w:val="00896C5B"/>
    <w:rsid w:val="008A3A5D"/>
    <w:rsid w:val="008A5903"/>
    <w:rsid w:val="008A78F6"/>
    <w:rsid w:val="008B15C4"/>
    <w:rsid w:val="008B1EA3"/>
    <w:rsid w:val="008B407D"/>
    <w:rsid w:val="008C4372"/>
    <w:rsid w:val="008D6BEF"/>
    <w:rsid w:val="008E044B"/>
    <w:rsid w:val="008E1F61"/>
    <w:rsid w:val="008E2EE6"/>
    <w:rsid w:val="008E4909"/>
    <w:rsid w:val="008E62EC"/>
    <w:rsid w:val="008F0795"/>
    <w:rsid w:val="008F07D3"/>
    <w:rsid w:val="008F34F5"/>
    <w:rsid w:val="008F71B8"/>
    <w:rsid w:val="008F755B"/>
    <w:rsid w:val="00900BAE"/>
    <w:rsid w:val="009022F9"/>
    <w:rsid w:val="00903D77"/>
    <w:rsid w:val="009142E3"/>
    <w:rsid w:val="00916498"/>
    <w:rsid w:val="00922679"/>
    <w:rsid w:val="009258B0"/>
    <w:rsid w:val="00926E7D"/>
    <w:rsid w:val="00934A3C"/>
    <w:rsid w:val="00934E60"/>
    <w:rsid w:val="00937747"/>
    <w:rsid w:val="00942053"/>
    <w:rsid w:val="00943271"/>
    <w:rsid w:val="0094383F"/>
    <w:rsid w:val="00945E6C"/>
    <w:rsid w:val="00946A53"/>
    <w:rsid w:val="00952185"/>
    <w:rsid w:val="009534CB"/>
    <w:rsid w:val="00955E89"/>
    <w:rsid w:val="00960D38"/>
    <w:rsid w:val="0096295C"/>
    <w:rsid w:val="0096314C"/>
    <w:rsid w:val="00963B9B"/>
    <w:rsid w:val="00964FE8"/>
    <w:rsid w:val="009666F9"/>
    <w:rsid w:val="00967C46"/>
    <w:rsid w:val="00967C57"/>
    <w:rsid w:val="00971751"/>
    <w:rsid w:val="00973B4B"/>
    <w:rsid w:val="00973BC4"/>
    <w:rsid w:val="0098055B"/>
    <w:rsid w:val="0098062C"/>
    <w:rsid w:val="00981922"/>
    <w:rsid w:val="009819A8"/>
    <w:rsid w:val="00982893"/>
    <w:rsid w:val="00983E24"/>
    <w:rsid w:val="0098560F"/>
    <w:rsid w:val="0098587A"/>
    <w:rsid w:val="0098722F"/>
    <w:rsid w:val="00990DDA"/>
    <w:rsid w:val="009935A1"/>
    <w:rsid w:val="00993C49"/>
    <w:rsid w:val="00994071"/>
    <w:rsid w:val="00995165"/>
    <w:rsid w:val="009955AE"/>
    <w:rsid w:val="00995853"/>
    <w:rsid w:val="00995E28"/>
    <w:rsid w:val="009A16EA"/>
    <w:rsid w:val="009A26FA"/>
    <w:rsid w:val="009A2CED"/>
    <w:rsid w:val="009A4688"/>
    <w:rsid w:val="009A6B61"/>
    <w:rsid w:val="009B11A6"/>
    <w:rsid w:val="009B17D4"/>
    <w:rsid w:val="009B2A15"/>
    <w:rsid w:val="009B2E1A"/>
    <w:rsid w:val="009B5874"/>
    <w:rsid w:val="009B6635"/>
    <w:rsid w:val="009B7231"/>
    <w:rsid w:val="009C0B5E"/>
    <w:rsid w:val="009C271B"/>
    <w:rsid w:val="009C35BD"/>
    <w:rsid w:val="009C59FE"/>
    <w:rsid w:val="009C7ACE"/>
    <w:rsid w:val="009D139A"/>
    <w:rsid w:val="009D6B25"/>
    <w:rsid w:val="009D700B"/>
    <w:rsid w:val="009D7373"/>
    <w:rsid w:val="009E1917"/>
    <w:rsid w:val="009E1CBF"/>
    <w:rsid w:val="009E2EF3"/>
    <w:rsid w:val="009E3B38"/>
    <w:rsid w:val="009E4921"/>
    <w:rsid w:val="009E4C0A"/>
    <w:rsid w:val="009E7ED7"/>
    <w:rsid w:val="009F4F70"/>
    <w:rsid w:val="009F5805"/>
    <w:rsid w:val="009F58F3"/>
    <w:rsid w:val="009F5FCF"/>
    <w:rsid w:val="009F623F"/>
    <w:rsid w:val="009F6FDE"/>
    <w:rsid w:val="00A00899"/>
    <w:rsid w:val="00A01032"/>
    <w:rsid w:val="00A03B08"/>
    <w:rsid w:val="00A04A73"/>
    <w:rsid w:val="00A05F25"/>
    <w:rsid w:val="00A11722"/>
    <w:rsid w:val="00A13BC1"/>
    <w:rsid w:val="00A162E3"/>
    <w:rsid w:val="00A16A22"/>
    <w:rsid w:val="00A16DFC"/>
    <w:rsid w:val="00A20DAC"/>
    <w:rsid w:val="00A2235C"/>
    <w:rsid w:val="00A23654"/>
    <w:rsid w:val="00A25888"/>
    <w:rsid w:val="00A26AB5"/>
    <w:rsid w:val="00A27793"/>
    <w:rsid w:val="00A31B6D"/>
    <w:rsid w:val="00A34B38"/>
    <w:rsid w:val="00A36088"/>
    <w:rsid w:val="00A37E9B"/>
    <w:rsid w:val="00A44B46"/>
    <w:rsid w:val="00A4663C"/>
    <w:rsid w:val="00A467AE"/>
    <w:rsid w:val="00A47AFE"/>
    <w:rsid w:val="00A5352B"/>
    <w:rsid w:val="00A54FE1"/>
    <w:rsid w:val="00A55C95"/>
    <w:rsid w:val="00A56820"/>
    <w:rsid w:val="00A63553"/>
    <w:rsid w:val="00A66BE9"/>
    <w:rsid w:val="00A67588"/>
    <w:rsid w:val="00A675DF"/>
    <w:rsid w:val="00A8213F"/>
    <w:rsid w:val="00A839F4"/>
    <w:rsid w:val="00A90CDE"/>
    <w:rsid w:val="00A96179"/>
    <w:rsid w:val="00A964CC"/>
    <w:rsid w:val="00AA0597"/>
    <w:rsid w:val="00AA1093"/>
    <w:rsid w:val="00AA10D0"/>
    <w:rsid w:val="00AA37D3"/>
    <w:rsid w:val="00AA40D7"/>
    <w:rsid w:val="00AA5151"/>
    <w:rsid w:val="00AA57A1"/>
    <w:rsid w:val="00AA71AD"/>
    <w:rsid w:val="00AA7891"/>
    <w:rsid w:val="00AB1D86"/>
    <w:rsid w:val="00AB228F"/>
    <w:rsid w:val="00AB2F45"/>
    <w:rsid w:val="00AB3CB1"/>
    <w:rsid w:val="00AB54ED"/>
    <w:rsid w:val="00AB614C"/>
    <w:rsid w:val="00AB6CAD"/>
    <w:rsid w:val="00AB7133"/>
    <w:rsid w:val="00AC3F20"/>
    <w:rsid w:val="00AC4766"/>
    <w:rsid w:val="00AC5F45"/>
    <w:rsid w:val="00AC78ED"/>
    <w:rsid w:val="00AC7BC0"/>
    <w:rsid w:val="00AD2FA7"/>
    <w:rsid w:val="00AD44B2"/>
    <w:rsid w:val="00AD5963"/>
    <w:rsid w:val="00AD6C42"/>
    <w:rsid w:val="00AE4321"/>
    <w:rsid w:val="00AE5C4D"/>
    <w:rsid w:val="00AF4C63"/>
    <w:rsid w:val="00B04C18"/>
    <w:rsid w:val="00B04D22"/>
    <w:rsid w:val="00B125EC"/>
    <w:rsid w:val="00B126A7"/>
    <w:rsid w:val="00B2031F"/>
    <w:rsid w:val="00B20539"/>
    <w:rsid w:val="00B2112F"/>
    <w:rsid w:val="00B232E7"/>
    <w:rsid w:val="00B2708C"/>
    <w:rsid w:val="00B27F90"/>
    <w:rsid w:val="00B3162D"/>
    <w:rsid w:val="00B31CD9"/>
    <w:rsid w:val="00B32988"/>
    <w:rsid w:val="00B33903"/>
    <w:rsid w:val="00B345A3"/>
    <w:rsid w:val="00B35F04"/>
    <w:rsid w:val="00B36639"/>
    <w:rsid w:val="00B37790"/>
    <w:rsid w:val="00B51BA0"/>
    <w:rsid w:val="00B57E45"/>
    <w:rsid w:val="00B63231"/>
    <w:rsid w:val="00B66776"/>
    <w:rsid w:val="00B66C0F"/>
    <w:rsid w:val="00B70EA7"/>
    <w:rsid w:val="00B717EB"/>
    <w:rsid w:val="00B73AED"/>
    <w:rsid w:val="00B744F3"/>
    <w:rsid w:val="00B75855"/>
    <w:rsid w:val="00B7663C"/>
    <w:rsid w:val="00B76690"/>
    <w:rsid w:val="00B7775F"/>
    <w:rsid w:val="00B80293"/>
    <w:rsid w:val="00B80B71"/>
    <w:rsid w:val="00B84322"/>
    <w:rsid w:val="00B8648D"/>
    <w:rsid w:val="00B87D08"/>
    <w:rsid w:val="00B91883"/>
    <w:rsid w:val="00B93D0B"/>
    <w:rsid w:val="00BA1534"/>
    <w:rsid w:val="00BA4105"/>
    <w:rsid w:val="00BA6465"/>
    <w:rsid w:val="00BA758C"/>
    <w:rsid w:val="00BB0BE9"/>
    <w:rsid w:val="00BB19BC"/>
    <w:rsid w:val="00BB4D28"/>
    <w:rsid w:val="00BB59D3"/>
    <w:rsid w:val="00BB769E"/>
    <w:rsid w:val="00BB7862"/>
    <w:rsid w:val="00BC106D"/>
    <w:rsid w:val="00BC31C9"/>
    <w:rsid w:val="00BC4274"/>
    <w:rsid w:val="00BC4FAB"/>
    <w:rsid w:val="00BC50FC"/>
    <w:rsid w:val="00BD06C0"/>
    <w:rsid w:val="00BD1C10"/>
    <w:rsid w:val="00BD40C4"/>
    <w:rsid w:val="00BD4A7B"/>
    <w:rsid w:val="00BD4BB1"/>
    <w:rsid w:val="00BD4C5F"/>
    <w:rsid w:val="00BD7962"/>
    <w:rsid w:val="00BE06A9"/>
    <w:rsid w:val="00BE3AC5"/>
    <w:rsid w:val="00BE6970"/>
    <w:rsid w:val="00BE6ADC"/>
    <w:rsid w:val="00BE6BFB"/>
    <w:rsid w:val="00BE7712"/>
    <w:rsid w:val="00BE7745"/>
    <w:rsid w:val="00BF2887"/>
    <w:rsid w:val="00BF2A19"/>
    <w:rsid w:val="00BF7DCF"/>
    <w:rsid w:val="00C00BB7"/>
    <w:rsid w:val="00C01EFA"/>
    <w:rsid w:val="00C02651"/>
    <w:rsid w:val="00C027AE"/>
    <w:rsid w:val="00C043A5"/>
    <w:rsid w:val="00C05D14"/>
    <w:rsid w:val="00C0787A"/>
    <w:rsid w:val="00C1124F"/>
    <w:rsid w:val="00C12681"/>
    <w:rsid w:val="00C126CF"/>
    <w:rsid w:val="00C1459F"/>
    <w:rsid w:val="00C2147C"/>
    <w:rsid w:val="00C21D46"/>
    <w:rsid w:val="00C23464"/>
    <w:rsid w:val="00C23B8C"/>
    <w:rsid w:val="00C25A79"/>
    <w:rsid w:val="00C31DFD"/>
    <w:rsid w:val="00C347BA"/>
    <w:rsid w:val="00C35ABC"/>
    <w:rsid w:val="00C37718"/>
    <w:rsid w:val="00C40A67"/>
    <w:rsid w:val="00C41667"/>
    <w:rsid w:val="00C43FD2"/>
    <w:rsid w:val="00C455C7"/>
    <w:rsid w:val="00C45847"/>
    <w:rsid w:val="00C477FC"/>
    <w:rsid w:val="00C50E3C"/>
    <w:rsid w:val="00C51658"/>
    <w:rsid w:val="00C526C4"/>
    <w:rsid w:val="00C53B8B"/>
    <w:rsid w:val="00C54756"/>
    <w:rsid w:val="00C60F05"/>
    <w:rsid w:val="00C62F81"/>
    <w:rsid w:val="00C62FD2"/>
    <w:rsid w:val="00C63BC3"/>
    <w:rsid w:val="00C678B8"/>
    <w:rsid w:val="00C7039A"/>
    <w:rsid w:val="00C70C9D"/>
    <w:rsid w:val="00C722E8"/>
    <w:rsid w:val="00C73718"/>
    <w:rsid w:val="00C73823"/>
    <w:rsid w:val="00C758BD"/>
    <w:rsid w:val="00C76055"/>
    <w:rsid w:val="00C76E04"/>
    <w:rsid w:val="00C81FF3"/>
    <w:rsid w:val="00C82771"/>
    <w:rsid w:val="00C86053"/>
    <w:rsid w:val="00C8611C"/>
    <w:rsid w:val="00C86773"/>
    <w:rsid w:val="00C87189"/>
    <w:rsid w:val="00C90B08"/>
    <w:rsid w:val="00C90DB6"/>
    <w:rsid w:val="00C91953"/>
    <w:rsid w:val="00C9204C"/>
    <w:rsid w:val="00C9572D"/>
    <w:rsid w:val="00C95C21"/>
    <w:rsid w:val="00C95D05"/>
    <w:rsid w:val="00C964F6"/>
    <w:rsid w:val="00C9736B"/>
    <w:rsid w:val="00CA15C7"/>
    <w:rsid w:val="00CA1879"/>
    <w:rsid w:val="00CA4710"/>
    <w:rsid w:val="00CA78BE"/>
    <w:rsid w:val="00CB410B"/>
    <w:rsid w:val="00CB5F61"/>
    <w:rsid w:val="00CB69A6"/>
    <w:rsid w:val="00CB6CB0"/>
    <w:rsid w:val="00CB6D8D"/>
    <w:rsid w:val="00CC009B"/>
    <w:rsid w:val="00CC089F"/>
    <w:rsid w:val="00CC41C9"/>
    <w:rsid w:val="00CC4955"/>
    <w:rsid w:val="00CC6414"/>
    <w:rsid w:val="00CC6FE5"/>
    <w:rsid w:val="00CD128D"/>
    <w:rsid w:val="00CD1D4A"/>
    <w:rsid w:val="00CD3F6C"/>
    <w:rsid w:val="00CE3E95"/>
    <w:rsid w:val="00CF1C8F"/>
    <w:rsid w:val="00CF1F78"/>
    <w:rsid w:val="00CF2DCB"/>
    <w:rsid w:val="00CF34D6"/>
    <w:rsid w:val="00CF7ABB"/>
    <w:rsid w:val="00D00E59"/>
    <w:rsid w:val="00D00EFD"/>
    <w:rsid w:val="00D03205"/>
    <w:rsid w:val="00D0547F"/>
    <w:rsid w:val="00D05D8F"/>
    <w:rsid w:val="00D105D1"/>
    <w:rsid w:val="00D106EF"/>
    <w:rsid w:val="00D11210"/>
    <w:rsid w:val="00D11D08"/>
    <w:rsid w:val="00D12444"/>
    <w:rsid w:val="00D12CA8"/>
    <w:rsid w:val="00D12D77"/>
    <w:rsid w:val="00D13112"/>
    <w:rsid w:val="00D1537A"/>
    <w:rsid w:val="00D160B5"/>
    <w:rsid w:val="00D16867"/>
    <w:rsid w:val="00D17AB1"/>
    <w:rsid w:val="00D17CBE"/>
    <w:rsid w:val="00D214E5"/>
    <w:rsid w:val="00D225B7"/>
    <w:rsid w:val="00D27853"/>
    <w:rsid w:val="00D27A34"/>
    <w:rsid w:val="00D30450"/>
    <w:rsid w:val="00D31830"/>
    <w:rsid w:val="00D328E9"/>
    <w:rsid w:val="00D34EEE"/>
    <w:rsid w:val="00D42F07"/>
    <w:rsid w:val="00D433FA"/>
    <w:rsid w:val="00D436FA"/>
    <w:rsid w:val="00D4383E"/>
    <w:rsid w:val="00D43863"/>
    <w:rsid w:val="00D46696"/>
    <w:rsid w:val="00D47683"/>
    <w:rsid w:val="00D47D39"/>
    <w:rsid w:val="00D50A0E"/>
    <w:rsid w:val="00D5417F"/>
    <w:rsid w:val="00D55CC7"/>
    <w:rsid w:val="00D6017A"/>
    <w:rsid w:val="00D61A02"/>
    <w:rsid w:val="00D65028"/>
    <w:rsid w:val="00D65566"/>
    <w:rsid w:val="00D672D2"/>
    <w:rsid w:val="00D6796A"/>
    <w:rsid w:val="00D67A42"/>
    <w:rsid w:val="00D730CF"/>
    <w:rsid w:val="00D7497E"/>
    <w:rsid w:val="00D76D98"/>
    <w:rsid w:val="00D77C16"/>
    <w:rsid w:val="00D807C2"/>
    <w:rsid w:val="00D81593"/>
    <w:rsid w:val="00D81844"/>
    <w:rsid w:val="00D86E54"/>
    <w:rsid w:val="00D90882"/>
    <w:rsid w:val="00D92FEF"/>
    <w:rsid w:val="00D9556C"/>
    <w:rsid w:val="00DA0B11"/>
    <w:rsid w:val="00DA2CB9"/>
    <w:rsid w:val="00DA3315"/>
    <w:rsid w:val="00DA3644"/>
    <w:rsid w:val="00DA40F8"/>
    <w:rsid w:val="00DA6336"/>
    <w:rsid w:val="00DB38B4"/>
    <w:rsid w:val="00DB7EDC"/>
    <w:rsid w:val="00DC1910"/>
    <w:rsid w:val="00DC2692"/>
    <w:rsid w:val="00DC2B00"/>
    <w:rsid w:val="00DC36A0"/>
    <w:rsid w:val="00DC7B0D"/>
    <w:rsid w:val="00DC7CFC"/>
    <w:rsid w:val="00DC7E25"/>
    <w:rsid w:val="00DD4EF5"/>
    <w:rsid w:val="00DD73DB"/>
    <w:rsid w:val="00DD7ABF"/>
    <w:rsid w:val="00DE01A7"/>
    <w:rsid w:val="00DE3984"/>
    <w:rsid w:val="00DE4040"/>
    <w:rsid w:val="00DE7F62"/>
    <w:rsid w:val="00DF3378"/>
    <w:rsid w:val="00DF4D77"/>
    <w:rsid w:val="00DF4F48"/>
    <w:rsid w:val="00DF6293"/>
    <w:rsid w:val="00E003F0"/>
    <w:rsid w:val="00E00864"/>
    <w:rsid w:val="00E01AAD"/>
    <w:rsid w:val="00E02BDD"/>
    <w:rsid w:val="00E04529"/>
    <w:rsid w:val="00E0535C"/>
    <w:rsid w:val="00E1230A"/>
    <w:rsid w:val="00E13CD6"/>
    <w:rsid w:val="00E14CB8"/>
    <w:rsid w:val="00E16E02"/>
    <w:rsid w:val="00E20510"/>
    <w:rsid w:val="00E228F1"/>
    <w:rsid w:val="00E2437D"/>
    <w:rsid w:val="00E26B91"/>
    <w:rsid w:val="00E27A8F"/>
    <w:rsid w:val="00E32693"/>
    <w:rsid w:val="00E35C73"/>
    <w:rsid w:val="00E37166"/>
    <w:rsid w:val="00E40E46"/>
    <w:rsid w:val="00E41077"/>
    <w:rsid w:val="00E4310B"/>
    <w:rsid w:val="00E4351F"/>
    <w:rsid w:val="00E46221"/>
    <w:rsid w:val="00E50C2B"/>
    <w:rsid w:val="00E523F4"/>
    <w:rsid w:val="00E54D0E"/>
    <w:rsid w:val="00E558EE"/>
    <w:rsid w:val="00E57641"/>
    <w:rsid w:val="00E60C18"/>
    <w:rsid w:val="00E64809"/>
    <w:rsid w:val="00E64E37"/>
    <w:rsid w:val="00E65870"/>
    <w:rsid w:val="00E670FE"/>
    <w:rsid w:val="00E71C6D"/>
    <w:rsid w:val="00E73E95"/>
    <w:rsid w:val="00E747CC"/>
    <w:rsid w:val="00E75960"/>
    <w:rsid w:val="00E80CCF"/>
    <w:rsid w:val="00E81C52"/>
    <w:rsid w:val="00E82DF1"/>
    <w:rsid w:val="00E85C19"/>
    <w:rsid w:val="00E90AC1"/>
    <w:rsid w:val="00E938C4"/>
    <w:rsid w:val="00E951DE"/>
    <w:rsid w:val="00E95A53"/>
    <w:rsid w:val="00EA2057"/>
    <w:rsid w:val="00EA355D"/>
    <w:rsid w:val="00EA3D04"/>
    <w:rsid w:val="00EA691A"/>
    <w:rsid w:val="00EA6FA7"/>
    <w:rsid w:val="00EB1846"/>
    <w:rsid w:val="00EB6CEC"/>
    <w:rsid w:val="00EC101C"/>
    <w:rsid w:val="00EC4A44"/>
    <w:rsid w:val="00ED1119"/>
    <w:rsid w:val="00ED1E92"/>
    <w:rsid w:val="00ED5971"/>
    <w:rsid w:val="00ED6D49"/>
    <w:rsid w:val="00ED72A7"/>
    <w:rsid w:val="00EE1C11"/>
    <w:rsid w:val="00EE3797"/>
    <w:rsid w:val="00EE386C"/>
    <w:rsid w:val="00EE675A"/>
    <w:rsid w:val="00EE7198"/>
    <w:rsid w:val="00EE7253"/>
    <w:rsid w:val="00EE7C1D"/>
    <w:rsid w:val="00EE7FA4"/>
    <w:rsid w:val="00EF0ADD"/>
    <w:rsid w:val="00EF21FF"/>
    <w:rsid w:val="00EF2F62"/>
    <w:rsid w:val="00EF678F"/>
    <w:rsid w:val="00EF752A"/>
    <w:rsid w:val="00F02945"/>
    <w:rsid w:val="00F04032"/>
    <w:rsid w:val="00F05EFD"/>
    <w:rsid w:val="00F05F02"/>
    <w:rsid w:val="00F06812"/>
    <w:rsid w:val="00F074DD"/>
    <w:rsid w:val="00F142A6"/>
    <w:rsid w:val="00F15077"/>
    <w:rsid w:val="00F154E6"/>
    <w:rsid w:val="00F16012"/>
    <w:rsid w:val="00F2120C"/>
    <w:rsid w:val="00F2284E"/>
    <w:rsid w:val="00F22BE1"/>
    <w:rsid w:val="00F27A9D"/>
    <w:rsid w:val="00F319E3"/>
    <w:rsid w:val="00F363EA"/>
    <w:rsid w:val="00F376C6"/>
    <w:rsid w:val="00F37E3A"/>
    <w:rsid w:val="00F436A4"/>
    <w:rsid w:val="00F45EEE"/>
    <w:rsid w:val="00F47DA7"/>
    <w:rsid w:val="00F47E28"/>
    <w:rsid w:val="00F50AC6"/>
    <w:rsid w:val="00F51EFA"/>
    <w:rsid w:val="00F5230A"/>
    <w:rsid w:val="00F53527"/>
    <w:rsid w:val="00F57E83"/>
    <w:rsid w:val="00F62928"/>
    <w:rsid w:val="00F630EC"/>
    <w:rsid w:val="00F67737"/>
    <w:rsid w:val="00F70EBC"/>
    <w:rsid w:val="00F7419D"/>
    <w:rsid w:val="00F74387"/>
    <w:rsid w:val="00F74CD5"/>
    <w:rsid w:val="00F75056"/>
    <w:rsid w:val="00F7555B"/>
    <w:rsid w:val="00F77599"/>
    <w:rsid w:val="00F77C9E"/>
    <w:rsid w:val="00F77DBA"/>
    <w:rsid w:val="00F81033"/>
    <w:rsid w:val="00F83D43"/>
    <w:rsid w:val="00F8402B"/>
    <w:rsid w:val="00F863B8"/>
    <w:rsid w:val="00F93651"/>
    <w:rsid w:val="00FA01EE"/>
    <w:rsid w:val="00FA3646"/>
    <w:rsid w:val="00FA37F2"/>
    <w:rsid w:val="00FA45D5"/>
    <w:rsid w:val="00FA691D"/>
    <w:rsid w:val="00FA780F"/>
    <w:rsid w:val="00FB698B"/>
    <w:rsid w:val="00FC2768"/>
    <w:rsid w:val="00FC2F46"/>
    <w:rsid w:val="00FC63F0"/>
    <w:rsid w:val="00FC73FA"/>
    <w:rsid w:val="00FD207B"/>
    <w:rsid w:val="00FD22B6"/>
    <w:rsid w:val="00FD31DD"/>
    <w:rsid w:val="00FD426D"/>
    <w:rsid w:val="00FD51FA"/>
    <w:rsid w:val="00FD750C"/>
    <w:rsid w:val="00FE0D40"/>
    <w:rsid w:val="00FE1093"/>
    <w:rsid w:val="00FE394C"/>
    <w:rsid w:val="00FF38F2"/>
    <w:rsid w:val="00FF457D"/>
    <w:rsid w:val="00FF6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DC"/>
  </w:style>
  <w:style w:type="paragraph" w:styleId="Heading1">
    <w:name w:val="heading 1"/>
    <w:basedOn w:val="Normal"/>
    <w:next w:val="Normal"/>
    <w:link w:val="Heading1Char"/>
    <w:uiPriority w:val="9"/>
    <w:qFormat/>
    <w:rsid w:val="00C2147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147C"/>
  </w:style>
  <w:style w:type="character" w:customStyle="1" w:styleId="Heading1Char">
    <w:name w:val="Heading 1 Char"/>
    <w:basedOn w:val="DefaultParagraphFont"/>
    <w:link w:val="Heading1"/>
    <w:uiPriority w:val="9"/>
    <w:rsid w:val="00C2147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BD1C10"/>
    <w:pPr>
      <w:tabs>
        <w:tab w:val="center" w:pos="4320"/>
        <w:tab w:val="right" w:pos="8640"/>
      </w:tabs>
    </w:pPr>
  </w:style>
  <w:style w:type="character" w:customStyle="1" w:styleId="FooterChar">
    <w:name w:val="Footer Char"/>
    <w:basedOn w:val="DefaultParagraphFont"/>
    <w:link w:val="Footer"/>
    <w:uiPriority w:val="99"/>
    <w:rsid w:val="00BD1C10"/>
  </w:style>
  <w:style w:type="character" w:styleId="PageNumber">
    <w:name w:val="page number"/>
    <w:basedOn w:val="DefaultParagraphFont"/>
    <w:uiPriority w:val="99"/>
    <w:semiHidden/>
    <w:unhideWhenUsed/>
    <w:rsid w:val="00BD1C10"/>
  </w:style>
  <w:style w:type="paragraph" w:styleId="ListParagraph">
    <w:name w:val="List Paragraph"/>
    <w:basedOn w:val="Normal"/>
    <w:uiPriority w:val="34"/>
    <w:qFormat/>
    <w:rsid w:val="00FD31DD"/>
    <w:pPr>
      <w:ind w:left="720"/>
      <w:contextualSpacing/>
    </w:pPr>
  </w:style>
  <w:style w:type="character" w:styleId="FootnoteReference">
    <w:name w:val="footnote reference"/>
    <w:rsid w:val="009C0B5E"/>
    <w:rPr>
      <w:vertAlign w:val="superscript"/>
    </w:rPr>
  </w:style>
  <w:style w:type="paragraph" w:styleId="FootnoteText">
    <w:name w:val="footnote text"/>
    <w:basedOn w:val="Normal"/>
    <w:link w:val="FootnoteTextChar"/>
    <w:rsid w:val="009C0B5E"/>
    <w:pPr>
      <w:spacing w:after="240"/>
      <w:ind w:firstLine="720"/>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rsid w:val="009C0B5E"/>
    <w:rPr>
      <w:rFonts w:ascii="Times New Roman" w:eastAsia="Times New Roman" w:hAnsi="Times New Roman" w:cs="Times New Roman"/>
      <w:szCs w:val="20"/>
    </w:rPr>
  </w:style>
  <w:style w:type="character" w:styleId="Hyperlink">
    <w:name w:val="Hyperlink"/>
    <w:uiPriority w:val="99"/>
    <w:unhideWhenUsed/>
    <w:rsid w:val="009C0B5E"/>
    <w:rPr>
      <w:color w:val="0000FF"/>
      <w:u w:val="single"/>
    </w:rPr>
  </w:style>
  <w:style w:type="paragraph" w:styleId="BodyText">
    <w:name w:val="Body Text"/>
    <w:basedOn w:val="Normal"/>
    <w:link w:val="BodyTextChar"/>
    <w:rsid w:val="009C0B5E"/>
    <w:pPr>
      <w:spacing w:after="120"/>
    </w:pPr>
    <w:rPr>
      <w:rFonts w:ascii="Arial" w:eastAsia="Times New Roman" w:hAnsi="Arial" w:cs="Times New Roman"/>
    </w:rPr>
  </w:style>
  <w:style w:type="character" w:customStyle="1" w:styleId="BodyTextChar">
    <w:name w:val="Body Text Char"/>
    <w:basedOn w:val="DefaultParagraphFont"/>
    <w:link w:val="BodyText"/>
    <w:rsid w:val="009C0B5E"/>
    <w:rPr>
      <w:rFonts w:ascii="Arial" w:eastAsia="Times New Roman" w:hAnsi="Arial" w:cs="Times New Roman"/>
    </w:rPr>
  </w:style>
  <w:style w:type="table" w:styleId="TableGrid">
    <w:name w:val="Table Grid"/>
    <w:basedOn w:val="TableNormal"/>
    <w:uiPriority w:val="59"/>
    <w:rsid w:val="00A4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5BA1"/>
    <w:pPr>
      <w:tabs>
        <w:tab w:val="center" w:pos="4320"/>
        <w:tab w:val="right" w:pos="8640"/>
      </w:tabs>
    </w:pPr>
  </w:style>
  <w:style w:type="character" w:customStyle="1" w:styleId="HeaderChar">
    <w:name w:val="Header Char"/>
    <w:basedOn w:val="DefaultParagraphFont"/>
    <w:link w:val="Header"/>
    <w:uiPriority w:val="99"/>
    <w:rsid w:val="005D5BA1"/>
  </w:style>
  <w:style w:type="paragraph" w:styleId="NormalWeb">
    <w:name w:val="Normal (Web)"/>
    <w:basedOn w:val="Normal"/>
    <w:uiPriority w:val="99"/>
    <w:semiHidden/>
    <w:unhideWhenUsed/>
    <w:rsid w:val="0026063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31DFD"/>
    <w:rPr>
      <w:sz w:val="16"/>
      <w:szCs w:val="16"/>
    </w:rPr>
  </w:style>
  <w:style w:type="paragraph" w:styleId="CommentText">
    <w:name w:val="annotation text"/>
    <w:basedOn w:val="Normal"/>
    <w:link w:val="CommentTextChar"/>
    <w:uiPriority w:val="99"/>
    <w:unhideWhenUsed/>
    <w:rsid w:val="00C31DFD"/>
    <w:pPr>
      <w:spacing w:after="200"/>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rsid w:val="00C31DFD"/>
    <w:rPr>
      <w:rFonts w:ascii="Times New Roman" w:eastAsiaTheme="minorHAnsi" w:hAnsi="Times New Roman" w:cs="Times New Roman"/>
      <w:sz w:val="20"/>
      <w:szCs w:val="20"/>
    </w:rPr>
  </w:style>
  <w:style w:type="paragraph" w:styleId="BalloonText">
    <w:name w:val="Balloon Text"/>
    <w:basedOn w:val="Normal"/>
    <w:link w:val="BalloonTextChar"/>
    <w:uiPriority w:val="99"/>
    <w:semiHidden/>
    <w:unhideWhenUsed/>
    <w:rsid w:val="00C31DFD"/>
    <w:rPr>
      <w:rFonts w:ascii="Tahoma" w:hAnsi="Tahoma" w:cs="Tahoma"/>
      <w:sz w:val="16"/>
      <w:szCs w:val="16"/>
    </w:rPr>
  </w:style>
  <w:style w:type="character" w:customStyle="1" w:styleId="BalloonTextChar">
    <w:name w:val="Balloon Text Char"/>
    <w:basedOn w:val="DefaultParagraphFont"/>
    <w:link w:val="BalloonText"/>
    <w:uiPriority w:val="99"/>
    <w:semiHidden/>
    <w:rsid w:val="00C31DF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03CF"/>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803CF"/>
    <w:rPr>
      <w:b/>
      <w:bCs/>
    </w:rPr>
  </w:style>
</w:styles>
</file>

<file path=word/webSettings.xml><?xml version="1.0" encoding="utf-8"?>
<w:webSettings xmlns:r="http://schemas.openxmlformats.org/officeDocument/2006/relationships" xmlns:w="http://schemas.openxmlformats.org/wordprocessingml/2006/main">
  <w:divs>
    <w:div w:id="2710939">
      <w:bodyDiv w:val="1"/>
      <w:marLeft w:val="0"/>
      <w:marRight w:val="0"/>
      <w:marTop w:val="0"/>
      <w:marBottom w:val="0"/>
      <w:divBdr>
        <w:top w:val="none" w:sz="0" w:space="0" w:color="auto"/>
        <w:left w:val="none" w:sz="0" w:space="0" w:color="auto"/>
        <w:bottom w:val="none" w:sz="0" w:space="0" w:color="auto"/>
        <w:right w:val="none" w:sz="0" w:space="0" w:color="auto"/>
      </w:divBdr>
    </w:div>
    <w:div w:id="157624618">
      <w:bodyDiv w:val="1"/>
      <w:marLeft w:val="0"/>
      <w:marRight w:val="0"/>
      <w:marTop w:val="0"/>
      <w:marBottom w:val="0"/>
      <w:divBdr>
        <w:top w:val="none" w:sz="0" w:space="0" w:color="auto"/>
        <w:left w:val="none" w:sz="0" w:space="0" w:color="auto"/>
        <w:bottom w:val="none" w:sz="0" w:space="0" w:color="auto"/>
        <w:right w:val="none" w:sz="0" w:space="0" w:color="auto"/>
      </w:divBdr>
    </w:div>
    <w:div w:id="184905607">
      <w:bodyDiv w:val="1"/>
      <w:marLeft w:val="0"/>
      <w:marRight w:val="0"/>
      <w:marTop w:val="0"/>
      <w:marBottom w:val="0"/>
      <w:divBdr>
        <w:top w:val="none" w:sz="0" w:space="0" w:color="auto"/>
        <w:left w:val="none" w:sz="0" w:space="0" w:color="auto"/>
        <w:bottom w:val="none" w:sz="0" w:space="0" w:color="auto"/>
        <w:right w:val="none" w:sz="0" w:space="0" w:color="auto"/>
      </w:divBdr>
    </w:div>
    <w:div w:id="204417438">
      <w:bodyDiv w:val="1"/>
      <w:marLeft w:val="0"/>
      <w:marRight w:val="0"/>
      <w:marTop w:val="0"/>
      <w:marBottom w:val="0"/>
      <w:divBdr>
        <w:top w:val="none" w:sz="0" w:space="0" w:color="auto"/>
        <w:left w:val="none" w:sz="0" w:space="0" w:color="auto"/>
        <w:bottom w:val="none" w:sz="0" w:space="0" w:color="auto"/>
        <w:right w:val="none" w:sz="0" w:space="0" w:color="auto"/>
      </w:divBdr>
    </w:div>
    <w:div w:id="243221858">
      <w:bodyDiv w:val="1"/>
      <w:marLeft w:val="0"/>
      <w:marRight w:val="0"/>
      <w:marTop w:val="0"/>
      <w:marBottom w:val="0"/>
      <w:divBdr>
        <w:top w:val="none" w:sz="0" w:space="0" w:color="auto"/>
        <w:left w:val="none" w:sz="0" w:space="0" w:color="auto"/>
        <w:bottom w:val="none" w:sz="0" w:space="0" w:color="auto"/>
        <w:right w:val="none" w:sz="0" w:space="0" w:color="auto"/>
      </w:divBdr>
      <w:divsChild>
        <w:div w:id="1403025290">
          <w:marLeft w:val="0"/>
          <w:marRight w:val="0"/>
          <w:marTop w:val="0"/>
          <w:marBottom w:val="0"/>
          <w:divBdr>
            <w:top w:val="none" w:sz="0" w:space="0" w:color="auto"/>
            <w:left w:val="none" w:sz="0" w:space="0" w:color="auto"/>
            <w:bottom w:val="none" w:sz="0" w:space="0" w:color="auto"/>
            <w:right w:val="none" w:sz="0" w:space="0" w:color="auto"/>
          </w:divBdr>
        </w:div>
        <w:div w:id="427194867">
          <w:marLeft w:val="0"/>
          <w:marRight w:val="0"/>
          <w:marTop w:val="0"/>
          <w:marBottom w:val="0"/>
          <w:divBdr>
            <w:top w:val="none" w:sz="0" w:space="0" w:color="auto"/>
            <w:left w:val="none" w:sz="0" w:space="0" w:color="auto"/>
            <w:bottom w:val="none" w:sz="0" w:space="0" w:color="auto"/>
            <w:right w:val="none" w:sz="0" w:space="0" w:color="auto"/>
          </w:divBdr>
        </w:div>
      </w:divsChild>
    </w:div>
    <w:div w:id="289550694">
      <w:bodyDiv w:val="1"/>
      <w:marLeft w:val="0"/>
      <w:marRight w:val="0"/>
      <w:marTop w:val="0"/>
      <w:marBottom w:val="0"/>
      <w:divBdr>
        <w:top w:val="none" w:sz="0" w:space="0" w:color="auto"/>
        <w:left w:val="none" w:sz="0" w:space="0" w:color="auto"/>
        <w:bottom w:val="none" w:sz="0" w:space="0" w:color="auto"/>
        <w:right w:val="none" w:sz="0" w:space="0" w:color="auto"/>
      </w:divBdr>
      <w:divsChild>
        <w:div w:id="1087767879">
          <w:marLeft w:val="0"/>
          <w:marRight w:val="0"/>
          <w:marTop w:val="0"/>
          <w:marBottom w:val="0"/>
          <w:divBdr>
            <w:top w:val="none" w:sz="0" w:space="0" w:color="auto"/>
            <w:left w:val="none" w:sz="0" w:space="0" w:color="auto"/>
            <w:bottom w:val="none" w:sz="0" w:space="0" w:color="auto"/>
            <w:right w:val="none" w:sz="0" w:space="0" w:color="auto"/>
          </w:divBdr>
        </w:div>
        <w:div w:id="163663855">
          <w:marLeft w:val="0"/>
          <w:marRight w:val="0"/>
          <w:marTop w:val="0"/>
          <w:marBottom w:val="0"/>
          <w:divBdr>
            <w:top w:val="none" w:sz="0" w:space="0" w:color="auto"/>
            <w:left w:val="none" w:sz="0" w:space="0" w:color="auto"/>
            <w:bottom w:val="none" w:sz="0" w:space="0" w:color="auto"/>
            <w:right w:val="none" w:sz="0" w:space="0" w:color="auto"/>
          </w:divBdr>
        </w:div>
      </w:divsChild>
    </w:div>
    <w:div w:id="371618899">
      <w:bodyDiv w:val="1"/>
      <w:marLeft w:val="0"/>
      <w:marRight w:val="0"/>
      <w:marTop w:val="0"/>
      <w:marBottom w:val="0"/>
      <w:divBdr>
        <w:top w:val="none" w:sz="0" w:space="0" w:color="auto"/>
        <w:left w:val="none" w:sz="0" w:space="0" w:color="auto"/>
        <w:bottom w:val="none" w:sz="0" w:space="0" w:color="auto"/>
        <w:right w:val="none" w:sz="0" w:space="0" w:color="auto"/>
      </w:divBdr>
    </w:div>
    <w:div w:id="385304787">
      <w:bodyDiv w:val="1"/>
      <w:marLeft w:val="0"/>
      <w:marRight w:val="0"/>
      <w:marTop w:val="0"/>
      <w:marBottom w:val="0"/>
      <w:divBdr>
        <w:top w:val="none" w:sz="0" w:space="0" w:color="auto"/>
        <w:left w:val="none" w:sz="0" w:space="0" w:color="auto"/>
        <w:bottom w:val="none" w:sz="0" w:space="0" w:color="auto"/>
        <w:right w:val="none" w:sz="0" w:space="0" w:color="auto"/>
      </w:divBdr>
    </w:div>
    <w:div w:id="521672518">
      <w:bodyDiv w:val="1"/>
      <w:marLeft w:val="0"/>
      <w:marRight w:val="0"/>
      <w:marTop w:val="0"/>
      <w:marBottom w:val="0"/>
      <w:divBdr>
        <w:top w:val="none" w:sz="0" w:space="0" w:color="auto"/>
        <w:left w:val="none" w:sz="0" w:space="0" w:color="auto"/>
        <w:bottom w:val="none" w:sz="0" w:space="0" w:color="auto"/>
        <w:right w:val="none" w:sz="0" w:space="0" w:color="auto"/>
      </w:divBdr>
      <w:divsChild>
        <w:div w:id="1581325912">
          <w:marLeft w:val="0"/>
          <w:marRight w:val="0"/>
          <w:marTop w:val="0"/>
          <w:marBottom w:val="0"/>
          <w:divBdr>
            <w:top w:val="none" w:sz="0" w:space="0" w:color="auto"/>
            <w:left w:val="none" w:sz="0" w:space="0" w:color="auto"/>
            <w:bottom w:val="none" w:sz="0" w:space="0" w:color="auto"/>
            <w:right w:val="none" w:sz="0" w:space="0" w:color="auto"/>
          </w:divBdr>
          <w:divsChild>
            <w:div w:id="212544637">
              <w:marLeft w:val="0"/>
              <w:marRight w:val="0"/>
              <w:marTop w:val="0"/>
              <w:marBottom w:val="0"/>
              <w:divBdr>
                <w:top w:val="none" w:sz="0" w:space="0" w:color="auto"/>
                <w:left w:val="none" w:sz="0" w:space="0" w:color="auto"/>
                <w:bottom w:val="none" w:sz="0" w:space="0" w:color="auto"/>
                <w:right w:val="none" w:sz="0" w:space="0" w:color="auto"/>
              </w:divBdr>
              <w:divsChild>
                <w:div w:id="10180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85562">
      <w:bodyDiv w:val="1"/>
      <w:marLeft w:val="0"/>
      <w:marRight w:val="0"/>
      <w:marTop w:val="0"/>
      <w:marBottom w:val="0"/>
      <w:divBdr>
        <w:top w:val="none" w:sz="0" w:space="0" w:color="auto"/>
        <w:left w:val="none" w:sz="0" w:space="0" w:color="auto"/>
        <w:bottom w:val="none" w:sz="0" w:space="0" w:color="auto"/>
        <w:right w:val="none" w:sz="0" w:space="0" w:color="auto"/>
      </w:divBdr>
    </w:div>
    <w:div w:id="642005647">
      <w:bodyDiv w:val="1"/>
      <w:marLeft w:val="0"/>
      <w:marRight w:val="0"/>
      <w:marTop w:val="0"/>
      <w:marBottom w:val="0"/>
      <w:divBdr>
        <w:top w:val="none" w:sz="0" w:space="0" w:color="auto"/>
        <w:left w:val="none" w:sz="0" w:space="0" w:color="auto"/>
        <w:bottom w:val="none" w:sz="0" w:space="0" w:color="auto"/>
        <w:right w:val="none" w:sz="0" w:space="0" w:color="auto"/>
      </w:divBdr>
    </w:div>
    <w:div w:id="727462162">
      <w:bodyDiv w:val="1"/>
      <w:marLeft w:val="0"/>
      <w:marRight w:val="0"/>
      <w:marTop w:val="0"/>
      <w:marBottom w:val="0"/>
      <w:divBdr>
        <w:top w:val="none" w:sz="0" w:space="0" w:color="auto"/>
        <w:left w:val="none" w:sz="0" w:space="0" w:color="auto"/>
        <w:bottom w:val="none" w:sz="0" w:space="0" w:color="auto"/>
        <w:right w:val="none" w:sz="0" w:space="0" w:color="auto"/>
      </w:divBdr>
    </w:div>
    <w:div w:id="796751796">
      <w:bodyDiv w:val="1"/>
      <w:marLeft w:val="0"/>
      <w:marRight w:val="0"/>
      <w:marTop w:val="0"/>
      <w:marBottom w:val="0"/>
      <w:divBdr>
        <w:top w:val="none" w:sz="0" w:space="0" w:color="auto"/>
        <w:left w:val="none" w:sz="0" w:space="0" w:color="auto"/>
        <w:bottom w:val="none" w:sz="0" w:space="0" w:color="auto"/>
        <w:right w:val="none" w:sz="0" w:space="0" w:color="auto"/>
      </w:divBdr>
      <w:divsChild>
        <w:div w:id="688335399">
          <w:marLeft w:val="0"/>
          <w:marRight w:val="0"/>
          <w:marTop w:val="0"/>
          <w:marBottom w:val="0"/>
          <w:divBdr>
            <w:top w:val="none" w:sz="0" w:space="0" w:color="auto"/>
            <w:left w:val="none" w:sz="0" w:space="0" w:color="auto"/>
            <w:bottom w:val="none" w:sz="0" w:space="0" w:color="auto"/>
            <w:right w:val="none" w:sz="0" w:space="0" w:color="auto"/>
          </w:divBdr>
          <w:divsChild>
            <w:div w:id="955256260">
              <w:marLeft w:val="0"/>
              <w:marRight w:val="0"/>
              <w:marTop w:val="0"/>
              <w:marBottom w:val="0"/>
              <w:divBdr>
                <w:top w:val="none" w:sz="0" w:space="0" w:color="auto"/>
                <w:left w:val="none" w:sz="0" w:space="0" w:color="auto"/>
                <w:bottom w:val="none" w:sz="0" w:space="0" w:color="auto"/>
                <w:right w:val="none" w:sz="0" w:space="0" w:color="auto"/>
              </w:divBdr>
            </w:div>
          </w:divsChild>
        </w:div>
        <w:div w:id="1070881753">
          <w:marLeft w:val="0"/>
          <w:marRight w:val="0"/>
          <w:marTop w:val="60"/>
          <w:marBottom w:val="0"/>
          <w:divBdr>
            <w:top w:val="none" w:sz="0" w:space="0" w:color="auto"/>
            <w:left w:val="none" w:sz="0" w:space="0" w:color="auto"/>
            <w:bottom w:val="none" w:sz="0" w:space="0" w:color="auto"/>
            <w:right w:val="none" w:sz="0" w:space="0" w:color="auto"/>
          </w:divBdr>
          <w:divsChild>
            <w:div w:id="692537108">
              <w:marLeft w:val="0"/>
              <w:marRight w:val="0"/>
              <w:marTop w:val="0"/>
              <w:marBottom w:val="0"/>
              <w:divBdr>
                <w:top w:val="none" w:sz="0" w:space="0" w:color="auto"/>
                <w:left w:val="none" w:sz="0" w:space="0" w:color="auto"/>
                <w:bottom w:val="none" w:sz="0" w:space="0" w:color="auto"/>
                <w:right w:val="none" w:sz="0" w:space="0" w:color="auto"/>
              </w:divBdr>
            </w:div>
            <w:div w:id="16324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6535">
      <w:bodyDiv w:val="1"/>
      <w:marLeft w:val="0"/>
      <w:marRight w:val="0"/>
      <w:marTop w:val="0"/>
      <w:marBottom w:val="0"/>
      <w:divBdr>
        <w:top w:val="none" w:sz="0" w:space="0" w:color="auto"/>
        <w:left w:val="none" w:sz="0" w:space="0" w:color="auto"/>
        <w:bottom w:val="none" w:sz="0" w:space="0" w:color="auto"/>
        <w:right w:val="none" w:sz="0" w:space="0" w:color="auto"/>
      </w:divBdr>
      <w:divsChild>
        <w:div w:id="707216828">
          <w:marLeft w:val="0"/>
          <w:marRight w:val="0"/>
          <w:marTop w:val="0"/>
          <w:marBottom w:val="0"/>
          <w:divBdr>
            <w:top w:val="none" w:sz="0" w:space="0" w:color="auto"/>
            <w:left w:val="none" w:sz="0" w:space="0" w:color="auto"/>
            <w:bottom w:val="none" w:sz="0" w:space="0" w:color="auto"/>
            <w:right w:val="none" w:sz="0" w:space="0" w:color="auto"/>
          </w:divBdr>
          <w:divsChild>
            <w:div w:id="1484349161">
              <w:marLeft w:val="0"/>
              <w:marRight w:val="0"/>
              <w:marTop w:val="0"/>
              <w:marBottom w:val="0"/>
              <w:divBdr>
                <w:top w:val="none" w:sz="0" w:space="0" w:color="auto"/>
                <w:left w:val="none" w:sz="0" w:space="0" w:color="auto"/>
                <w:bottom w:val="none" w:sz="0" w:space="0" w:color="auto"/>
                <w:right w:val="none" w:sz="0" w:space="0" w:color="auto"/>
              </w:divBdr>
            </w:div>
          </w:divsChild>
        </w:div>
        <w:div w:id="541484531">
          <w:marLeft w:val="0"/>
          <w:marRight w:val="0"/>
          <w:marTop w:val="60"/>
          <w:marBottom w:val="0"/>
          <w:divBdr>
            <w:top w:val="none" w:sz="0" w:space="0" w:color="auto"/>
            <w:left w:val="none" w:sz="0" w:space="0" w:color="auto"/>
            <w:bottom w:val="none" w:sz="0" w:space="0" w:color="auto"/>
            <w:right w:val="none" w:sz="0" w:space="0" w:color="auto"/>
          </w:divBdr>
          <w:divsChild>
            <w:div w:id="1329670390">
              <w:marLeft w:val="0"/>
              <w:marRight w:val="0"/>
              <w:marTop w:val="0"/>
              <w:marBottom w:val="0"/>
              <w:divBdr>
                <w:top w:val="none" w:sz="0" w:space="0" w:color="auto"/>
                <w:left w:val="none" w:sz="0" w:space="0" w:color="auto"/>
                <w:bottom w:val="none" w:sz="0" w:space="0" w:color="auto"/>
                <w:right w:val="none" w:sz="0" w:space="0" w:color="auto"/>
              </w:divBdr>
            </w:div>
            <w:div w:id="1916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3893">
      <w:bodyDiv w:val="1"/>
      <w:marLeft w:val="0"/>
      <w:marRight w:val="0"/>
      <w:marTop w:val="0"/>
      <w:marBottom w:val="0"/>
      <w:divBdr>
        <w:top w:val="none" w:sz="0" w:space="0" w:color="auto"/>
        <w:left w:val="none" w:sz="0" w:space="0" w:color="auto"/>
        <w:bottom w:val="none" w:sz="0" w:space="0" w:color="auto"/>
        <w:right w:val="none" w:sz="0" w:space="0" w:color="auto"/>
      </w:divBdr>
      <w:divsChild>
        <w:div w:id="1449162723">
          <w:marLeft w:val="0"/>
          <w:marRight w:val="0"/>
          <w:marTop w:val="0"/>
          <w:marBottom w:val="0"/>
          <w:divBdr>
            <w:top w:val="none" w:sz="0" w:space="0" w:color="auto"/>
            <w:left w:val="none" w:sz="0" w:space="0" w:color="auto"/>
            <w:bottom w:val="none" w:sz="0" w:space="0" w:color="auto"/>
            <w:right w:val="none" w:sz="0" w:space="0" w:color="auto"/>
          </w:divBdr>
          <w:divsChild>
            <w:div w:id="317222682">
              <w:marLeft w:val="0"/>
              <w:marRight w:val="0"/>
              <w:marTop w:val="0"/>
              <w:marBottom w:val="0"/>
              <w:divBdr>
                <w:top w:val="none" w:sz="0" w:space="0" w:color="auto"/>
                <w:left w:val="none" w:sz="0" w:space="0" w:color="auto"/>
                <w:bottom w:val="none" w:sz="0" w:space="0" w:color="auto"/>
                <w:right w:val="none" w:sz="0" w:space="0" w:color="auto"/>
              </w:divBdr>
            </w:div>
          </w:divsChild>
        </w:div>
        <w:div w:id="981077696">
          <w:marLeft w:val="0"/>
          <w:marRight w:val="0"/>
          <w:marTop w:val="60"/>
          <w:marBottom w:val="0"/>
          <w:divBdr>
            <w:top w:val="none" w:sz="0" w:space="0" w:color="auto"/>
            <w:left w:val="none" w:sz="0" w:space="0" w:color="auto"/>
            <w:bottom w:val="none" w:sz="0" w:space="0" w:color="auto"/>
            <w:right w:val="none" w:sz="0" w:space="0" w:color="auto"/>
          </w:divBdr>
          <w:divsChild>
            <w:div w:id="1748259612">
              <w:marLeft w:val="0"/>
              <w:marRight w:val="0"/>
              <w:marTop w:val="0"/>
              <w:marBottom w:val="0"/>
              <w:divBdr>
                <w:top w:val="none" w:sz="0" w:space="0" w:color="auto"/>
                <w:left w:val="none" w:sz="0" w:space="0" w:color="auto"/>
                <w:bottom w:val="none" w:sz="0" w:space="0" w:color="auto"/>
                <w:right w:val="none" w:sz="0" w:space="0" w:color="auto"/>
              </w:divBdr>
            </w:div>
            <w:div w:id="1743091398">
              <w:marLeft w:val="0"/>
              <w:marRight w:val="0"/>
              <w:marTop w:val="0"/>
              <w:marBottom w:val="0"/>
              <w:divBdr>
                <w:top w:val="none" w:sz="0" w:space="0" w:color="auto"/>
                <w:left w:val="none" w:sz="0" w:space="0" w:color="auto"/>
                <w:bottom w:val="none" w:sz="0" w:space="0" w:color="auto"/>
                <w:right w:val="none" w:sz="0" w:space="0" w:color="auto"/>
              </w:divBdr>
            </w:div>
          </w:divsChild>
        </w:div>
        <w:div w:id="1474328048">
          <w:marLeft w:val="0"/>
          <w:marRight w:val="0"/>
          <w:marTop w:val="60"/>
          <w:marBottom w:val="0"/>
          <w:divBdr>
            <w:top w:val="none" w:sz="0" w:space="0" w:color="auto"/>
            <w:left w:val="none" w:sz="0" w:space="0" w:color="auto"/>
            <w:bottom w:val="none" w:sz="0" w:space="0" w:color="auto"/>
            <w:right w:val="none" w:sz="0" w:space="0" w:color="auto"/>
          </w:divBdr>
        </w:div>
      </w:divsChild>
    </w:div>
    <w:div w:id="886918342">
      <w:bodyDiv w:val="1"/>
      <w:marLeft w:val="0"/>
      <w:marRight w:val="0"/>
      <w:marTop w:val="0"/>
      <w:marBottom w:val="0"/>
      <w:divBdr>
        <w:top w:val="none" w:sz="0" w:space="0" w:color="auto"/>
        <w:left w:val="none" w:sz="0" w:space="0" w:color="auto"/>
        <w:bottom w:val="none" w:sz="0" w:space="0" w:color="auto"/>
        <w:right w:val="none" w:sz="0" w:space="0" w:color="auto"/>
      </w:divBdr>
    </w:div>
    <w:div w:id="953974678">
      <w:bodyDiv w:val="1"/>
      <w:marLeft w:val="0"/>
      <w:marRight w:val="0"/>
      <w:marTop w:val="0"/>
      <w:marBottom w:val="0"/>
      <w:divBdr>
        <w:top w:val="none" w:sz="0" w:space="0" w:color="auto"/>
        <w:left w:val="none" w:sz="0" w:space="0" w:color="auto"/>
        <w:bottom w:val="none" w:sz="0" w:space="0" w:color="auto"/>
        <w:right w:val="none" w:sz="0" w:space="0" w:color="auto"/>
      </w:divBdr>
    </w:div>
    <w:div w:id="1090732675">
      <w:bodyDiv w:val="1"/>
      <w:marLeft w:val="0"/>
      <w:marRight w:val="0"/>
      <w:marTop w:val="0"/>
      <w:marBottom w:val="0"/>
      <w:divBdr>
        <w:top w:val="none" w:sz="0" w:space="0" w:color="auto"/>
        <w:left w:val="none" w:sz="0" w:space="0" w:color="auto"/>
        <w:bottom w:val="none" w:sz="0" w:space="0" w:color="auto"/>
        <w:right w:val="none" w:sz="0" w:space="0" w:color="auto"/>
      </w:divBdr>
    </w:div>
    <w:div w:id="1096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4103188">
          <w:marLeft w:val="0"/>
          <w:marRight w:val="0"/>
          <w:marTop w:val="0"/>
          <w:marBottom w:val="0"/>
          <w:divBdr>
            <w:top w:val="none" w:sz="0" w:space="0" w:color="auto"/>
            <w:left w:val="none" w:sz="0" w:space="0" w:color="auto"/>
            <w:bottom w:val="none" w:sz="0" w:space="0" w:color="auto"/>
            <w:right w:val="none" w:sz="0" w:space="0" w:color="auto"/>
          </w:divBdr>
          <w:divsChild>
            <w:div w:id="1376007094">
              <w:marLeft w:val="0"/>
              <w:marRight w:val="0"/>
              <w:marTop w:val="0"/>
              <w:marBottom w:val="0"/>
              <w:divBdr>
                <w:top w:val="none" w:sz="0" w:space="0" w:color="auto"/>
                <w:left w:val="none" w:sz="0" w:space="0" w:color="auto"/>
                <w:bottom w:val="none" w:sz="0" w:space="0" w:color="auto"/>
                <w:right w:val="none" w:sz="0" w:space="0" w:color="auto"/>
              </w:divBdr>
            </w:div>
          </w:divsChild>
        </w:div>
        <w:div w:id="740061490">
          <w:marLeft w:val="0"/>
          <w:marRight w:val="0"/>
          <w:marTop w:val="60"/>
          <w:marBottom w:val="0"/>
          <w:divBdr>
            <w:top w:val="none" w:sz="0" w:space="0" w:color="auto"/>
            <w:left w:val="none" w:sz="0" w:space="0" w:color="auto"/>
            <w:bottom w:val="none" w:sz="0" w:space="0" w:color="auto"/>
            <w:right w:val="none" w:sz="0" w:space="0" w:color="auto"/>
          </w:divBdr>
          <w:divsChild>
            <w:div w:id="412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5791">
      <w:bodyDiv w:val="1"/>
      <w:marLeft w:val="0"/>
      <w:marRight w:val="0"/>
      <w:marTop w:val="0"/>
      <w:marBottom w:val="0"/>
      <w:divBdr>
        <w:top w:val="none" w:sz="0" w:space="0" w:color="auto"/>
        <w:left w:val="none" w:sz="0" w:space="0" w:color="auto"/>
        <w:bottom w:val="none" w:sz="0" w:space="0" w:color="auto"/>
        <w:right w:val="none" w:sz="0" w:space="0" w:color="auto"/>
      </w:divBdr>
    </w:div>
    <w:div w:id="1357538712">
      <w:bodyDiv w:val="1"/>
      <w:marLeft w:val="0"/>
      <w:marRight w:val="0"/>
      <w:marTop w:val="0"/>
      <w:marBottom w:val="0"/>
      <w:divBdr>
        <w:top w:val="none" w:sz="0" w:space="0" w:color="auto"/>
        <w:left w:val="none" w:sz="0" w:space="0" w:color="auto"/>
        <w:bottom w:val="none" w:sz="0" w:space="0" w:color="auto"/>
        <w:right w:val="none" w:sz="0" w:space="0" w:color="auto"/>
      </w:divBdr>
    </w:div>
    <w:div w:id="1506286774">
      <w:bodyDiv w:val="1"/>
      <w:marLeft w:val="0"/>
      <w:marRight w:val="0"/>
      <w:marTop w:val="0"/>
      <w:marBottom w:val="0"/>
      <w:divBdr>
        <w:top w:val="none" w:sz="0" w:space="0" w:color="auto"/>
        <w:left w:val="none" w:sz="0" w:space="0" w:color="auto"/>
        <w:bottom w:val="none" w:sz="0" w:space="0" w:color="auto"/>
        <w:right w:val="none" w:sz="0" w:space="0" w:color="auto"/>
      </w:divBdr>
      <w:divsChild>
        <w:div w:id="914896333">
          <w:marLeft w:val="0"/>
          <w:marRight w:val="0"/>
          <w:marTop w:val="0"/>
          <w:marBottom w:val="0"/>
          <w:divBdr>
            <w:top w:val="none" w:sz="0" w:space="0" w:color="auto"/>
            <w:left w:val="none" w:sz="0" w:space="0" w:color="auto"/>
            <w:bottom w:val="none" w:sz="0" w:space="0" w:color="auto"/>
            <w:right w:val="none" w:sz="0" w:space="0" w:color="auto"/>
          </w:divBdr>
          <w:divsChild>
            <w:div w:id="1832912791">
              <w:marLeft w:val="0"/>
              <w:marRight w:val="0"/>
              <w:marTop w:val="0"/>
              <w:marBottom w:val="0"/>
              <w:divBdr>
                <w:top w:val="none" w:sz="0" w:space="0" w:color="auto"/>
                <w:left w:val="none" w:sz="0" w:space="0" w:color="auto"/>
                <w:bottom w:val="none" w:sz="0" w:space="0" w:color="auto"/>
                <w:right w:val="none" w:sz="0" w:space="0" w:color="auto"/>
              </w:divBdr>
            </w:div>
          </w:divsChild>
        </w:div>
        <w:div w:id="710568068">
          <w:marLeft w:val="0"/>
          <w:marRight w:val="0"/>
          <w:marTop w:val="60"/>
          <w:marBottom w:val="0"/>
          <w:divBdr>
            <w:top w:val="none" w:sz="0" w:space="0" w:color="auto"/>
            <w:left w:val="none" w:sz="0" w:space="0" w:color="auto"/>
            <w:bottom w:val="none" w:sz="0" w:space="0" w:color="auto"/>
            <w:right w:val="none" w:sz="0" w:space="0" w:color="auto"/>
          </w:divBdr>
          <w:divsChild>
            <w:div w:id="508444177">
              <w:marLeft w:val="0"/>
              <w:marRight w:val="0"/>
              <w:marTop w:val="0"/>
              <w:marBottom w:val="0"/>
              <w:divBdr>
                <w:top w:val="none" w:sz="0" w:space="0" w:color="auto"/>
                <w:left w:val="none" w:sz="0" w:space="0" w:color="auto"/>
                <w:bottom w:val="none" w:sz="0" w:space="0" w:color="auto"/>
                <w:right w:val="none" w:sz="0" w:space="0" w:color="auto"/>
              </w:divBdr>
            </w:div>
            <w:div w:id="1016231618">
              <w:marLeft w:val="0"/>
              <w:marRight w:val="0"/>
              <w:marTop w:val="0"/>
              <w:marBottom w:val="0"/>
              <w:divBdr>
                <w:top w:val="none" w:sz="0" w:space="0" w:color="auto"/>
                <w:left w:val="none" w:sz="0" w:space="0" w:color="auto"/>
                <w:bottom w:val="none" w:sz="0" w:space="0" w:color="auto"/>
                <w:right w:val="none" w:sz="0" w:space="0" w:color="auto"/>
              </w:divBdr>
            </w:div>
          </w:divsChild>
        </w:div>
        <w:div w:id="1881045940">
          <w:marLeft w:val="0"/>
          <w:marRight w:val="0"/>
          <w:marTop w:val="60"/>
          <w:marBottom w:val="0"/>
          <w:divBdr>
            <w:top w:val="none" w:sz="0" w:space="0" w:color="auto"/>
            <w:left w:val="none" w:sz="0" w:space="0" w:color="auto"/>
            <w:bottom w:val="none" w:sz="0" w:space="0" w:color="auto"/>
            <w:right w:val="none" w:sz="0" w:space="0" w:color="auto"/>
          </w:divBdr>
          <w:divsChild>
            <w:div w:id="6375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72099">
      <w:bodyDiv w:val="1"/>
      <w:marLeft w:val="0"/>
      <w:marRight w:val="0"/>
      <w:marTop w:val="0"/>
      <w:marBottom w:val="0"/>
      <w:divBdr>
        <w:top w:val="none" w:sz="0" w:space="0" w:color="auto"/>
        <w:left w:val="none" w:sz="0" w:space="0" w:color="auto"/>
        <w:bottom w:val="none" w:sz="0" w:space="0" w:color="auto"/>
        <w:right w:val="none" w:sz="0" w:space="0" w:color="auto"/>
      </w:divBdr>
    </w:div>
    <w:div w:id="1516067757">
      <w:bodyDiv w:val="1"/>
      <w:marLeft w:val="0"/>
      <w:marRight w:val="0"/>
      <w:marTop w:val="0"/>
      <w:marBottom w:val="0"/>
      <w:divBdr>
        <w:top w:val="none" w:sz="0" w:space="0" w:color="auto"/>
        <w:left w:val="none" w:sz="0" w:space="0" w:color="auto"/>
        <w:bottom w:val="none" w:sz="0" w:space="0" w:color="auto"/>
        <w:right w:val="none" w:sz="0" w:space="0" w:color="auto"/>
      </w:divBdr>
    </w:div>
    <w:div w:id="1566065139">
      <w:bodyDiv w:val="1"/>
      <w:marLeft w:val="0"/>
      <w:marRight w:val="0"/>
      <w:marTop w:val="0"/>
      <w:marBottom w:val="0"/>
      <w:divBdr>
        <w:top w:val="none" w:sz="0" w:space="0" w:color="auto"/>
        <w:left w:val="none" w:sz="0" w:space="0" w:color="auto"/>
        <w:bottom w:val="none" w:sz="0" w:space="0" w:color="auto"/>
        <w:right w:val="none" w:sz="0" w:space="0" w:color="auto"/>
      </w:divBdr>
    </w:div>
    <w:div w:id="1637948526">
      <w:bodyDiv w:val="1"/>
      <w:marLeft w:val="0"/>
      <w:marRight w:val="0"/>
      <w:marTop w:val="0"/>
      <w:marBottom w:val="0"/>
      <w:divBdr>
        <w:top w:val="none" w:sz="0" w:space="0" w:color="auto"/>
        <w:left w:val="none" w:sz="0" w:space="0" w:color="auto"/>
        <w:bottom w:val="none" w:sz="0" w:space="0" w:color="auto"/>
        <w:right w:val="none" w:sz="0" w:space="0" w:color="auto"/>
      </w:divBdr>
    </w:div>
    <w:div w:id="1672953899">
      <w:bodyDiv w:val="1"/>
      <w:marLeft w:val="0"/>
      <w:marRight w:val="0"/>
      <w:marTop w:val="0"/>
      <w:marBottom w:val="0"/>
      <w:divBdr>
        <w:top w:val="none" w:sz="0" w:space="0" w:color="auto"/>
        <w:left w:val="none" w:sz="0" w:space="0" w:color="auto"/>
        <w:bottom w:val="none" w:sz="0" w:space="0" w:color="auto"/>
        <w:right w:val="none" w:sz="0" w:space="0" w:color="auto"/>
      </w:divBdr>
    </w:div>
    <w:div w:id="1735622050">
      <w:bodyDiv w:val="1"/>
      <w:marLeft w:val="0"/>
      <w:marRight w:val="0"/>
      <w:marTop w:val="0"/>
      <w:marBottom w:val="0"/>
      <w:divBdr>
        <w:top w:val="none" w:sz="0" w:space="0" w:color="auto"/>
        <w:left w:val="none" w:sz="0" w:space="0" w:color="auto"/>
        <w:bottom w:val="none" w:sz="0" w:space="0" w:color="auto"/>
        <w:right w:val="none" w:sz="0" w:space="0" w:color="auto"/>
      </w:divBdr>
    </w:div>
    <w:div w:id="1956206731">
      <w:bodyDiv w:val="1"/>
      <w:marLeft w:val="0"/>
      <w:marRight w:val="0"/>
      <w:marTop w:val="0"/>
      <w:marBottom w:val="0"/>
      <w:divBdr>
        <w:top w:val="none" w:sz="0" w:space="0" w:color="auto"/>
        <w:left w:val="none" w:sz="0" w:space="0" w:color="auto"/>
        <w:bottom w:val="none" w:sz="0" w:space="0" w:color="auto"/>
        <w:right w:val="none" w:sz="0" w:space="0" w:color="auto"/>
      </w:divBdr>
      <w:divsChild>
        <w:div w:id="892085143">
          <w:marLeft w:val="0"/>
          <w:marRight w:val="0"/>
          <w:marTop w:val="0"/>
          <w:marBottom w:val="0"/>
          <w:divBdr>
            <w:top w:val="none" w:sz="0" w:space="0" w:color="auto"/>
            <w:left w:val="none" w:sz="0" w:space="0" w:color="auto"/>
            <w:bottom w:val="none" w:sz="0" w:space="0" w:color="auto"/>
            <w:right w:val="none" w:sz="0" w:space="0" w:color="auto"/>
          </w:divBdr>
          <w:divsChild>
            <w:div w:id="387994571">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2762">
      <w:bodyDiv w:val="1"/>
      <w:marLeft w:val="0"/>
      <w:marRight w:val="0"/>
      <w:marTop w:val="0"/>
      <w:marBottom w:val="0"/>
      <w:divBdr>
        <w:top w:val="none" w:sz="0" w:space="0" w:color="auto"/>
        <w:left w:val="none" w:sz="0" w:space="0" w:color="auto"/>
        <w:bottom w:val="none" w:sz="0" w:space="0" w:color="auto"/>
        <w:right w:val="none" w:sz="0" w:space="0" w:color="auto"/>
      </w:divBdr>
    </w:div>
    <w:div w:id="2068212954">
      <w:bodyDiv w:val="1"/>
      <w:marLeft w:val="0"/>
      <w:marRight w:val="0"/>
      <w:marTop w:val="0"/>
      <w:marBottom w:val="0"/>
      <w:divBdr>
        <w:top w:val="none" w:sz="0" w:space="0" w:color="auto"/>
        <w:left w:val="none" w:sz="0" w:space="0" w:color="auto"/>
        <w:bottom w:val="none" w:sz="0" w:space="0" w:color="auto"/>
        <w:right w:val="none" w:sz="0" w:space="0" w:color="auto"/>
      </w:divBdr>
      <w:divsChild>
        <w:div w:id="36243268">
          <w:marLeft w:val="0"/>
          <w:marRight w:val="0"/>
          <w:marTop w:val="0"/>
          <w:marBottom w:val="0"/>
          <w:divBdr>
            <w:top w:val="none" w:sz="0" w:space="0" w:color="auto"/>
            <w:left w:val="none" w:sz="0" w:space="0" w:color="auto"/>
            <w:bottom w:val="none" w:sz="0" w:space="0" w:color="auto"/>
            <w:right w:val="none" w:sz="0" w:space="0" w:color="auto"/>
          </w:divBdr>
          <w:divsChild>
            <w:div w:id="340552938">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60"/>
          <w:marBottom w:val="0"/>
          <w:divBdr>
            <w:top w:val="none" w:sz="0" w:space="0" w:color="auto"/>
            <w:left w:val="none" w:sz="0" w:space="0" w:color="auto"/>
            <w:bottom w:val="none" w:sz="0" w:space="0" w:color="auto"/>
            <w:right w:val="none" w:sz="0" w:space="0" w:color="auto"/>
          </w:divBdr>
          <w:divsChild>
            <w:div w:id="1158424820">
              <w:marLeft w:val="0"/>
              <w:marRight w:val="0"/>
              <w:marTop w:val="0"/>
              <w:marBottom w:val="0"/>
              <w:divBdr>
                <w:top w:val="none" w:sz="0" w:space="0" w:color="auto"/>
                <w:left w:val="none" w:sz="0" w:space="0" w:color="auto"/>
                <w:bottom w:val="none" w:sz="0" w:space="0" w:color="auto"/>
                <w:right w:val="none" w:sz="0" w:space="0" w:color="auto"/>
              </w:divBdr>
            </w:div>
            <w:div w:id="597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3650">
      <w:bodyDiv w:val="1"/>
      <w:marLeft w:val="0"/>
      <w:marRight w:val="0"/>
      <w:marTop w:val="0"/>
      <w:marBottom w:val="0"/>
      <w:divBdr>
        <w:top w:val="none" w:sz="0" w:space="0" w:color="auto"/>
        <w:left w:val="none" w:sz="0" w:space="0" w:color="auto"/>
        <w:bottom w:val="none" w:sz="0" w:space="0" w:color="auto"/>
        <w:right w:val="none" w:sz="0" w:space="0" w:color="auto"/>
      </w:divBdr>
      <w:divsChild>
        <w:div w:id="2040005694">
          <w:marLeft w:val="0"/>
          <w:marRight w:val="0"/>
          <w:marTop w:val="0"/>
          <w:marBottom w:val="0"/>
          <w:divBdr>
            <w:top w:val="none" w:sz="0" w:space="0" w:color="auto"/>
            <w:left w:val="none" w:sz="0" w:space="0" w:color="auto"/>
            <w:bottom w:val="none" w:sz="0" w:space="0" w:color="auto"/>
            <w:right w:val="none" w:sz="0" w:space="0" w:color="auto"/>
          </w:divBdr>
        </w:div>
        <w:div w:id="954140494">
          <w:marLeft w:val="0"/>
          <w:marRight w:val="0"/>
          <w:marTop w:val="0"/>
          <w:marBottom w:val="0"/>
          <w:divBdr>
            <w:top w:val="none" w:sz="0" w:space="0" w:color="auto"/>
            <w:left w:val="none" w:sz="0" w:space="0" w:color="auto"/>
            <w:bottom w:val="none" w:sz="0" w:space="0" w:color="auto"/>
            <w:right w:val="none" w:sz="0" w:space="0" w:color="auto"/>
          </w:divBdr>
        </w:div>
        <w:div w:id="992488262">
          <w:marLeft w:val="0"/>
          <w:marRight w:val="0"/>
          <w:marTop w:val="0"/>
          <w:marBottom w:val="0"/>
          <w:divBdr>
            <w:top w:val="none" w:sz="0" w:space="0" w:color="auto"/>
            <w:left w:val="none" w:sz="0" w:space="0" w:color="auto"/>
            <w:bottom w:val="none" w:sz="0" w:space="0" w:color="auto"/>
            <w:right w:val="none" w:sz="0" w:space="0" w:color="auto"/>
          </w:divBdr>
        </w:div>
        <w:div w:id="1069419582">
          <w:marLeft w:val="0"/>
          <w:marRight w:val="0"/>
          <w:marTop w:val="0"/>
          <w:marBottom w:val="0"/>
          <w:divBdr>
            <w:top w:val="none" w:sz="0" w:space="0" w:color="auto"/>
            <w:left w:val="none" w:sz="0" w:space="0" w:color="auto"/>
            <w:bottom w:val="none" w:sz="0" w:space="0" w:color="auto"/>
            <w:right w:val="none" w:sz="0" w:space="0" w:color="auto"/>
          </w:divBdr>
        </w:div>
        <w:div w:id="572737105">
          <w:marLeft w:val="0"/>
          <w:marRight w:val="0"/>
          <w:marTop w:val="0"/>
          <w:marBottom w:val="0"/>
          <w:divBdr>
            <w:top w:val="none" w:sz="0" w:space="0" w:color="auto"/>
            <w:left w:val="none" w:sz="0" w:space="0" w:color="auto"/>
            <w:bottom w:val="none" w:sz="0" w:space="0" w:color="auto"/>
            <w:right w:val="none" w:sz="0" w:space="0" w:color="auto"/>
          </w:divBdr>
        </w:div>
        <w:div w:id="964040685">
          <w:marLeft w:val="0"/>
          <w:marRight w:val="0"/>
          <w:marTop w:val="0"/>
          <w:marBottom w:val="0"/>
          <w:divBdr>
            <w:top w:val="none" w:sz="0" w:space="0" w:color="auto"/>
            <w:left w:val="none" w:sz="0" w:space="0" w:color="auto"/>
            <w:bottom w:val="none" w:sz="0" w:space="0" w:color="auto"/>
            <w:right w:val="none" w:sz="0" w:space="0" w:color="auto"/>
          </w:divBdr>
        </w:div>
        <w:div w:id="1907256577">
          <w:marLeft w:val="0"/>
          <w:marRight w:val="0"/>
          <w:marTop w:val="0"/>
          <w:marBottom w:val="0"/>
          <w:divBdr>
            <w:top w:val="none" w:sz="0" w:space="0" w:color="auto"/>
            <w:left w:val="none" w:sz="0" w:space="0" w:color="auto"/>
            <w:bottom w:val="none" w:sz="0" w:space="0" w:color="auto"/>
            <w:right w:val="none" w:sz="0" w:space="0" w:color="auto"/>
          </w:divBdr>
        </w:div>
        <w:div w:id="1891844989">
          <w:marLeft w:val="0"/>
          <w:marRight w:val="0"/>
          <w:marTop w:val="0"/>
          <w:marBottom w:val="0"/>
          <w:divBdr>
            <w:top w:val="none" w:sz="0" w:space="0" w:color="auto"/>
            <w:left w:val="none" w:sz="0" w:space="0" w:color="auto"/>
            <w:bottom w:val="none" w:sz="0" w:space="0" w:color="auto"/>
            <w:right w:val="none" w:sz="0" w:space="0" w:color="auto"/>
          </w:divBdr>
        </w:div>
        <w:div w:id="976758982">
          <w:marLeft w:val="0"/>
          <w:marRight w:val="0"/>
          <w:marTop w:val="0"/>
          <w:marBottom w:val="0"/>
          <w:divBdr>
            <w:top w:val="none" w:sz="0" w:space="0" w:color="auto"/>
            <w:left w:val="none" w:sz="0" w:space="0" w:color="auto"/>
            <w:bottom w:val="none" w:sz="0" w:space="0" w:color="auto"/>
            <w:right w:val="none" w:sz="0" w:space="0" w:color="auto"/>
          </w:divBdr>
        </w:div>
        <w:div w:id="977762957">
          <w:marLeft w:val="0"/>
          <w:marRight w:val="0"/>
          <w:marTop w:val="0"/>
          <w:marBottom w:val="0"/>
          <w:divBdr>
            <w:top w:val="none" w:sz="0" w:space="0" w:color="auto"/>
            <w:left w:val="none" w:sz="0" w:space="0" w:color="auto"/>
            <w:bottom w:val="none" w:sz="0" w:space="0" w:color="auto"/>
            <w:right w:val="none" w:sz="0" w:space="0" w:color="auto"/>
          </w:divBdr>
        </w:div>
        <w:div w:id="407776509">
          <w:marLeft w:val="0"/>
          <w:marRight w:val="0"/>
          <w:marTop w:val="0"/>
          <w:marBottom w:val="0"/>
          <w:divBdr>
            <w:top w:val="none" w:sz="0" w:space="0" w:color="auto"/>
            <w:left w:val="none" w:sz="0" w:space="0" w:color="auto"/>
            <w:bottom w:val="none" w:sz="0" w:space="0" w:color="auto"/>
            <w:right w:val="none" w:sz="0" w:space="0" w:color="auto"/>
          </w:divBdr>
        </w:div>
      </w:divsChild>
    </w:div>
    <w:div w:id="2113237294">
      <w:bodyDiv w:val="1"/>
      <w:marLeft w:val="0"/>
      <w:marRight w:val="0"/>
      <w:marTop w:val="0"/>
      <w:marBottom w:val="0"/>
      <w:divBdr>
        <w:top w:val="none" w:sz="0" w:space="0" w:color="auto"/>
        <w:left w:val="none" w:sz="0" w:space="0" w:color="auto"/>
        <w:bottom w:val="none" w:sz="0" w:space="0" w:color="auto"/>
        <w:right w:val="none" w:sz="0" w:space="0" w:color="auto"/>
      </w:divBdr>
    </w:div>
    <w:div w:id="2119258162">
      <w:bodyDiv w:val="1"/>
      <w:marLeft w:val="0"/>
      <w:marRight w:val="0"/>
      <w:marTop w:val="0"/>
      <w:marBottom w:val="0"/>
      <w:divBdr>
        <w:top w:val="none" w:sz="0" w:space="0" w:color="auto"/>
        <w:left w:val="none" w:sz="0" w:space="0" w:color="auto"/>
        <w:bottom w:val="none" w:sz="0" w:space="0" w:color="auto"/>
        <w:right w:val="none" w:sz="0" w:space="0" w:color="auto"/>
      </w:divBdr>
    </w:div>
    <w:div w:id="2128307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1F40-D10B-479D-9C18-4C902BFB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18</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Liberman</dc:creator>
  <cp:lastModifiedBy>jinahar</cp:lastModifiedBy>
  <cp:revision>10</cp:revision>
  <cp:lastPrinted>2014-11-03T18:39:00Z</cp:lastPrinted>
  <dcterms:created xsi:type="dcterms:W3CDTF">2014-11-03T18:33:00Z</dcterms:created>
  <dcterms:modified xsi:type="dcterms:W3CDTF">2014-11-03T21:27:00Z</dcterms:modified>
</cp:coreProperties>
</file>