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39" w:rsidRDefault="008A5039"/>
    <w:p w:rsidR="00920CDE" w:rsidRDefault="00920CDE"/>
    <w:p w:rsidR="00920CDE" w:rsidRDefault="00920CDE"/>
    <w:p w:rsidR="00920CDE" w:rsidRDefault="00920CDE"/>
    <w:tbl>
      <w:tblPr>
        <w:tblStyle w:val="TableGrid"/>
        <w:tblW w:w="9828" w:type="dxa"/>
        <w:tblLook w:val="04A0"/>
      </w:tblPr>
      <w:tblGrid>
        <w:gridCol w:w="1188"/>
        <w:gridCol w:w="1260"/>
        <w:gridCol w:w="7380"/>
      </w:tblGrid>
      <w:tr w:rsidR="00920CDE" w:rsidRPr="00920CDE" w:rsidTr="004B14AD">
        <w:tc>
          <w:tcPr>
            <w:tcW w:w="1188" w:type="dxa"/>
            <w:shd w:val="clear" w:color="auto" w:fill="BFBFBF" w:themeFill="background1" w:themeFillShade="BF"/>
          </w:tcPr>
          <w:p w:rsidR="00920CDE" w:rsidRPr="00920CDE" w:rsidRDefault="00920CDE" w:rsidP="00920CDE">
            <w:pPr>
              <w:rPr>
                <w:b/>
              </w:rPr>
            </w:pPr>
            <w:r w:rsidRPr="00920CDE">
              <w:rPr>
                <w:b/>
              </w:rPr>
              <w:t>Date</w:t>
            </w:r>
          </w:p>
        </w:tc>
        <w:tc>
          <w:tcPr>
            <w:tcW w:w="1260" w:type="dxa"/>
            <w:shd w:val="clear" w:color="auto" w:fill="BFBFBF" w:themeFill="background1" w:themeFillShade="BF"/>
          </w:tcPr>
          <w:p w:rsidR="00920CDE" w:rsidRPr="00920CDE" w:rsidRDefault="00920CDE" w:rsidP="00920CDE">
            <w:pPr>
              <w:rPr>
                <w:b/>
              </w:rPr>
            </w:pPr>
            <w:r w:rsidRPr="00920CDE">
              <w:rPr>
                <w:b/>
              </w:rPr>
              <w:t>Original Concept</w:t>
            </w:r>
          </w:p>
        </w:tc>
        <w:tc>
          <w:tcPr>
            <w:tcW w:w="7380" w:type="dxa"/>
            <w:shd w:val="clear" w:color="auto" w:fill="BFBFBF" w:themeFill="background1" w:themeFillShade="BF"/>
          </w:tcPr>
          <w:p w:rsidR="00920CDE" w:rsidRPr="00920CDE" w:rsidRDefault="00920CDE" w:rsidP="00920CDE">
            <w:pPr>
              <w:rPr>
                <w:b/>
              </w:rPr>
            </w:pPr>
            <w:r w:rsidRPr="00920CDE">
              <w:rPr>
                <w:b/>
              </w:rPr>
              <w:t>Mitigated Concept</w:t>
            </w:r>
          </w:p>
        </w:tc>
      </w:tr>
      <w:tr w:rsidR="00920CDE" w:rsidRPr="00920CDE" w:rsidTr="004B14AD">
        <w:tc>
          <w:tcPr>
            <w:tcW w:w="1188" w:type="dxa"/>
          </w:tcPr>
          <w:p w:rsidR="00920CDE" w:rsidRPr="00920CDE" w:rsidRDefault="00920CDE" w:rsidP="00920CDE">
            <w:r w:rsidRPr="00920CDE">
              <w:t>Existing</w:t>
            </w:r>
          </w:p>
        </w:tc>
        <w:tc>
          <w:tcPr>
            <w:tcW w:w="1260" w:type="dxa"/>
          </w:tcPr>
          <w:p w:rsidR="00920CDE" w:rsidRPr="00920CDE" w:rsidRDefault="00920CDE" w:rsidP="00920CDE">
            <w:r w:rsidRPr="00920CDE">
              <w:t>0.2 gr/dscf and 40%</w:t>
            </w:r>
          </w:p>
        </w:tc>
        <w:tc>
          <w:tcPr>
            <w:tcW w:w="7380" w:type="dxa"/>
          </w:tcPr>
          <w:p w:rsidR="00920CDE" w:rsidRPr="00920CDE" w:rsidRDefault="00920CDE" w:rsidP="00920CDE"/>
        </w:tc>
      </w:tr>
      <w:tr w:rsidR="00920CDE" w:rsidRPr="00920CDE" w:rsidTr="004B14AD">
        <w:tc>
          <w:tcPr>
            <w:tcW w:w="1188" w:type="dxa"/>
          </w:tcPr>
          <w:p w:rsidR="00920CDE" w:rsidRPr="00920CDE" w:rsidRDefault="00920CDE" w:rsidP="00920CDE">
            <w:r w:rsidRPr="00920CDE">
              <w:t>Proposed</w:t>
            </w:r>
          </w:p>
        </w:tc>
        <w:tc>
          <w:tcPr>
            <w:tcW w:w="1260" w:type="dxa"/>
          </w:tcPr>
          <w:p w:rsidR="00920CDE" w:rsidRPr="00920CDE" w:rsidRDefault="00920CDE" w:rsidP="00920CDE">
            <w:r w:rsidRPr="00920CDE">
              <w:t xml:space="preserve">0.10 gr/dscf </w:t>
            </w:r>
          </w:p>
        </w:tc>
        <w:tc>
          <w:tcPr>
            <w:tcW w:w="7380" w:type="dxa"/>
          </w:tcPr>
          <w:p w:rsidR="00920CDE" w:rsidRPr="00920CDE" w:rsidRDefault="00920CDE" w:rsidP="00920CDE">
            <w:pPr>
              <w:numPr>
                <w:ilvl w:val="0"/>
                <w:numId w:val="10"/>
              </w:numPr>
            </w:pPr>
            <w:r w:rsidRPr="00920CDE">
              <w:t>0.10 unless the source shows test results &gt; .080 prior to Nov. 2014</w:t>
            </w:r>
          </w:p>
          <w:p w:rsidR="00920CDE" w:rsidRPr="00920CDE" w:rsidRDefault="00920CDE" w:rsidP="00920CDE">
            <w:pPr>
              <w:numPr>
                <w:ilvl w:val="0"/>
                <w:numId w:val="10"/>
              </w:numPr>
            </w:pPr>
            <w:r w:rsidRPr="00920CDE">
              <w:t>Otherwise, standard is 0.2 through Dec. 2019 (no change)</w:t>
            </w:r>
          </w:p>
          <w:p w:rsidR="00920CDE" w:rsidRPr="00920CDE" w:rsidRDefault="00920CDE" w:rsidP="00920CDE">
            <w:pPr>
              <w:numPr>
                <w:ilvl w:val="0"/>
                <w:numId w:val="10"/>
              </w:numPr>
            </w:pPr>
            <w:r w:rsidRPr="00920CDE">
              <w:t>0.15 beginning Jan 1, 2020</w:t>
            </w:r>
          </w:p>
          <w:p w:rsidR="00920CDE" w:rsidRPr="00920CDE" w:rsidRDefault="00920CDE" w:rsidP="00920CDE">
            <w:pPr>
              <w:numPr>
                <w:ilvl w:val="0"/>
                <w:numId w:val="10"/>
              </w:numPr>
            </w:pPr>
            <w:r w:rsidRPr="00920CDE">
              <w:t>Extensions:</w:t>
            </w:r>
          </w:p>
          <w:p w:rsidR="00920CDE" w:rsidRPr="00920CDE" w:rsidRDefault="00920CDE" w:rsidP="00920CDE">
            <w:pPr>
              <w:numPr>
                <w:ilvl w:val="1"/>
                <w:numId w:val="10"/>
              </w:numPr>
            </w:pPr>
            <w:r w:rsidRPr="00920CDE">
              <w:t>Unable to comply, request a one year extension provided the owner operator submits engineering report signed by PE that demonstrates source cannot comply with standard without making significant changes to equipment, control equipment or adding control equipment.</w:t>
            </w:r>
          </w:p>
          <w:p w:rsidR="00920CDE" w:rsidRPr="00920CDE" w:rsidRDefault="00920CDE" w:rsidP="00920CDE">
            <w:pPr>
              <w:numPr>
                <w:ilvl w:val="0"/>
                <w:numId w:val="10"/>
              </w:numPr>
            </w:pPr>
            <w:r w:rsidRPr="00920CDE">
              <w:t>Exceptions:</w:t>
            </w:r>
          </w:p>
          <w:p w:rsidR="00920CDE" w:rsidRPr="00920CDE" w:rsidRDefault="00920CDE" w:rsidP="00920CDE">
            <w:pPr>
              <w:numPr>
                <w:ilvl w:val="1"/>
                <w:numId w:val="10"/>
              </w:numPr>
            </w:pPr>
            <w:r w:rsidRPr="00920CDE">
              <w:t xml:space="preserve">Equipment or mode of operation &lt; 876 hours per calendar year – stay at 0.20 </w:t>
            </w:r>
          </w:p>
          <w:p w:rsidR="00920CDE" w:rsidRPr="00920CDE" w:rsidRDefault="00920CDE" w:rsidP="00920CDE">
            <w:pPr>
              <w:numPr>
                <w:ilvl w:val="1"/>
                <w:numId w:val="10"/>
              </w:numPr>
            </w:pPr>
            <w:r w:rsidRPr="00920CDE">
              <w:t xml:space="preserve">Unable to meet 0.15, owner or operator may request that DEQ set a source specific limit of 0.17 if owner or operator submits an engineering report of the optimization evaluation signed by a registered professional engineer. </w:t>
            </w:r>
          </w:p>
        </w:tc>
      </w:tr>
      <w:tr w:rsidR="00920CDE" w:rsidRPr="00920CDE" w:rsidTr="004B14AD">
        <w:tc>
          <w:tcPr>
            <w:tcW w:w="1188" w:type="dxa"/>
          </w:tcPr>
          <w:p w:rsidR="00920CDE" w:rsidRPr="00920CDE" w:rsidRDefault="00920CDE" w:rsidP="00920CDE">
            <w:r w:rsidRPr="00920CDE">
              <w:t>Proposed</w:t>
            </w:r>
          </w:p>
        </w:tc>
        <w:tc>
          <w:tcPr>
            <w:tcW w:w="1260" w:type="dxa"/>
          </w:tcPr>
          <w:p w:rsidR="00920CDE" w:rsidRPr="00920CDE" w:rsidRDefault="00920CDE" w:rsidP="00920CDE">
            <w:r w:rsidRPr="00920CDE">
              <w:t>20% opacity</w:t>
            </w:r>
          </w:p>
        </w:tc>
        <w:tc>
          <w:tcPr>
            <w:tcW w:w="7380" w:type="dxa"/>
          </w:tcPr>
          <w:p w:rsidR="00920CDE" w:rsidRPr="00920CDE" w:rsidRDefault="00920CDE" w:rsidP="00920CDE">
            <w:pPr>
              <w:numPr>
                <w:ilvl w:val="0"/>
                <w:numId w:val="10"/>
              </w:numPr>
            </w:pPr>
            <w:r w:rsidRPr="00920CDE">
              <w:t>40% through 2019</w:t>
            </w:r>
          </w:p>
          <w:p w:rsidR="00920CDE" w:rsidRPr="00920CDE" w:rsidRDefault="00920CDE" w:rsidP="00920CDE">
            <w:pPr>
              <w:numPr>
                <w:ilvl w:val="0"/>
                <w:numId w:val="10"/>
              </w:numPr>
            </w:pPr>
            <w:r w:rsidRPr="00920CDE">
              <w:t>20% on or after Jan 1, 2020</w:t>
            </w:r>
          </w:p>
          <w:p w:rsidR="00920CDE" w:rsidRPr="00920CDE" w:rsidRDefault="00920CDE" w:rsidP="00920CDE">
            <w:pPr>
              <w:numPr>
                <w:ilvl w:val="0"/>
                <w:numId w:val="10"/>
              </w:numPr>
            </w:pPr>
            <w:r w:rsidRPr="00920CDE">
              <w:t>Exceptions:</w:t>
            </w:r>
          </w:p>
          <w:p w:rsidR="00920CDE" w:rsidRPr="00920CDE" w:rsidRDefault="00920CDE" w:rsidP="00920CDE">
            <w:pPr>
              <w:numPr>
                <w:ilvl w:val="1"/>
                <w:numId w:val="10"/>
              </w:numPr>
            </w:pPr>
            <w:r w:rsidRPr="00920CDE">
              <w:t>Emissions can exceed 20% for 12 minutes in an hour but must be less than 40%.</w:t>
            </w:r>
          </w:p>
          <w:p w:rsidR="00920CDE" w:rsidRPr="00920CDE" w:rsidRDefault="00920CDE" w:rsidP="00920CDE">
            <w:pPr>
              <w:numPr>
                <w:ilvl w:val="1"/>
                <w:numId w:val="10"/>
              </w:numPr>
            </w:pPr>
            <w:r w:rsidRPr="00920CDE">
              <w:t>Emissions can exceed 20% but must be less than 40%, provided the emissions occur during grate cleaning operation according to an approved grate cleaning plan.</w:t>
            </w:r>
          </w:p>
          <w:p w:rsidR="00920CDE" w:rsidRPr="00920CDE" w:rsidRDefault="00920CDE" w:rsidP="00920CDE">
            <w:pPr>
              <w:numPr>
                <w:ilvl w:val="1"/>
                <w:numId w:val="10"/>
              </w:numPr>
            </w:pPr>
            <w:r w:rsidRPr="00920CDE">
              <w:t xml:space="preserve">Source can get greater than 20% opacity if source test demonstrates that they exceed 20% and can meet the grain loading standard of 0.15 gr/dscf. </w:t>
            </w:r>
          </w:p>
        </w:tc>
      </w:tr>
    </w:tbl>
    <w:p w:rsidR="00920CDE" w:rsidRDefault="00920CDE"/>
    <w:p w:rsidR="00920CDE" w:rsidRDefault="00920CDE"/>
    <w:p w:rsidR="00920CDE" w:rsidRDefault="00920CDE"/>
    <w:p w:rsidR="00920CDE" w:rsidRDefault="00920CDE">
      <w:r>
        <w:br w:type="page"/>
      </w:r>
    </w:p>
    <w:p w:rsidR="00920CDE" w:rsidRDefault="00920CDE"/>
    <w:tbl>
      <w:tblPr>
        <w:tblStyle w:val="TableGrid"/>
        <w:tblW w:w="10143" w:type="dxa"/>
        <w:jc w:val="center"/>
        <w:tblInd w:w="-7190" w:type="dxa"/>
        <w:tblLook w:val="04A0"/>
      </w:tblPr>
      <w:tblGrid>
        <w:gridCol w:w="2367"/>
        <w:gridCol w:w="4567"/>
        <w:gridCol w:w="1620"/>
        <w:gridCol w:w="1589"/>
      </w:tblGrid>
      <w:tr w:rsidR="00920CDE" w:rsidRPr="00920CDE" w:rsidTr="00B620F6">
        <w:trPr>
          <w:jc w:val="center"/>
        </w:trPr>
        <w:tc>
          <w:tcPr>
            <w:tcW w:w="10143" w:type="dxa"/>
            <w:gridSpan w:val="4"/>
            <w:shd w:val="clear" w:color="auto" w:fill="A6A6A6" w:themeFill="background1" w:themeFillShade="A6"/>
            <w:vAlign w:val="center"/>
          </w:tcPr>
          <w:p w:rsidR="00920CDE" w:rsidRPr="00920CDE" w:rsidRDefault="00920CDE" w:rsidP="00920CDE">
            <w:pPr>
              <w:jc w:val="center"/>
              <w:rPr>
                <w:bCs/>
              </w:rPr>
            </w:pPr>
            <w:r w:rsidRPr="00920CDE">
              <w:rPr>
                <w:b/>
              </w:rPr>
              <w:t>Pre-1970 Boilers &gt; 0.10 gr/dscf</w:t>
            </w:r>
          </w:p>
        </w:tc>
      </w:tr>
      <w:tr w:rsidR="00920CDE" w:rsidRPr="00920CDE" w:rsidTr="00B620F6">
        <w:trPr>
          <w:jc w:val="center"/>
        </w:trPr>
        <w:tc>
          <w:tcPr>
            <w:tcW w:w="2367" w:type="dxa"/>
            <w:tcBorders>
              <w:bottom w:val="single" w:sz="4" w:space="0" w:color="000000" w:themeColor="text1"/>
            </w:tcBorders>
            <w:vAlign w:val="center"/>
          </w:tcPr>
          <w:p w:rsidR="00920CDE" w:rsidRPr="00920CDE" w:rsidRDefault="00920CDE" w:rsidP="00920CDE">
            <w:pPr>
              <w:rPr>
                <w:b/>
              </w:rPr>
            </w:pPr>
            <w:r w:rsidRPr="00920CDE">
              <w:rPr>
                <w:b/>
              </w:rPr>
              <w:t>Source</w:t>
            </w:r>
          </w:p>
        </w:tc>
        <w:tc>
          <w:tcPr>
            <w:tcW w:w="4567" w:type="dxa"/>
            <w:tcBorders>
              <w:bottom w:val="single" w:sz="4" w:space="0" w:color="000000" w:themeColor="text1"/>
            </w:tcBorders>
            <w:vAlign w:val="center"/>
          </w:tcPr>
          <w:p w:rsidR="00920CDE" w:rsidRPr="00920CDE" w:rsidRDefault="00920CDE" w:rsidP="00920CDE">
            <w:pPr>
              <w:rPr>
                <w:b/>
              </w:rPr>
            </w:pPr>
            <w:r w:rsidRPr="00920CDE">
              <w:rPr>
                <w:b/>
              </w:rPr>
              <w:t>Emissions Unit</w:t>
            </w:r>
          </w:p>
        </w:tc>
        <w:tc>
          <w:tcPr>
            <w:tcW w:w="1620" w:type="dxa"/>
            <w:tcBorders>
              <w:bottom w:val="single" w:sz="4" w:space="0" w:color="000000" w:themeColor="text1"/>
            </w:tcBorders>
          </w:tcPr>
          <w:p w:rsidR="00920CDE" w:rsidRPr="00920CDE" w:rsidRDefault="00920CDE" w:rsidP="00920CDE">
            <w:pPr>
              <w:rPr>
                <w:b/>
              </w:rPr>
            </w:pPr>
            <w:r w:rsidRPr="00920CDE">
              <w:rPr>
                <w:b/>
              </w:rPr>
              <w:t>Test Date</w:t>
            </w:r>
          </w:p>
        </w:tc>
        <w:tc>
          <w:tcPr>
            <w:tcW w:w="1589" w:type="dxa"/>
            <w:tcBorders>
              <w:bottom w:val="single" w:sz="4" w:space="0" w:color="000000" w:themeColor="text1"/>
            </w:tcBorders>
          </w:tcPr>
          <w:p w:rsidR="00920CDE" w:rsidRPr="00920CDE" w:rsidRDefault="00920CDE" w:rsidP="00920CDE">
            <w:pPr>
              <w:rPr>
                <w:b/>
              </w:rPr>
            </w:pPr>
            <w:r w:rsidRPr="00920CDE">
              <w:rPr>
                <w:b/>
              </w:rPr>
              <w:t>Grain Loading</w:t>
            </w:r>
          </w:p>
        </w:tc>
      </w:tr>
      <w:tr w:rsidR="00920CDE" w:rsidRPr="00920CDE" w:rsidTr="00B620F6">
        <w:trPr>
          <w:jc w:val="center"/>
        </w:trPr>
        <w:tc>
          <w:tcPr>
            <w:tcW w:w="2367" w:type="dxa"/>
            <w:vMerge w:val="restart"/>
            <w:shd w:val="clear" w:color="auto" w:fill="auto"/>
            <w:vAlign w:val="center"/>
          </w:tcPr>
          <w:p w:rsidR="00920CDE" w:rsidRPr="00920CDE" w:rsidRDefault="00920CDE" w:rsidP="00920CDE">
            <w:pPr>
              <w:rPr>
                <w:bCs/>
              </w:rPr>
            </w:pPr>
            <w:r w:rsidRPr="00920CDE">
              <w:rPr>
                <w:bCs/>
              </w:rPr>
              <w:t>Boise Cascade (Pilot Rock)</w:t>
            </w:r>
          </w:p>
          <w:p w:rsidR="00920CDE" w:rsidRPr="00920CDE" w:rsidRDefault="00920CDE" w:rsidP="00920CDE">
            <w:pPr>
              <w:rPr>
                <w:bCs/>
              </w:rPr>
            </w:pPr>
          </w:p>
          <w:p w:rsidR="00920CDE" w:rsidRPr="00920CDE" w:rsidRDefault="00920CDE" w:rsidP="00920CDE">
            <w:r w:rsidRPr="00920CDE">
              <w:rPr>
                <w:bCs/>
              </w:rPr>
              <w:t>30-0016</w:t>
            </w:r>
          </w:p>
        </w:tc>
        <w:tc>
          <w:tcPr>
            <w:tcW w:w="4567" w:type="dxa"/>
            <w:vMerge w:val="restart"/>
            <w:shd w:val="clear" w:color="auto" w:fill="auto"/>
            <w:vAlign w:val="center"/>
          </w:tcPr>
          <w:p w:rsidR="00920CDE" w:rsidRPr="00920CDE" w:rsidRDefault="00920CDE" w:rsidP="00920CDE">
            <w:r w:rsidRPr="00920CDE">
              <w:t>Early 1940s Babcock &amp; Wilcox Dutch-oven boiler, 20,000 lb steam/hr; b</w:t>
            </w:r>
            <w:r w:rsidRPr="00920CDE">
              <w:rPr>
                <w:bCs/>
              </w:rPr>
              <w:t xml:space="preserve">ackup to NG fired boiler  </w:t>
            </w:r>
          </w:p>
        </w:tc>
        <w:tc>
          <w:tcPr>
            <w:tcW w:w="1620" w:type="dxa"/>
            <w:vAlign w:val="center"/>
          </w:tcPr>
          <w:p w:rsidR="00920CDE" w:rsidRPr="00920CDE" w:rsidRDefault="00920CDE" w:rsidP="00920CDE">
            <w:r w:rsidRPr="00920CDE">
              <w:t>8/3/2004</w:t>
            </w:r>
          </w:p>
        </w:tc>
        <w:tc>
          <w:tcPr>
            <w:tcW w:w="1589" w:type="dxa"/>
            <w:vAlign w:val="center"/>
          </w:tcPr>
          <w:p w:rsidR="00920CDE" w:rsidRPr="00920CDE" w:rsidRDefault="00920CDE" w:rsidP="00920CDE">
            <w:r w:rsidRPr="00920CDE">
              <w:t>0.080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7/12/2005</w:t>
            </w:r>
          </w:p>
        </w:tc>
        <w:tc>
          <w:tcPr>
            <w:tcW w:w="1589" w:type="dxa"/>
            <w:tcBorders>
              <w:bottom w:val="single" w:sz="4" w:space="0" w:color="auto"/>
            </w:tcBorders>
            <w:vAlign w:val="center"/>
          </w:tcPr>
          <w:p w:rsidR="00920CDE" w:rsidRPr="00920CDE" w:rsidRDefault="00920CDE" w:rsidP="00920CDE">
            <w:r w:rsidRPr="00920CDE">
              <w:t>0.140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9/26/2006</w:t>
            </w:r>
          </w:p>
        </w:tc>
        <w:tc>
          <w:tcPr>
            <w:tcW w:w="1589" w:type="dxa"/>
            <w:shd w:val="clear" w:color="auto" w:fill="DDD9C3" w:themeFill="background2" w:themeFillShade="E6"/>
            <w:vAlign w:val="center"/>
          </w:tcPr>
          <w:p w:rsidR="00920CDE" w:rsidRPr="00920CDE" w:rsidRDefault="00920CDE" w:rsidP="00920CDE">
            <w:r w:rsidRPr="00920CDE">
              <w:t>0.170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11/8/2007</w:t>
            </w:r>
          </w:p>
        </w:tc>
        <w:tc>
          <w:tcPr>
            <w:tcW w:w="1589" w:type="dxa"/>
            <w:vAlign w:val="center"/>
          </w:tcPr>
          <w:p w:rsidR="00920CDE" w:rsidRPr="00920CDE" w:rsidRDefault="00920CDE" w:rsidP="00920CDE">
            <w:r w:rsidRPr="00920CDE">
              <w:t>0.130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11/20/2008</w:t>
            </w:r>
          </w:p>
        </w:tc>
        <w:tc>
          <w:tcPr>
            <w:tcW w:w="1589" w:type="dxa"/>
            <w:vAlign w:val="center"/>
          </w:tcPr>
          <w:p w:rsidR="00920CDE" w:rsidRPr="00920CDE" w:rsidRDefault="00920CDE" w:rsidP="00920CDE">
            <w:r w:rsidRPr="00920CDE">
              <w:t>0.100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10/25/2011</w:t>
            </w:r>
          </w:p>
        </w:tc>
        <w:tc>
          <w:tcPr>
            <w:tcW w:w="1589" w:type="dxa"/>
            <w:tcBorders>
              <w:bottom w:val="single" w:sz="4" w:space="0" w:color="auto"/>
            </w:tcBorders>
            <w:vAlign w:val="center"/>
          </w:tcPr>
          <w:p w:rsidR="00920CDE" w:rsidRPr="00920CDE" w:rsidRDefault="00920CDE" w:rsidP="00920CDE">
            <w:r w:rsidRPr="00920CDE">
              <w:t>0.140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val="restart"/>
            <w:shd w:val="clear" w:color="auto" w:fill="auto"/>
            <w:vAlign w:val="center"/>
          </w:tcPr>
          <w:p w:rsidR="00920CDE" w:rsidRPr="00920CDE" w:rsidRDefault="00920CDE" w:rsidP="00920CDE">
            <w:r w:rsidRPr="00920CDE">
              <w:t>Early 1940s Babcock &amp; Wilcox Dutch-oven boiler, 20,000 lb steam/hr; b</w:t>
            </w:r>
            <w:r w:rsidRPr="00920CDE">
              <w:rPr>
                <w:bCs/>
              </w:rPr>
              <w:t xml:space="preserve">ackup to NG fired boiler  </w:t>
            </w:r>
          </w:p>
        </w:tc>
        <w:tc>
          <w:tcPr>
            <w:tcW w:w="1620" w:type="dxa"/>
            <w:vAlign w:val="center"/>
          </w:tcPr>
          <w:p w:rsidR="00920CDE" w:rsidRPr="00920CDE" w:rsidRDefault="00920CDE" w:rsidP="00920CDE">
            <w:r w:rsidRPr="00920CDE">
              <w:t>7/13/2005</w:t>
            </w:r>
          </w:p>
        </w:tc>
        <w:tc>
          <w:tcPr>
            <w:tcW w:w="1589" w:type="dxa"/>
            <w:shd w:val="clear" w:color="auto" w:fill="DDD9C3" w:themeFill="background2" w:themeFillShade="E6"/>
            <w:vAlign w:val="center"/>
          </w:tcPr>
          <w:p w:rsidR="00920CDE" w:rsidRPr="00920CDE" w:rsidRDefault="00920CDE" w:rsidP="00920CDE">
            <w:r w:rsidRPr="00920CDE">
              <w:t>0.180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9/27/2006</w:t>
            </w:r>
          </w:p>
        </w:tc>
        <w:tc>
          <w:tcPr>
            <w:tcW w:w="1589" w:type="dxa"/>
            <w:vAlign w:val="center"/>
          </w:tcPr>
          <w:p w:rsidR="00920CDE" w:rsidRPr="00920CDE" w:rsidRDefault="00920CDE" w:rsidP="00920CDE">
            <w:r w:rsidRPr="00920CDE">
              <w:t>0.160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11/8/2007</w:t>
            </w:r>
          </w:p>
        </w:tc>
        <w:tc>
          <w:tcPr>
            <w:tcW w:w="1589" w:type="dxa"/>
            <w:vAlign w:val="center"/>
          </w:tcPr>
          <w:p w:rsidR="00920CDE" w:rsidRPr="00920CDE" w:rsidRDefault="00920CDE" w:rsidP="00920CDE">
            <w:r w:rsidRPr="00920CDE">
              <w:t>0.140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11/21/2008</w:t>
            </w:r>
          </w:p>
        </w:tc>
        <w:tc>
          <w:tcPr>
            <w:tcW w:w="1589" w:type="dxa"/>
            <w:vAlign w:val="center"/>
          </w:tcPr>
          <w:p w:rsidR="00920CDE" w:rsidRPr="00920CDE" w:rsidRDefault="00920CDE" w:rsidP="00920CDE">
            <w:r w:rsidRPr="00920CDE">
              <w:t>0.160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12/15/2009</w:t>
            </w:r>
          </w:p>
        </w:tc>
        <w:tc>
          <w:tcPr>
            <w:tcW w:w="1589" w:type="dxa"/>
            <w:tcBorders>
              <w:bottom w:val="single" w:sz="4" w:space="0" w:color="auto"/>
            </w:tcBorders>
            <w:vAlign w:val="center"/>
          </w:tcPr>
          <w:p w:rsidR="00920CDE" w:rsidRPr="00920CDE" w:rsidRDefault="00920CDE" w:rsidP="00920CDE">
            <w:r w:rsidRPr="00920CDE">
              <w:t>0.150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12/1/2010</w:t>
            </w:r>
          </w:p>
        </w:tc>
        <w:tc>
          <w:tcPr>
            <w:tcW w:w="1589" w:type="dxa"/>
            <w:shd w:val="clear" w:color="auto" w:fill="DDD9C3" w:themeFill="background2" w:themeFillShade="E6"/>
            <w:vAlign w:val="center"/>
          </w:tcPr>
          <w:p w:rsidR="00920CDE" w:rsidRPr="00920CDE" w:rsidRDefault="00920CDE" w:rsidP="00920CDE">
            <w:r w:rsidRPr="00920CDE">
              <w:t>0.190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10/24/2011</w:t>
            </w:r>
          </w:p>
        </w:tc>
        <w:tc>
          <w:tcPr>
            <w:tcW w:w="1589" w:type="dxa"/>
            <w:shd w:val="clear" w:color="auto" w:fill="DDD9C3" w:themeFill="background2" w:themeFillShade="E6"/>
            <w:vAlign w:val="center"/>
          </w:tcPr>
          <w:p w:rsidR="00920CDE" w:rsidRPr="00920CDE" w:rsidRDefault="00920CDE" w:rsidP="00920CDE">
            <w:r w:rsidRPr="00920CDE">
              <w:t>0.170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val="restart"/>
            <w:shd w:val="clear" w:color="auto" w:fill="auto"/>
            <w:vAlign w:val="center"/>
          </w:tcPr>
          <w:p w:rsidR="00920CDE" w:rsidRPr="00920CDE" w:rsidRDefault="00920CDE" w:rsidP="00920CDE">
            <w:r w:rsidRPr="00920CDE">
              <w:t>8,000 lb steam/hr; b</w:t>
            </w:r>
            <w:r w:rsidRPr="00920CDE">
              <w:rPr>
                <w:bCs/>
              </w:rPr>
              <w:t xml:space="preserve">ackup to NG fired boiler  </w:t>
            </w:r>
          </w:p>
        </w:tc>
        <w:tc>
          <w:tcPr>
            <w:tcW w:w="1620" w:type="dxa"/>
            <w:vAlign w:val="center"/>
          </w:tcPr>
          <w:p w:rsidR="00920CDE" w:rsidRPr="00920CDE" w:rsidRDefault="00920CDE" w:rsidP="00920CDE">
            <w:r w:rsidRPr="00920CDE">
              <w:t>8/5/2004</w:t>
            </w:r>
          </w:p>
        </w:tc>
        <w:tc>
          <w:tcPr>
            <w:tcW w:w="1589" w:type="dxa"/>
            <w:vAlign w:val="center"/>
          </w:tcPr>
          <w:p w:rsidR="00920CDE" w:rsidRPr="00920CDE" w:rsidRDefault="00920CDE" w:rsidP="00920CDE">
            <w:r w:rsidRPr="00920CDE">
              <w:t>0.060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7/12/2005</w:t>
            </w:r>
          </w:p>
        </w:tc>
        <w:tc>
          <w:tcPr>
            <w:tcW w:w="1589" w:type="dxa"/>
            <w:vAlign w:val="center"/>
          </w:tcPr>
          <w:p w:rsidR="00920CDE" w:rsidRPr="00920CDE" w:rsidRDefault="00920CDE" w:rsidP="00920CDE">
            <w:r w:rsidRPr="00920CDE">
              <w:t>0.060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9/27/2006</w:t>
            </w:r>
          </w:p>
        </w:tc>
        <w:tc>
          <w:tcPr>
            <w:tcW w:w="1589" w:type="dxa"/>
            <w:vAlign w:val="center"/>
          </w:tcPr>
          <w:p w:rsidR="00920CDE" w:rsidRPr="00920CDE" w:rsidRDefault="00920CDE" w:rsidP="00920CDE">
            <w:r w:rsidRPr="00920CDE">
              <w:t>0.100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10/25/2011</w:t>
            </w:r>
          </w:p>
        </w:tc>
        <w:tc>
          <w:tcPr>
            <w:tcW w:w="1589" w:type="dxa"/>
            <w:vAlign w:val="center"/>
          </w:tcPr>
          <w:p w:rsidR="00920CDE" w:rsidRPr="00920CDE" w:rsidRDefault="00920CDE" w:rsidP="00920CDE">
            <w:r w:rsidRPr="00920CDE">
              <w:t>0.063</w:t>
            </w:r>
          </w:p>
        </w:tc>
      </w:tr>
      <w:tr w:rsidR="00920CDE" w:rsidRPr="00920CDE" w:rsidTr="00B620F6">
        <w:trPr>
          <w:jc w:val="center"/>
        </w:trPr>
        <w:tc>
          <w:tcPr>
            <w:tcW w:w="2367" w:type="dxa"/>
            <w:vMerge w:val="restart"/>
            <w:shd w:val="clear" w:color="auto" w:fill="auto"/>
            <w:vAlign w:val="center"/>
          </w:tcPr>
          <w:p w:rsidR="00920CDE" w:rsidRPr="00920CDE" w:rsidRDefault="00920CDE" w:rsidP="00920CDE">
            <w:pPr>
              <w:rPr>
                <w:bCs/>
              </w:rPr>
            </w:pPr>
            <w:r w:rsidRPr="00920CDE">
              <w:rPr>
                <w:bCs/>
              </w:rPr>
              <w:t>Columbia Forest Products</w:t>
            </w:r>
          </w:p>
          <w:p w:rsidR="00920CDE" w:rsidRPr="00920CDE" w:rsidRDefault="00920CDE" w:rsidP="00920CDE">
            <w:pPr>
              <w:rPr>
                <w:bCs/>
              </w:rPr>
            </w:pPr>
          </w:p>
          <w:p w:rsidR="00920CDE" w:rsidRPr="00920CDE" w:rsidRDefault="00920CDE" w:rsidP="00920CDE">
            <w:r w:rsidRPr="00920CDE">
              <w:t>18-0014</w:t>
            </w:r>
          </w:p>
        </w:tc>
        <w:tc>
          <w:tcPr>
            <w:tcW w:w="4567" w:type="dxa"/>
            <w:vMerge w:val="restart"/>
            <w:shd w:val="clear" w:color="auto" w:fill="auto"/>
            <w:vAlign w:val="center"/>
          </w:tcPr>
          <w:p w:rsidR="00920CDE" w:rsidRPr="00920CDE" w:rsidRDefault="00920CDE" w:rsidP="00920CDE">
            <w:r w:rsidRPr="00920CDE">
              <w:rPr>
                <w:bCs/>
              </w:rPr>
              <w:t>1939 EF Huffman Dutch oven  BLR-N, 12,500 lb steam/hr</w:t>
            </w:r>
          </w:p>
        </w:tc>
        <w:tc>
          <w:tcPr>
            <w:tcW w:w="1620" w:type="dxa"/>
            <w:tcBorders>
              <w:bottom w:val="single" w:sz="4" w:space="0" w:color="000000" w:themeColor="text1"/>
            </w:tcBorders>
            <w:vAlign w:val="center"/>
          </w:tcPr>
          <w:p w:rsidR="00920CDE" w:rsidRPr="00920CDE" w:rsidRDefault="00920CDE" w:rsidP="00920CDE">
            <w:r w:rsidRPr="00920CDE">
              <w:t>6/20/2001</w:t>
            </w:r>
          </w:p>
        </w:tc>
        <w:tc>
          <w:tcPr>
            <w:tcW w:w="1589" w:type="dxa"/>
            <w:tcBorders>
              <w:bottom w:val="single" w:sz="4" w:space="0" w:color="000000" w:themeColor="text1"/>
            </w:tcBorders>
            <w:vAlign w:val="center"/>
          </w:tcPr>
          <w:p w:rsidR="00920CDE" w:rsidRPr="00920CDE" w:rsidRDefault="00920CDE" w:rsidP="00920CDE">
            <w:r w:rsidRPr="00920CDE">
              <w:t>0.100</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11/16/2007</w:t>
            </w:r>
          </w:p>
        </w:tc>
        <w:tc>
          <w:tcPr>
            <w:tcW w:w="1589" w:type="dxa"/>
            <w:tcBorders>
              <w:bottom w:val="single" w:sz="4" w:space="0" w:color="000000" w:themeColor="text1"/>
            </w:tcBorders>
            <w:vAlign w:val="center"/>
          </w:tcPr>
          <w:p w:rsidR="00920CDE" w:rsidRPr="00920CDE" w:rsidRDefault="00920CDE" w:rsidP="00920CDE">
            <w:r w:rsidRPr="00920CDE">
              <w:t>0.090</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tcBorders>
              <w:bottom w:val="single" w:sz="4" w:space="0" w:color="000000" w:themeColor="text1"/>
            </w:tcBorders>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11/1/2011</w:t>
            </w:r>
          </w:p>
        </w:tc>
        <w:tc>
          <w:tcPr>
            <w:tcW w:w="1589" w:type="dxa"/>
            <w:tcBorders>
              <w:bottom w:val="single" w:sz="4" w:space="0" w:color="000000" w:themeColor="text1"/>
            </w:tcBorders>
            <w:vAlign w:val="center"/>
          </w:tcPr>
          <w:p w:rsidR="00920CDE" w:rsidRPr="00920CDE" w:rsidRDefault="00920CDE" w:rsidP="00920CDE">
            <w:r w:rsidRPr="00920CDE">
              <w:t>0.140</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val="restart"/>
            <w:shd w:val="clear" w:color="auto" w:fill="auto"/>
            <w:vAlign w:val="center"/>
          </w:tcPr>
          <w:p w:rsidR="00920CDE" w:rsidRPr="00920CDE" w:rsidRDefault="00920CDE" w:rsidP="00920CDE">
            <w:pPr>
              <w:rPr>
                <w:bCs/>
              </w:rPr>
            </w:pPr>
            <w:r w:rsidRPr="00920CDE">
              <w:rPr>
                <w:bCs/>
              </w:rPr>
              <w:t>1944 C&amp; E Dutch oven BLR-S, 35,000 lb steam/hr, w/multiclone</w:t>
            </w:r>
          </w:p>
        </w:tc>
        <w:tc>
          <w:tcPr>
            <w:tcW w:w="1620" w:type="dxa"/>
            <w:tcBorders>
              <w:bottom w:val="single" w:sz="4" w:space="0" w:color="000000" w:themeColor="text1"/>
            </w:tcBorders>
            <w:vAlign w:val="center"/>
          </w:tcPr>
          <w:p w:rsidR="00920CDE" w:rsidRPr="00920CDE" w:rsidRDefault="00920CDE" w:rsidP="00920CDE">
            <w:r w:rsidRPr="00920CDE">
              <w:t>6/20/2001</w:t>
            </w:r>
          </w:p>
        </w:tc>
        <w:tc>
          <w:tcPr>
            <w:tcW w:w="1589" w:type="dxa"/>
            <w:tcBorders>
              <w:bottom w:val="single" w:sz="4" w:space="0" w:color="000000" w:themeColor="text1"/>
            </w:tcBorders>
            <w:vAlign w:val="center"/>
          </w:tcPr>
          <w:p w:rsidR="00920CDE" w:rsidRPr="00920CDE" w:rsidRDefault="00920CDE" w:rsidP="00920CDE">
            <w:r w:rsidRPr="00920CDE">
              <w:t>0.100</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10/8/2002</w:t>
            </w:r>
          </w:p>
        </w:tc>
        <w:tc>
          <w:tcPr>
            <w:tcW w:w="1589" w:type="dxa"/>
            <w:tcBorders>
              <w:bottom w:val="single" w:sz="4" w:space="0" w:color="000000" w:themeColor="text1"/>
            </w:tcBorders>
            <w:vAlign w:val="center"/>
          </w:tcPr>
          <w:p w:rsidR="00920CDE" w:rsidRPr="00920CDE" w:rsidRDefault="00920CDE" w:rsidP="00920CDE">
            <w:r w:rsidRPr="00920CDE">
              <w:t>0.170</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11/4/2003</w:t>
            </w:r>
          </w:p>
        </w:tc>
        <w:tc>
          <w:tcPr>
            <w:tcW w:w="1589" w:type="dxa"/>
            <w:tcBorders>
              <w:bottom w:val="single" w:sz="4" w:space="0" w:color="000000" w:themeColor="text1"/>
            </w:tcBorders>
            <w:vAlign w:val="center"/>
          </w:tcPr>
          <w:p w:rsidR="00920CDE" w:rsidRPr="00920CDE" w:rsidRDefault="00920CDE" w:rsidP="00920CDE">
            <w:r w:rsidRPr="00920CDE">
              <w:t>0.190</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12/10/2004</w:t>
            </w:r>
          </w:p>
        </w:tc>
        <w:tc>
          <w:tcPr>
            <w:tcW w:w="1589" w:type="dxa"/>
            <w:tcBorders>
              <w:bottom w:val="single" w:sz="4" w:space="0" w:color="000000" w:themeColor="text1"/>
            </w:tcBorders>
            <w:vAlign w:val="center"/>
          </w:tcPr>
          <w:p w:rsidR="00920CDE" w:rsidRPr="00920CDE" w:rsidRDefault="00920CDE" w:rsidP="00920CDE">
            <w:r w:rsidRPr="00920CDE">
              <w:t>0.140</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11/18/2005</w:t>
            </w:r>
          </w:p>
        </w:tc>
        <w:tc>
          <w:tcPr>
            <w:tcW w:w="1589" w:type="dxa"/>
            <w:tcBorders>
              <w:bottom w:val="single" w:sz="4" w:space="0" w:color="000000" w:themeColor="text1"/>
            </w:tcBorders>
            <w:vAlign w:val="center"/>
          </w:tcPr>
          <w:p w:rsidR="00920CDE" w:rsidRPr="00920CDE" w:rsidRDefault="00920CDE" w:rsidP="00920CDE">
            <w:r w:rsidRPr="00920CDE">
              <w:t>0.140</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11/21/2006</w:t>
            </w:r>
          </w:p>
        </w:tc>
        <w:tc>
          <w:tcPr>
            <w:tcW w:w="1589" w:type="dxa"/>
            <w:tcBorders>
              <w:bottom w:val="single" w:sz="4" w:space="0" w:color="000000" w:themeColor="text1"/>
            </w:tcBorders>
            <w:vAlign w:val="center"/>
          </w:tcPr>
          <w:p w:rsidR="00920CDE" w:rsidRPr="00920CDE" w:rsidRDefault="00920CDE" w:rsidP="00920CDE">
            <w:r w:rsidRPr="00920CDE">
              <w:t>0.140</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11/15/2007</w:t>
            </w:r>
          </w:p>
        </w:tc>
        <w:tc>
          <w:tcPr>
            <w:tcW w:w="1589" w:type="dxa"/>
            <w:tcBorders>
              <w:bottom w:val="single" w:sz="4" w:space="0" w:color="000000" w:themeColor="text1"/>
            </w:tcBorders>
            <w:vAlign w:val="center"/>
          </w:tcPr>
          <w:p w:rsidR="00920CDE" w:rsidRPr="00920CDE" w:rsidRDefault="00920CDE" w:rsidP="00920CDE">
            <w:r w:rsidRPr="00920CDE">
              <w:t>0.170</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11/18/2008</w:t>
            </w:r>
          </w:p>
        </w:tc>
        <w:tc>
          <w:tcPr>
            <w:tcW w:w="1589" w:type="dxa"/>
            <w:tcBorders>
              <w:bottom w:val="single" w:sz="4" w:space="0" w:color="000000" w:themeColor="text1"/>
            </w:tcBorders>
            <w:vAlign w:val="center"/>
          </w:tcPr>
          <w:p w:rsidR="00920CDE" w:rsidRPr="00920CDE" w:rsidRDefault="00920CDE" w:rsidP="00920CDE">
            <w:r w:rsidRPr="00920CDE">
              <w:t>0.170</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11/24/2009</w:t>
            </w:r>
          </w:p>
        </w:tc>
        <w:tc>
          <w:tcPr>
            <w:tcW w:w="1589" w:type="dxa"/>
            <w:tcBorders>
              <w:bottom w:val="single" w:sz="4" w:space="0" w:color="000000" w:themeColor="text1"/>
            </w:tcBorders>
            <w:vAlign w:val="center"/>
          </w:tcPr>
          <w:p w:rsidR="00920CDE" w:rsidRPr="00920CDE" w:rsidRDefault="00920CDE" w:rsidP="00920CDE">
            <w:r w:rsidRPr="00920CDE">
              <w:t>0.110</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11/9/2010</w:t>
            </w:r>
          </w:p>
        </w:tc>
        <w:tc>
          <w:tcPr>
            <w:tcW w:w="1589" w:type="dxa"/>
            <w:tcBorders>
              <w:bottom w:val="single" w:sz="4" w:space="0" w:color="000000" w:themeColor="text1"/>
            </w:tcBorders>
            <w:vAlign w:val="center"/>
          </w:tcPr>
          <w:p w:rsidR="00920CDE" w:rsidRPr="00920CDE" w:rsidRDefault="00920CDE" w:rsidP="00920CDE">
            <w:r w:rsidRPr="00920CDE">
              <w:t>0.080</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11/2/2011</w:t>
            </w:r>
          </w:p>
        </w:tc>
        <w:tc>
          <w:tcPr>
            <w:tcW w:w="1589" w:type="dxa"/>
            <w:tcBorders>
              <w:bottom w:val="single" w:sz="4" w:space="0" w:color="000000" w:themeColor="text1"/>
            </w:tcBorders>
            <w:vAlign w:val="center"/>
          </w:tcPr>
          <w:p w:rsidR="00920CDE" w:rsidRPr="00920CDE" w:rsidRDefault="00920CDE" w:rsidP="00920CDE">
            <w:r w:rsidRPr="00920CDE">
              <w:t>0.120</w:t>
            </w:r>
          </w:p>
        </w:tc>
      </w:tr>
      <w:tr w:rsidR="00920CDE" w:rsidRPr="00920CDE" w:rsidTr="00B620F6">
        <w:trPr>
          <w:jc w:val="center"/>
        </w:trPr>
        <w:tc>
          <w:tcPr>
            <w:tcW w:w="2367" w:type="dxa"/>
            <w:vMerge/>
            <w:tcBorders>
              <w:bottom w:val="single" w:sz="4" w:space="0" w:color="000000" w:themeColor="text1"/>
            </w:tcBorders>
            <w:shd w:val="clear" w:color="auto" w:fill="auto"/>
            <w:vAlign w:val="center"/>
          </w:tcPr>
          <w:p w:rsidR="00920CDE" w:rsidRPr="00920CDE" w:rsidRDefault="00920CDE" w:rsidP="00920CDE">
            <w:pPr>
              <w:rPr>
                <w:bCs/>
              </w:rPr>
            </w:pPr>
          </w:p>
        </w:tc>
        <w:tc>
          <w:tcPr>
            <w:tcW w:w="4567" w:type="dxa"/>
            <w:vMerge/>
            <w:tcBorders>
              <w:bottom w:val="single" w:sz="4" w:space="0" w:color="000000" w:themeColor="text1"/>
            </w:tcBorders>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11/6/13</w:t>
            </w:r>
          </w:p>
        </w:tc>
        <w:tc>
          <w:tcPr>
            <w:tcW w:w="1589" w:type="dxa"/>
            <w:tcBorders>
              <w:bottom w:val="single" w:sz="4" w:space="0" w:color="000000" w:themeColor="text1"/>
            </w:tcBorders>
            <w:vAlign w:val="center"/>
          </w:tcPr>
          <w:p w:rsidR="00920CDE" w:rsidRPr="00920CDE" w:rsidRDefault="00920CDE" w:rsidP="00920CDE">
            <w:r w:rsidRPr="00920CDE">
              <w:t>0.13</w:t>
            </w:r>
          </w:p>
        </w:tc>
      </w:tr>
      <w:tr w:rsidR="00920CDE" w:rsidRPr="00920CDE" w:rsidTr="00B620F6">
        <w:trPr>
          <w:jc w:val="center"/>
        </w:trPr>
        <w:tc>
          <w:tcPr>
            <w:tcW w:w="2367" w:type="dxa"/>
            <w:vMerge w:val="restart"/>
            <w:tcBorders>
              <w:top w:val="nil"/>
            </w:tcBorders>
            <w:shd w:val="clear" w:color="auto" w:fill="auto"/>
            <w:vAlign w:val="center"/>
          </w:tcPr>
          <w:p w:rsidR="00920CDE" w:rsidRPr="00920CDE" w:rsidRDefault="00920CDE" w:rsidP="00920CDE">
            <w:pPr>
              <w:rPr>
                <w:bCs/>
              </w:rPr>
            </w:pPr>
            <w:r w:rsidRPr="00920CDE">
              <w:rPr>
                <w:bCs/>
              </w:rPr>
              <w:t>Frank Lumber</w:t>
            </w:r>
          </w:p>
          <w:p w:rsidR="00920CDE" w:rsidRPr="00920CDE" w:rsidRDefault="00920CDE" w:rsidP="00920CDE">
            <w:pPr>
              <w:rPr>
                <w:bCs/>
              </w:rPr>
            </w:pPr>
          </w:p>
          <w:p w:rsidR="00920CDE" w:rsidRPr="00920CDE" w:rsidRDefault="00920CDE" w:rsidP="00920CDE">
            <w:pPr>
              <w:rPr>
                <w:bCs/>
              </w:rPr>
            </w:pPr>
            <w:r w:rsidRPr="00920CDE">
              <w:rPr>
                <w:bCs/>
              </w:rPr>
              <w:t>22-2525</w:t>
            </w:r>
          </w:p>
        </w:tc>
        <w:tc>
          <w:tcPr>
            <w:tcW w:w="4567" w:type="dxa"/>
            <w:vMerge w:val="restart"/>
            <w:tcBorders>
              <w:top w:val="nil"/>
            </w:tcBorders>
            <w:shd w:val="clear" w:color="auto" w:fill="auto"/>
            <w:vAlign w:val="center"/>
          </w:tcPr>
          <w:p w:rsidR="00920CDE" w:rsidRPr="00920CDE" w:rsidRDefault="00920CDE" w:rsidP="00920CDE">
            <w:r w:rsidRPr="00920CDE">
              <w:t>1969 Wyatt &amp; Kipper spreader stoker boiler, 30,000 lb/hr steam, w/multiclone</w:t>
            </w:r>
          </w:p>
        </w:tc>
        <w:tc>
          <w:tcPr>
            <w:tcW w:w="1620" w:type="dxa"/>
            <w:tcBorders>
              <w:top w:val="nil"/>
              <w:bottom w:val="single" w:sz="4" w:space="0" w:color="000000" w:themeColor="text1"/>
            </w:tcBorders>
          </w:tcPr>
          <w:p w:rsidR="00920CDE" w:rsidRPr="00920CDE" w:rsidRDefault="00920CDE" w:rsidP="00920CDE">
            <w:pPr>
              <w:rPr>
                <w:bCs/>
              </w:rPr>
            </w:pPr>
            <w:r w:rsidRPr="00920CDE">
              <w:rPr>
                <w:bCs/>
              </w:rPr>
              <w:t>1989</w:t>
            </w:r>
          </w:p>
        </w:tc>
        <w:tc>
          <w:tcPr>
            <w:tcW w:w="1589" w:type="dxa"/>
            <w:tcBorders>
              <w:top w:val="nil"/>
              <w:bottom w:val="single" w:sz="4" w:space="0" w:color="000000" w:themeColor="text1"/>
            </w:tcBorders>
          </w:tcPr>
          <w:p w:rsidR="00920CDE" w:rsidRPr="00920CDE" w:rsidRDefault="00920CDE" w:rsidP="00920CDE">
            <w:pPr>
              <w:rPr>
                <w:bCs/>
              </w:rPr>
            </w:pPr>
            <w:r w:rsidRPr="00920CDE">
              <w:rPr>
                <w:bCs/>
              </w:rPr>
              <w:t>0.19</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tcPr>
          <w:p w:rsidR="00920CDE" w:rsidRPr="00920CDE" w:rsidRDefault="00920CDE" w:rsidP="00920CDE">
            <w:pPr>
              <w:rPr>
                <w:bCs/>
              </w:rPr>
            </w:pPr>
            <w:r w:rsidRPr="00920CDE">
              <w:rPr>
                <w:bCs/>
              </w:rPr>
              <w:t>1997</w:t>
            </w:r>
          </w:p>
        </w:tc>
        <w:tc>
          <w:tcPr>
            <w:tcW w:w="1589" w:type="dxa"/>
            <w:tcBorders>
              <w:bottom w:val="single" w:sz="4" w:space="0" w:color="000000" w:themeColor="text1"/>
            </w:tcBorders>
          </w:tcPr>
          <w:p w:rsidR="00920CDE" w:rsidRPr="00920CDE" w:rsidRDefault="00920CDE" w:rsidP="00920CDE">
            <w:pPr>
              <w:rPr>
                <w:bCs/>
              </w:rPr>
            </w:pPr>
            <w:r w:rsidRPr="00920CDE">
              <w:rPr>
                <w:bCs/>
              </w:rPr>
              <w:t>0.178</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tcPr>
          <w:p w:rsidR="00920CDE" w:rsidRPr="00920CDE" w:rsidRDefault="00920CDE" w:rsidP="00920CDE">
            <w:pPr>
              <w:rPr>
                <w:bCs/>
              </w:rPr>
            </w:pPr>
            <w:r w:rsidRPr="00920CDE">
              <w:rPr>
                <w:bCs/>
              </w:rPr>
              <w:t>08/17/2004</w:t>
            </w:r>
          </w:p>
        </w:tc>
        <w:tc>
          <w:tcPr>
            <w:tcW w:w="1589" w:type="dxa"/>
            <w:tcBorders>
              <w:bottom w:val="single" w:sz="4" w:space="0" w:color="000000" w:themeColor="text1"/>
            </w:tcBorders>
          </w:tcPr>
          <w:p w:rsidR="00920CDE" w:rsidRPr="00920CDE" w:rsidRDefault="00920CDE" w:rsidP="00920CDE">
            <w:pPr>
              <w:rPr>
                <w:bCs/>
              </w:rPr>
            </w:pPr>
            <w:r w:rsidRPr="00920CDE">
              <w:rPr>
                <w:bCs/>
              </w:rPr>
              <w:t>0.137</w:t>
            </w:r>
          </w:p>
        </w:tc>
      </w:tr>
      <w:tr w:rsidR="00920CDE" w:rsidRPr="00920CDE" w:rsidTr="00B620F6">
        <w:trPr>
          <w:jc w:val="center"/>
        </w:trPr>
        <w:tc>
          <w:tcPr>
            <w:tcW w:w="2367" w:type="dxa"/>
            <w:vMerge/>
            <w:shd w:val="clear" w:color="auto" w:fill="auto"/>
            <w:vAlign w:val="center"/>
          </w:tcPr>
          <w:p w:rsidR="00920CDE" w:rsidRPr="00920CDE" w:rsidRDefault="00920CDE" w:rsidP="00920CDE">
            <w:pPr>
              <w:rPr>
                <w:bCs/>
              </w:rPr>
            </w:pPr>
          </w:p>
        </w:tc>
        <w:tc>
          <w:tcPr>
            <w:tcW w:w="4567" w:type="dxa"/>
            <w:vMerge/>
            <w:tcBorders>
              <w:bottom w:val="single" w:sz="4" w:space="0" w:color="000000" w:themeColor="text1"/>
            </w:tcBorders>
            <w:shd w:val="clear" w:color="auto" w:fill="auto"/>
            <w:vAlign w:val="center"/>
          </w:tcPr>
          <w:p w:rsidR="00920CDE" w:rsidRPr="00920CDE" w:rsidRDefault="00920CDE" w:rsidP="00920CDE"/>
        </w:tc>
        <w:tc>
          <w:tcPr>
            <w:tcW w:w="1620" w:type="dxa"/>
            <w:tcBorders>
              <w:bottom w:val="single" w:sz="4" w:space="0" w:color="000000" w:themeColor="text1"/>
            </w:tcBorders>
          </w:tcPr>
          <w:p w:rsidR="00920CDE" w:rsidRPr="00920CDE" w:rsidRDefault="00920CDE" w:rsidP="00920CDE">
            <w:pPr>
              <w:rPr>
                <w:bCs/>
              </w:rPr>
            </w:pPr>
            <w:r w:rsidRPr="00920CDE">
              <w:rPr>
                <w:bCs/>
              </w:rPr>
              <w:t>08/25/2009</w:t>
            </w:r>
          </w:p>
        </w:tc>
        <w:tc>
          <w:tcPr>
            <w:tcW w:w="1589" w:type="dxa"/>
            <w:tcBorders>
              <w:bottom w:val="single" w:sz="4" w:space="0" w:color="000000" w:themeColor="text1"/>
            </w:tcBorders>
          </w:tcPr>
          <w:p w:rsidR="00920CDE" w:rsidRPr="00920CDE" w:rsidRDefault="00920CDE" w:rsidP="00920CDE">
            <w:pPr>
              <w:rPr>
                <w:bCs/>
              </w:rPr>
            </w:pPr>
            <w:r w:rsidRPr="00920CDE">
              <w:rPr>
                <w:bCs/>
              </w:rPr>
              <w:t>0.137</w:t>
            </w:r>
          </w:p>
        </w:tc>
      </w:tr>
      <w:tr w:rsidR="00920CDE" w:rsidRPr="00920CDE" w:rsidTr="00B620F6">
        <w:trPr>
          <w:jc w:val="center"/>
        </w:trPr>
        <w:tc>
          <w:tcPr>
            <w:tcW w:w="10143" w:type="dxa"/>
            <w:gridSpan w:val="4"/>
            <w:shd w:val="clear" w:color="auto" w:fill="A6A6A6" w:themeFill="background1" w:themeFillShade="A6"/>
            <w:vAlign w:val="center"/>
          </w:tcPr>
          <w:p w:rsidR="00920CDE" w:rsidRPr="00920CDE" w:rsidRDefault="00920CDE" w:rsidP="00920CDE">
            <w:pPr>
              <w:jc w:val="center"/>
              <w:rPr>
                <w:bCs/>
              </w:rPr>
            </w:pPr>
            <w:r w:rsidRPr="00920CDE">
              <w:rPr>
                <w:b/>
              </w:rPr>
              <w:t>Pre-1970 Boilers &gt; 0.10 gr/dscf</w:t>
            </w:r>
          </w:p>
        </w:tc>
      </w:tr>
      <w:tr w:rsidR="00920CDE" w:rsidRPr="00920CDE" w:rsidTr="00B620F6">
        <w:trPr>
          <w:jc w:val="center"/>
        </w:trPr>
        <w:tc>
          <w:tcPr>
            <w:tcW w:w="2367" w:type="dxa"/>
            <w:tcBorders>
              <w:bottom w:val="single" w:sz="4" w:space="0" w:color="000000" w:themeColor="text1"/>
            </w:tcBorders>
            <w:vAlign w:val="center"/>
          </w:tcPr>
          <w:p w:rsidR="00920CDE" w:rsidRPr="00920CDE" w:rsidRDefault="00920CDE" w:rsidP="00920CDE">
            <w:pPr>
              <w:rPr>
                <w:b/>
              </w:rPr>
            </w:pPr>
            <w:r w:rsidRPr="00920CDE">
              <w:rPr>
                <w:b/>
              </w:rPr>
              <w:t>Source</w:t>
            </w:r>
          </w:p>
        </w:tc>
        <w:tc>
          <w:tcPr>
            <w:tcW w:w="4567" w:type="dxa"/>
            <w:tcBorders>
              <w:bottom w:val="single" w:sz="4" w:space="0" w:color="000000" w:themeColor="text1"/>
            </w:tcBorders>
            <w:vAlign w:val="center"/>
          </w:tcPr>
          <w:p w:rsidR="00920CDE" w:rsidRPr="00920CDE" w:rsidRDefault="00920CDE" w:rsidP="00920CDE">
            <w:pPr>
              <w:rPr>
                <w:b/>
              </w:rPr>
            </w:pPr>
            <w:r w:rsidRPr="00920CDE">
              <w:rPr>
                <w:b/>
              </w:rPr>
              <w:t>Emissions Unit</w:t>
            </w:r>
          </w:p>
        </w:tc>
        <w:tc>
          <w:tcPr>
            <w:tcW w:w="1620" w:type="dxa"/>
            <w:tcBorders>
              <w:bottom w:val="single" w:sz="4" w:space="0" w:color="000000" w:themeColor="text1"/>
            </w:tcBorders>
          </w:tcPr>
          <w:p w:rsidR="00920CDE" w:rsidRPr="00920CDE" w:rsidRDefault="00920CDE" w:rsidP="00920CDE">
            <w:pPr>
              <w:rPr>
                <w:b/>
              </w:rPr>
            </w:pPr>
            <w:r w:rsidRPr="00920CDE">
              <w:rPr>
                <w:b/>
              </w:rPr>
              <w:t>Test Date</w:t>
            </w:r>
          </w:p>
        </w:tc>
        <w:tc>
          <w:tcPr>
            <w:tcW w:w="1589" w:type="dxa"/>
            <w:tcBorders>
              <w:bottom w:val="single" w:sz="4" w:space="0" w:color="000000" w:themeColor="text1"/>
            </w:tcBorders>
          </w:tcPr>
          <w:p w:rsidR="00920CDE" w:rsidRPr="00920CDE" w:rsidRDefault="00920CDE" w:rsidP="00920CDE">
            <w:pPr>
              <w:rPr>
                <w:b/>
              </w:rPr>
            </w:pPr>
            <w:r w:rsidRPr="00920CDE">
              <w:rPr>
                <w:b/>
              </w:rPr>
              <w:t>Grain Loading</w:t>
            </w:r>
          </w:p>
        </w:tc>
      </w:tr>
      <w:tr w:rsidR="00920CDE" w:rsidRPr="00920CDE" w:rsidTr="00B620F6">
        <w:trPr>
          <w:jc w:val="center"/>
        </w:trPr>
        <w:tc>
          <w:tcPr>
            <w:tcW w:w="2367" w:type="dxa"/>
            <w:vMerge w:val="restart"/>
            <w:shd w:val="clear" w:color="auto" w:fill="auto"/>
            <w:vAlign w:val="center"/>
          </w:tcPr>
          <w:p w:rsidR="00920CDE" w:rsidRPr="00920CDE" w:rsidRDefault="00920CDE" w:rsidP="00920CDE">
            <w:pPr>
              <w:rPr>
                <w:bCs/>
              </w:rPr>
            </w:pPr>
            <w:r w:rsidRPr="00920CDE">
              <w:rPr>
                <w:bCs/>
              </w:rPr>
              <w:t>Interfor Pacific</w:t>
            </w:r>
          </w:p>
          <w:p w:rsidR="00920CDE" w:rsidRPr="00920CDE" w:rsidRDefault="00920CDE" w:rsidP="00920CDE">
            <w:pPr>
              <w:rPr>
                <w:bCs/>
              </w:rPr>
            </w:pPr>
          </w:p>
          <w:p w:rsidR="00920CDE" w:rsidRPr="00920CDE" w:rsidRDefault="00920CDE" w:rsidP="00920CDE">
            <w:r w:rsidRPr="00920CDE">
              <w:t>18-0005</w:t>
            </w:r>
          </w:p>
        </w:tc>
        <w:tc>
          <w:tcPr>
            <w:tcW w:w="4567" w:type="dxa"/>
            <w:vMerge w:val="restart"/>
            <w:shd w:val="clear" w:color="auto" w:fill="auto"/>
            <w:vAlign w:val="center"/>
          </w:tcPr>
          <w:p w:rsidR="00920CDE" w:rsidRPr="00920CDE" w:rsidRDefault="00920CDE" w:rsidP="00920CDE">
            <w:pPr>
              <w:rPr>
                <w:bCs/>
              </w:rPr>
            </w:pPr>
            <w:r w:rsidRPr="00920CDE">
              <w:rPr>
                <w:bCs/>
              </w:rPr>
              <w:t>1939 Wickes Dutch oven boiler, 50,000 lb/hr, w/multiclones and economizer</w:t>
            </w:r>
          </w:p>
        </w:tc>
        <w:tc>
          <w:tcPr>
            <w:tcW w:w="1620" w:type="dxa"/>
            <w:tcBorders>
              <w:bottom w:val="single" w:sz="4" w:space="0" w:color="000000" w:themeColor="text1"/>
            </w:tcBorders>
            <w:vAlign w:val="center"/>
          </w:tcPr>
          <w:p w:rsidR="00920CDE" w:rsidRPr="00920CDE" w:rsidRDefault="00920CDE" w:rsidP="00920CDE">
            <w:r w:rsidRPr="00920CDE">
              <w:t>3/11/1997</w:t>
            </w:r>
          </w:p>
        </w:tc>
        <w:tc>
          <w:tcPr>
            <w:tcW w:w="1589" w:type="dxa"/>
            <w:tcBorders>
              <w:bottom w:val="single" w:sz="4" w:space="0" w:color="000000" w:themeColor="text1"/>
            </w:tcBorders>
            <w:vAlign w:val="center"/>
          </w:tcPr>
          <w:p w:rsidR="00920CDE" w:rsidRPr="00920CDE" w:rsidRDefault="00920CDE" w:rsidP="00920CDE">
            <w:r w:rsidRPr="00920CDE">
              <w:t>0.210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8/12/1997</w:t>
            </w:r>
          </w:p>
        </w:tc>
        <w:tc>
          <w:tcPr>
            <w:tcW w:w="1589" w:type="dxa"/>
            <w:tcBorders>
              <w:bottom w:val="single" w:sz="4" w:space="0" w:color="000000" w:themeColor="text1"/>
            </w:tcBorders>
            <w:vAlign w:val="center"/>
          </w:tcPr>
          <w:p w:rsidR="00920CDE" w:rsidRPr="00920CDE" w:rsidRDefault="00920CDE" w:rsidP="00920CDE">
            <w:r w:rsidRPr="00920CDE">
              <w:t>0.125</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9/23/1998</w:t>
            </w:r>
          </w:p>
        </w:tc>
        <w:tc>
          <w:tcPr>
            <w:tcW w:w="1589" w:type="dxa"/>
            <w:tcBorders>
              <w:bottom w:val="single" w:sz="4" w:space="0" w:color="000000" w:themeColor="text1"/>
            </w:tcBorders>
            <w:vAlign w:val="center"/>
          </w:tcPr>
          <w:p w:rsidR="00920CDE" w:rsidRPr="00920CDE" w:rsidRDefault="00920CDE" w:rsidP="00920CDE">
            <w:r w:rsidRPr="00920CDE">
              <w:t>0.097</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6/17/2004</w:t>
            </w:r>
          </w:p>
        </w:tc>
        <w:tc>
          <w:tcPr>
            <w:tcW w:w="1589" w:type="dxa"/>
            <w:tcBorders>
              <w:bottom w:val="single" w:sz="4" w:space="0" w:color="000000" w:themeColor="text1"/>
            </w:tcBorders>
            <w:vAlign w:val="center"/>
          </w:tcPr>
          <w:p w:rsidR="00920CDE" w:rsidRPr="00920CDE" w:rsidRDefault="00920CDE" w:rsidP="00920CDE">
            <w:r w:rsidRPr="00920CDE">
              <w:t>0.110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9/11/2012</w:t>
            </w:r>
          </w:p>
        </w:tc>
        <w:tc>
          <w:tcPr>
            <w:tcW w:w="1589" w:type="dxa"/>
            <w:tcBorders>
              <w:bottom w:val="single" w:sz="4" w:space="0" w:color="000000" w:themeColor="text1"/>
            </w:tcBorders>
            <w:vAlign w:val="center"/>
          </w:tcPr>
          <w:p w:rsidR="00920CDE" w:rsidRPr="00920CDE" w:rsidRDefault="00920CDE" w:rsidP="00920CDE">
            <w:r w:rsidRPr="00920CDE">
              <w:t>0.130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val="restart"/>
            <w:shd w:val="clear" w:color="auto" w:fill="auto"/>
            <w:vAlign w:val="center"/>
          </w:tcPr>
          <w:p w:rsidR="00920CDE" w:rsidRPr="00920CDE" w:rsidRDefault="00920CDE" w:rsidP="00920CDE">
            <w:pPr>
              <w:rPr>
                <w:bCs/>
              </w:rPr>
            </w:pPr>
            <w:r w:rsidRPr="00920CDE">
              <w:rPr>
                <w:bCs/>
              </w:rPr>
              <w:t>1939 Wickes Dutch oven boiler, 50,000 lb/hr, w/multiclones and economizer</w:t>
            </w:r>
          </w:p>
        </w:tc>
        <w:tc>
          <w:tcPr>
            <w:tcW w:w="1620" w:type="dxa"/>
            <w:tcBorders>
              <w:bottom w:val="single" w:sz="4" w:space="0" w:color="000000" w:themeColor="text1"/>
            </w:tcBorders>
            <w:vAlign w:val="center"/>
          </w:tcPr>
          <w:p w:rsidR="00920CDE" w:rsidRPr="00920CDE" w:rsidRDefault="00920CDE" w:rsidP="00920CDE">
            <w:r w:rsidRPr="00920CDE">
              <w:t>8/12/1997</w:t>
            </w:r>
          </w:p>
        </w:tc>
        <w:tc>
          <w:tcPr>
            <w:tcW w:w="1589" w:type="dxa"/>
            <w:tcBorders>
              <w:bottom w:val="single" w:sz="4" w:space="0" w:color="000000" w:themeColor="text1"/>
            </w:tcBorders>
            <w:vAlign w:val="center"/>
          </w:tcPr>
          <w:p w:rsidR="00920CDE" w:rsidRPr="00920CDE" w:rsidRDefault="00920CDE" w:rsidP="00920CDE">
            <w:r w:rsidRPr="00920CDE">
              <w:t>0.196</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9/23/1998</w:t>
            </w:r>
          </w:p>
        </w:tc>
        <w:tc>
          <w:tcPr>
            <w:tcW w:w="1589" w:type="dxa"/>
            <w:tcBorders>
              <w:bottom w:val="single" w:sz="4" w:space="0" w:color="000000" w:themeColor="text1"/>
            </w:tcBorders>
            <w:vAlign w:val="center"/>
          </w:tcPr>
          <w:p w:rsidR="00920CDE" w:rsidRPr="00920CDE" w:rsidRDefault="00920CDE" w:rsidP="00920CDE">
            <w:r w:rsidRPr="00920CDE">
              <w:t>0.086</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9/23/1999</w:t>
            </w:r>
          </w:p>
        </w:tc>
        <w:tc>
          <w:tcPr>
            <w:tcW w:w="1589" w:type="dxa"/>
            <w:tcBorders>
              <w:bottom w:val="single" w:sz="4" w:space="0" w:color="000000" w:themeColor="text1"/>
            </w:tcBorders>
            <w:vAlign w:val="center"/>
          </w:tcPr>
          <w:p w:rsidR="00920CDE" w:rsidRPr="00920CDE" w:rsidRDefault="00920CDE" w:rsidP="00920CDE">
            <w:r w:rsidRPr="00920CDE">
              <w:t>0.140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3/30/2010</w:t>
            </w:r>
          </w:p>
        </w:tc>
        <w:tc>
          <w:tcPr>
            <w:tcW w:w="1589" w:type="dxa"/>
            <w:tcBorders>
              <w:bottom w:val="single" w:sz="4" w:space="0" w:color="000000" w:themeColor="text1"/>
            </w:tcBorders>
            <w:vAlign w:val="center"/>
          </w:tcPr>
          <w:p w:rsidR="00920CDE" w:rsidRPr="00920CDE" w:rsidRDefault="00920CDE" w:rsidP="00920CDE">
            <w:r w:rsidRPr="00920CDE">
              <w:t>0.150</w:t>
            </w:r>
          </w:p>
        </w:tc>
      </w:tr>
      <w:tr w:rsidR="00920CDE" w:rsidRPr="00920CDE" w:rsidTr="00B620F6">
        <w:trPr>
          <w:jc w:val="center"/>
        </w:trPr>
        <w:tc>
          <w:tcPr>
            <w:tcW w:w="2367" w:type="dxa"/>
            <w:vMerge/>
            <w:tcBorders>
              <w:bottom w:val="single" w:sz="4" w:space="0" w:color="000000" w:themeColor="text1"/>
            </w:tcBorders>
            <w:shd w:val="clear" w:color="auto" w:fill="auto"/>
            <w:vAlign w:val="center"/>
          </w:tcPr>
          <w:p w:rsidR="00920CDE" w:rsidRPr="00920CDE" w:rsidRDefault="00920CDE" w:rsidP="00920CDE"/>
        </w:tc>
        <w:tc>
          <w:tcPr>
            <w:tcW w:w="4567" w:type="dxa"/>
            <w:vMerge/>
            <w:tcBorders>
              <w:bottom w:val="single" w:sz="4" w:space="0" w:color="000000" w:themeColor="text1"/>
            </w:tcBorders>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9/12/2012</w:t>
            </w:r>
          </w:p>
        </w:tc>
        <w:tc>
          <w:tcPr>
            <w:tcW w:w="1589" w:type="dxa"/>
            <w:tcBorders>
              <w:bottom w:val="single" w:sz="4" w:space="0" w:color="000000" w:themeColor="text1"/>
            </w:tcBorders>
            <w:vAlign w:val="center"/>
          </w:tcPr>
          <w:p w:rsidR="00920CDE" w:rsidRPr="00920CDE" w:rsidRDefault="00920CDE" w:rsidP="00920CDE">
            <w:r w:rsidRPr="00920CDE">
              <w:t>0.130</w:t>
            </w:r>
          </w:p>
        </w:tc>
      </w:tr>
      <w:tr w:rsidR="00920CDE" w:rsidRPr="00920CDE" w:rsidTr="00B620F6">
        <w:trPr>
          <w:trHeight w:val="269"/>
          <w:jc w:val="center"/>
        </w:trPr>
        <w:tc>
          <w:tcPr>
            <w:tcW w:w="2367" w:type="dxa"/>
            <w:vMerge w:val="restart"/>
            <w:shd w:val="clear" w:color="auto" w:fill="auto"/>
            <w:vAlign w:val="center"/>
          </w:tcPr>
          <w:p w:rsidR="00920CDE" w:rsidRPr="00920CDE" w:rsidRDefault="00920CDE" w:rsidP="00920CDE">
            <w:r w:rsidRPr="00920CDE">
              <w:t>Swanson Group Roseburg</w:t>
            </w:r>
          </w:p>
          <w:p w:rsidR="00920CDE" w:rsidRPr="00920CDE" w:rsidRDefault="00920CDE" w:rsidP="00920CDE">
            <w:r w:rsidRPr="00920CDE">
              <w:t>10-0030</w:t>
            </w:r>
          </w:p>
        </w:tc>
        <w:tc>
          <w:tcPr>
            <w:tcW w:w="4567" w:type="dxa"/>
            <w:vMerge w:val="restart"/>
            <w:shd w:val="clear" w:color="auto" w:fill="auto"/>
            <w:vAlign w:val="center"/>
          </w:tcPr>
          <w:p w:rsidR="00920CDE" w:rsidRPr="00920CDE" w:rsidRDefault="00920CDE" w:rsidP="00920CDE">
            <w:r w:rsidRPr="00920CDE">
              <w:t>1968 Kipper boilers, pin hole grate, mechanical stoker, 31,800 lb steam/hr, w/multiclone</w:t>
            </w:r>
          </w:p>
        </w:tc>
        <w:tc>
          <w:tcPr>
            <w:tcW w:w="1620" w:type="dxa"/>
            <w:vAlign w:val="center"/>
          </w:tcPr>
          <w:p w:rsidR="00920CDE" w:rsidRPr="00920CDE" w:rsidRDefault="00920CDE" w:rsidP="00920CDE">
            <w:r w:rsidRPr="00920CDE">
              <w:t>10/01/2010</w:t>
            </w:r>
          </w:p>
        </w:tc>
        <w:tc>
          <w:tcPr>
            <w:tcW w:w="1589" w:type="dxa"/>
            <w:tcBorders>
              <w:top w:val="single" w:sz="4" w:space="0" w:color="000000" w:themeColor="text1"/>
              <w:bottom w:val="single" w:sz="4" w:space="0" w:color="000000" w:themeColor="text1"/>
            </w:tcBorders>
            <w:shd w:val="clear" w:color="auto" w:fill="DDD9C3" w:themeFill="background2" w:themeFillShade="E6"/>
            <w:vAlign w:val="center"/>
          </w:tcPr>
          <w:p w:rsidR="00920CDE" w:rsidRPr="00920CDE" w:rsidRDefault="00920CDE" w:rsidP="00920CDE">
            <w:r w:rsidRPr="00920CDE">
              <w:t>0.17</w:t>
            </w:r>
          </w:p>
        </w:tc>
      </w:tr>
      <w:tr w:rsidR="00920CDE" w:rsidRPr="00920CDE" w:rsidTr="00B620F6">
        <w:trPr>
          <w:trHeight w:val="269"/>
          <w:jc w:val="center"/>
        </w:trPr>
        <w:tc>
          <w:tcPr>
            <w:tcW w:w="2367" w:type="dxa"/>
            <w:vMerge/>
            <w:tcBorders>
              <w:bottom w:val="single" w:sz="4" w:space="0" w:color="000000" w:themeColor="text1"/>
            </w:tcBorders>
            <w:shd w:val="clear" w:color="auto" w:fill="auto"/>
            <w:vAlign w:val="center"/>
          </w:tcPr>
          <w:p w:rsidR="00920CDE" w:rsidRPr="00920CDE" w:rsidRDefault="00920CDE" w:rsidP="00920CDE"/>
        </w:tc>
        <w:tc>
          <w:tcPr>
            <w:tcW w:w="4567" w:type="dxa"/>
            <w:vMerge/>
            <w:tcBorders>
              <w:bottom w:val="single" w:sz="4" w:space="0" w:color="000000" w:themeColor="text1"/>
            </w:tcBorders>
            <w:shd w:val="clear" w:color="auto" w:fill="auto"/>
            <w:vAlign w:val="center"/>
          </w:tcPr>
          <w:p w:rsidR="00920CDE" w:rsidRPr="00920CDE" w:rsidRDefault="00920CDE" w:rsidP="00920CDE"/>
        </w:tc>
        <w:tc>
          <w:tcPr>
            <w:tcW w:w="1620" w:type="dxa"/>
            <w:tcBorders>
              <w:bottom w:val="single" w:sz="4" w:space="0" w:color="000000" w:themeColor="text1"/>
            </w:tcBorders>
            <w:vAlign w:val="center"/>
          </w:tcPr>
          <w:p w:rsidR="00920CDE" w:rsidRPr="00920CDE" w:rsidRDefault="00920CDE" w:rsidP="00920CDE">
            <w:r w:rsidRPr="00920CDE">
              <w:t>10/06/2011</w:t>
            </w:r>
          </w:p>
        </w:tc>
        <w:tc>
          <w:tcPr>
            <w:tcW w:w="1589" w:type="dxa"/>
            <w:tcBorders>
              <w:top w:val="single" w:sz="4" w:space="0" w:color="000000" w:themeColor="text1"/>
              <w:bottom w:val="single" w:sz="4" w:space="0" w:color="000000" w:themeColor="text1"/>
            </w:tcBorders>
            <w:shd w:val="clear" w:color="auto" w:fill="DDD9C3" w:themeFill="background2" w:themeFillShade="E6"/>
            <w:vAlign w:val="center"/>
          </w:tcPr>
          <w:p w:rsidR="00920CDE" w:rsidRPr="00920CDE" w:rsidRDefault="00920CDE" w:rsidP="00920CDE">
            <w:r w:rsidRPr="00920CDE">
              <w:t>0.17</w:t>
            </w:r>
          </w:p>
        </w:tc>
      </w:tr>
      <w:tr w:rsidR="00920CDE" w:rsidRPr="00920CDE" w:rsidTr="00B620F6">
        <w:trPr>
          <w:trHeight w:val="224"/>
          <w:jc w:val="center"/>
        </w:trPr>
        <w:tc>
          <w:tcPr>
            <w:tcW w:w="2367" w:type="dxa"/>
            <w:tcBorders>
              <w:left w:val="nil"/>
              <w:bottom w:val="single" w:sz="4" w:space="0" w:color="000000" w:themeColor="text1"/>
              <w:right w:val="nil"/>
            </w:tcBorders>
            <w:shd w:val="clear" w:color="auto" w:fill="auto"/>
            <w:vAlign w:val="center"/>
          </w:tcPr>
          <w:p w:rsidR="00920CDE" w:rsidRPr="00920CDE" w:rsidRDefault="00920CDE" w:rsidP="00920CDE">
            <w:pPr>
              <w:rPr>
                <w:bCs/>
              </w:rPr>
            </w:pPr>
          </w:p>
        </w:tc>
        <w:tc>
          <w:tcPr>
            <w:tcW w:w="4567" w:type="dxa"/>
            <w:tcBorders>
              <w:left w:val="nil"/>
              <w:bottom w:val="single" w:sz="4" w:space="0" w:color="000000" w:themeColor="text1"/>
              <w:right w:val="nil"/>
            </w:tcBorders>
            <w:shd w:val="clear" w:color="auto" w:fill="auto"/>
            <w:vAlign w:val="center"/>
          </w:tcPr>
          <w:p w:rsidR="00920CDE" w:rsidRPr="00920CDE" w:rsidRDefault="00920CDE" w:rsidP="00920CDE">
            <w:pPr>
              <w:rPr>
                <w:b/>
              </w:rPr>
            </w:pPr>
          </w:p>
        </w:tc>
        <w:tc>
          <w:tcPr>
            <w:tcW w:w="1620" w:type="dxa"/>
            <w:tcBorders>
              <w:left w:val="nil"/>
              <w:bottom w:val="single" w:sz="4" w:space="0" w:color="000000" w:themeColor="text1"/>
              <w:right w:val="nil"/>
            </w:tcBorders>
            <w:shd w:val="clear" w:color="auto" w:fill="auto"/>
          </w:tcPr>
          <w:p w:rsidR="00920CDE" w:rsidRPr="00920CDE" w:rsidRDefault="00920CDE" w:rsidP="00920CDE">
            <w:pPr>
              <w:rPr>
                <w:bCs/>
              </w:rPr>
            </w:pPr>
          </w:p>
        </w:tc>
        <w:tc>
          <w:tcPr>
            <w:tcW w:w="1589" w:type="dxa"/>
            <w:tcBorders>
              <w:left w:val="nil"/>
              <w:bottom w:val="single" w:sz="4" w:space="0" w:color="000000" w:themeColor="text1"/>
              <w:right w:val="nil"/>
            </w:tcBorders>
            <w:shd w:val="clear" w:color="auto" w:fill="auto"/>
          </w:tcPr>
          <w:p w:rsidR="00920CDE" w:rsidRPr="00920CDE" w:rsidRDefault="00920CDE" w:rsidP="00920CDE">
            <w:pPr>
              <w:rPr>
                <w:bCs/>
              </w:rPr>
            </w:pPr>
          </w:p>
        </w:tc>
      </w:tr>
      <w:tr w:rsidR="00920CDE" w:rsidRPr="00920CDE" w:rsidTr="00B620F6">
        <w:trPr>
          <w:jc w:val="center"/>
        </w:trPr>
        <w:tc>
          <w:tcPr>
            <w:tcW w:w="10143" w:type="dxa"/>
            <w:gridSpan w:val="4"/>
            <w:tcBorders>
              <w:bottom w:val="single" w:sz="4" w:space="0" w:color="000000" w:themeColor="text1"/>
            </w:tcBorders>
            <w:shd w:val="clear" w:color="auto" w:fill="A6A6A6" w:themeFill="background1" w:themeFillShade="A6"/>
            <w:vAlign w:val="center"/>
          </w:tcPr>
          <w:p w:rsidR="00920CDE" w:rsidRPr="00920CDE" w:rsidRDefault="00920CDE" w:rsidP="00920CDE">
            <w:pPr>
              <w:rPr>
                <w:bCs/>
              </w:rPr>
            </w:pPr>
            <w:r w:rsidRPr="00920CDE">
              <w:rPr>
                <w:b/>
              </w:rPr>
              <w:t>Post-1970 Boilers &gt; 0.10 gr/dscf</w:t>
            </w:r>
          </w:p>
        </w:tc>
      </w:tr>
      <w:tr w:rsidR="00920CDE" w:rsidRPr="00920CDE" w:rsidTr="00B620F6">
        <w:trPr>
          <w:jc w:val="center"/>
        </w:trPr>
        <w:tc>
          <w:tcPr>
            <w:tcW w:w="2367" w:type="dxa"/>
            <w:tcBorders>
              <w:bottom w:val="single" w:sz="4" w:space="0" w:color="000000" w:themeColor="text1"/>
            </w:tcBorders>
            <w:vAlign w:val="center"/>
          </w:tcPr>
          <w:p w:rsidR="00920CDE" w:rsidRPr="00920CDE" w:rsidRDefault="00920CDE" w:rsidP="00920CDE">
            <w:pPr>
              <w:rPr>
                <w:b/>
              </w:rPr>
            </w:pPr>
            <w:r w:rsidRPr="00920CDE">
              <w:rPr>
                <w:b/>
              </w:rPr>
              <w:t>Source</w:t>
            </w:r>
          </w:p>
        </w:tc>
        <w:tc>
          <w:tcPr>
            <w:tcW w:w="4567" w:type="dxa"/>
            <w:tcBorders>
              <w:bottom w:val="single" w:sz="4" w:space="0" w:color="000000" w:themeColor="text1"/>
            </w:tcBorders>
            <w:vAlign w:val="center"/>
          </w:tcPr>
          <w:p w:rsidR="00920CDE" w:rsidRPr="00920CDE" w:rsidRDefault="00920CDE" w:rsidP="00920CDE">
            <w:pPr>
              <w:rPr>
                <w:b/>
              </w:rPr>
            </w:pPr>
            <w:r w:rsidRPr="00920CDE">
              <w:rPr>
                <w:b/>
              </w:rPr>
              <w:t>Emissions Unit</w:t>
            </w:r>
          </w:p>
        </w:tc>
        <w:tc>
          <w:tcPr>
            <w:tcW w:w="1620" w:type="dxa"/>
            <w:tcBorders>
              <w:bottom w:val="single" w:sz="4" w:space="0" w:color="000000" w:themeColor="text1"/>
            </w:tcBorders>
          </w:tcPr>
          <w:p w:rsidR="00920CDE" w:rsidRPr="00920CDE" w:rsidRDefault="00920CDE" w:rsidP="00920CDE">
            <w:pPr>
              <w:rPr>
                <w:b/>
              </w:rPr>
            </w:pPr>
            <w:r w:rsidRPr="00920CDE">
              <w:rPr>
                <w:b/>
              </w:rPr>
              <w:t>Test Date</w:t>
            </w:r>
          </w:p>
        </w:tc>
        <w:tc>
          <w:tcPr>
            <w:tcW w:w="1589" w:type="dxa"/>
            <w:tcBorders>
              <w:bottom w:val="single" w:sz="4" w:space="0" w:color="000000" w:themeColor="text1"/>
            </w:tcBorders>
          </w:tcPr>
          <w:p w:rsidR="00920CDE" w:rsidRPr="00920CDE" w:rsidRDefault="00920CDE" w:rsidP="00920CDE">
            <w:pPr>
              <w:rPr>
                <w:b/>
              </w:rPr>
            </w:pPr>
            <w:r w:rsidRPr="00920CDE">
              <w:rPr>
                <w:b/>
              </w:rPr>
              <w:t>Grain Loading</w:t>
            </w:r>
          </w:p>
        </w:tc>
      </w:tr>
      <w:tr w:rsidR="00920CDE" w:rsidRPr="00920CDE" w:rsidTr="00B620F6">
        <w:trPr>
          <w:jc w:val="center"/>
        </w:trPr>
        <w:tc>
          <w:tcPr>
            <w:tcW w:w="2367" w:type="dxa"/>
            <w:vMerge w:val="restart"/>
            <w:shd w:val="clear" w:color="auto" w:fill="auto"/>
            <w:vAlign w:val="center"/>
          </w:tcPr>
          <w:p w:rsidR="00920CDE" w:rsidRPr="00920CDE" w:rsidRDefault="00920CDE" w:rsidP="00920CDE">
            <w:pPr>
              <w:rPr>
                <w:bCs/>
              </w:rPr>
            </w:pPr>
            <w:r w:rsidRPr="00920CDE">
              <w:rPr>
                <w:bCs/>
              </w:rPr>
              <w:t>Collins (Fremont Sawmill)</w:t>
            </w:r>
          </w:p>
          <w:p w:rsidR="00920CDE" w:rsidRPr="00920CDE" w:rsidRDefault="00920CDE" w:rsidP="00920CDE">
            <w:pPr>
              <w:rPr>
                <w:bCs/>
              </w:rPr>
            </w:pPr>
          </w:p>
          <w:p w:rsidR="00920CDE" w:rsidRPr="00920CDE" w:rsidRDefault="00920CDE" w:rsidP="00920CDE">
            <w:pPr>
              <w:rPr>
                <w:bCs/>
              </w:rPr>
            </w:pPr>
            <w:r w:rsidRPr="00920CDE">
              <w:rPr>
                <w:bCs/>
              </w:rPr>
              <w:t>19-0002</w:t>
            </w:r>
          </w:p>
          <w:p w:rsidR="00920CDE" w:rsidRPr="00920CDE" w:rsidRDefault="00920CDE" w:rsidP="00920CDE"/>
        </w:tc>
        <w:tc>
          <w:tcPr>
            <w:tcW w:w="4567" w:type="dxa"/>
            <w:vMerge w:val="restart"/>
            <w:shd w:val="clear" w:color="auto" w:fill="auto"/>
            <w:vAlign w:val="center"/>
          </w:tcPr>
          <w:p w:rsidR="00920CDE" w:rsidRPr="00920CDE" w:rsidRDefault="00920CDE" w:rsidP="00920CDE">
            <w:r w:rsidRPr="00920CDE">
              <w:t>’75 Wickes Dutch oven, 18,000 lb/yr, w/multiclone</w:t>
            </w:r>
          </w:p>
        </w:tc>
        <w:tc>
          <w:tcPr>
            <w:tcW w:w="1620" w:type="dxa"/>
            <w:vAlign w:val="center"/>
          </w:tcPr>
          <w:p w:rsidR="00920CDE" w:rsidRPr="00920CDE" w:rsidRDefault="00920CDE" w:rsidP="00920CDE">
            <w:r w:rsidRPr="00920CDE">
              <w:t>4/5/2006</w:t>
            </w:r>
          </w:p>
        </w:tc>
        <w:tc>
          <w:tcPr>
            <w:tcW w:w="1589" w:type="dxa"/>
            <w:vAlign w:val="center"/>
          </w:tcPr>
          <w:p w:rsidR="00920CDE" w:rsidRPr="00920CDE" w:rsidRDefault="00920CDE" w:rsidP="00920CDE">
            <w:r w:rsidRPr="00920CDE">
              <w:t>0.090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5/20/2008</w:t>
            </w:r>
          </w:p>
        </w:tc>
        <w:tc>
          <w:tcPr>
            <w:tcW w:w="1589" w:type="dxa"/>
            <w:vAlign w:val="center"/>
          </w:tcPr>
          <w:p w:rsidR="00920CDE" w:rsidRPr="00920CDE" w:rsidRDefault="00920CDE" w:rsidP="00920CDE">
            <w:r w:rsidRPr="00920CDE">
              <w:t>0.130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val="restart"/>
            <w:shd w:val="clear" w:color="auto" w:fill="auto"/>
            <w:vAlign w:val="center"/>
          </w:tcPr>
          <w:p w:rsidR="00920CDE" w:rsidRPr="00920CDE" w:rsidRDefault="00920CDE" w:rsidP="00920CDE">
            <w:r w:rsidRPr="00920CDE">
              <w:t>’89 Trane-Murray Dutch oven, 24,000 lb/hr, w/multiclone</w:t>
            </w:r>
          </w:p>
        </w:tc>
        <w:tc>
          <w:tcPr>
            <w:tcW w:w="1620" w:type="dxa"/>
            <w:vAlign w:val="center"/>
          </w:tcPr>
          <w:p w:rsidR="00920CDE" w:rsidRPr="00920CDE" w:rsidRDefault="00920CDE" w:rsidP="00920CDE">
            <w:r w:rsidRPr="00920CDE">
              <w:t>4/6/2006</w:t>
            </w:r>
          </w:p>
        </w:tc>
        <w:tc>
          <w:tcPr>
            <w:tcW w:w="1589" w:type="dxa"/>
            <w:vAlign w:val="center"/>
          </w:tcPr>
          <w:p w:rsidR="00920CDE" w:rsidRPr="00920CDE" w:rsidRDefault="00920CDE" w:rsidP="00920CDE">
            <w:r w:rsidRPr="00920CDE">
              <w:t>0.080</w:t>
            </w:r>
          </w:p>
        </w:tc>
      </w:tr>
      <w:tr w:rsidR="00920CDE" w:rsidRPr="00920CDE" w:rsidTr="00B620F6">
        <w:trPr>
          <w:jc w:val="center"/>
        </w:trPr>
        <w:tc>
          <w:tcPr>
            <w:tcW w:w="2367" w:type="dxa"/>
            <w:vMerge/>
            <w:shd w:val="clear" w:color="auto" w:fill="auto"/>
            <w:vAlign w:val="center"/>
          </w:tcPr>
          <w:p w:rsidR="00920CDE" w:rsidRPr="00920CDE" w:rsidRDefault="00920CDE" w:rsidP="00920CDE"/>
        </w:tc>
        <w:tc>
          <w:tcPr>
            <w:tcW w:w="4567" w:type="dxa"/>
            <w:vMerge/>
            <w:shd w:val="clear" w:color="auto" w:fill="auto"/>
            <w:vAlign w:val="center"/>
          </w:tcPr>
          <w:p w:rsidR="00920CDE" w:rsidRPr="00920CDE" w:rsidRDefault="00920CDE" w:rsidP="00920CDE"/>
        </w:tc>
        <w:tc>
          <w:tcPr>
            <w:tcW w:w="1620" w:type="dxa"/>
            <w:vAlign w:val="center"/>
          </w:tcPr>
          <w:p w:rsidR="00920CDE" w:rsidRPr="00920CDE" w:rsidRDefault="00920CDE" w:rsidP="00920CDE">
            <w:r w:rsidRPr="00920CDE">
              <w:t>5/19/2008</w:t>
            </w:r>
          </w:p>
        </w:tc>
        <w:tc>
          <w:tcPr>
            <w:tcW w:w="1589" w:type="dxa"/>
            <w:vAlign w:val="center"/>
          </w:tcPr>
          <w:p w:rsidR="00920CDE" w:rsidRPr="00920CDE" w:rsidRDefault="00920CDE" w:rsidP="00920CDE">
            <w:r w:rsidRPr="00920CDE">
              <w:t>0.090</w:t>
            </w:r>
          </w:p>
        </w:tc>
      </w:tr>
      <w:tr w:rsidR="00920CDE" w:rsidRPr="00920CDE" w:rsidTr="00B620F6">
        <w:trPr>
          <w:jc w:val="center"/>
        </w:trPr>
        <w:tc>
          <w:tcPr>
            <w:tcW w:w="2367" w:type="dxa"/>
            <w:shd w:val="clear" w:color="auto" w:fill="auto"/>
            <w:vAlign w:val="center"/>
          </w:tcPr>
          <w:p w:rsidR="00920CDE" w:rsidRPr="00920CDE" w:rsidRDefault="00920CDE" w:rsidP="00920CDE">
            <w:r w:rsidRPr="00920CDE">
              <w:t xml:space="preserve">Prineville Sawmill </w:t>
            </w:r>
          </w:p>
          <w:p w:rsidR="00920CDE" w:rsidRPr="00920CDE" w:rsidRDefault="00920CDE" w:rsidP="00920CDE">
            <w:r w:rsidRPr="00920CDE">
              <w:t>07-0021</w:t>
            </w:r>
          </w:p>
        </w:tc>
        <w:tc>
          <w:tcPr>
            <w:tcW w:w="4567" w:type="dxa"/>
            <w:shd w:val="clear" w:color="auto" w:fill="auto"/>
            <w:vAlign w:val="center"/>
          </w:tcPr>
          <w:p w:rsidR="00920CDE" w:rsidRPr="00920CDE" w:rsidRDefault="00920CDE" w:rsidP="00920CDE">
            <w:r w:rsidRPr="00920CDE">
              <w:t>HFB (not operating)</w:t>
            </w:r>
          </w:p>
        </w:tc>
        <w:tc>
          <w:tcPr>
            <w:tcW w:w="1620" w:type="dxa"/>
            <w:vAlign w:val="center"/>
          </w:tcPr>
          <w:p w:rsidR="00920CDE" w:rsidRPr="00920CDE" w:rsidRDefault="00920CDE" w:rsidP="00920CDE">
            <w:r w:rsidRPr="00920CDE">
              <w:t>2008</w:t>
            </w:r>
          </w:p>
        </w:tc>
        <w:tc>
          <w:tcPr>
            <w:tcW w:w="1589" w:type="dxa"/>
            <w:vAlign w:val="center"/>
          </w:tcPr>
          <w:p w:rsidR="00920CDE" w:rsidRPr="00920CDE" w:rsidRDefault="00920CDE" w:rsidP="00920CDE">
            <w:r w:rsidRPr="00920CDE">
              <w:t>0.16</w:t>
            </w:r>
          </w:p>
        </w:tc>
      </w:tr>
      <w:tr w:rsidR="00920CDE" w:rsidRPr="00920CDE" w:rsidTr="00B620F6">
        <w:trPr>
          <w:jc w:val="center"/>
        </w:trPr>
        <w:tc>
          <w:tcPr>
            <w:tcW w:w="2367" w:type="dxa"/>
            <w:tcBorders>
              <w:bottom w:val="single" w:sz="4" w:space="0" w:color="000000" w:themeColor="text1"/>
            </w:tcBorders>
            <w:shd w:val="clear" w:color="auto" w:fill="auto"/>
            <w:vAlign w:val="center"/>
          </w:tcPr>
          <w:p w:rsidR="00920CDE" w:rsidRPr="00920CDE" w:rsidRDefault="00920CDE" w:rsidP="00920CDE">
            <w:pPr>
              <w:rPr>
                <w:bCs/>
              </w:rPr>
            </w:pPr>
            <w:r w:rsidRPr="00920CDE">
              <w:rPr>
                <w:bCs/>
              </w:rPr>
              <w:t>Umpqua Lumber</w:t>
            </w:r>
          </w:p>
          <w:p w:rsidR="00920CDE" w:rsidRPr="00920CDE" w:rsidRDefault="00920CDE" w:rsidP="00920CDE">
            <w:pPr>
              <w:rPr>
                <w:bCs/>
              </w:rPr>
            </w:pPr>
            <w:r w:rsidRPr="00920CDE">
              <w:rPr>
                <w:bCs/>
              </w:rPr>
              <w:t>10-0027</w:t>
            </w:r>
          </w:p>
        </w:tc>
        <w:tc>
          <w:tcPr>
            <w:tcW w:w="4567" w:type="dxa"/>
            <w:tcBorders>
              <w:bottom w:val="single" w:sz="4" w:space="0" w:color="000000" w:themeColor="text1"/>
            </w:tcBorders>
            <w:shd w:val="clear" w:color="auto" w:fill="auto"/>
            <w:vAlign w:val="center"/>
          </w:tcPr>
          <w:p w:rsidR="00920CDE" w:rsidRPr="00920CDE" w:rsidRDefault="00920CDE" w:rsidP="00920CDE">
            <w:r w:rsidRPr="00920CDE">
              <w:t>1975 Wellons boiler, 20,000 lb/hr, w/multiclone</w:t>
            </w:r>
          </w:p>
        </w:tc>
        <w:tc>
          <w:tcPr>
            <w:tcW w:w="1620" w:type="dxa"/>
            <w:tcBorders>
              <w:bottom w:val="single" w:sz="4" w:space="0" w:color="000000" w:themeColor="text1"/>
            </w:tcBorders>
            <w:vAlign w:val="center"/>
          </w:tcPr>
          <w:p w:rsidR="00920CDE" w:rsidRPr="00920CDE" w:rsidRDefault="00920CDE" w:rsidP="00920CDE">
            <w:pPr>
              <w:rPr>
                <w:bCs/>
              </w:rPr>
            </w:pPr>
            <w:r w:rsidRPr="00920CDE">
              <w:rPr>
                <w:bCs/>
              </w:rPr>
              <w:t>11/2010</w:t>
            </w:r>
          </w:p>
        </w:tc>
        <w:tc>
          <w:tcPr>
            <w:tcW w:w="1589" w:type="dxa"/>
            <w:tcBorders>
              <w:bottom w:val="single" w:sz="4" w:space="0" w:color="000000" w:themeColor="text1"/>
            </w:tcBorders>
            <w:vAlign w:val="center"/>
          </w:tcPr>
          <w:p w:rsidR="00920CDE" w:rsidRPr="00920CDE" w:rsidRDefault="00920CDE" w:rsidP="00920CDE">
            <w:pPr>
              <w:rPr>
                <w:bCs/>
              </w:rPr>
            </w:pPr>
            <w:r w:rsidRPr="00920CDE">
              <w:rPr>
                <w:bCs/>
              </w:rPr>
              <w:t>0.105</w:t>
            </w:r>
          </w:p>
        </w:tc>
      </w:tr>
      <w:tr w:rsidR="00920CDE" w:rsidRPr="00920CDE" w:rsidTr="00B620F6">
        <w:trPr>
          <w:jc w:val="center"/>
        </w:trPr>
        <w:tc>
          <w:tcPr>
            <w:tcW w:w="2367" w:type="dxa"/>
            <w:tcBorders>
              <w:left w:val="nil"/>
              <w:bottom w:val="single" w:sz="4" w:space="0" w:color="000000" w:themeColor="text1"/>
              <w:right w:val="nil"/>
            </w:tcBorders>
            <w:shd w:val="clear" w:color="auto" w:fill="auto"/>
            <w:vAlign w:val="center"/>
          </w:tcPr>
          <w:p w:rsidR="00920CDE" w:rsidRPr="00920CDE" w:rsidRDefault="00920CDE" w:rsidP="00920CDE">
            <w:pPr>
              <w:rPr>
                <w:bCs/>
              </w:rPr>
            </w:pPr>
          </w:p>
        </w:tc>
        <w:tc>
          <w:tcPr>
            <w:tcW w:w="4567" w:type="dxa"/>
            <w:tcBorders>
              <w:left w:val="nil"/>
              <w:bottom w:val="single" w:sz="4" w:space="0" w:color="000000" w:themeColor="text1"/>
              <w:right w:val="nil"/>
            </w:tcBorders>
            <w:shd w:val="clear" w:color="auto" w:fill="auto"/>
            <w:vAlign w:val="center"/>
          </w:tcPr>
          <w:p w:rsidR="00920CDE" w:rsidRPr="00920CDE" w:rsidRDefault="00920CDE" w:rsidP="00920CDE"/>
        </w:tc>
        <w:tc>
          <w:tcPr>
            <w:tcW w:w="1620" w:type="dxa"/>
            <w:tcBorders>
              <w:left w:val="nil"/>
              <w:bottom w:val="single" w:sz="4" w:space="0" w:color="000000" w:themeColor="text1"/>
              <w:right w:val="nil"/>
            </w:tcBorders>
            <w:vAlign w:val="center"/>
          </w:tcPr>
          <w:p w:rsidR="00920CDE" w:rsidRPr="00920CDE" w:rsidRDefault="00920CDE" w:rsidP="00920CDE">
            <w:pPr>
              <w:rPr>
                <w:bCs/>
              </w:rPr>
            </w:pPr>
          </w:p>
        </w:tc>
        <w:tc>
          <w:tcPr>
            <w:tcW w:w="1589" w:type="dxa"/>
            <w:tcBorders>
              <w:left w:val="nil"/>
              <w:bottom w:val="single" w:sz="4" w:space="0" w:color="000000" w:themeColor="text1"/>
              <w:right w:val="nil"/>
            </w:tcBorders>
            <w:vAlign w:val="center"/>
          </w:tcPr>
          <w:p w:rsidR="00920CDE" w:rsidRPr="00920CDE" w:rsidRDefault="00920CDE" w:rsidP="00920CDE">
            <w:pPr>
              <w:rPr>
                <w:bCs/>
              </w:rPr>
            </w:pPr>
          </w:p>
        </w:tc>
      </w:tr>
      <w:tr w:rsidR="00920CDE" w:rsidRPr="00920CDE" w:rsidTr="00B620F6">
        <w:trPr>
          <w:jc w:val="center"/>
        </w:trPr>
        <w:tc>
          <w:tcPr>
            <w:tcW w:w="10143" w:type="dxa"/>
            <w:gridSpan w:val="4"/>
            <w:shd w:val="clear" w:color="auto" w:fill="A6A6A6" w:themeFill="background1" w:themeFillShade="A6"/>
            <w:vAlign w:val="center"/>
          </w:tcPr>
          <w:p w:rsidR="00920CDE" w:rsidRPr="00920CDE" w:rsidRDefault="00920CDE" w:rsidP="00920CDE">
            <w:pPr>
              <w:rPr>
                <w:b/>
                <w:bCs/>
              </w:rPr>
            </w:pPr>
            <w:r w:rsidRPr="00920CDE">
              <w:rPr>
                <w:b/>
                <w:bCs/>
              </w:rPr>
              <w:t>Asphalt Plants</w:t>
            </w:r>
          </w:p>
        </w:tc>
      </w:tr>
      <w:tr w:rsidR="00920CDE" w:rsidRPr="00920CDE" w:rsidTr="00B620F6">
        <w:trPr>
          <w:jc w:val="center"/>
        </w:trPr>
        <w:tc>
          <w:tcPr>
            <w:tcW w:w="2367" w:type="dxa"/>
            <w:shd w:val="clear" w:color="auto" w:fill="auto"/>
            <w:vAlign w:val="center"/>
          </w:tcPr>
          <w:p w:rsidR="00920CDE" w:rsidRPr="00920CDE" w:rsidRDefault="00920CDE" w:rsidP="00920CDE">
            <w:pPr>
              <w:rPr>
                <w:bCs/>
              </w:rPr>
            </w:pPr>
            <w:r w:rsidRPr="00920CDE">
              <w:rPr>
                <w:bCs/>
              </w:rPr>
              <w:t>Harney Rock and Paving</w:t>
            </w:r>
          </w:p>
          <w:p w:rsidR="00920CDE" w:rsidRPr="00920CDE" w:rsidRDefault="00920CDE" w:rsidP="00920CDE">
            <w:pPr>
              <w:rPr>
                <w:bCs/>
              </w:rPr>
            </w:pPr>
            <w:r w:rsidRPr="00920CDE">
              <w:rPr>
                <w:bCs/>
              </w:rPr>
              <w:t>13-0010</w:t>
            </w:r>
          </w:p>
        </w:tc>
        <w:tc>
          <w:tcPr>
            <w:tcW w:w="4567" w:type="dxa"/>
            <w:shd w:val="clear" w:color="auto" w:fill="auto"/>
            <w:vAlign w:val="center"/>
          </w:tcPr>
          <w:p w:rsidR="00920CDE" w:rsidRPr="00920CDE" w:rsidRDefault="00920CDE" w:rsidP="00920CDE">
            <w:r w:rsidRPr="00920CDE">
              <w:t>Asphalt plant</w:t>
            </w:r>
          </w:p>
        </w:tc>
        <w:tc>
          <w:tcPr>
            <w:tcW w:w="1620" w:type="dxa"/>
            <w:vAlign w:val="center"/>
          </w:tcPr>
          <w:p w:rsidR="00920CDE" w:rsidRPr="00920CDE" w:rsidRDefault="00920CDE" w:rsidP="00920CDE">
            <w:pPr>
              <w:rPr>
                <w:bCs/>
              </w:rPr>
            </w:pPr>
            <w:r w:rsidRPr="00920CDE">
              <w:rPr>
                <w:bCs/>
              </w:rPr>
              <w:t>1999</w:t>
            </w:r>
          </w:p>
        </w:tc>
        <w:tc>
          <w:tcPr>
            <w:tcW w:w="1589" w:type="dxa"/>
            <w:vAlign w:val="center"/>
          </w:tcPr>
          <w:p w:rsidR="00920CDE" w:rsidRPr="00920CDE" w:rsidRDefault="00920CDE" w:rsidP="00920CDE">
            <w:pPr>
              <w:rPr>
                <w:bCs/>
              </w:rPr>
            </w:pPr>
            <w:r w:rsidRPr="00920CDE">
              <w:rPr>
                <w:bCs/>
              </w:rPr>
              <w:t>0.22</w:t>
            </w:r>
          </w:p>
        </w:tc>
      </w:tr>
      <w:tr w:rsidR="00920CDE" w:rsidRPr="00920CDE" w:rsidTr="00B620F6">
        <w:trPr>
          <w:jc w:val="center"/>
        </w:trPr>
        <w:tc>
          <w:tcPr>
            <w:tcW w:w="2367" w:type="dxa"/>
            <w:shd w:val="clear" w:color="auto" w:fill="auto"/>
            <w:vAlign w:val="center"/>
          </w:tcPr>
          <w:p w:rsidR="00920CDE" w:rsidRPr="00920CDE" w:rsidRDefault="00920CDE" w:rsidP="00920CDE">
            <w:pPr>
              <w:rPr>
                <w:bCs/>
              </w:rPr>
            </w:pPr>
            <w:r w:rsidRPr="00920CDE">
              <w:rPr>
                <w:bCs/>
              </w:rPr>
              <w:t>Humbert Asphalt</w:t>
            </w:r>
          </w:p>
          <w:p w:rsidR="00920CDE" w:rsidRPr="00920CDE" w:rsidRDefault="00920CDE" w:rsidP="00920CDE">
            <w:pPr>
              <w:rPr>
                <w:bCs/>
              </w:rPr>
            </w:pPr>
            <w:r w:rsidRPr="00920CDE">
              <w:rPr>
                <w:bCs/>
              </w:rPr>
              <w:t>37-0112</w:t>
            </w:r>
          </w:p>
        </w:tc>
        <w:tc>
          <w:tcPr>
            <w:tcW w:w="4567" w:type="dxa"/>
            <w:shd w:val="clear" w:color="auto" w:fill="auto"/>
            <w:vAlign w:val="center"/>
          </w:tcPr>
          <w:p w:rsidR="00920CDE" w:rsidRPr="00920CDE" w:rsidRDefault="00920CDE" w:rsidP="00920CDE">
            <w:pPr>
              <w:rPr>
                <w:bCs/>
              </w:rPr>
            </w:pPr>
            <w:r w:rsidRPr="00920CDE">
              <w:rPr>
                <w:bCs/>
              </w:rPr>
              <w:t>Asphalt plant</w:t>
            </w:r>
          </w:p>
        </w:tc>
        <w:tc>
          <w:tcPr>
            <w:tcW w:w="1620" w:type="dxa"/>
            <w:vAlign w:val="center"/>
          </w:tcPr>
          <w:p w:rsidR="00920CDE" w:rsidRPr="00920CDE" w:rsidRDefault="00920CDE" w:rsidP="00920CDE">
            <w:pPr>
              <w:rPr>
                <w:bCs/>
              </w:rPr>
            </w:pPr>
            <w:r w:rsidRPr="00920CDE">
              <w:rPr>
                <w:bCs/>
              </w:rPr>
              <w:t>07/2003</w:t>
            </w:r>
          </w:p>
        </w:tc>
        <w:tc>
          <w:tcPr>
            <w:tcW w:w="1589" w:type="dxa"/>
            <w:vAlign w:val="center"/>
          </w:tcPr>
          <w:p w:rsidR="00920CDE" w:rsidRPr="00920CDE" w:rsidRDefault="00920CDE" w:rsidP="00920CDE">
            <w:pPr>
              <w:rPr>
                <w:bCs/>
              </w:rPr>
            </w:pPr>
            <w:r w:rsidRPr="00920CDE">
              <w:rPr>
                <w:bCs/>
              </w:rPr>
              <w:t>0.11</w:t>
            </w:r>
          </w:p>
        </w:tc>
      </w:tr>
      <w:tr w:rsidR="00920CDE" w:rsidRPr="00920CDE" w:rsidTr="00B620F6">
        <w:trPr>
          <w:jc w:val="center"/>
        </w:trPr>
        <w:tc>
          <w:tcPr>
            <w:tcW w:w="2367" w:type="dxa"/>
            <w:shd w:val="clear" w:color="auto" w:fill="auto"/>
            <w:vAlign w:val="center"/>
          </w:tcPr>
          <w:p w:rsidR="00920CDE" w:rsidRPr="00920CDE" w:rsidRDefault="00920CDE" w:rsidP="00920CDE">
            <w:pPr>
              <w:rPr>
                <w:bCs/>
              </w:rPr>
            </w:pPr>
            <w:r w:rsidRPr="00920CDE">
              <w:rPr>
                <w:bCs/>
              </w:rPr>
              <w:t xml:space="preserve">Rogers Asphalt Paving </w:t>
            </w:r>
          </w:p>
          <w:p w:rsidR="00920CDE" w:rsidRPr="00920CDE" w:rsidRDefault="00920CDE" w:rsidP="00920CDE">
            <w:pPr>
              <w:rPr>
                <w:bCs/>
              </w:rPr>
            </w:pPr>
            <w:r w:rsidRPr="00920CDE">
              <w:rPr>
                <w:bCs/>
              </w:rPr>
              <w:t>31-0001</w:t>
            </w:r>
          </w:p>
        </w:tc>
        <w:tc>
          <w:tcPr>
            <w:tcW w:w="4567" w:type="dxa"/>
            <w:shd w:val="clear" w:color="auto" w:fill="auto"/>
            <w:vAlign w:val="center"/>
          </w:tcPr>
          <w:p w:rsidR="00920CDE" w:rsidRPr="00920CDE" w:rsidRDefault="00920CDE" w:rsidP="00920CDE">
            <w:pPr>
              <w:rPr>
                <w:bCs/>
              </w:rPr>
            </w:pPr>
            <w:r w:rsidRPr="00920CDE">
              <w:rPr>
                <w:bCs/>
              </w:rPr>
              <w:t>Asphalt plant</w:t>
            </w:r>
          </w:p>
        </w:tc>
        <w:tc>
          <w:tcPr>
            <w:tcW w:w="1620" w:type="dxa"/>
            <w:vAlign w:val="center"/>
          </w:tcPr>
          <w:p w:rsidR="00920CDE" w:rsidRPr="00920CDE" w:rsidRDefault="00920CDE" w:rsidP="00920CDE">
            <w:pPr>
              <w:rPr>
                <w:bCs/>
              </w:rPr>
            </w:pPr>
          </w:p>
        </w:tc>
        <w:tc>
          <w:tcPr>
            <w:tcW w:w="1589" w:type="dxa"/>
            <w:vAlign w:val="center"/>
          </w:tcPr>
          <w:p w:rsidR="00920CDE" w:rsidRPr="00920CDE" w:rsidRDefault="00920CDE" w:rsidP="00920CDE">
            <w:pPr>
              <w:rPr>
                <w:bCs/>
              </w:rPr>
            </w:pPr>
            <w:r w:rsidRPr="00920CDE">
              <w:rPr>
                <w:bCs/>
              </w:rPr>
              <w:t>0.11</w:t>
            </w:r>
          </w:p>
        </w:tc>
      </w:tr>
    </w:tbl>
    <w:p w:rsidR="00A915DD" w:rsidRDefault="00A915DD"/>
    <w:p w:rsidR="00A915DD" w:rsidRDefault="00A915DD">
      <w:r>
        <w:br w:type="page"/>
      </w:r>
    </w:p>
    <w:p w:rsidR="00A57E54" w:rsidRPr="00A57E54" w:rsidRDefault="00A57E54" w:rsidP="00A57E54">
      <w:pPr>
        <w:jc w:val="center"/>
        <w:rPr>
          <w:bCs/>
          <w:sz w:val="24"/>
          <w:szCs w:val="24"/>
        </w:rPr>
      </w:pPr>
      <w:r w:rsidRPr="00A57E54">
        <w:rPr>
          <w:b/>
          <w:bCs/>
          <w:sz w:val="24"/>
          <w:szCs w:val="24"/>
        </w:rPr>
        <w:t>340-208-0450</w:t>
      </w:r>
    </w:p>
    <w:p w:rsidR="00A57E54" w:rsidRPr="00A57E54" w:rsidRDefault="00A57E54" w:rsidP="00A57E54">
      <w:pPr>
        <w:jc w:val="center"/>
        <w:rPr>
          <w:bCs/>
          <w:sz w:val="24"/>
          <w:szCs w:val="24"/>
        </w:rPr>
      </w:pPr>
      <w:r w:rsidRPr="00A57E54">
        <w:rPr>
          <w:b/>
          <w:bCs/>
          <w:sz w:val="24"/>
          <w:szCs w:val="24"/>
        </w:rPr>
        <w:t>Particle Fallout Limitation</w:t>
      </w:r>
    </w:p>
    <w:p w:rsidR="00A57E54" w:rsidRPr="00A57E54" w:rsidRDefault="00A57E54" w:rsidP="008C3582">
      <w:pPr>
        <w:rPr>
          <w:b/>
          <w:bCs/>
          <w:sz w:val="24"/>
          <w:szCs w:val="24"/>
        </w:rPr>
      </w:pPr>
    </w:p>
    <w:p w:rsidR="00793D49" w:rsidRPr="00D87E86" w:rsidRDefault="00A57E54" w:rsidP="008C3582">
      <w:pPr>
        <w:rPr>
          <w:b/>
          <w:bCs/>
          <w:sz w:val="24"/>
          <w:szCs w:val="24"/>
          <w:u w:val="single"/>
        </w:rPr>
      </w:pPr>
      <w:r w:rsidRPr="00D87E86">
        <w:rPr>
          <w:b/>
          <w:bCs/>
          <w:sz w:val="24"/>
          <w:szCs w:val="24"/>
          <w:u w:val="single"/>
        </w:rPr>
        <w:t>PRE-</w:t>
      </w:r>
      <w:proofErr w:type="gramStart"/>
      <w:r w:rsidRPr="00D87E86">
        <w:rPr>
          <w:b/>
          <w:bCs/>
          <w:sz w:val="24"/>
          <w:szCs w:val="24"/>
          <w:u w:val="single"/>
        </w:rPr>
        <w:t xml:space="preserve">2001 </w:t>
      </w:r>
      <w:r w:rsidR="00793D49" w:rsidRPr="00D87E86">
        <w:rPr>
          <w:b/>
          <w:bCs/>
          <w:sz w:val="24"/>
          <w:szCs w:val="24"/>
          <w:u w:val="single"/>
        </w:rPr>
        <w:t xml:space="preserve"> LANGUAGE</w:t>
      </w:r>
      <w:proofErr w:type="gramEnd"/>
    </w:p>
    <w:p w:rsidR="00A57E54" w:rsidRPr="00A57E54" w:rsidRDefault="00A57E54" w:rsidP="00A57E54">
      <w:pPr>
        <w:rPr>
          <w:bCs/>
          <w:sz w:val="24"/>
          <w:szCs w:val="24"/>
        </w:rPr>
      </w:pPr>
      <w:r w:rsidRPr="00A57E54">
        <w:rPr>
          <w:bCs/>
          <w:sz w:val="24"/>
          <w:szCs w:val="24"/>
        </w:rPr>
        <w:t xml:space="preserve">No person shall cause or permit the emission of particulate matter which is larger than 250 microns in size provided if such particulate matter does or will deposit upon the real property of another person.  </w:t>
      </w:r>
    </w:p>
    <w:p w:rsidR="00793D49" w:rsidRPr="00A57E54" w:rsidRDefault="00793D49" w:rsidP="008C3582">
      <w:pPr>
        <w:rPr>
          <w:bCs/>
          <w:sz w:val="24"/>
          <w:szCs w:val="24"/>
        </w:rPr>
      </w:pPr>
    </w:p>
    <w:p w:rsidR="00A57E54" w:rsidRPr="00D87E86" w:rsidRDefault="00A57E54" w:rsidP="00A57E54">
      <w:pPr>
        <w:rPr>
          <w:b/>
          <w:bCs/>
          <w:sz w:val="24"/>
          <w:szCs w:val="24"/>
          <w:u w:val="single"/>
        </w:rPr>
      </w:pPr>
      <w:proofErr w:type="gramStart"/>
      <w:r w:rsidRPr="00D87E86">
        <w:rPr>
          <w:b/>
          <w:bCs/>
          <w:sz w:val="24"/>
          <w:szCs w:val="24"/>
          <w:u w:val="single"/>
        </w:rPr>
        <w:t>2001  LANGUAGE</w:t>
      </w:r>
      <w:proofErr w:type="gramEnd"/>
    </w:p>
    <w:p w:rsidR="00A57E54" w:rsidRPr="00A57E54" w:rsidRDefault="00A57E54" w:rsidP="00A57E54">
      <w:pPr>
        <w:rPr>
          <w:bCs/>
          <w:sz w:val="24"/>
          <w:szCs w:val="24"/>
        </w:rPr>
      </w:pPr>
      <w:r w:rsidRPr="00A57E54">
        <w:rPr>
          <w:bCs/>
          <w:sz w:val="24"/>
          <w:szCs w:val="24"/>
        </w:rPr>
        <w:t xml:space="preserve">No person may cause or permit the emission of particulate matter larger than 250 microns in size at sufficient duration or quantity as to create an observable deposition upon the real property of another person </w:t>
      </w:r>
      <w:r w:rsidRPr="00A57E54">
        <w:rPr>
          <w:bCs/>
          <w:sz w:val="24"/>
          <w:szCs w:val="24"/>
          <w:u w:val="single"/>
        </w:rPr>
        <w:t xml:space="preserve">when notified by the department </w:t>
      </w:r>
      <w:r w:rsidRPr="00A57E54">
        <w:rPr>
          <w:bCs/>
          <w:sz w:val="24"/>
          <w:szCs w:val="24"/>
        </w:rPr>
        <w:t>that the deposition exists and must be controlled.</w:t>
      </w:r>
    </w:p>
    <w:p w:rsidR="00A57E54" w:rsidRPr="00A57E54" w:rsidRDefault="00A57E54" w:rsidP="00A57E54">
      <w:pPr>
        <w:rPr>
          <w:b/>
          <w:bCs/>
          <w:sz w:val="24"/>
          <w:szCs w:val="24"/>
        </w:rPr>
      </w:pPr>
    </w:p>
    <w:p w:rsidR="008C3582" w:rsidRPr="00D87E86" w:rsidRDefault="00D87E86" w:rsidP="008C3582">
      <w:pPr>
        <w:rPr>
          <w:b/>
          <w:bCs/>
          <w:sz w:val="24"/>
          <w:szCs w:val="24"/>
          <w:u w:val="single"/>
        </w:rPr>
      </w:pPr>
      <w:r>
        <w:rPr>
          <w:b/>
          <w:bCs/>
          <w:sz w:val="24"/>
          <w:szCs w:val="24"/>
          <w:u w:val="single"/>
        </w:rPr>
        <w:t xml:space="preserve">2014 </w:t>
      </w:r>
      <w:r w:rsidR="008C3582" w:rsidRPr="00D87E86">
        <w:rPr>
          <w:b/>
          <w:bCs/>
          <w:sz w:val="24"/>
          <w:szCs w:val="24"/>
          <w:u w:val="single"/>
        </w:rPr>
        <w:t>PROPOSED LANGUAGE</w:t>
      </w:r>
    </w:p>
    <w:p w:rsidR="00CD7902" w:rsidRPr="00A57E54" w:rsidRDefault="00A57E54" w:rsidP="00CD7902">
      <w:pPr>
        <w:rPr>
          <w:bCs/>
          <w:sz w:val="24"/>
          <w:szCs w:val="24"/>
        </w:rPr>
      </w:pPr>
      <w:r w:rsidRPr="00A57E54">
        <w:rPr>
          <w:bCs/>
          <w:sz w:val="24"/>
          <w:szCs w:val="24"/>
        </w:rPr>
        <w:t xml:space="preserve"> </w:t>
      </w:r>
      <w:r w:rsidR="00CD7902" w:rsidRPr="00A57E54">
        <w:rPr>
          <w:bCs/>
          <w:sz w:val="24"/>
          <w:szCs w:val="24"/>
        </w:rPr>
        <w:t>(1) No person may cause or permit the deposition of particulate matter larger than 250 microns in size that creates an observable deposition upon the real property of another person.</w:t>
      </w:r>
    </w:p>
    <w:p w:rsidR="00CD7902" w:rsidRPr="00A57E54" w:rsidRDefault="00CD7902" w:rsidP="00CD7902">
      <w:pPr>
        <w:rPr>
          <w:bCs/>
          <w:sz w:val="24"/>
          <w:szCs w:val="24"/>
        </w:rPr>
      </w:pPr>
      <w:r w:rsidRPr="00A57E54">
        <w:rPr>
          <w:bCs/>
          <w:sz w:val="24"/>
          <w:szCs w:val="24"/>
        </w:rPr>
        <w:t>(2) Upon determining that deposition has occurred, DEQ 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p>
    <w:p w:rsidR="008C3582" w:rsidRPr="00A57E54" w:rsidRDefault="008C3582" w:rsidP="008C3582">
      <w:pPr>
        <w:rPr>
          <w:b/>
          <w:bCs/>
          <w:sz w:val="24"/>
          <w:szCs w:val="24"/>
        </w:rPr>
      </w:pPr>
    </w:p>
    <w:p w:rsidR="008C3582" w:rsidRPr="00D87E86" w:rsidRDefault="00D87E86" w:rsidP="008C3582">
      <w:pPr>
        <w:rPr>
          <w:b/>
          <w:bCs/>
          <w:sz w:val="24"/>
          <w:szCs w:val="24"/>
          <w:u w:val="single"/>
        </w:rPr>
      </w:pPr>
      <w:r>
        <w:rPr>
          <w:b/>
          <w:bCs/>
          <w:sz w:val="24"/>
          <w:szCs w:val="24"/>
          <w:u w:val="single"/>
        </w:rPr>
        <w:t xml:space="preserve">2015 </w:t>
      </w:r>
      <w:r w:rsidR="008C3582" w:rsidRPr="00D87E86">
        <w:rPr>
          <w:b/>
          <w:bCs/>
          <w:sz w:val="24"/>
          <w:szCs w:val="24"/>
          <w:u w:val="single"/>
        </w:rPr>
        <w:t>REVISED LANGUAGE</w:t>
      </w:r>
    </w:p>
    <w:p w:rsidR="008C3582" w:rsidRPr="00A57E54" w:rsidRDefault="008C3582" w:rsidP="008C3582">
      <w:pPr>
        <w:rPr>
          <w:sz w:val="24"/>
          <w:szCs w:val="24"/>
        </w:rPr>
      </w:pPr>
      <w:r w:rsidRPr="00A57E54">
        <w:rPr>
          <w:sz w:val="24"/>
          <w:szCs w:val="24"/>
        </w:rPr>
        <w:t>No person may cause or permit the deposition of particulate matter larger than 250 microns in size at sufficient duration or quantity as to create an observable deposition upon the real property of another person when notified by the department that the deposition must be controlled. A permit issued under OAR 340 division 216 or 218 that includes a condition based on this rule constitutes notification by DEQ that the deposition must be controlled.</w:t>
      </w:r>
    </w:p>
    <w:p w:rsidR="008C3582" w:rsidRPr="00A57E54" w:rsidRDefault="008C3582" w:rsidP="008C3582">
      <w:pPr>
        <w:rPr>
          <w:sz w:val="24"/>
          <w:szCs w:val="24"/>
        </w:rPr>
      </w:pPr>
    </w:p>
    <w:p w:rsidR="008C3582" w:rsidRPr="00A57E54" w:rsidRDefault="008C3582" w:rsidP="008C3582">
      <w:pPr>
        <w:rPr>
          <w:sz w:val="24"/>
          <w:szCs w:val="24"/>
        </w:rPr>
      </w:pPr>
    </w:p>
    <w:p w:rsidR="008C3582" w:rsidRPr="00A57E54" w:rsidRDefault="008C3582" w:rsidP="008C3582">
      <w:pPr>
        <w:rPr>
          <w:sz w:val="24"/>
          <w:szCs w:val="24"/>
        </w:rPr>
      </w:pPr>
    </w:p>
    <w:p w:rsidR="008C3582" w:rsidRPr="00A57E54" w:rsidRDefault="0018348B" w:rsidP="008C3582">
      <w:pPr>
        <w:rPr>
          <w:sz w:val="24"/>
          <w:szCs w:val="24"/>
        </w:rPr>
      </w:pPr>
      <w:r>
        <w:rPr>
          <w:sz w:val="24"/>
          <w:szCs w:val="24"/>
        </w:rPr>
        <w:t>AOI comment</w:t>
      </w:r>
      <w:r w:rsidR="00343D24">
        <w:rPr>
          <w:sz w:val="24"/>
          <w:szCs w:val="24"/>
        </w:rPr>
        <w:t xml:space="preserve"> on proposed rule language</w:t>
      </w:r>
      <w:r>
        <w:rPr>
          <w:sz w:val="24"/>
          <w:szCs w:val="24"/>
        </w:rPr>
        <w:t>:</w:t>
      </w:r>
    </w:p>
    <w:p w:rsidR="00F35BF4" w:rsidRPr="0018348B" w:rsidRDefault="00343D24" w:rsidP="00F35BF4">
      <w:pPr>
        <w:pStyle w:val="ListParagraph"/>
        <w:numPr>
          <w:ilvl w:val="0"/>
          <w:numId w:val="11"/>
        </w:numPr>
        <w:rPr>
          <w:sz w:val="24"/>
          <w:szCs w:val="24"/>
        </w:rPr>
      </w:pPr>
      <w:r>
        <w:rPr>
          <w:sz w:val="24"/>
          <w:szCs w:val="24"/>
        </w:rPr>
        <w:t>U</w:t>
      </w:r>
      <w:r w:rsidR="008C3582" w:rsidRPr="0018348B">
        <w:rPr>
          <w:sz w:val="24"/>
          <w:szCs w:val="24"/>
        </w:rPr>
        <w:t>ndo</w:t>
      </w:r>
      <w:r w:rsidR="00F35BF4" w:rsidRPr="0018348B">
        <w:rPr>
          <w:sz w:val="24"/>
          <w:szCs w:val="24"/>
        </w:rPr>
        <w:t>es</w:t>
      </w:r>
      <w:r w:rsidR="008C3582" w:rsidRPr="0018348B">
        <w:rPr>
          <w:sz w:val="24"/>
          <w:szCs w:val="24"/>
        </w:rPr>
        <w:t xml:space="preserve"> the revisions that AOI and DEQ worked so hard to develop address the issue of how Title V sources can certify compliance</w:t>
      </w:r>
      <w:r w:rsidR="0018348B" w:rsidRPr="0018348B">
        <w:rPr>
          <w:sz w:val="24"/>
          <w:szCs w:val="24"/>
        </w:rPr>
        <w:t xml:space="preserve">, saying </w:t>
      </w:r>
      <w:r w:rsidR="008C3582" w:rsidRPr="0018348B">
        <w:rPr>
          <w:sz w:val="24"/>
          <w:szCs w:val="24"/>
        </w:rPr>
        <w:t xml:space="preserve">there was only noncompliance if DEQ informed the source that a nuisance was </w:t>
      </w:r>
      <w:r>
        <w:rPr>
          <w:sz w:val="24"/>
          <w:szCs w:val="24"/>
        </w:rPr>
        <w:t>created</w:t>
      </w:r>
    </w:p>
    <w:p w:rsidR="00920CDE" w:rsidRDefault="00343D24" w:rsidP="00F35BF4">
      <w:pPr>
        <w:pStyle w:val="ListParagraph"/>
        <w:numPr>
          <w:ilvl w:val="0"/>
          <w:numId w:val="11"/>
        </w:numPr>
        <w:rPr>
          <w:sz w:val="24"/>
          <w:szCs w:val="24"/>
        </w:rPr>
      </w:pPr>
      <w:r>
        <w:rPr>
          <w:sz w:val="24"/>
          <w:szCs w:val="24"/>
        </w:rPr>
        <w:t>I</w:t>
      </w:r>
      <w:r w:rsidR="008C3582" w:rsidRPr="00F35BF4">
        <w:rPr>
          <w:sz w:val="24"/>
          <w:szCs w:val="24"/>
        </w:rPr>
        <w:t>ncrease</w:t>
      </w:r>
      <w:r w:rsidR="0018348B">
        <w:rPr>
          <w:sz w:val="24"/>
          <w:szCs w:val="24"/>
        </w:rPr>
        <w:t>s</w:t>
      </w:r>
      <w:r w:rsidR="008C3582" w:rsidRPr="00F35BF4">
        <w:rPr>
          <w:sz w:val="24"/>
          <w:szCs w:val="24"/>
        </w:rPr>
        <w:t xml:space="preserve"> stringency as </w:t>
      </w:r>
      <w:r>
        <w:rPr>
          <w:sz w:val="24"/>
          <w:szCs w:val="24"/>
        </w:rPr>
        <w:t xml:space="preserve">DEQ proposes to delete </w:t>
      </w:r>
      <w:r w:rsidR="008C3582" w:rsidRPr="00F35BF4">
        <w:rPr>
          <w:sz w:val="24"/>
          <w:szCs w:val="24"/>
        </w:rPr>
        <w:t xml:space="preserve">the current language includes the concept of duration and quantity </w:t>
      </w:r>
    </w:p>
    <w:p w:rsidR="0018348B" w:rsidRDefault="0018348B" w:rsidP="0018348B">
      <w:pPr>
        <w:rPr>
          <w:sz w:val="24"/>
          <w:szCs w:val="24"/>
        </w:rPr>
      </w:pPr>
    </w:p>
    <w:p w:rsidR="0018348B" w:rsidRDefault="0018348B" w:rsidP="0018348B">
      <w:pPr>
        <w:rPr>
          <w:sz w:val="24"/>
          <w:szCs w:val="24"/>
        </w:rPr>
      </w:pPr>
      <w:r>
        <w:rPr>
          <w:sz w:val="24"/>
          <w:szCs w:val="24"/>
        </w:rPr>
        <w:t>DEQ response:</w:t>
      </w:r>
    </w:p>
    <w:p w:rsidR="00343D24" w:rsidRDefault="00343D24" w:rsidP="00343D24">
      <w:pPr>
        <w:pStyle w:val="ListParagraph"/>
        <w:numPr>
          <w:ilvl w:val="0"/>
          <w:numId w:val="12"/>
        </w:numPr>
        <w:rPr>
          <w:sz w:val="24"/>
          <w:szCs w:val="24"/>
        </w:rPr>
      </w:pPr>
      <w:r>
        <w:rPr>
          <w:sz w:val="24"/>
          <w:szCs w:val="24"/>
        </w:rPr>
        <w:t>Sources should not have to be notified by DEQ that they are creating a nuisance</w:t>
      </w:r>
    </w:p>
    <w:p w:rsidR="00343D24" w:rsidRDefault="00343D24" w:rsidP="00343D24">
      <w:pPr>
        <w:pStyle w:val="ListParagraph"/>
        <w:numPr>
          <w:ilvl w:val="0"/>
          <w:numId w:val="12"/>
        </w:numPr>
        <w:rPr>
          <w:sz w:val="24"/>
          <w:szCs w:val="24"/>
        </w:rPr>
      </w:pPr>
      <w:r>
        <w:rPr>
          <w:sz w:val="24"/>
          <w:szCs w:val="24"/>
        </w:rPr>
        <w:t>No other rule language as such a restriction</w:t>
      </w:r>
    </w:p>
    <w:p w:rsidR="00343D24" w:rsidRPr="00343D24" w:rsidRDefault="00D87E86" w:rsidP="00343D24">
      <w:pPr>
        <w:pStyle w:val="ListParagraph"/>
        <w:numPr>
          <w:ilvl w:val="0"/>
          <w:numId w:val="12"/>
        </w:numPr>
        <w:rPr>
          <w:sz w:val="24"/>
          <w:szCs w:val="24"/>
        </w:rPr>
      </w:pPr>
      <w:r>
        <w:rPr>
          <w:sz w:val="24"/>
          <w:szCs w:val="24"/>
        </w:rPr>
        <w:t>Enforcement will be handled in guidance</w:t>
      </w:r>
    </w:p>
    <w:sectPr w:rsidR="00343D24" w:rsidRPr="00343D24" w:rsidSect="00B620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933BD"/>
    <w:multiLevelType w:val="hybridMultilevel"/>
    <w:tmpl w:val="23DAD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2">
    <w:nsid w:val="57DE2320"/>
    <w:multiLevelType w:val="hybridMultilevel"/>
    <w:tmpl w:val="8E968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0F678F4"/>
    <w:multiLevelType w:val="hybridMultilevel"/>
    <w:tmpl w:val="D3F03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920CDE"/>
    <w:rsid w:val="000050F7"/>
    <w:rsid w:val="000459F4"/>
    <w:rsid w:val="00060120"/>
    <w:rsid w:val="00067040"/>
    <w:rsid w:val="000B4697"/>
    <w:rsid w:val="000D5C02"/>
    <w:rsid w:val="00104AC6"/>
    <w:rsid w:val="001410B9"/>
    <w:rsid w:val="00146C92"/>
    <w:rsid w:val="00147547"/>
    <w:rsid w:val="001559E2"/>
    <w:rsid w:val="00176EEF"/>
    <w:rsid w:val="0018348B"/>
    <w:rsid w:val="001838BD"/>
    <w:rsid w:val="00195444"/>
    <w:rsid w:val="00195FC2"/>
    <w:rsid w:val="00197570"/>
    <w:rsid w:val="001A22A5"/>
    <w:rsid w:val="001B4C01"/>
    <w:rsid w:val="001C5A74"/>
    <w:rsid w:val="001D19AE"/>
    <w:rsid w:val="001F0FD8"/>
    <w:rsid w:val="001F4127"/>
    <w:rsid w:val="001F4426"/>
    <w:rsid w:val="001F6108"/>
    <w:rsid w:val="0020056E"/>
    <w:rsid w:val="0020509F"/>
    <w:rsid w:val="002616A5"/>
    <w:rsid w:val="002855E2"/>
    <w:rsid w:val="002A506D"/>
    <w:rsid w:val="002D5E18"/>
    <w:rsid w:val="002D698C"/>
    <w:rsid w:val="00312201"/>
    <w:rsid w:val="00340C2A"/>
    <w:rsid w:val="003419DD"/>
    <w:rsid w:val="00343D24"/>
    <w:rsid w:val="0035471E"/>
    <w:rsid w:val="0037020C"/>
    <w:rsid w:val="00394250"/>
    <w:rsid w:val="0039781C"/>
    <w:rsid w:val="003A1E7B"/>
    <w:rsid w:val="003A2167"/>
    <w:rsid w:val="003A60DE"/>
    <w:rsid w:val="003B54E8"/>
    <w:rsid w:val="003C2C6E"/>
    <w:rsid w:val="003D37E3"/>
    <w:rsid w:val="00400586"/>
    <w:rsid w:val="00414F67"/>
    <w:rsid w:val="0043117D"/>
    <w:rsid w:val="00432365"/>
    <w:rsid w:val="00451F91"/>
    <w:rsid w:val="004A35C7"/>
    <w:rsid w:val="004A69AF"/>
    <w:rsid w:val="004B2364"/>
    <w:rsid w:val="004C0F0A"/>
    <w:rsid w:val="004D578D"/>
    <w:rsid w:val="004F506B"/>
    <w:rsid w:val="005015D1"/>
    <w:rsid w:val="00515305"/>
    <w:rsid w:val="00516616"/>
    <w:rsid w:val="00526BD8"/>
    <w:rsid w:val="00550EF6"/>
    <w:rsid w:val="005575A3"/>
    <w:rsid w:val="00583080"/>
    <w:rsid w:val="0058737B"/>
    <w:rsid w:val="005A4AA0"/>
    <w:rsid w:val="005A4F7A"/>
    <w:rsid w:val="005B3E72"/>
    <w:rsid w:val="005D4E89"/>
    <w:rsid w:val="005D7215"/>
    <w:rsid w:val="005F2679"/>
    <w:rsid w:val="00621182"/>
    <w:rsid w:val="00665BB2"/>
    <w:rsid w:val="0066636C"/>
    <w:rsid w:val="00691FFD"/>
    <w:rsid w:val="006A1C1A"/>
    <w:rsid w:val="006A72B3"/>
    <w:rsid w:val="006E23E4"/>
    <w:rsid w:val="006E4A30"/>
    <w:rsid w:val="006F65EA"/>
    <w:rsid w:val="006F6D02"/>
    <w:rsid w:val="007142DA"/>
    <w:rsid w:val="007260E4"/>
    <w:rsid w:val="0072678D"/>
    <w:rsid w:val="00732F05"/>
    <w:rsid w:val="00734469"/>
    <w:rsid w:val="00791DB9"/>
    <w:rsid w:val="00793D49"/>
    <w:rsid w:val="00796081"/>
    <w:rsid w:val="007B704E"/>
    <w:rsid w:val="007C644B"/>
    <w:rsid w:val="007E2042"/>
    <w:rsid w:val="008114C7"/>
    <w:rsid w:val="00822FC3"/>
    <w:rsid w:val="00844B9F"/>
    <w:rsid w:val="00882A13"/>
    <w:rsid w:val="008A12AC"/>
    <w:rsid w:val="008A1D3D"/>
    <w:rsid w:val="008A5039"/>
    <w:rsid w:val="008A7A14"/>
    <w:rsid w:val="008C3582"/>
    <w:rsid w:val="008D48FD"/>
    <w:rsid w:val="008F7F7D"/>
    <w:rsid w:val="009206BF"/>
    <w:rsid w:val="00920CDE"/>
    <w:rsid w:val="00942A04"/>
    <w:rsid w:val="00946703"/>
    <w:rsid w:val="00983606"/>
    <w:rsid w:val="00997E45"/>
    <w:rsid w:val="009B3E5A"/>
    <w:rsid w:val="009F2E6A"/>
    <w:rsid w:val="009F5924"/>
    <w:rsid w:val="00A57E54"/>
    <w:rsid w:val="00A74511"/>
    <w:rsid w:val="00A75B68"/>
    <w:rsid w:val="00A915DD"/>
    <w:rsid w:val="00A931E0"/>
    <w:rsid w:val="00AA2DB5"/>
    <w:rsid w:val="00AD2D39"/>
    <w:rsid w:val="00AE1F83"/>
    <w:rsid w:val="00AE630B"/>
    <w:rsid w:val="00B03D23"/>
    <w:rsid w:val="00B45EA8"/>
    <w:rsid w:val="00B517E5"/>
    <w:rsid w:val="00B54B70"/>
    <w:rsid w:val="00B620F6"/>
    <w:rsid w:val="00B80CC8"/>
    <w:rsid w:val="00BA746E"/>
    <w:rsid w:val="00BB2762"/>
    <w:rsid w:val="00BC407B"/>
    <w:rsid w:val="00BE33CA"/>
    <w:rsid w:val="00C2695F"/>
    <w:rsid w:val="00C34A32"/>
    <w:rsid w:val="00C47403"/>
    <w:rsid w:val="00C64DB1"/>
    <w:rsid w:val="00C75249"/>
    <w:rsid w:val="00CB3E5D"/>
    <w:rsid w:val="00CB5269"/>
    <w:rsid w:val="00CB57AD"/>
    <w:rsid w:val="00CD7902"/>
    <w:rsid w:val="00CF0D39"/>
    <w:rsid w:val="00CF18E6"/>
    <w:rsid w:val="00CF2E54"/>
    <w:rsid w:val="00D127AE"/>
    <w:rsid w:val="00D3170B"/>
    <w:rsid w:val="00D52EBF"/>
    <w:rsid w:val="00D677B1"/>
    <w:rsid w:val="00D83263"/>
    <w:rsid w:val="00D866AB"/>
    <w:rsid w:val="00D87E86"/>
    <w:rsid w:val="00DA0F01"/>
    <w:rsid w:val="00DD3752"/>
    <w:rsid w:val="00DF05EA"/>
    <w:rsid w:val="00E21A48"/>
    <w:rsid w:val="00E60434"/>
    <w:rsid w:val="00E939D0"/>
    <w:rsid w:val="00E966A8"/>
    <w:rsid w:val="00EA1896"/>
    <w:rsid w:val="00EB4211"/>
    <w:rsid w:val="00EC7C87"/>
    <w:rsid w:val="00ED5A52"/>
    <w:rsid w:val="00EE7408"/>
    <w:rsid w:val="00EE7544"/>
    <w:rsid w:val="00EF19FA"/>
    <w:rsid w:val="00EF4C04"/>
    <w:rsid w:val="00F004DB"/>
    <w:rsid w:val="00F032C1"/>
    <w:rsid w:val="00F21A48"/>
    <w:rsid w:val="00F24902"/>
    <w:rsid w:val="00F35BF4"/>
    <w:rsid w:val="00F367C5"/>
    <w:rsid w:val="00F40738"/>
    <w:rsid w:val="00F469F5"/>
    <w:rsid w:val="00F52E7E"/>
    <w:rsid w:val="00FA69E6"/>
    <w:rsid w:val="00FC1EB7"/>
    <w:rsid w:val="00FC6C23"/>
    <w:rsid w:val="00FD0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920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7865196">
      <w:bodyDiv w:val="1"/>
      <w:marLeft w:val="0"/>
      <w:marRight w:val="0"/>
      <w:marTop w:val="0"/>
      <w:marBottom w:val="0"/>
      <w:divBdr>
        <w:top w:val="none" w:sz="0" w:space="0" w:color="auto"/>
        <w:left w:val="none" w:sz="0" w:space="0" w:color="auto"/>
        <w:bottom w:val="none" w:sz="0" w:space="0" w:color="auto"/>
        <w:right w:val="none" w:sz="0" w:space="0" w:color="auto"/>
      </w:divBdr>
      <w:divsChild>
        <w:div w:id="973293324">
          <w:marLeft w:val="0"/>
          <w:marRight w:val="0"/>
          <w:marTop w:val="0"/>
          <w:marBottom w:val="0"/>
          <w:divBdr>
            <w:top w:val="none" w:sz="0" w:space="0" w:color="auto"/>
            <w:left w:val="none" w:sz="0" w:space="0" w:color="auto"/>
            <w:bottom w:val="none" w:sz="0" w:space="0" w:color="auto"/>
            <w:right w:val="none" w:sz="0" w:space="0" w:color="auto"/>
          </w:divBdr>
          <w:divsChild>
            <w:div w:id="1152797429">
              <w:marLeft w:val="0"/>
              <w:marRight w:val="0"/>
              <w:marTop w:val="0"/>
              <w:marBottom w:val="0"/>
              <w:divBdr>
                <w:top w:val="none" w:sz="0" w:space="0" w:color="auto"/>
                <w:left w:val="none" w:sz="0" w:space="0" w:color="auto"/>
                <w:bottom w:val="none" w:sz="0" w:space="0" w:color="auto"/>
                <w:right w:val="none" w:sz="0" w:space="0" w:color="auto"/>
              </w:divBdr>
              <w:divsChild>
                <w:div w:id="17070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39484">
      <w:bodyDiv w:val="1"/>
      <w:marLeft w:val="0"/>
      <w:marRight w:val="0"/>
      <w:marTop w:val="0"/>
      <w:marBottom w:val="0"/>
      <w:divBdr>
        <w:top w:val="none" w:sz="0" w:space="0" w:color="auto"/>
        <w:left w:val="none" w:sz="0" w:space="0" w:color="auto"/>
        <w:bottom w:val="none" w:sz="0" w:space="0" w:color="auto"/>
        <w:right w:val="none" w:sz="0" w:space="0" w:color="auto"/>
      </w:divBdr>
      <w:divsChild>
        <w:div w:id="96801496">
          <w:marLeft w:val="0"/>
          <w:marRight w:val="0"/>
          <w:marTop w:val="0"/>
          <w:marBottom w:val="0"/>
          <w:divBdr>
            <w:top w:val="none" w:sz="0" w:space="0" w:color="auto"/>
            <w:left w:val="none" w:sz="0" w:space="0" w:color="auto"/>
            <w:bottom w:val="none" w:sz="0" w:space="0" w:color="auto"/>
            <w:right w:val="none" w:sz="0" w:space="0" w:color="auto"/>
          </w:divBdr>
          <w:divsChild>
            <w:div w:id="1098526313">
              <w:marLeft w:val="0"/>
              <w:marRight w:val="0"/>
              <w:marTop w:val="0"/>
              <w:marBottom w:val="0"/>
              <w:divBdr>
                <w:top w:val="none" w:sz="0" w:space="0" w:color="auto"/>
                <w:left w:val="none" w:sz="0" w:space="0" w:color="auto"/>
                <w:bottom w:val="none" w:sz="0" w:space="0" w:color="auto"/>
                <w:right w:val="none" w:sz="0" w:space="0" w:color="auto"/>
              </w:divBdr>
              <w:divsChild>
                <w:div w:id="16869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9C0A-CDBD-4016-B3A1-2300EEC3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9</cp:revision>
  <dcterms:created xsi:type="dcterms:W3CDTF">2014-12-02T18:23:00Z</dcterms:created>
  <dcterms:modified xsi:type="dcterms:W3CDTF">2014-12-02T20:11:00Z</dcterms:modified>
</cp:coreProperties>
</file>