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EFC" w:rsidRPr="002D0FE2" w:rsidRDefault="000D5EFC" w:rsidP="00E06CC2">
      <w:pPr>
        <w:ind w:firstLine="720"/>
        <w:jc w:val="center"/>
        <w:rPr>
          <w:b/>
          <w:spacing w:val="-3"/>
          <w:sz w:val="22"/>
          <w:szCs w:val="22"/>
        </w:rPr>
      </w:pPr>
      <w:r w:rsidRPr="002D0FE2">
        <w:rPr>
          <w:b/>
          <w:spacing w:val="-3"/>
          <w:sz w:val="22"/>
          <w:szCs w:val="22"/>
        </w:rPr>
        <w:t xml:space="preserve">Summary of Public Comment and Agency Response </w:t>
      </w:r>
    </w:p>
    <w:p w:rsidR="000D5EFC" w:rsidRPr="002D0FE2" w:rsidRDefault="000D5EFC" w:rsidP="000D5EFC">
      <w:pPr>
        <w:jc w:val="center"/>
        <w:rPr>
          <w:b/>
          <w:spacing w:val="-3"/>
          <w:sz w:val="22"/>
          <w:szCs w:val="22"/>
        </w:rPr>
      </w:pPr>
    </w:p>
    <w:p w:rsidR="00A0049B" w:rsidRPr="002D0FE2" w:rsidRDefault="000D5EFC" w:rsidP="000D2BFB">
      <w:pPr>
        <w:pStyle w:val="DEQTITLE"/>
        <w:outlineLvl w:val="0"/>
        <w:rPr>
          <w:rFonts w:ascii="Times New Roman" w:hAnsi="Times New Roman"/>
          <w:b w:val="0"/>
          <w:spacing w:val="-3"/>
          <w:sz w:val="22"/>
          <w:szCs w:val="22"/>
        </w:rPr>
      </w:pPr>
      <w:r w:rsidRPr="002D0FE2">
        <w:rPr>
          <w:rFonts w:ascii="Times New Roman" w:hAnsi="Times New Roman"/>
          <w:b w:val="0"/>
          <w:spacing w:val="-3"/>
          <w:sz w:val="22"/>
          <w:szCs w:val="22"/>
        </w:rPr>
        <w:t xml:space="preserve">Title of Rulemaking: </w:t>
      </w:r>
      <w:r w:rsidR="00797F73" w:rsidRPr="00797F73">
        <w:rPr>
          <w:rFonts w:ascii="Times New Roman" w:hAnsi="Times New Roman"/>
          <w:b w:val="0"/>
          <w:spacing w:val="-3"/>
          <w:sz w:val="22"/>
          <w:szCs w:val="22"/>
        </w:rPr>
        <w:t>Air quality permitting, Heat Smart, and gasoline dispensing facility updates</w:t>
      </w:r>
    </w:p>
    <w:p w:rsidR="000D5EFC" w:rsidRPr="002D0FE2" w:rsidRDefault="000D5EFC" w:rsidP="000D2BFB">
      <w:pPr>
        <w:pStyle w:val="DEQTITLE"/>
        <w:outlineLvl w:val="0"/>
        <w:rPr>
          <w:rFonts w:ascii="Times New Roman" w:hAnsi="Times New Roman"/>
          <w:b w:val="0"/>
          <w:spacing w:val="-3"/>
          <w:sz w:val="22"/>
          <w:szCs w:val="22"/>
        </w:rPr>
      </w:pPr>
      <w:r w:rsidRPr="002D0FE2">
        <w:rPr>
          <w:rFonts w:ascii="Times New Roman" w:hAnsi="Times New Roman"/>
          <w:b w:val="0"/>
          <w:spacing w:val="-3"/>
          <w:sz w:val="22"/>
          <w:szCs w:val="22"/>
        </w:rPr>
        <w:t>Prepared by:</w:t>
      </w:r>
      <w:bookmarkStart w:id="0" w:name="MEMO"/>
      <w:bookmarkEnd w:id="0"/>
      <w:r w:rsidR="00987442" w:rsidRPr="002D0FE2">
        <w:rPr>
          <w:rFonts w:ascii="Times New Roman" w:hAnsi="Times New Roman"/>
          <w:b w:val="0"/>
          <w:spacing w:val="-3"/>
          <w:sz w:val="22"/>
          <w:szCs w:val="22"/>
        </w:rPr>
        <w:t xml:space="preserve">  </w:t>
      </w:r>
      <w:r w:rsidR="00610E04">
        <w:rPr>
          <w:rFonts w:ascii="Times New Roman" w:hAnsi="Times New Roman"/>
          <w:b w:val="0"/>
          <w:spacing w:val="-3"/>
          <w:sz w:val="22"/>
          <w:szCs w:val="22"/>
        </w:rPr>
        <w:t>George Davis</w:t>
      </w:r>
      <w:r w:rsidR="00610E04" w:rsidRPr="002D0FE2">
        <w:rPr>
          <w:rFonts w:ascii="Times New Roman" w:hAnsi="Times New Roman"/>
          <w:b w:val="0"/>
          <w:spacing w:val="-3"/>
          <w:sz w:val="22"/>
          <w:szCs w:val="22"/>
        </w:rPr>
        <w:t xml:space="preserve"> </w:t>
      </w:r>
      <w:r w:rsidR="00610E04">
        <w:rPr>
          <w:rFonts w:ascii="Times New Roman" w:hAnsi="Times New Roman"/>
          <w:b w:val="0"/>
          <w:spacing w:val="-3"/>
          <w:sz w:val="22"/>
          <w:szCs w:val="22"/>
        </w:rPr>
        <w:t xml:space="preserve">and </w:t>
      </w:r>
      <w:r w:rsidR="00987442" w:rsidRPr="002D0FE2">
        <w:rPr>
          <w:rFonts w:ascii="Times New Roman" w:hAnsi="Times New Roman"/>
          <w:b w:val="0"/>
          <w:spacing w:val="-3"/>
          <w:sz w:val="22"/>
          <w:szCs w:val="22"/>
        </w:rPr>
        <w:t>Jill Inahara</w:t>
      </w:r>
      <w:r w:rsidRPr="002D0FE2">
        <w:rPr>
          <w:rFonts w:ascii="Times New Roman" w:hAnsi="Times New Roman"/>
          <w:b w:val="0"/>
          <w:spacing w:val="-3"/>
          <w:sz w:val="22"/>
          <w:szCs w:val="22"/>
        </w:rPr>
        <w:tab/>
      </w:r>
      <w:r w:rsidR="00610E04">
        <w:rPr>
          <w:rFonts w:ascii="Times New Roman" w:hAnsi="Times New Roman"/>
          <w:b w:val="0"/>
          <w:spacing w:val="-3"/>
          <w:sz w:val="22"/>
          <w:szCs w:val="22"/>
        </w:rPr>
        <w:tab/>
      </w:r>
      <w:commentRangeStart w:id="1"/>
      <w:r w:rsidRPr="002D0FE2">
        <w:rPr>
          <w:rFonts w:ascii="Times New Roman" w:hAnsi="Times New Roman"/>
          <w:b w:val="0"/>
          <w:spacing w:val="-3"/>
          <w:sz w:val="22"/>
          <w:szCs w:val="22"/>
        </w:rPr>
        <w:t>Date:</w:t>
      </w:r>
      <w:r w:rsidR="00A61883" w:rsidRPr="002D0FE2">
        <w:rPr>
          <w:rFonts w:ascii="Times New Roman" w:hAnsi="Times New Roman"/>
          <w:b w:val="0"/>
          <w:spacing w:val="-3"/>
          <w:sz w:val="22"/>
          <w:szCs w:val="22"/>
        </w:rPr>
        <w:t xml:space="preserve"> </w:t>
      </w:r>
      <w:r w:rsidR="00797F73">
        <w:rPr>
          <w:rFonts w:ascii="Times New Roman" w:hAnsi="Times New Roman"/>
          <w:b w:val="0"/>
          <w:spacing w:val="-3"/>
          <w:sz w:val="22"/>
          <w:szCs w:val="22"/>
        </w:rPr>
        <w:t>January 15, 2015</w:t>
      </w:r>
      <w:commentRangeEnd w:id="1"/>
      <w:r w:rsidR="00EB0973">
        <w:rPr>
          <w:rStyle w:val="CommentReference"/>
          <w:rFonts w:ascii="Times New Roman" w:eastAsia="Times New Roman" w:hAnsi="Times New Roman"/>
          <w:b w:val="0"/>
        </w:rPr>
        <w:commentReference w:id="1"/>
      </w:r>
    </w:p>
    <w:p w:rsidR="00275BCF" w:rsidRPr="002D0FE2" w:rsidRDefault="00275BCF" w:rsidP="003D1E29">
      <w:pPr>
        <w:tabs>
          <w:tab w:val="left" w:pos="1080"/>
          <w:tab w:val="right" w:pos="7200"/>
          <w:tab w:val="right" w:pos="9360"/>
        </w:tabs>
        <w:rPr>
          <w:rFonts w:ascii="Arial" w:hAnsi="Arial" w:cs="Arial"/>
          <w:sz w:val="22"/>
          <w:szCs w:val="22"/>
        </w:rPr>
      </w:pPr>
    </w:p>
    <w:p w:rsidR="00FC7312" w:rsidRPr="00FC7312" w:rsidRDefault="00FC7312" w:rsidP="00FC7312">
      <w:pPr>
        <w:rPr>
          <w:sz w:val="22"/>
          <w:szCs w:val="22"/>
        </w:rPr>
      </w:pPr>
      <w:r w:rsidRPr="00FC7312">
        <w:rPr>
          <w:sz w:val="22"/>
          <w:szCs w:val="22"/>
        </w:rPr>
        <w:t>PM</w:t>
      </w:r>
      <w:r w:rsidRPr="00FC7312">
        <w:rPr>
          <w:sz w:val="22"/>
          <w:szCs w:val="22"/>
          <w:vertAlign w:val="subscript"/>
        </w:rPr>
        <w:t>10</w:t>
      </w:r>
      <w:r w:rsidRPr="00FC7312">
        <w:rPr>
          <w:sz w:val="22"/>
          <w:szCs w:val="22"/>
        </w:rPr>
        <w:t xml:space="preserve"> = particulate matter less than 10 microns in diameter</w:t>
      </w:r>
    </w:p>
    <w:p w:rsidR="00FC7312" w:rsidRPr="00FC7312" w:rsidRDefault="00FC7312" w:rsidP="00FC7312">
      <w:pPr>
        <w:rPr>
          <w:sz w:val="22"/>
          <w:szCs w:val="22"/>
        </w:rPr>
      </w:pPr>
      <w:r w:rsidRPr="00FC7312">
        <w:rPr>
          <w:sz w:val="22"/>
          <w:szCs w:val="22"/>
        </w:rPr>
        <w:t>PM</w:t>
      </w:r>
      <w:r w:rsidRPr="00FC7312">
        <w:rPr>
          <w:sz w:val="22"/>
          <w:szCs w:val="22"/>
          <w:vertAlign w:val="subscript"/>
        </w:rPr>
        <w:t>2.5</w:t>
      </w:r>
      <w:r w:rsidRPr="00FC7312">
        <w:rPr>
          <w:sz w:val="22"/>
          <w:szCs w:val="22"/>
        </w:rPr>
        <w:t xml:space="preserve"> = particulate matter less than 2.5 microns in diameter</w:t>
      </w:r>
    </w:p>
    <w:tbl>
      <w:tblPr>
        <w:tblW w:w="10530" w:type="dxa"/>
        <w:tblInd w:w="-65" w:type="dxa"/>
        <w:tblBorders>
          <w:top w:val="single" w:sz="4" w:space="0" w:color="808080"/>
          <w:left w:val="single" w:sz="4" w:space="0" w:color="808080"/>
          <w:bottom w:val="single" w:sz="4" w:space="0" w:color="808080"/>
          <w:right w:val="single" w:sz="4" w:space="0" w:color="808080"/>
        </w:tblBorders>
        <w:tblLayout w:type="fixed"/>
        <w:tblCellMar>
          <w:left w:w="115" w:type="dxa"/>
          <w:right w:w="288" w:type="dxa"/>
        </w:tblCellMar>
        <w:tblLook w:val="0000"/>
      </w:tblPr>
      <w:tblGrid>
        <w:gridCol w:w="1880"/>
        <w:gridCol w:w="8650"/>
      </w:tblGrid>
      <w:tr w:rsidR="00C75AA1" w:rsidRPr="00EB3D0B" w:rsidTr="006A0679">
        <w:trPr>
          <w:trHeight w:val="288"/>
          <w:tblHeader/>
        </w:trPr>
        <w:tc>
          <w:tcPr>
            <w:tcW w:w="10530" w:type="dxa"/>
            <w:gridSpan w:val="2"/>
            <w:tcBorders>
              <w:top w:val="single" w:sz="8" w:space="0" w:color="auto"/>
              <w:left w:val="single" w:sz="4" w:space="0" w:color="999999"/>
              <w:bottom w:val="single" w:sz="4" w:space="0" w:color="auto"/>
              <w:right w:val="single" w:sz="4" w:space="0" w:color="999999"/>
            </w:tcBorders>
            <w:shd w:val="clear" w:color="auto" w:fill="auto"/>
            <w:vAlign w:val="center"/>
          </w:tcPr>
          <w:p w:rsidR="00C75AA1" w:rsidRPr="00EB3D0B" w:rsidRDefault="0080706C" w:rsidP="00261641">
            <w:pPr>
              <w:spacing w:after="80"/>
              <w:jc w:val="center"/>
              <w:rPr>
                <w:b/>
              </w:rPr>
            </w:pPr>
            <w:r w:rsidRPr="00EB3D0B">
              <w:rPr>
                <w:b/>
              </w:rPr>
              <w:t xml:space="preserve">Summary of Comments and DEQ </w:t>
            </w:r>
            <w:r w:rsidR="00C75AA1" w:rsidRPr="00EB3D0B">
              <w:rPr>
                <w:b/>
              </w:rPr>
              <w:t>Responses</w:t>
            </w:r>
          </w:p>
        </w:tc>
      </w:tr>
      <w:tr w:rsidR="00FE2157"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FE2157" w:rsidRPr="00EB3D0B" w:rsidRDefault="00FE2157" w:rsidP="009C03B8">
            <w:pPr>
              <w:pStyle w:val="ListParagraph"/>
              <w:numPr>
                <w:ilvl w:val="0"/>
                <w:numId w:val="39"/>
              </w:numPr>
              <w:ind w:right="-115"/>
            </w:pPr>
            <w:r w:rsidRPr="009C03B8">
              <w:t>Clarify and update air quality rules</w:t>
            </w: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2D67F8" w:rsidRDefault="00390B85" w:rsidP="00476222">
            <w:pPr>
              <w:spacing w:after="120"/>
            </w:pPr>
            <w:r>
              <w:t>DEQ should clarify</w:t>
            </w:r>
            <w:r w:rsidR="002D67F8">
              <w:t xml:space="preserve"> that the following divisions and/or rules apply in Lane County upon adoption by </w:t>
            </w:r>
            <w:r w:rsidR="00476222">
              <w:t>EQC</w:t>
            </w:r>
            <w:r w:rsidR="002D67F8">
              <w:t xml:space="preserve"> since they represent a level of greater stringency and/or are necessary for LRAPA to maintain rules that are consistent with state and federal regulations</w:t>
            </w:r>
            <w:r w:rsidR="006A0774">
              <w:t xml:space="preserve">. </w:t>
            </w:r>
          </w:p>
          <w:p w:rsidR="002D67F8" w:rsidRDefault="002D67F8" w:rsidP="00476222">
            <w:pPr>
              <w:pStyle w:val="ListParagraph"/>
              <w:numPr>
                <w:ilvl w:val="0"/>
                <w:numId w:val="48"/>
              </w:numPr>
              <w:spacing w:after="120"/>
            </w:pPr>
            <w:r>
              <w:t xml:space="preserve">Division 224 – New Source Review </w:t>
            </w:r>
          </w:p>
          <w:p w:rsidR="00476222" w:rsidRDefault="002D67F8" w:rsidP="00476222">
            <w:pPr>
              <w:pStyle w:val="ListParagraph"/>
              <w:numPr>
                <w:ilvl w:val="0"/>
                <w:numId w:val="48"/>
              </w:numPr>
              <w:spacing w:after="120"/>
            </w:pPr>
            <w:r>
              <w:t xml:space="preserve">Division 225 – Air Quality Analysis Requirements </w:t>
            </w:r>
          </w:p>
          <w:p w:rsidR="002D67F8" w:rsidRDefault="002D67F8" w:rsidP="00476222">
            <w:pPr>
              <w:pStyle w:val="ListParagraph"/>
              <w:numPr>
                <w:ilvl w:val="0"/>
                <w:numId w:val="48"/>
              </w:numPr>
              <w:spacing w:after="120"/>
            </w:pPr>
            <w:r>
              <w:t>OAR 340-208-0110 - Visible Air Contaminant Limitations:  LRAPA requests this rule be effective in Lane County since the opacity limitation is numerically more stringent than the existing LRAPA rule (40% vs. 20%)</w:t>
            </w:r>
            <w:r w:rsidR="006A0774">
              <w:t xml:space="preserve">. </w:t>
            </w:r>
            <w:r>
              <w:t>LRAPA requests this rule apply only to wood/biomass-fired boilers in Lane County; LRAPA needs additional time to evaluate the proposed revisions to the visible emission monitoring method as it applies to sources other than wood/biomass-fired boilers</w:t>
            </w:r>
            <w:r w:rsidR="006A0774">
              <w:t xml:space="preserve">. </w:t>
            </w:r>
          </w:p>
          <w:p w:rsidR="00476222" w:rsidRDefault="002D67F8" w:rsidP="00476222">
            <w:pPr>
              <w:pStyle w:val="ListParagraph"/>
              <w:numPr>
                <w:ilvl w:val="0"/>
                <w:numId w:val="48"/>
              </w:numPr>
              <w:spacing w:after="120"/>
            </w:pPr>
            <w:r>
              <w:t xml:space="preserve">OAR 340-226-0210 - </w:t>
            </w:r>
            <w:r w:rsidRPr="00014A27">
              <w:t>Particulate Emission Limitations for Sources Other Than Fuel Burning, and Refuse Burning Equipment and Fugitive Emissions</w:t>
            </w:r>
          </w:p>
          <w:p w:rsidR="00476222" w:rsidRDefault="002D67F8" w:rsidP="00476222">
            <w:pPr>
              <w:pStyle w:val="ListParagraph"/>
              <w:numPr>
                <w:ilvl w:val="0"/>
                <w:numId w:val="48"/>
              </w:numPr>
              <w:spacing w:after="120"/>
            </w:pPr>
            <w:r>
              <w:t>OAR 340-228-0210 – Grain Loading Standar</w:t>
            </w:r>
            <w:r w:rsidR="00476222">
              <w:t>ds for Fuel Burning Equipment</w:t>
            </w:r>
          </w:p>
          <w:p w:rsidR="00476222" w:rsidRDefault="002D67F8" w:rsidP="00476222">
            <w:pPr>
              <w:pStyle w:val="ListParagraph"/>
              <w:numPr>
                <w:ilvl w:val="0"/>
                <w:numId w:val="48"/>
              </w:numPr>
              <w:spacing w:after="120"/>
            </w:pPr>
            <w:r>
              <w:t>Division 200 – Definition of “Categorically Insignificant Activity</w:t>
            </w:r>
            <w:r w:rsidR="00476222">
              <w:t>”</w:t>
            </w:r>
          </w:p>
          <w:p w:rsidR="00476222" w:rsidRDefault="002D67F8" w:rsidP="00476222">
            <w:pPr>
              <w:pStyle w:val="ListParagraph"/>
              <w:numPr>
                <w:ilvl w:val="0"/>
                <w:numId w:val="48"/>
              </w:numPr>
              <w:spacing w:after="120"/>
            </w:pPr>
            <w:r>
              <w:t>OAR 340-222-0090 – Co</w:t>
            </w:r>
            <w:r w:rsidR="00476222">
              <w:t>mbining and Splitting Sources</w:t>
            </w:r>
          </w:p>
          <w:p w:rsidR="00476222" w:rsidRDefault="002D67F8" w:rsidP="00476222">
            <w:pPr>
              <w:pStyle w:val="ListParagraph"/>
              <w:numPr>
                <w:ilvl w:val="0"/>
                <w:numId w:val="48"/>
              </w:numPr>
              <w:spacing w:after="120"/>
            </w:pPr>
            <w:r>
              <w:t>OAR 340-208-0210(2)(a), (b), and (3) – Visible Emission Monitoring for Fugitive Emissions</w:t>
            </w:r>
          </w:p>
          <w:p w:rsidR="00476222" w:rsidRDefault="002D67F8" w:rsidP="00476222">
            <w:pPr>
              <w:pStyle w:val="ListParagraph"/>
              <w:numPr>
                <w:ilvl w:val="0"/>
                <w:numId w:val="48"/>
              </w:numPr>
              <w:spacing w:after="120"/>
            </w:pPr>
            <w:r>
              <w:t>OAR 340-214-0114(5) – Recordkeeping for 5 years</w:t>
            </w:r>
          </w:p>
          <w:p w:rsidR="00F628C8" w:rsidRDefault="002D67F8" w:rsidP="00476222">
            <w:pPr>
              <w:spacing w:after="120"/>
            </w:pPr>
            <w:r>
              <w:t>All other existing LRAPA rules are at least as strict as the proposed DEQ rules and/or can be proposed by LRAPA for adoption at a later time</w:t>
            </w:r>
            <w:r w:rsidR="006A0774">
              <w:t xml:space="preserve">. </w:t>
            </w:r>
            <w:r w:rsidR="00476222">
              <w:t>(31)</w:t>
            </w:r>
          </w:p>
          <w:p w:rsidR="00476222" w:rsidRPr="00476222" w:rsidRDefault="00476222" w:rsidP="00476222">
            <w:pPr>
              <w:spacing w:after="120"/>
            </w:pPr>
            <w:r w:rsidRPr="00476222">
              <w:t>In this rule revision package, DEQ has revised the language in the a</w:t>
            </w:r>
            <w:r w:rsidR="00390B85">
              <w:t>pplicability provisions of OAR d</w:t>
            </w:r>
            <w:r w:rsidRPr="00476222">
              <w:t xml:space="preserve">ivisions 200, </w:t>
            </w:r>
            <w:r w:rsidR="003F21A8">
              <w:t xml:space="preserve">202, </w:t>
            </w:r>
            <w:r w:rsidRPr="00476222">
              <w:t xml:space="preserve">208, 210, 212, 214, 216, 218, 220, 222, 224, 225, 226, 228, 234, 236, 268 with respect to when these divisions apply within the </w:t>
            </w:r>
            <w:r w:rsidRPr="00476222">
              <w:lastRenderedPageBreak/>
              <w:t>jurisdiction of Lane Regional Air Pollution Authority</w:t>
            </w:r>
            <w:r w:rsidR="006A0774">
              <w:t xml:space="preserve">. </w:t>
            </w:r>
            <w:r w:rsidR="00390B85">
              <w:t>T</w:t>
            </w:r>
            <w:r w:rsidRPr="00476222">
              <w:t xml:space="preserve">he comparison involves a division or chapter of LRAPA’s rules with the particular DEQ division, rather than a </w:t>
            </w:r>
            <w:r w:rsidR="00390B85" w:rsidRPr="00476222">
              <w:t xml:space="preserve">rule by rule </w:t>
            </w:r>
            <w:r w:rsidRPr="00476222">
              <w:t>comparison</w:t>
            </w:r>
            <w:r w:rsidR="006A0774">
              <w:t>.</w:t>
            </w:r>
            <w:r w:rsidR="00390B85">
              <w:t xml:space="preserve"> T</w:t>
            </w:r>
            <w:r w:rsidRPr="00476222">
              <w:t xml:space="preserve">he proposed language </w:t>
            </w:r>
            <w:r w:rsidR="00390B85">
              <w:t>is not</w:t>
            </w:r>
            <w:r w:rsidRPr="00476222">
              <w:t xml:space="preserve"> clear if LRAPA’s rules are at least as strict as the particular OAR division, the LRAPA rules apply </w:t>
            </w:r>
            <w:r w:rsidRPr="00476222">
              <w:rPr>
                <w:u w:val="single"/>
              </w:rPr>
              <w:t>in lieu of</w:t>
            </w:r>
            <w:r w:rsidRPr="00476222">
              <w:t xml:space="preserve"> the OAR division or </w:t>
            </w:r>
            <w:r w:rsidRPr="00476222">
              <w:rPr>
                <w:u w:val="single"/>
              </w:rPr>
              <w:t>in addition to</w:t>
            </w:r>
            <w:r w:rsidRPr="00476222">
              <w:t xml:space="preserve"> the OAR division</w:t>
            </w:r>
            <w:r w:rsidR="006A0774">
              <w:t xml:space="preserve">. </w:t>
            </w:r>
            <w:r w:rsidRPr="00476222">
              <w:t>Given the importance of knowing which rules apply within LRAPA’s jurisdiction prior t</w:t>
            </w:r>
            <w:r w:rsidR="00390B85">
              <w:t xml:space="preserve">o action on a SIP revision for </w:t>
            </w:r>
            <w:r w:rsidRPr="00476222">
              <w:t xml:space="preserve">DEQ or LRAPA, </w:t>
            </w:r>
            <w:r w:rsidR="00390B85">
              <w:t>DEQ</w:t>
            </w:r>
            <w:r w:rsidRPr="00476222">
              <w:t xml:space="preserve"> will need </w:t>
            </w:r>
            <w:r w:rsidR="00390B85">
              <w:t xml:space="preserve">to provide </w:t>
            </w:r>
            <w:r w:rsidRPr="00476222">
              <w:t xml:space="preserve">clarifying documentation, including an attorney opinion before action </w:t>
            </w:r>
            <w:r w:rsidR="00390B85">
              <w:t xml:space="preserve">can be taken </w:t>
            </w:r>
            <w:r w:rsidRPr="00476222">
              <w:t>on such SIP revisions. (52)</w:t>
            </w:r>
          </w:p>
          <w:p w:rsidR="00476222" w:rsidRDefault="00476222" w:rsidP="00476222">
            <w:pPr>
              <w:spacing w:after="120"/>
              <w:rPr>
                <w:i/>
              </w:rPr>
            </w:pPr>
            <w:commentRangeStart w:id="2"/>
            <w:r>
              <w:rPr>
                <w:i/>
              </w:rPr>
              <w:t>Response:</w:t>
            </w:r>
            <w:commentRangeEnd w:id="2"/>
            <w:r w:rsidR="00EF553C">
              <w:rPr>
                <w:rStyle w:val="CommentReference"/>
              </w:rPr>
              <w:commentReference w:id="2"/>
            </w:r>
          </w:p>
          <w:p w:rsidR="00EC5CA3" w:rsidRDefault="00EC5CA3" w:rsidP="00476222">
            <w:pPr>
              <w:spacing w:after="120"/>
              <w:rPr>
                <w:i/>
              </w:rPr>
            </w:pPr>
            <w:r>
              <w:rPr>
                <w:i/>
              </w:rPr>
              <w:t xml:space="preserve">DEQ </w:t>
            </w:r>
            <w:r w:rsidR="003F21A8">
              <w:rPr>
                <w:i/>
              </w:rPr>
              <w:t xml:space="preserve">added the following language to OAR 340-200-0010 Purpose and Application and </w:t>
            </w:r>
            <w:r>
              <w:rPr>
                <w:i/>
              </w:rPr>
              <w:t xml:space="preserve">changed the </w:t>
            </w:r>
            <w:r w:rsidR="003F21A8">
              <w:rPr>
                <w:i/>
              </w:rPr>
              <w:t xml:space="preserve">jurisdiction rule </w:t>
            </w:r>
            <w:r w:rsidR="00C27B1A">
              <w:rPr>
                <w:i/>
              </w:rPr>
              <w:t xml:space="preserve">language in OAR 340 divisions 202, 208, 210, 212, 214, 220, 222, 225, 226, 228, 234, 236, and 268.  </w:t>
            </w:r>
          </w:p>
          <w:p w:rsidR="003F21A8" w:rsidRPr="003F21A8" w:rsidRDefault="003F21A8" w:rsidP="00C27B1A">
            <w:pPr>
              <w:spacing w:after="120"/>
              <w:ind w:left="720"/>
              <w:rPr>
                <w:i/>
              </w:rPr>
            </w:pPr>
            <w:r w:rsidRPr="003F21A8">
              <w:rPr>
                <w:i/>
              </w:rPr>
              <w:t>(3) DEQ administers divisions 200 through 268 in all areas of the State of Oregon except in Lane County where LRAPA administers most air pollution control regulations. Subject to and when provided in divisions 200 through 268, LRAPA is authorized by the EQC as the agency to implement these state rules, and must apply the requirements and procedures contained in these state rules, within its area of jurisdiction. LRAPA may apply any LRAPA rule in lieu of a state rule(s) provided that the LRAPA rule is at least as strict as the state rule(s), LRAPA has submitted the rule to the EQC for its approval, and the EQC has not disapproved the rule.</w:t>
            </w:r>
          </w:p>
          <w:p w:rsidR="00EC5CA3" w:rsidRPr="00EC5CA3" w:rsidRDefault="00EC5CA3" w:rsidP="00EC5CA3">
            <w:pPr>
              <w:spacing w:after="120"/>
              <w:ind w:left="720"/>
              <w:rPr>
                <w:bCs/>
                <w:i/>
              </w:rPr>
            </w:pPr>
            <w:r w:rsidRPr="00EC5CA3">
              <w:rPr>
                <w:bCs/>
                <w:i/>
              </w:rPr>
              <w:t xml:space="preserve">Subject to the requirements in this division and OAR 340-200-0010(3), LRAPA is designated by the EQC to implement the rules in this division within its area of jurisdiction. </w:t>
            </w:r>
          </w:p>
          <w:p w:rsidR="00476222" w:rsidRPr="00476222" w:rsidRDefault="00722AB1" w:rsidP="00476222">
            <w:pPr>
              <w:spacing w:after="120"/>
              <w:rPr>
                <w:i/>
              </w:rPr>
            </w:pPr>
            <w:r w:rsidRPr="00722AB1">
              <w:rPr>
                <w:i/>
              </w:rPr>
              <w:t>DEQ agrees with the commenter and changed the proposed rule as the commenter suggested.</w:t>
            </w:r>
          </w:p>
        </w:tc>
      </w:tr>
      <w:tr w:rsidR="007B4D8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right w:val="single" w:sz="4" w:space="0" w:color="999999"/>
            </w:tcBorders>
            <w:shd w:val="clear" w:color="auto" w:fill="auto"/>
          </w:tcPr>
          <w:p w:rsidR="007B4D85" w:rsidRPr="00090F8A" w:rsidRDefault="007B4D85" w:rsidP="00090F8A">
            <w:pPr>
              <w:ind w:right="-115"/>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3C6BD5" w:rsidRDefault="00F00945" w:rsidP="00F00945">
            <w:pPr>
              <w:spacing w:after="120"/>
            </w:pPr>
            <w:r w:rsidRPr="00F00945">
              <w:t xml:space="preserve">DEQ proposes to expand the requirements applicable to marine loading of gasoline to include the marine loading of any </w:t>
            </w:r>
            <w:r w:rsidR="001817DE">
              <w:t>volatile organic compounds</w:t>
            </w:r>
            <w:r w:rsidRPr="00F00945">
              <w:t xml:space="preserve"> liquid with a true vapor pressure greater than 10.5 kPa (1.52 psia) that occurs in the Portlan</w:t>
            </w:r>
            <w:r w:rsidR="003C6BD5">
              <w:t>d Air Quality Maintenance Area. Existing air pollution control equipment for gasoline vapors cannot be applied to vapors from these other liquids.</w:t>
            </w:r>
          </w:p>
          <w:p w:rsidR="00F00945" w:rsidRPr="00F00945" w:rsidRDefault="00F00945" w:rsidP="00F00945">
            <w:pPr>
              <w:spacing w:after="120"/>
            </w:pPr>
            <w:r w:rsidRPr="00F00945">
              <w:t xml:space="preserve">There also does not appear to be any basis for removing the </w:t>
            </w:r>
            <w:r w:rsidR="003C6BD5">
              <w:t xml:space="preserve">current </w:t>
            </w:r>
            <w:r w:rsidRPr="00F00945">
              <w:t xml:space="preserve">flexibility that allows a loading facility to request written approval to use an alternative monitoring method. </w:t>
            </w:r>
          </w:p>
          <w:p w:rsidR="00F00945" w:rsidRDefault="00F00945" w:rsidP="00F00945">
            <w:pPr>
              <w:spacing w:after="120"/>
            </w:pPr>
            <w:r w:rsidRPr="00F00945">
              <w:t>DEQ should address this rule through a separate rulemaking</w:t>
            </w:r>
            <w:r w:rsidR="00B7492C">
              <w:t xml:space="preserve"> that should include a detaile</w:t>
            </w:r>
            <w:r w:rsidR="003919FF">
              <w:t>d technical and economic analysi</w:t>
            </w:r>
            <w:r w:rsidR="00B7492C">
              <w:t>s</w:t>
            </w:r>
            <w:r w:rsidRPr="00F00945">
              <w:t>.</w:t>
            </w:r>
            <w:r w:rsidR="00B7492C" w:rsidRPr="00B7492C">
              <w:t xml:space="preserve"> (2, 3, 4, 7, 20, 41, 42, 44, 47, 48, </w:t>
            </w:r>
            <w:r w:rsidR="00B7492C">
              <w:t xml:space="preserve">57, </w:t>
            </w:r>
            <w:r w:rsidR="00B7492C" w:rsidRPr="00B7492C">
              <w:t>58)</w:t>
            </w:r>
          </w:p>
          <w:p w:rsidR="007862B6" w:rsidRDefault="007862B6" w:rsidP="007862B6">
            <w:pPr>
              <w:spacing w:after="120"/>
              <w:rPr>
                <w:i/>
              </w:rPr>
            </w:pPr>
            <w:r>
              <w:rPr>
                <w:i/>
              </w:rPr>
              <w:t>Response:</w:t>
            </w:r>
          </w:p>
          <w:p w:rsidR="00427FEA" w:rsidRDefault="000116E8" w:rsidP="007862B6">
            <w:pPr>
              <w:spacing w:after="120"/>
              <w:rPr>
                <w:i/>
              </w:rPr>
            </w:pPr>
            <w:r>
              <w:rPr>
                <w:i/>
              </w:rPr>
              <w:t xml:space="preserve">The Portland </w:t>
            </w:r>
            <w:r w:rsidRPr="00427FEA">
              <w:rPr>
                <w:i/>
              </w:rPr>
              <w:t>Air Quality Maintenance Area</w:t>
            </w:r>
            <w:r>
              <w:rPr>
                <w:i/>
              </w:rPr>
              <w:t xml:space="preserve"> is a former nonattainment area for ozone. </w:t>
            </w:r>
            <w:r w:rsidR="00427FEA">
              <w:rPr>
                <w:i/>
              </w:rPr>
              <w:t xml:space="preserve">The intent of the marine loading rule is to </w:t>
            </w:r>
            <w:r>
              <w:rPr>
                <w:i/>
              </w:rPr>
              <w:t xml:space="preserve">reduce emissions of volatile </w:t>
            </w:r>
            <w:r>
              <w:rPr>
                <w:i/>
              </w:rPr>
              <w:lastRenderedPageBreak/>
              <w:t xml:space="preserve">organic compounds, which are ozone precursors, to help ensure that the Portland area will not revert to nonattainment for ozone. DEQ understands that there are volatile organic liquids with vapor pressures that exceed the vapor pressure of gasoline that are or may in the future be handled by terminals in the Portland </w:t>
            </w:r>
            <w:r w:rsidRPr="00427FEA">
              <w:rPr>
                <w:i/>
              </w:rPr>
              <w:t>Air Quality Maintenance Area</w:t>
            </w:r>
            <w:r>
              <w:rPr>
                <w:i/>
              </w:rPr>
              <w:t>, and DEQ wishes to address these liquids in a proactive way by revising this rule.</w:t>
            </w:r>
          </w:p>
          <w:p w:rsidR="001F7BA7" w:rsidRDefault="000116E8" w:rsidP="007862B6">
            <w:pPr>
              <w:spacing w:after="120"/>
              <w:rPr>
                <w:i/>
              </w:rPr>
            </w:pPr>
            <w:r>
              <w:rPr>
                <w:i/>
              </w:rPr>
              <w:t>However, based on the comments received, DEQ reconsidered the proposed changes. DEQ realized that the original proposal was too stringent and would require control of emissions from liquids with very low vapor pressures.</w:t>
            </w:r>
            <w:r w:rsidR="008216C9">
              <w:rPr>
                <w:i/>
              </w:rPr>
              <w:t xml:space="preserve"> DEQ believes now that it is appropriate to require control of emissions for liquids that have a vapor pressure that is the same as or greater than </w:t>
            </w:r>
            <w:r w:rsidR="001F7BA7">
              <w:rPr>
                <w:i/>
              </w:rPr>
              <w:t>the vapor pressure of gasoline.</w:t>
            </w:r>
          </w:p>
          <w:p w:rsidR="000116E8" w:rsidRDefault="008216C9" w:rsidP="007862B6">
            <w:pPr>
              <w:spacing w:after="120"/>
              <w:rPr>
                <w:i/>
              </w:rPr>
            </w:pPr>
            <w:r>
              <w:rPr>
                <w:i/>
              </w:rPr>
              <w:t>However, the vapor pressure of gasoline is specified as the Reid vapor press</w:t>
            </w:r>
            <w:r w:rsidR="001F7BA7">
              <w:rPr>
                <w:i/>
              </w:rPr>
              <w:t xml:space="preserve">ure (RVP), which is </w:t>
            </w:r>
            <w:proofErr w:type="spellStart"/>
            <w:r w:rsidR="001F7BA7" w:rsidRPr="001F7BA7">
              <w:rPr>
                <w:i/>
              </w:rPr>
              <w:t>is</w:t>
            </w:r>
            <w:proofErr w:type="spellEnd"/>
            <w:r w:rsidR="001F7BA7" w:rsidRPr="001F7BA7">
              <w:rPr>
                <w:i/>
              </w:rPr>
              <w:t xml:space="preserve"> defined as the absolute </w:t>
            </w:r>
            <w:hyperlink r:id="rId9" w:tooltip="Vapor pressure" w:history="1">
              <w:r w:rsidR="001F7BA7" w:rsidRPr="001F7BA7">
                <w:rPr>
                  <w:i/>
                </w:rPr>
                <w:t>vapor pressure</w:t>
              </w:r>
            </w:hyperlink>
            <w:r w:rsidR="001F7BA7" w:rsidRPr="001F7BA7">
              <w:rPr>
                <w:i/>
              </w:rPr>
              <w:t xml:space="preserve"> exerted by a liquid at 100 °F (37.8 °C) as determined by the test method ASTM-D-323. The test method applies to volatile crude oil and volatile </w:t>
            </w:r>
            <w:proofErr w:type="spellStart"/>
            <w:r w:rsidR="001F7BA7" w:rsidRPr="001F7BA7">
              <w:rPr>
                <w:i/>
              </w:rPr>
              <w:t>nonviscous</w:t>
            </w:r>
            <w:proofErr w:type="spellEnd"/>
            <w:r w:rsidR="001F7BA7" w:rsidRPr="001F7BA7">
              <w:rPr>
                <w:i/>
              </w:rPr>
              <w:t xml:space="preserve"> petroleum liquids, except </w:t>
            </w:r>
            <w:hyperlink r:id="rId10" w:tooltip="Liquefied petroleum gas" w:history="1">
              <w:r w:rsidR="001F7BA7" w:rsidRPr="001F7BA7">
                <w:rPr>
                  <w:i/>
                </w:rPr>
                <w:t>liquefied petroleum gases</w:t>
              </w:r>
            </w:hyperlink>
            <w:r w:rsidR="001F7BA7" w:rsidRPr="001F7BA7">
              <w:rPr>
                <w:i/>
              </w:rPr>
              <w:t>.</w:t>
            </w:r>
            <w:r w:rsidR="001F7BA7">
              <w:rPr>
                <w:i/>
              </w:rPr>
              <w:t xml:space="preserve"> DEQ understands that terminals may handle crude oils that have an RVP that is less than the RVP of gasoline, but which must be heated to reduce viscosity before they can be pumped. These heated fluids may have absolute vapor pressures at the actual pumping temperature that exceeds the absolute vapor pressure of gasoline at ambient conditions.DEQ believes emissions from such f</w:t>
            </w:r>
            <w:r w:rsidR="00BB668E">
              <w:rPr>
                <w:i/>
              </w:rPr>
              <w:t>luids should also be controlled, and has determined that gasoline with an RVP of 4.0 psi will have a</w:t>
            </w:r>
            <w:r w:rsidR="001B2B60">
              <w:rPr>
                <w:i/>
              </w:rPr>
              <w:t>n absolute vapor pressure of approximately …</w:t>
            </w:r>
          </w:p>
          <w:p w:rsidR="00A36A37" w:rsidRDefault="00A36A37" w:rsidP="007862B6">
            <w:pPr>
              <w:spacing w:after="120"/>
              <w:rPr>
                <w:i/>
              </w:rPr>
            </w:pPr>
            <w:proofErr w:type="gramStart"/>
            <w:r w:rsidRPr="00A36A37">
              <w:rPr>
                <w:i/>
                <w:highlight w:val="yellow"/>
              </w:rPr>
              <w:t>need</w:t>
            </w:r>
            <w:proofErr w:type="gramEnd"/>
            <w:r w:rsidRPr="00A36A37">
              <w:rPr>
                <w:i/>
                <w:highlight w:val="yellow"/>
              </w:rPr>
              <w:t xml:space="preserve"> to finish this up, need </w:t>
            </w:r>
            <w:r>
              <w:rPr>
                <w:i/>
                <w:highlight w:val="yellow"/>
              </w:rPr>
              <w:t xml:space="preserve">to discuss with terminals and </w:t>
            </w:r>
            <w:proofErr w:type="spellStart"/>
            <w:r>
              <w:rPr>
                <w:i/>
                <w:highlight w:val="yellow"/>
              </w:rPr>
              <w:t>Po</w:t>
            </w:r>
            <w:r w:rsidRPr="00A36A37">
              <w:rPr>
                <w:i/>
                <w:highlight w:val="yellow"/>
              </w:rPr>
              <w:t>P</w:t>
            </w:r>
            <w:proofErr w:type="spellEnd"/>
            <w:r w:rsidRPr="00A36A37">
              <w:rPr>
                <w:i/>
                <w:highlight w:val="yellow"/>
              </w:rPr>
              <w:t>.</w:t>
            </w:r>
          </w:p>
          <w:p w:rsidR="007862B6" w:rsidRPr="007862B6" w:rsidRDefault="00B30CB8" w:rsidP="007862B6">
            <w:pPr>
              <w:spacing w:after="120"/>
              <w:rPr>
                <w:i/>
              </w:rPr>
            </w:pPr>
            <w:r>
              <w:rPr>
                <w:i/>
              </w:rPr>
              <w:t xml:space="preserve"> </w:t>
            </w:r>
          </w:p>
        </w:tc>
      </w:tr>
      <w:tr w:rsidR="007B4D8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right w:val="single" w:sz="4" w:space="0" w:color="999999"/>
            </w:tcBorders>
            <w:shd w:val="clear" w:color="auto" w:fill="auto"/>
          </w:tcPr>
          <w:p w:rsidR="007B4D85" w:rsidRPr="00090F8A" w:rsidRDefault="007B4D85" w:rsidP="00090F8A">
            <w:pPr>
              <w:ind w:right="-115"/>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F6590A" w:rsidRPr="00F6590A" w:rsidRDefault="007B4D85" w:rsidP="00F6590A">
            <w:pPr>
              <w:spacing w:after="120"/>
            </w:pPr>
            <w:r w:rsidRPr="00BC26A7">
              <w:t xml:space="preserve">The proposed changes to </w:t>
            </w:r>
            <w:r w:rsidR="000E0867">
              <w:t xml:space="preserve">the </w:t>
            </w:r>
            <w:r w:rsidRPr="00BC26A7">
              <w:t>Loading Gasoline or Volatile Organic Compound L</w:t>
            </w:r>
            <w:r w:rsidR="000E0867">
              <w:t>iquids onto Marine Tank Vessels rules</w:t>
            </w:r>
            <w:r w:rsidRPr="00BC26A7">
              <w:t xml:space="preserve"> will place business</w:t>
            </w:r>
            <w:r w:rsidR="003C6BD5">
              <w:t>es</w:t>
            </w:r>
            <w:r w:rsidRPr="00BC26A7">
              <w:t xml:space="preserve"> and terminals located in the Portland region at a competitive financial and potentially operational disadvantage when compared to those businesses locat</w:t>
            </w:r>
            <w:r w:rsidR="000E0867">
              <w:t xml:space="preserve">ed in other parts of the state. </w:t>
            </w:r>
            <w:r w:rsidRPr="00BC26A7">
              <w:t xml:space="preserve">Requiring additional controls for these operations only in the Portland </w:t>
            </w:r>
            <w:r w:rsidR="0021144D" w:rsidRPr="00BC26A7">
              <w:t xml:space="preserve">Air Quality Management Area </w:t>
            </w:r>
            <w:r w:rsidRPr="00BC26A7">
              <w:t xml:space="preserve">is not justified from an air quality perspective. </w:t>
            </w:r>
            <w:r w:rsidR="00F6590A" w:rsidRPr="00F6590A">
              <w:t>The limits should be applied statewide</w:t>
            </w:r>
            <w:r w:rsidR="00F6590A">
              <w:t xml:space="preserve">. </w:t>
            </w:r>
            <w:r w:rsidR="00F6590A" w:rsidRPr="00F6590A">
              <w:t xml:space="preserve">If the statewide applicability of the control requirements cannot be reasonably accomplished, the loading emission control requirements for gasoline and </w:t>
            </w:r>
            <w:r w:rsidR="001817DE">
              <w:t>volatile organic compounds</w:t>
            </w:r>
            <w:r w:rsidR="00F6590A" w:rsidRPr="00F6590A">
              <w:t xml:space="preserve"> liquids </w:t>
            </w:r>
            <w:r w:rsidR="00F6590A">
              <w:t xml:space="preserve">should </w:t>
            </w:r>
            <w:r w:rsidR="00F6590A" w:rsidRPr="00F6590A">
              <w:t>form the baseline for any typically achievable control technology determinations for controls at other facilities anywhere in the state. (46)</w:t>
            </w:r>
          </w:p>
          <w:p w:rsidR="00F6590A" w:rsidRPr="00F6590A" w:rsidRDefault="00F6590A" w:rsidP="00F6590A">
            <w:pPr>
              <w:spacing w:after="120"/>
              <w:rPr>
                <w:i/>
              </w:rPr>
            </w:pPr>
            <w:r w:rsidRPr="00F6590A">
              <w:rPr>
                <w:i/>
              </w:rPr>
              <w:t>Response:</w:t>
            </w:r>
          </w:p>
          <w:p w:rsidR="00F6590A" w:rsidRPr="00F6590A" w:rsidRDefault="00F6590A" w:rsidP="00F6590A">
            <w:pPr>
              <w:spacing w:after="120"/>
              <w:rPr>
                <w:i/>
              </w:rPr>
            </w:pPr>
            <w:proofErr w:type="gramStart"/>
            <w:r w:rsidRPr="00F6590A">
              <w:rPr>
                <w:i/>
              </w:rPr>
              <w:t>agree</w:t>
            </w:r>
            <w:proofErr w:type="gramEnd"/>
            <w:r w:rsidRPr="00F6590A">
              <w:rPr>
                <w:i/>
              </w:rPr>
              <w:t xml:space="preserve"> on LNG, probably agree on LPG, need to research propane - who is the commenter?</w:t>
            </w:r>
          </w:p>
          <w:p w:rsidR="000D74E6" w:rsidRPr="00B033C6" w:rsidRDefault="000D74E6" w:rsidP="00F6590A">
            <w:pPr>
              <w:spacing w:after="120"/>
            </w:pPr>
          </w:p>
        </w:tc>
      </w:tr>
      <w:tr w:rsidR="007B4D8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right w:val="single" w:sz="4" w:space="0" w:color="999999"/>
            </w:tcBorders>
            <w:shd w:val="clear" w:color="auto" w:fill="auto"/>
          </w:tcPr>
          <w:p w:rsidR="007B4D85" w:rsidRPr="00090F8A" w:rsidRDefault="007B4D85" w:rsidP="00090F8A">
            <w:pPr>
              <w:ind w:right="-115"/>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7B4D85" w:rsidRDefault="007B4D85" w:rsidP="007862B6">
            <w:pPr>
              <w:spacing w:after="120"/>
            </w:pPr>
            <w:r w:rsidRPr="001154E9">
              <w:t xml:space="preserve">The definition of a </w:t>
            </w:r>
            <w:r w:rsidR="001817DE">
              <w:t>volatile organic compounds</w:t>
            </w:r>
            <w:r w:rsidRPr="001154E9">
              <w:t xml:space="preserve"> liquid in the </w:t>
            </w:r>
            <w:r w:rsidR="0021144D">
              <w:t>proposed</w:t>
            </w:r>
            <w:r w:rsidRPr="001154E9">
              <w:t xml:space="preserve"> rules is unclear and could be interpreted to apply to LNG based on LNG’s transport pressure. </w:t>
            </w:r>
            <w:r w:rsidR="0021144D">
              <w:t>T</w:t>
            </w:r>
            <w:r w:rsidRPr="001154E9">
              <w:t xml:space="preserve">his rule </w:t>
            </w:r>
            <w:r w:rsidR="0021144D">
              <w:t xml:space="preserve">should not apply </w:t>
            </w:r>
            <w:r w:rsidRPr="001154E9">
              <w:t xml:space="preserve">to LNG because OAR 340-232-0110 is a </w:t>
            </w:r>
            <w:r w:rsidR="001817DE">
              <w:t>volatile organic compounds</w:t>
            </w:r>
            <w:r w:rsidRPr="001154E9">
              <w:t xml:space="preserve"> control rule for the Portland AQMA and LNG is mostly methane, </w:t>
            </w:r>
            <w:proofErr w:type="gramStart"/>
            <w:r w:rsidRPr="001154E9">
              <w:t>a non-</w:t>
            </w:r>
            <w:r w:rsidR="001817DE">
              <w:t>volatile organic compounds</w:t>
            </w:r>
            <w:proofErr w:type="gramEnd"/>
            <w:r w:rsidRPr="001154E9">
              <w:t>.</w:t>
            </w:r>
            <w:r w:rsidR="000E0867">
              <w:t xml:space="preserve"> (46)</w:t>
            </w:r>
          </w:p>
          <w:p w:rsidR="00B30CB8" w:rsidRDefault="00B30CB8" w:rsidP="007862B6">
            <w:pPr>
              <w:spacing w:after="120"/>
              <w:rPr>
                <w:i/>
              </w:rPr>
            </w:pPr>
            <w:r>
              <w:rPr>
                <w:i/>
              </w:rPr>
              <w:t>Response:</w:t>
            </w:r>
          </w:p>
          <w:p w:rsidR="000D74E6" w:rsidRDefault="00A36A37" w:rsidP="007862B6">
            <w:pPr>
              <w:spacing w:after="120"/>
              <w:rPr>
                <w:i/>
              </w:rPr>
            </w:pPr>
            <w:proofErr w:type="gramStart"/>
            <w:r w:rsidRPr="00A36A37">
              <w:rPr>
                <w:i/>
                <w:highlight w:val="yellow"/>
              </w:rPr>
              <w:t>agree</w:t>
            </w:r>
            <w:proofErr w:type="gramEnd"/>
            <w:r w:rsidRPr="00A36A37">
              <w:rPr>
                <w:i/>
                <w:highlight w:val="yellow"/>
              </w:rPr>
              <w:t>, need to exclude LNG</w:t>
            </w:r>
            <w:r w:rsidR="00671AF7" w:rsidRPr="00671AF7">
              <w:rPr>
                <w:i/>
                <w:highlight w:val="yellow"/>
              </w:rPr>
              <w:t>- who is the commenter?</w:t>
            </w:r>
          </w:p>
          <w:p w:rsidR="00B30CB8" w:rsidRPr="00B30CB8" w:rsidRDefault="00B30CB8" w:rsidP="007862B6">
            <w:pPr>
              <w:spacing w:after="120"/>
              <w:rPr>
                <w:i/>
              </w:rPr>
            </w:pPr>
          </w:p>
        </w:tc>
      </w:tr>
      <w:tr w:rsidR="007B4D8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right w:val="single" w:sz="4" w:space="0" w:color="999999"/>
            </w:tcBorders>
            <w:shd w:val="clear" w:color="auto" w:fill="auto"/>
          </w:tcPr>
          <w:p w:rsidR="007B4D85" w:rsidRPr="00090F8A" w:rsidRDefault="007B4D85" w:rsidP="00090F8A">
            <w:pPr>
              <w:ind w:right="-115"/>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7B4D85" w:rsidRPr="00467FA1" w:rsidRDefault="007B4D85" w:rsidP="007862B6">
            <w:pPr>
              <w:spacing w:after="120"/>
            </w:pPr>
            <w:r w:rsidRPr="00467FA1">
              <w:t xml:space="preserve">The increased emissions that result from vapor destruction equipment used to control fugitive emissions from LNG, LPG, and propane loading outweigh the limited benefits of </w:t>
            </w:r>
            <w:r w:rsidR="001817DE">
              <w:t>volatile organic compounds</w:t>
            </w:r>
            <w:r w:rsidRPr="00467FA1">
              <w:t xml:space="preserve"> emission reductions</w:t>
            </w:r>
            <w:r w:rsidR="00F6590A">
              <w:t xml:space="preserve"> by creating</w:t>
            </w:r>
            <w:r w:rsidRPr="00467FA1">
              <w:t xml:space="preserve"> criteria pollutants, including </w:t>
            </w:r>
            <w:r w:rsidR="001817DE">
              <w:t>volatile organic compounds</w:t>
            </w:r>
            <w:r w:rsidRPr="00467FA1">
              <w:t xml:space="preserve">, carbon monoxide, nitrogen oxides, and particulate matter; as well as air toxics such as formaldehyde and benzene. </w:t>
            </w:r>
            <w:r w:rsidR="00F6590A">
              <w:t>(46)</w:t>
            </w:r>
          </w:p>
          <w:p w:rsidR="00F00945" w:rsidRPr="00F00945" w:rsidRDefault="00F00945" w:rsidP="00F6590A">
            <w:pPr>
              <w:spacing w:after="120"/>
              <w:rPr>
                <w:i/>
              </w:rPr>
            </w:pPr>
          </w:p>
        </w:tc>
      </w:tr>
      <w:tr w:rsidR="0037221D" w:rsidRPr="00EB3D0B" w:rsidTr="00AC10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37221D" w:rsidRPr="00EB3D0B" w:rsidRDefault="0037221D" w:rsidP="00AC10AE">
            <w:pPr>
              <w:pStyle w:val="ListParagraph"/>
              <w:ind w:left="0" w:right="-108"/>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37221D" w:rsidRPr="007C0660" w:rsidRDefault="0037221D" w:rsidP="00AC10AE">
            <w:pPr>
              <w:spacing w:after="120"/>
              <w:rPr>
                <w:rFonts w:eastAsia="MS Mincho"/>
              </w:rPr>
            </w:pPr>
            <w:r w:rsidRPr="00EB3D0B">
              <w:rPr>
                <w:rFonts w:eastAsia="MS Mincho"/>
              </w:rPr>
              <w:t xml:space="preserve">DEQ should not make changes to alter the requirements of the construction approval process. DEQ proposed rules are considerably more stringent because they eliminate the ability of a source to net any increase against any decreases associated with the project. </w:t>
            </w:r>
            <w:r>
              <w:t xml:space="preserve">This existing provision to allow internal netting has been the most successful aspect of Oregon’s air permitting program in allowing sources to avoid lengthy and costly permitting processes through removal of old emissions units to allow installation of new, cleaner emitting units.  This internal netting has fueled growth in Oregon and has resulted in dramatic emission decreases as historical sources in the state with an efficient and effective permitting process.  </w:t>
            </w:r>
            <w:r w:rsidRPr="00EB3D0B">
              <w:rPr>
                <w:rFonts w:eastAsia="MS Mincho"/>
              </w:rPr>
              <w:t>A source</w:t>
            </w:r>
            <w:r>
              <w:rPr>
                <w:rFonts w:eastAsia="MS Mincho"/>
              </w:rPr>
              <w:t xml:space="preserve"> replacing a flare with 50 tons per yea</w:t>
            </w:r>
            <w:r w:rsidRPr="00EB3D0B">
              <w:rPr>
                <w:rFonts w:eastAsia="MS Mincho"/>
              </w:rPr>
              <w:t>r of CO emissions with another flare with 50 tons</w:t>
            </w:r>
            <w:r>
              <w:rPr>
                <w:rFonts w:eastAsia="MS Mincho"/>
              </w:rPr>
              <w:t xml:space="preserve"> per </w:t>
            </w:r>
            <w:r w:rsidRPr="00EB3D0B">
              <w:rPr>
                <w:rFonts w:eastAsia="MS Mincho"/>
              </w:rPr>
              <w:t>y</w:t>
            </w:r>
            <w:r>
              <w:rPr>
                <w:rFonts w:eastAsia="MS Mincho"/>
              </w:rPr>
              <w:t>ea</w:t>
            </w:r>
            <w:r w:rsidRPr="00EB3D0B">
              <w:rPr>
                <w:rFonts w:eastAsia="MS Mincho"/>
              </w:rPr>
              <w:t xml:space="preserve">r of CO emissions should be able to conclude that there is at best a de minimis increase of emissions rate. The proposed language would eliminate this flexibility. </w:t>
            </w:r>
            <w:r>
              <w:rPr>
                <w:rFonts w:eastAsia="MS Mincho"/>
              </w:rPr>
              <w:t>(2</w:t>
            </w:r>
            <w:r w:rsidRPr="007C0660">
              <w:rPr>
                <w:rFonts w:eastAsia="MS Mincho"/>
              </w:rPr>
              <w:t xml:space="preserve">, </w:t>
            </w:r>
            <w:r>
              <w:rPr>
                <w:rFonts w:eastAsia="MS Mincho"/>
              </w:rPr>
              <w:t>3, 4</w:t>
            </w:r>
            <w:r w:rsidRPr="007C0660">
              <w:rPr>
                <w:rFonts w:eastAsia="MS Mincho"/>
              </w:rPr>
              <w:t xml:space="preserve">, </w:t>
            </w:r>
            <w:r>
              <w:rPr>
                <w:rFonts w:eastAsia="MS Mincho"/>
              </w:rPr>
              <w:t>7</w:t>
            </w:r>
            <w:r w:rsidRPr="007C0660">
              <w:rPr>
                <w:rFonts w:eastAsia="MS Mincho"/>
              </w:rPr>
              <w:t xml:space="preserve">, </w:t>
            </w:r>
            <w:r>
              <w:rPr>
                <w:rFonts w:eastAsia="MS Mincho"/>
              </w:rPr>
              <w:t>20</w:t>
            </w:r>
            <w:r w:rsidRPr="007C0660">
              <w:rPr>
                <w:rFonts w:eastAsia="MS Mincho"/>
              </w:rPr>
              <w:t xml:space="preserve">, </w:t>
            </w:r>
            <w:r>
              <w:rPr>
                <w:rFonts w:eastAsia="MS Mincho"/>
              </w:rPr>
              <w:t>41</w:t>
            </w:r>
            <w:r w:rsidRPr="007C0660">
              <w:rPr>
                <w:rFonts w:eastAsia="MS Mincho"/>
              </w:rPr>
              <w:t xml:space="preserve">, </w:t>
            </w:r>
            <w:r>
              <w:rPr>
                <w:rFonts w:eastAsia="MS Mincho"/>
              </w:rPr>
              <w:t>42</w:t>
            </w:r>
            <w:r w:rsidRPr="007C0660">
              <w:rPr>
                <w:rFonts w:eastAsia="MS Mincho"/>
              </w:rPr>
              <w:t xml:space="preserve">, </w:t>
            </w:r>
            <w:r>
              <w:rPr>
                <w:rFonts w:eastAsia="MS Mincho"/>
              </w:rPr>
              <w:t>44</w:t>
            </w:r>
            <w:r w:rsidRPr="007C0660">
              <w:rPr>
                <w:rFonts w:eastAsia="MS Mincho"/>
              </w:rPr>
              <w:t xml:space="preserve">, </w:t>
            </w:r>
            <w:r>
              <w:rPr>
                <w:rFonts w:eastAsia="MS Mincho"/>
              </w:rPr>
              <w:t>47</w:t>
            </w:r>
            <w:r w:rsidRPr="007C0660">
              <w:rPr>
                <w:rFonts w:eastAsia="MS Mincho"/>
              </w:rPr>
              <w:t xml:space="preserve">, </w:t>
            </w:r>
            <w:r>
              <w:rPr>
                <w:rFonts w:eastAsia="MS Mincho"/>
              </w:rPr>
              <w:t>48, 58)</w:t>
            </w:r>
          </w:p>
          <w:p w:rsidR="0037221D" w:rsidRDefault="0037221D" w:rsidP="00AC10AE">
            <w:pPr>
              <w:spacing w:after="120"/>
              <w:rPr>
                <w:rFonts w:eastAsia="MS Mincho"/>
                <w:i/>
              </w:rPr>
            </w:pPr>
            <w:r w:rsidRPr="00EB3D0B">
              <w:rPr>
                <w:rFonts w:eastAsia="MS Mincho"/>
                <w:i/>
              </w:rPr>
              <w:t>Response:</w:t>
            </w:r>
          </w:p>
          <w:p w:rsidR="0037221D" w:rsidRDefault="006D2A9B" w:rsidP="00AC10AE">
            <w:pPr>
              <w:spacing w:after="120"/>
              <w:rPr>
                <w:rFonts w:eastAsia="MS Mincho"/>
                <w:i/>
              </w:rPr>
            </w:pPr>
            <w:r w:rsidRPr="006D2A9B">
              <w:rPr>
                <w:rFonts w:eastAsia="MS Mincho"/>
                <w:i/>
                <w:highlight w:val="yellow"/>
              </w:rPr>
              <w:t>have to reconsider major mod, I think that is what this comment is about</w:t>
            </w:r>
          </w:p>
          <w:p w:rsidR="0037221D" w:rsidRPr="00EB3D0B" w:rsidRDefault="0037221D" w:rsidP="00AC10AE">
            <w:pPr>
              <w:spacing w:after="120"/>
              <w:rPr>
                <w:rFonts w:eastAsia="MS Mincho"/>
                <w:i/>
              </w:rPr>
            </w:pPr>
            <w:r>
              <w:rPr>
                <w:rFonts w:eastAsia="MS Mincho"/>
                <w:i/>
              </w:rPr>
              <w:t>No change to the proposed rule amendments is proposed in response to this comment.</w:t>
            </w:r>
          </w:p>
        </w:tc>
      </w:tr>
      <w:tr w:rsidR="007B4D8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right w:val="single" w:sz="4" w:space="0" w:color="999999"/>
            </w:tcBorders>
            <w:shd w:val="clear" w:color="auto" w:fill="auto"/>
          </w:tcPr>
          <w:p w:rsidR="007B4D85" w:rsidRPr="00EB3D0B" w:rsidRDefault="007B4D85" w:rsidP="00B11C1E">
            <w:pPr>
              <w:pStyle w:val="ListParagraph"/>
              <w:numPr>
                <w:ilvl w:val="0"/>
                <w:numId w:val="39"/>
              </w:numPr>
              <w:ind w:right="-115"/>
              <w:rPr>
                <w:bCs/>
              </w:rPr>
            </w:pPr>
            <w:r w:rsidRPr="00EB3D0B">
              <w:rPr>
                <w:bCs/>
              </w:rPr>
              <w:t>Update particulate matter emission standards</w:t>
            </w:r>
          </w:p>
          <w:p w:rsidR="007B4D85" w:rsidRPr="00EB3D0B" w:rsidRDefault="007B4D85" w:rsidP="00A278D4">
            <w:pPr>
              <w:ind w:right="-115"/>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7B4D85" w:rsidRPr="00EB3D0B" w:rsidRDefault="007B4D85">
            <w:pPr>
              <w:spacing w:after="120"/>
              <w:rPr>
                <w:i/>
              </w:rPr>
            </w:pPr>
          </w:p>
        </w:tc>
      </w:tr>
      <w:tr w:rsidR="007B4D8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right w:val="single" w:sz="4" w:space="0" w:color="999999"/>
            </w:tcBorders>
            <w:shd w:val="clear" w:color="auto" w:fill="auto"/>
          </w:tcPr>
          <w:p w:rsidR="007B4D85" w:rsidRPr="00EB3D0B" w:rsidRDefault="007B4D85" w:rsidP="00055FE8">
            <w:pPr>
              <w:pStyle w:val="ListParagraph"/>
              <w:numPr>
                <w:ilvl w:val="0"/>
                <w:numId w:val="39"/>
              </w:numPr>
              <w:autoSpaceDE w:val="0"/>
              <w:autoSpaceDN w:val="0"/>
              <w:adjustRightInd w:val="0"/>
            </w:pPr>
          </w:p>
          <w:p w:rsidR="007B4D85" w:rsidRPr="00EB3D0B" w:rsidRDefault="007B4D85" w:rsidP="003C3C11">
            <w:pPr>
              <w:autoSpaceDE w:val="0"/>
              <w:autoSpaceDN w:val="0"/>
              <w:adjustRightInd w:val="0"/>
            </w:pPr>
            <w:r w:rsidRPr="00EB3D0B">
              <w:t>Change permitting requirements for emergency generators and small natural gas or oil-fired equipment</w:t>
            </w: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7B4D85" w:rsidRPr="00B00426" w:rsidRDefault="007B4D85" w:rsidP="00AA1768">
            <w:pPr>
              <w:spacing w:after="120"/>
              <w:rPr>
                <w:i/>
              </w:rPr>
            </w:pPr>
          </w:p>
        </w:tc>
      </w:tr>
      <w:tr w:rsidR="007B4D8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right w:val="single" w:sz="4" w:space="0" w:color="999999"/>
            </w:tcBorders>
            <w:shd w:val="clear" w:color="auto" w:fill="auto"/>
          </w:tcPr>
          <w:p w:rsidR="007B4D85" w:rsidRPr="00EB3D0B" w:rsidRDefault="007B4D85" w:rsidP="00055FE8">
            <w:pPr>
              <w:pStyle w:val="ListParagraph"/>
              <w:numPr>
                <w:ilvl w:val="0"/>
                <w:numId w:val="39"/>
              </w:numPr>
              <w:autoSpaceDE w:val="0"/>
              <w:autoSpaceDN w:val="0"/>
              <w:adjustRightInd w:val="0"/>
            </w:pPr>
          </w:p>
          <w:p w:rsidR="007B4D85" w:rsidRPr="00EB3D0B" w:rsidRDefault="007B4D85" w:rsidP="00055FE8">
            <w:pPr>
              <w:autoSpaceDE w:val="0"/>
              <w:autoSpaceDN w:val="0"/>
              <w:adjustRightInd w:val="0"/>
            </w:pPr>
            <w:r w:rsidRPr="00EB3D0B">
              <w:t>Establish two new state air quality area</w:t>
            </w:r>
          </w:p>
          <w:p w:rsidR="007B4D85" w:rsidRPr="00EB3D0B" w:rsidRDefault="007B4D85" w:rsidP="00055FE8">
            <w:pPr>
              <w:autoSpaceDE w:val="0"/>
              <w:autoSpaceDN w:val="0"/>
              <w:adjustRightInd w:val="0"/>
            </w:pPr>
            <w:r w:rsidRPr="00EB3D0B">
              <w:t>designations, “sustainment” and “reattainment,” to help areas avoid and</w:t>
            </w:r>
          </w:p>
          <w:p w:rsidR="007B4D85" w:rsidRPr="00EB3D0B" w:rsidRDefault="007B4D85" w:rsidP="00055FE8">
            <w:pPr>
              <w:autoSpaceDE w:val="0"/>
              <w:autoSpaceDN w:val="0"/>
              <w:adjustRightInd w:val="0"/>
            </w:pPr>
            <w:r w:rsidRPr="00EB3D0B">
              <w:t>more quickly end a federal nonattainment</w:t>
            </w:r>
          </w:p>
          <w:p w:rsidR="007B4D85" w:rsidRPr="00EB3D0B" w:rsidRDefault="007B4D85" w:rsidP="00055FE8">
            <w:pPr>
              <w:autoSpaceDE w:val="0"/>
              <w:autoSpaceDN w:val="0"/>
              <w:adjustRightInd w:val="0"/>
            </w:pPr>
            <w:r w:rsidRPr="00EB3D0B">
              <w:t>designation</w:t>
            </w: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A863D8" w:rsidRPr="00A863D8" w:rsidRDefault="00A863D8" w:rsidP="00870E93">
            <w:pPr>
              <w:spacing w:after="120"/>
              <w:rPr>
                <w:i/>
              </w:rPr>
            </w:pPr>
          </w:p>
        </w:tc>
      </w:tr>
      <w:tr w:rsidR="007B4D8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left w:val="single" w:sz="4" w:space="0" w:color="999999"/>
              <w:right w:val="single" w:sz="4" w:space="0" w:color="999999"/>
            </w:tcBorders>
            <w:shd w:val="clear" w:color="auto" w:fill="auto"/>
          </w:tcPr>
          <w:p w:rsidR="007B4D85" w:rsidRPr="00EB3D0B" w:rsidRDefault="007B4D85" w:rsidP="005C2B33">
            <w:pPr>
              <w:autoSpaceDE w:val="0"/>
              <w:autoSpaceDN w:val="0"/>
              <w:adjustRightInd w:val="0"/>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B95A3F" w:rsidRPr="00B95A3F" w:rsidRDefault="00B95A3F" w:rsidP="00B95A3F">
            <w:pPr>
              <w:spacing w:after="120"/>
            </w:pPr>
            <w:r>
              <w:t>The commenter</w:t>
            </w:r>
            <w:r w:rsidR="007B4D85" w:rsidRPr="00883F4E">
              <w:t xml:space="preserve"> agree</w:t>
            </w:r>
            <w:r>
              <w:t>s</w:t>
            </w:r>
            <w:r w:rsidR="007B4D85" w:rsidRPr="00883F4E">
              <w:t xml:space="preserve"> that the current </w:t>
            </w:r>
            <w:r w:rsidR="001817DE">
              <w:t>Plant Site Emission Limit</w:t>
            </w:r>
            <w:r w:rsidR="007B4D85" w:rsidRPr="00883F4E">
              <w:t xml:space="preserve"> rule should be revised so that minor sources are not required to demonstrate a net air quality benefit as a condition to increase their </w:t>
            </w:r>
            <w:r w:rsidR="001817DE">
              <w:t>Plant Site Emission Limit</w:t>
            </w:r>
            <w:r w:rsidR="007B4D85" w:rsidRPr="00883F4E">
              <w:t xml:space="preserve"> by a significant emission rate or more above netting basis. </w:t>
            </w:r>
            <w:r>
              <w:t>T</w:t>
            </w:r>
            <w:r w:rsidR="007B4D85" w:rsidRPr="00883F4E">
              <w:t xml:space="preserve">here is </w:t>
            </w:r>
            <w:r>
              <w:t>no</w:t>
            </w:r>
            <w:r w:rsidR="007B4D85" w:rsidRPr="00883F4E">
              <w:t xml:space="preserve"> need to create a whole new section of the regulations to accomplish this relatively straightforward improvement. We support retaining the </w:t>
            </w:r>
            <w:r w:rsidR="001817DE">
              <w:t>Plant Site Emission Limit</w:t>
            </w:r>
            <w:r w:rsidR="007B4D85" w:rsidRPr="00883F4E">
              <w:t xml:space="preserve"> rule as it currently is structured with this improvement. </w:t>
            </w:r>
            <w:r w:rsidRPr="00B95A3F">
              <w:t>(2, 3, 4, 7, 20, 41, 42, 44, 47, 48, 58)</w:t>
            </w:r>
          </w:p>
          <w:p w:rsidR="007B4D85" w:rsidRDefault="00B95A3F" w:rsidP="007862B6">
            <w:pPr>
              <w:spacing w:after="120"/>
              <w:rPr>
                <w:i/>
              </w:rPr>
            </w:pPr>
            <w:r>
              <w:rPr>
                <w:i/>
              </w:rPr>
              <w:t>Response:</w:t>
            </w:r>
          </w:p>
          <w:p w:rsidR="000D74E6" w:rsidRPr="00B95A3F" w:rsidRDefault="000D74E6" w:rsidP="007862B6">
            <w:pPr>
              <w:spacing w:after="120"/>
              <w:rPr>
                <w:i/>
              </w:rPr>
            </w:pPr>
          </w:p>
        </w:tc>
      </w:tr>
      <w:tr w:rsidR="007B4D8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7B4D85" w:rsidRPr="00EB3D0B" w:rsidRDefault="007B4D85" w:rsidP="00055FE8">
            <w:pPr>
              <w:pStyle w:val="ListParagraph"/>
              <w:numPr>
                <w:ilvl w:val="0"/>
                <w:numId w:val="39"/>
              </w:numPr>
              <w:autoSpaceDE w:val="0"/>
              <w:autoSpaceDN w:val="0"/>
              <w:adjustRightInd w:val="0"/>
            </w:pPr>
          </w:p>
          <w:p w:rsidR="007B4D85" w:rsidRPr="00EB3D0B" w:rsidRDefault="007B4D85" w:rsidP="003C3C11">
            <w:pPr>
              <w:autoSpaceDE w:val="0"/>
              <w:autoSpaceDN w:val="0"/>
              <w:adjustRightInd w:val="0"/>
            </w:pPr>
            <w:r w:rsidRPr="00EB3D0B">
              <w:t>Designate Lakeview as a state sustainment</w:t>
            </w:r>
          </w:p>
          <w:p w:rsidR="007B4D85" w:rsidRPr="00EB3D0B" w:rsidRDefault="007B4D85" w:rsidP="003C3C11">
            <w:pPr>
              <w:autoSpaceDE w:val="0"/>
              <w:autoSpaceDN w:val="0"/>
              <w:adjustRightInd w:val="0"/>
            </w:pPr>
            <w:r w:rsidRPr="00EB3D0B">
              <w:t>area while retaining its federal attainment</w:t>
            </w:r>
          </w:p>
          <w:p w:rsidR="007B4D85" w:rsidRPr="00EB3D0B" w:rsidRDefault="007B4D85" w:rsidP="003C3C11">
            <w:pPr>
              <w:autoSpaceDE w:val="0"/>
              <w:autoSpaceDN w:val="0"/>
              <w:adjustRightInd w:val="0"/>
            </w:pPr>
            <w:r w:rsidRPr="00EB3D0B">
              <w:lastRenderedPageBreak/>
              <w:t>designation</w:t>
            </w: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D2741A" w:rsidRPr="00D2741A" w:rsidRDefault="00D2741A" w:rsidP="00870E93">
            <w:pPr>
              <w:spacing w:after="120"/>
              <w:rPr>
                <w:i/>
              </w:rPr>
            </w:pPr>
          </w:p>
        </w:tc>
      </w:tr>
      <w:tr w:rsidR="007B4D8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7B4D85" w:rsidRPr="00EB3D0B" w:rsidRDefault="007B4D85" w:rsidP="005C2B33">
            <w:pPr>
              <w:autoSpaceDE w:val="0"/>
              <w:autoSpaceDN w:val="0"/>
              <w:adjustRightInd w:val="0"/>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D2741A" w:rsidRPr="00D2741A" w:rsidRDefault="00D2741A" w:rsidP="007862B6">
            <w:pPr>
              <w:spacing w:after="120"/>
              <w:rPr>
                <w:i/>
              </w:rPr>
            </w:pPr>
          </w:p>
        </w:tc>
      </w:tr>
      <w:tr w:rsidR="007B4D8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7B4D85" w:rsidRPr="00EB3D0B" w:rsidRDefault="007B4D85" w:rsidP="005C2B33">
            <w:pPr>
              <w:autoSpaceDE w:val="0"/>
              <w:autoSpaceDN w:val="0"/>
              <w:adjustRightInd w:val="0"/>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E02335" w:rsidRDefault="00E02335" w:rsidP="00E02335">
            <w:pPr>
              <w:spacing w:after="120"/>
            </w:pPr>
            <w:commentRangeStart w:id="3"/>
            <w:r w:rsidRPr="00E02335">
              <w:t xml:space="preserve">Lakeview, one area that DEQ proposes to designate as a Sustainment Area, suffers from air quality problems are driven by woodstove smoke and no amount of additional regulation can change the Lakeview Area’s air quality status. Yet the only way to attract natural gas to the town or to improve employment so people can afford to replace their woodstoves with newer lower-emitting models is if employment can expand. DEQ’s Sustainment Area proposal is likely to be the very thing that makes it impossible for the Lakeview Area to actually improve its air quality. </w:t>
            </w:r>
            <w:r w:rsidR="00752DD4">
              <w:t>S</w:t>
            </w:r>
            <w:r w:rsidRPr="00E02335">
              <w:t>ince February 2013, the Town of Lakeview, Lake County, DEQ, and Collins have been actively engaged in US EPA’s PM Advance Program hopefully eliminating the need for the Sustainment Area concept to be applied to the Lakeview Area. If the Lakeview PM Advance Plan is successfully implemented and other jurisdictions like Prineville or Burns utilize the PM Advance option,</w:t>
            </w:r>
            <w:r w:rsidR="003F01A1">
              <w:t xml:space="preserve"> there is no need for DEQ to </w:t>
            </w:r>
            <w:r w:rsidRPr="00E02335">
              <w:t>impos</w:t>
            </w:r>
            <w:r w:rsidR="003F01A1">
              <w:t>e</w:t>
            </w:r>
            <w:r w:rsidRPr="00E02335">
              <w:t xml:space="preserve"> additional regulations </w:t>
            </w:r>
            <w:r w:rsidR="003F01A1">
              <w:t>such as</w:t>
            </w:r>
            <w:r w:rsidRPr="00E02335">
              <w:t xml:space="preserve"> a “Sustainment Area” designation for the Lakeview area or any other local jurisdiction</w:t>
            </w:r>
            <w:r w:rsidR="006A0774">
              <w:t xml:space="preserve">. </w:t>
            </w:r>
            <w:r w:rsidR="00B95A3F">
              <w:t>(12)</w:t>
            </w:r>
          </w:p>
          <w:p w:rsidR="00E02335" w:rsidRDefault="00E02335" w:rsidP="00E02335">
            <w:pPr>
              <w:spacing w:after="120"/>
              <w:rPr>
                <w:i/>
              </w:rPr>
            </w:pPr>
            <w:r>
              <w:rPr>
                <w:i/>
              </w:rPr>
              <w:t>Response:</w:t>
            </w:r>
            <w:commentRangeEnd w:id="3"/>
            <w:r w:rsidR="00263F10">
              <w:rPr>
                <w:rStyle w:val="CommentReference"/>
              </w:rPr>
              <w:commentReference w:id="3"/>
            </w:r>
          </w:p>
          <w:p w:rsidR="006C7F05" w:rsidRPr="00E02335" w:rsidRDefault="006C7F05" w:rsidP="00E02335">
            <w:pPr>
              <w:spacing w:after="120"/>
              <w:rPr>
                <w:i/>
              </w:rPr>
            </w:pPr>
            <w:r w:rsidRPr="006C7F05">
              <w:rPr>
                <w:i/>
                <w:highlight w:val="green"/>
              </w:rPr>
              <w:t>This needs to be put with other Lakeview comments, because the response is the same</w:t>
            </w:r>
          </w:p>
          <w:p w:rsidR="007B4D85" w:rsidRPr="00E02335" w:rsidRDefault="007B4D85" w:rsidP="00E02335">
            <w:pPr>
              <w:spacing w:after="120"/>
            </w:pPr>
          </w:p>
        </w:tc>
      </w:tr>
      <w:tr w:rsidR="007B4D8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7B4D85" w:rsidRPr="00EB3D0B" w:rsidRDefault="007B4D85" w:rsidP="00090F8A">
            <w:pPr>
              <w:autoSpaceDE w:val="0"/>
              <w:autoSpaceDN w:val="0"/>
              <w:adjustRightInd w:val="0"/>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7B4D85" w:rsidRDefault="007B4D85" w:rsidP="00A13B79">
            <w:pPr>
              <w:spacing w:after="120"/>
            </w:pPr>
            <w:r w:rsidRPr="007424C0">
              <w:t xml:space="preserve">DEQ should clarify the language within the </w:t>
            </w:r>
            <w:r w:rsidR="001817DE">
              <w:t>Plant Site Emission Limit</w:t>
            </w:r>
            <w:r w:rsidRPr="007424C0">
              <w:t xml:space="preserve"> rules </w:t>
            </w:r>
            <w:r w:rsidR="00A13B79">
              <w:t>regarding</w:t>
            </w:r>
            <w:r w:rsidRPr="007424C0">
              <w:t xml:space="preserve"> emissions from categorically insignificant activities. </w:t>
            </w:r>
            <w:r w:rsidR="00A13B79">
              <w:t>Since d</w:t>
            </w:r>
            <w:r w:rsidRPr="007424C0">
              <w:t xml:space="preserve">ivision 224 has been expanded to include minor </w:t>
            </w:r>
            <w:r w:rsidR="0095567F">
              <w:t>New Source Review</w:t>
            </w:r>
            <w:r w:rsidRPr="007424C0">
              <w:t xml:space="preserve"> as well as major </w:t>
            </w:r>
            <w:r w:rsidR="0095567F">
              <w:t>New Source Review</w:t>
            </w:r>
            <w:r w:rsidR="00A13B79">
              <w:t>, t</w:t>
            </w:r>
            <w:r w:rsidRPr="007424C0">
              <w:t xml:space="preserve">he proposed language would greatly expand the stringency of minor </w:t>
            </w:r>
            <w:r w:rsidR="0095567F">
              <w:t>New Source Review</w:t>
            </w:r>
            <w:r w:rsidRPr="007424C0">
              <w:t xml:space="preserve"> in that emissions from categorically insignificant activities are not considered as part of the minor </w:t>
            </w:r>
            <w:r w:rsidR="0095567F">
              <w:t>New Source Review</w:t>
            </w:r>
            <w:r w:rsidRPr="007424C0">
              <w:t xml:space="preserve"> program. </w:t>
            </w:r>
            <w:r w:rsidR="005709CE" w:rsidRPr="005709CE">
              <w:t>(2, 3, 4, 7, 20, 41, 42, 44, 47, 48, 58)</w:t>
            </w:r>
          </w:p>
          <w:p w:rsidR="001E4AE7" w:rsidRDefault="001E4AE7" w:rsidP="001E4AE7">
            <w:pPr>
              <w:spacing w:after="120"/>
              <w:rPr>
                <w:i/>
              </w:rPr>
            </w:pPr>
            <w:r>
              <w:rPr>
                <w:i/>
              </w:rPr>
              <w:t>Response:</w:t>
            </w:r>
          </w:p>
          <w:p w:rsidR="005B2853" w:rsidRPr="005B2853" w:rsidRDefault="005B2853" w:rsidP="005B2853">
            <w:pPr>
              <w:spacing w:after="120"/>
              <w:rPr>
                <w:i/>
              </w:rPr>
            </w:pPr>
            <w:commentRangeStart w:id="4"/>
            <w:r w:rsidRPr="005B2853">
              <w:rPr>
                <w:i/>
              </w:rPr>
              <w:t xml:space="preserve">DEQ agrees with the comment. As discussed in the response to comment </w:t>
            </w:r>
            <w:r w:rsidRPr="005B2853">
              <w:rPr>
                <w:i/>
                <w:highlight w:val="yellow"/>
              </w:rPr>
              <w:t>XXX,</w:t>
            </w:r>
            <w:r w:rsidRPr="005B2853">
              <w:rPr>
                <w:i/>
              </w:rPr>
              <w:t xml:space="preserve"> Major </w:t>
            </w:r>
            <w:r w:rsidR="0095567F">
              <w:rPr>
                <w:i/>
              </w:rPr>
              <w:t>New Source Review</w:t>
            </w:r>
            <w:r w:rsidRPr="005B2853">
              <w:rPr>
                <w:i/>
              </w:rPr>
              <w:t xml:space="preserve"> and Type A State </w:t>
            </w:r>
            <w:r w:rsidR="0095567F">
              <w:rPr>
                <w:i/>
              </w:rPr>
              <w:t>New Source Review</w:t>
            </w:r>
            <w:r w:rsidRPr="005B2853">
              <w:rPr>
                <w:i/>
              </w:rPr>
              <w:t xml:space="preserve"> are equivalent to the 2001/2015 </w:t>
            </w:r>
            <w:r w:rsidR="0095567F">
              <w:rPr>
                <w:i/>
              </w:rPr>
              <w:t>New Source Review</w:t>
            </w:r>
            <w:r w:rsidRPr="005B2853">
              <w:rPr>
                <w:i/>
              </w:rPr>
              <w:t xml:space="preserve"> program.</w:t>
            </w:r>
            <w:r>
              <w:rPr>
                <w:i/>
              </w:rPr>
              <w:t xml:space="preserve"> </w:t>
            </w:r>
            <w:r w:rsidRPr="005B2853">
              <w:rPr>
                <w:i/>
              </w:rPr>
              <w:t>To maintain program continuity, DEQ has revised OAR 340-222-0035(5) to read as follows:</w:t>
            </w:r>
          </w:p>
          <w:p w:rsidR="005B2853" w:rsidRPr="001E4AE7" w:rsidRDefault="005B2853" w:rsidP="001E4AE7">
            <w:pPr>
              <w:spacing w:after="120"/>
              <w:rPr>
                <w:i/>
              </w:rPr>
            </w:pPr>
            <w:r w:rsidRPr="005B2853">
              <w:rPr>
                <w:i/>
              </w:rPr>
              <w:t xml:space="preserve">(5) </w:t>
            </w:r>
            <w:r w:rsidR="001817DE" w:rsidRPr="001817DE">
              <w:rPr>
                <w:i/>
              </w:rPr>
              <w:t>Plant Site Emission Limit</w:t>
            </w:r>
            <w:r w:rsidRPr="005B2853">
              <w:rPr>
                <w:i/>
              </w:rPr>
              <w:t xml:space="preserve">s do not include emissions from categorically insignificant activities. Emissions from categorically insignificant activities must be considered when determining Major </w:t>
            </w:r>
            <w:r w:rsidR="0095567F">
              <w:rPr>
                <w:i/>
              </w:rPr>
              <w:t>New Source Review</w:t>
            </w:r>
            <w:r w:rsidRPr="005B2853">
              <w:rPr>
                <w:i/>
              </w:rPr>
              <w:t xml:space="preserve"> or Type A State </w:t>
            </w:r>
            <w:r w:rsidR="0095567F">
              <w:rPr>
                <w:i/>
              </w:rPr>
              <w:t>New Source Review</w:t>
            </w:r>
            <w:r w:rsidRPr="005B2853">
              <w:rPr>
                <w:i/>
              </w:rPr>
              <w:t xml:space="preserve"> applicability under OAR 340 division 224. </w:t>
            </w:r>
            <w:commentRangeEnd w:id="4"/>
            <w:r w:rsidR="00846AC1">
              <w:rPr>
                <w:rStyle w:val="CommentReference"/>
              </w:rPr>
              <w:commentReference w:id="4"/>
            </w:r>
          </w:p>
        </w:tc>
      </w:tr>
      <w:tr w:rsidR="007B4D8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7B4D85" w:rsidRPr="00EB3D0B" w:rsidRDefault="007B4D85" w:rsidP="004F2FBD">
            <w:pPr>
              <w:autoSpaceDE w:val="0"/>
              <w:autoSpaceDN w:val="0"/>
              <w:adjustRightInd w:val="0"/>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7B4D85" w:rsidRPr="00066F86" w:rsidRDefault="007B4D85" w:rsidP="007862B6">
            <w:pPr>
              <w:spacing w:after="120"/>
            </w:pPr>
            <w:r w:rsidRPr="00066F86">
              <w:t>DEQ is proposing to significant</w:t>
            </w:r>
            <w:r>
              <w:t>ly</w:t>
            </w:r>
            <w:r w:rsidR="007D5684">
              <w:t xml:space="preserve"> increase the stringency of d</w:t>
            </w:r>
            <w:r w:rsidRPr="00066F86">
              <w:t>ivision 224</w:t>
            </w:r>
            <w:r w:rsidR="007D5684">
              <w:t xml:space="preserve"> by deleting</w:t>
            </w:r>
            <w:r w:rsidRPr="00066F86">
              <w:t xml:space="preserve"> the minor </w:t>
            </w:r>
            <w:r w:rsidR="0095567F">
              <w:t>New Source Review</w:t>
            </w:r>
            <w:r w:rsidRPr="00066F86">
              <w:t xml:space="preserve"> provisions and </w:t>
            </w:r>
            <w:r w:rsidR="007D5684">
              <w:t>using</w:t>
            </w:r>
            <w:r w:rsidRPr="00066F86">
              <w:t xml:space="preserve"> OAR 340-222-0041(4) </w:t>
            </w:r>
            <w:r w:rsidR="00C756D1" w:rsidRPr="00066F86">
              <w:t>as the “gate keeper” provision to OAR 340-224-0010</w:t>
            </w:r>
            <w:r w:rsidR="006A0774">
              <w:t xml:space="preserve">. </w:t>
            </w:r>
            <w:r w:rsidR="00687030">
              <w:t>I</w:t>
            </w:r>
            <w:r w:rsidRPr="00066F86">
              <w:t xml:space="preserve">f OAR 340-222-0041(4) is supposed to be the gatekeeper to State </w:t>
            </w:r>
            <w:r w:rsidR="0095567F">
              <w:t>New Source Review</w:t>
            </w:r>
            <w:r w:rsidR="00687030">
              <w:t xml:space="preserve">, </w:t>
            </w:r>
            <w:r w:rsidRPr="00066F86">
              <w:t>OAR 340-224-0010(2) serves</w:t>
            </w:r>
            <w:r w:rsidR="00687030">
              <w:t xml:space="preserve"> no function</w:t>
            </w:r>
            <w:r w:rsidRPr="00066F86">
              <w:t xml:space="preserve">. </w:t>
            </w:r>
          </w:p>
          <w:p w:rsidR="00C756D1" w:rsidRPr="00C756D1" w:rsidRDefault="007B4D85" w:rsidP="00C756D1">
            <w:pPr>
              <w:spacing w:after="120"/>
            </w:pPr>
            <w:r w:rsidRPr="00066F86">
              <w:lastRenderedPageBreak/>
              <w:t xml:space="preserve">DEQ’s language is very confusing and internally inconsistent. DEQ </w:t>
            </w:r>
            <w:r w:rsidR="00E31A2D">
              <w:t>should not revise d</w:t>
            </w:r>
            <w:r w:rsidRPr="00066F86">
              <w:t>ivision 224 this time and instead do so in a separate future rulemaking.</w:t>
            </w:r>
            <w:r w:rsidR="00E31A2D">
              <w:t xml:space="preserve"> If DEQ does not wish to leave d</w:t>
            </w:r>
            <w:r w:rsidRPr="00066F86">
              <w:t xml:space="preserve">ivision 224 changes to another rulemaking, the rules </w:t>
            </w:r>
            <w:r w:rsidR="00E31A2D">
              <w:t>should be clear that a source does not consult d</w:t>
            </w:r>
            <w:r w:rsidRPr="00066F86">
              <w:t xml:space="preserve">ivision 224 unless it is requesting a </w:t>
            </w:r>
            <w:r w:rsidR="001817DE">
              <w:t>Plant Site Emission Limit</w:t>
            </w:r>
            <w:r w:rsidRPr="00066F86">
              <w:t xml:space="preserve"> that exceeds the netting basis by a significant emission rate or more. </w:t>
            </w:r>
            <w:r w:rsidR="00C756D1" w:rsidRPr="00C756D1">
              <w:t>(2, 3, 4, 7, 20, 41, 42, 44, 47, 48, 58)</w:t>
            </w:r>
          </w:p>
          <w:p w:rsidR="007B4D85" w:rsidRDefault="00C756D1" w:rsidP="007862B6">
            <w:pPr>
              <w:spacing w:after="120"/>
              <w:rPr>
                <w:i/>
              </w:rPr>
            </w:pPr>
            <w:r>
              <w:rPr>
                <w:i/>
              </w:rPr>
              <w:t>Response:</w:t>
            </w:r>
          </w:p>
          <w:p w:rsidR="003B0D65" w:rsidRPr="003B0D65" w:rsidRDefault="003B0D65" w:rsidP="003B0D65">
            <w:pPr>
              <w:spacing w:after="120"/>
              <w:rPr>
                <w:i/>
              </w:rPr>
            </w:pPr>
            <w:r w:rsidRPr="003B0D65">
              <w:rPr>
                <w:i/>
              </w:rPr>
              <w:t>DEQ has revised OAR 340-222-0041(4) to restore subsections (a) and (b), which were formerly OAR 340-222-0041(3)(a) and (b). This change effectively means that the new rules have the same structure as the old rules.</w:t>
            </w:r>
          </w:p>
          <w:p w:rsidR="003B0D65" w:rsidRPr="003B0D65" w:rsidRDefault="003B0D65" w:rsidP="003B0D65">
            <w:pPr>
              <w:spacing w:after="120"/>
              <w:rPr>
                <w:i/>
              </w:rPr>
            </w:pPr>
            <w:r w:rsidRPr="003B0D65">
              <w:rPr>
                <w:i/>
              </w:rPr>
              <w:t xml:space="preserve">Commenters state with regard to OAR 340-224-0010(2) that </w:t>
            </w:r>
            <w:r w:rsidRPr="00846AC1">
              <w:rPr>
                <w:i/>
                <w:highlight w:val="yellow"/>
              </w:rPr>
              <w:t xml:space="preserve">“As written, this means that by requesting to increase a </w:t>
            </w:r>
            <w:r w:rsidR="0095567F">
              <w:rPr>
                <w:i/>
                <w:highlight w:val="yellow"/>
              </w:rPr>
              <w:t>nitrogen oxides</w:t>
            </w:r>
            <w:r w:rsidRPr="00846AC1">
              <w:rPr>
                <w:i/>
                <w:highlight w:val="yellow"/>
              </w:rPr>
              <w:t xml:space="preserve"> </w:t>
            </w:r>
            <w:r w:rsidR="001817DE">
              <w:rPr>
                <w:i/>
                <w:highlight w:val="yellow"/>
              </w:rPr>
              <w:t>Plant Site Emission Limit</w:t>
            </w:r>
            <w:r w:rsidRPr="00846AC1">
              <w:rPr>
                <w:i/>
                <w:highlight w:val="yellow"/>
              </w:rPr>
              <w:t xml:space="preserve"> to 40 </w:t>
            </w:r>
            <w:r w:rsidR="001817DE">
              <w:rPr>
                <w:i/>
                <w:highlight w:val="yellow"/>
              </w:rPr>
              <w:t>tons per year</w:t>
            </w:r>
            <w:r w:rsidRPr="00846AC1">
              <w:rPr>
                <w:i/>
                <w:highlight w:val="yellow"/>
              </w:rPr>
              <w:t xml:space="preserve"> or more in a nonattainment area--regardless of the source’s netting basis--that source will trigger nonattainment State </w:t>
            </w:r>
            <w:r w:rsidR="0095567F">
              <w:rPr>
                <w:i/>
                <w:highlight w:val="yellow"/>
              </w:rPr>
              <w:t>New Source Review</w:t>
            </w:r>
            <w:r w:rsidRPr="00846AC1">
              <w:rPr>
                <w:i/>
                <w:highlight w:val="yellow"/>
              </w:rPr>
              <w:t xml:space="preserve"> and be required to provide offsets and demonstrate a net air quality </w:t>
            </w:r>
            <w:commentRangeStart w:id="5"/>
            <w:r w:rsidRPr="00846AC1">
              <w:rPr>
                <w:i/>
                <w:highlight w:val="yellow"/>
              </w:rPr>
              <w:t>benefit</w:t>
            </w:r>
            <w:commentRangeEnd w:id="5"/>
            <w:r w:rsidR="00846AC1">
              <w:rPr>
                <w:rStyle w:val="CommentReference"/>
              </w:rPr>
              <w:commentReference w:id="5"/>
            </w:r>
            <w:r w:rsidRPr="00846AC1">
              <w:rPr>
                <w:i/>
                <w:highlight w:val="yellow"/>
              </w:rPr>
              <w:t>.”</w:t>
            </w:r>
            <w:r w:rsidRPr="003B0D65">
              <w:rPr>
                <w:i/>
              </w:rPr>
              <w:t xml:space="preserve"> DEQ’s intent with these rule revisions is essentially to maintain the overall new source review program as it was from 2001 through early 2015, with the following exceptions:</w:t>
            </w:r>
          </w:p>
          <w:p w:rsidR="003B0D65" w:rsidRPr="003B0D65" w:rsidRDefault="003B0D65" w:rsidP="003B0D65">
            <w:pPr>
              <w:pStyle w:val="ListParagraph"/>
              <w:numPr>
                <w:ilvl w:val="0"/>
                <w:numId w:val="47"/>
              </w:numPr>
              <w:spacing w:after="120"/>
              <w:rPr>
                <w:i/>
              </w:rPr>
            </w:pPr>
            <w:r w:rsidRPr="003B0D65">
              <w:rPr>
                <w:i/>
              </w:rPr>
              <w:t>rules have been added for the new sustainment and reattainment areas; and</w:t>
            </w:r>
          </w:p>
          <w:p w:rsidR="003B0D65" w:rsidRPr="003B0D65" w:rsidRDefault="003B0D65" w:rsidP="003B0D65">
            <w:pPr>
              <w:pStyle w:val="ListParagraph"/>
              <w:numPr>
                <w:ilvl w:val="0"/>
                <w:numId w:val="47"/>
              </w:numPr>
              <w:spacing w:after="120"/>
              <w:rPr>
                <w:i/>
              </w:rPr>
            </w:pPr>
            <w:proofErr w:type="gramStart"/>
            <w:r w:rsidRPr="003B0D65">
              <w:rPr>
                <w:i/>
              </w:rPr>
              <w:t>offset</w:t>
            </w:r>
            <w:proofErr w:type="gramEnd"/>
            <w:r w:rsidRPr="003B0D65">
              <w:rPr>
                <w:i/>
              </w:rPr>
              <w:t xml:space="preserve"> and net air quality benefit requirements have been revised and in some cases are more stringent.</w:t>
            </w:r>
          </w:p>
          <w:p w:rsidR="003B0D65" w:rsidRPr="003B0D65" w:rsidRDefault="003B0D65" w:rsidP="003B0D65">
            <w:pPr>
              <w:spacing w:after="120"/>
              <w:rPr>
                <w:i/>
              </w:rPr>
            </w:pPr>
            <w:r w:rsidRPr="003B0D65">
              <w:rPr>
                <w:i/>
              </w:rPr>
              <w:t>On the whole, however, DEQ did not intend to dramatically increase the stringency of the new source review program.</w:t>
            </w:r>
          </w:p>
          <w:p w:rsidR="003B0D65" w:rsidRPr="003B0D65" w:rsidRDefault="003B0D65" w:rsidP="003B0D65">
            <w:pPr>
              <w:spacing w:after="120"/>
              <w:rPr>
                <w:i/>
              </w:rPr>
            </w:pPr>
            <w:r w:rsidRPr="003B0D65">
              <w:rPr>
                <w:i/>
              </w:rPr>
              <w:t xml:space="preserve">In consideration of the comment above, DEQ reviewed the applicability requirements in OAR 340-224-0010(2) and has revised to clarify the applicability of State </w:t>
            </w:r>
            <w:r w:rsidR="0095567F">
              <w:rPr>
                <w:i/>
              </w:rPr>
              <w:t>New Source Review</w:t>
            </w:r>
            <w:r w:rsidRPr="003B0D65">
              <w:rPr>
                <w:i/>
              </w:rPr>
              <w:t xml:space="preserve">. In addition, both OAR 340-224-0010(1) and (2) follow the structure of OAR 340-224-0010(1) and (2) in the 2001/2015 </w:t>
            </w:r>
            <w:r w:rsidR="0095567F">
              <w:rPr>
                <w:i/>
              </w:rPr>
              <w:t>New Source Review</w:t>
            </w:r>
            <w:r w:rsidRPr="003B0D65">
              <w:rPr>
                <w:i/>
              </w:rPr>
              <w:t xml:space="preserve"> applicability rules in OAR 340 division 224.</w:t>
            </w:r>
          </w:p>
          <w:tbl>
            <w:tblPr>
              <w:tblStyle w:val="TableGrid"/>
              <w:tblW w:w="0" w:type="auto"/>
              <w:jc w:val="center"/>
              <w:tblLayout w:type="fixed"/>
              <w:tblLook w:val="04A0"/>
            </w:tblPr>
            <w:tblGrid>
              <w:gridCol w:w="3370"/>
              <w:gridCol w:w="3371"/>
            </w:tblGrid>
            <w:tr w:rsidR="003B0D65" w:rsidRPr="003B0D65" w:rsidTr="003B0D65">
              <w:trPr>
                <w:jc w:val="center"/>
              </w:trPr>
              <w:tc>
                <w:tcPr>
                  <w:tcW w:w="3370" w:type="dxa"/>
                </w:tcPr>
                <w:p w:rsidR="003B0D65" w:rsidRPr="003B0D65" w:rsidRDefault="003B0D65" w:rsidP="001D200F">
                  <w:pPr>
                    <w:jc w:val="center"/>
                    <w:rPr>
                      <w:b/>
                      <w:i/>
                    </w:rPr>
                  </w:pPr>
                  <w:r w:rsidRPr="003B0D65">
                    <w:rPr>
                      <w:b/>
                      <w:i/>
                    </w:rPr>
                    <w:t>OAR 340-224-0010(2) rule language</w:t>
                  </w:r>
                </w:p>
              </w:tc>
              <w:tc>
                <w:tcPr>
                  <w:tcW w:w="3371" w:type="dxa"/>
                </w:tcPr>
                <w:p w:rsidR="003B0D65" w:rsidRPr="003B0D65" w:rsidRDefault="003B0D65" w:rsidP="001D200F">
                  <w:pPr>
                    <w:jc w:val="center"/>
                    <w:rPr>
                      <w:b/>
                      <w:i/>
                    </w:rPr>
                  </w:pPr>
                </w:p>
                <w:p w:rsidR="003B0D65" w:rsidRPr="003B0D65" w:rsidRDefault="003B0D65" w:rsidP="001D200F">
                  <w:pPr>
                    <w:jc w:val="center"/>
                    <w:rPr>
                      <w:b/>
                      <w:i/>
                    </w:rPr>
                  </w:pPr>
                  <w:r w:rsidRPr="003B0D65">
                    <w:rPr>
                      <w:b/>
                      <w:i/>
                    </w:rPr>
                    <w:t>Review/discussion of rule</w:t>
                  </w:r>
                </w:p>
              </w:tc>
            </w:tr>
            <w:tr w:rsidR="003B0D65" w:rsidRPr="003B0D65" w:rsidTr="003B0D65">
              <w:trPr>
                <w:jc w:val="center"/>
              </w:trPr>
              <w:tc>
                <w:tcPr>
                  <w:tcW w:w="3370" w:type="dxa"/>
                </w:tcPr>
                <w:p w:rsidR="003B0D65" w:rsidRPr="003B0D65" w:rsidRDefault="003B0D65" w:rsidP="001D200F">
                  <w:pPr>
                    <w:rPr>
                      <w:i/>
                    </w:rPr>
                  </w:pPr>
                  <w:r w:rsidRPr="003B0D65">
                    <w:rPr>
                      <w:i/>
                    </w:rPr>
                    <w:t>(a) In a nonattainment, reattainment or maintenance area:</w:t>
                  </w:r>
                </w:p>
                <w:p w:rsidR="003B0D65" w:rsidRPr="003B0D65" w:rsidRDefault="003B0D65" w:rsidP="001D200F">
                  <w:pPr>
                    <w:rPr>
                      <w:i/>
                    </w:rPr>
                  </w:pPr>
                  <w:r w:rsidRPr="003B0D65">
                    <w:rPr>
                      <w:i/>
                    </w:rPr>
                    <w:t>(A) Construction of a new source that will have emissions of the nonattainment, reattainment or maintenance pollutant equal to or greater than the SER; or</w:t>
                  </w:r>
                </w:p>
                <w:p w:rsidR="003B0D65" w:rsidRPr="003B0D65" w:rsidRDefault="003B0D65" w:rsidP="001D200F">
                  <w:pPr>
                    <w:rPr>
                      <w:i/>
                    </w:rPr>
                  </w:pPr>
                </w:p>
                <w:p w:rsidR="003B0D65" w:rsidRPr="003B0D65" w:rsidRDefault="003B0D65" w:rsidP="001D200F">
                  <w:pPr>
                    <w:rPr>
                      <w:i/>
                    </w:rPr>
                  </w:pPr>
                </w:p>
                <w:p w:rsidR="006D23D4" w:rsidRDefault="006D23D4" w:rsidP="001D200F">
                  <w:pPr>
                    <w:rPr>
                      <w:i/>
                    </w:rPr>
                  </w:pPr>
                </w:p>
                <w:p w:rsidR="006D23D4" w:rsidRDefault="006D23D4" w:rsidP="001D200F">
                  <w:pPr>
                    <w:rPr>
                      <w:i/>
                    </w:rPr>
                  </w:pPr>
                </w:p>
                <w:p w:rsidR="001D200F" w:rsidRDefault="001D200F" w:rsidP="001D200F">
                  <w:pPr>
                    <w:rPr>
                      <w:i/>
                    </w:rPr>
                  </w:pPr>
                </w:p>
                <w:p w:rsidR="003B0D65" w:rsidRPr="003B0D65" w:rsidRDefault="003B0D65" w:rsidP="001D200F">
                  <w:pPr>
                    <w:rPr>
                      <w:i/>
                    </w:rPr>
                  </w:pPr>
                  <w:r w:rsidRPr="003B0D65">
                    <w:rPr>
                      <w:i/>
                    </w:rPr>
                    <w:lastRenderedPageBreak/>
                    <w:t>(B) Major modification for the nonattainment, reattainment or maintenance pollutant, at an existing source that will have emissions of the nonattainment, reattainment or maintenance pollutant equal to greater than the SER over the netting basis.</w:t>
                  </w:r>
                </w:p>
              </w:tc>
              <w:tc>
                <w:tcPr>
                  <w:tcW w:w="3371" w:type="dxa"/>
                </w:tcPr>
                <w:p w:rsidR="006D23D4" w:rsidRDefault="006D23D4" w:rsidP="001D200F">
                  <w:pPr>
                    <w:rPr>
                      <w:i/>
                    </w:rPr>
                  </w:pPr>
                </w:p>
                <w:p w:rsidR="006D23D4" w:rsidRDefault="006D23D4" w:rsidP="001D200F">
                  <w:pPr>
                    <w:rPr>
                      <w:i/>
                    </w:rPr>
                  </w:pPr>
                </w:p>
                <w:p w:rsidR="003B0D65" w:rsidRPr="003B0D65" w:rsidRDefault="003B0D65" w:rsidP="001D200F">
                  <w:pPr>
                    <w:rPr>
                      <w:i/>
                    </w:rPr>
                  </w:pPr>
                  <w:r w:rsidRPr="003B0D65">
                    <w:rPr>
                      <w:i/>
                    </w:rPr>
                    <w:t>A new source is a physical change; if emissions are greater than or equal to the SER, it is essentially a major modification.</w:t>
                  </w:r>
                </w:p>
                <w:p w:rsidR="003B0D65" w:rsidRPr="003B0D65" w:rsidRDefault="003B0D65" w:rsidP="001D200F">
                  <w:pPr>
                    <w:rPr>
                      <w:i/>
                    </w:rPr>
                  </w:pPr>
                  <w:r w:rsidRPr="003B0D65">
                    <w:rPr>
                      <w:i/>
                    </w:rPr>
                    <w:t xml:space="preserve">A new source has no netting basis, therefore the increase over the netting basis is over the SER. This triggers Type A State </w:t>
                  </w:r>
                  <w:r w:rsidR="0095567F">
                    <w:rPr>
                      <w:i/>
                    </w:rPr>
                    <w:t>New Source Review</w:t>
                  </w:r>
                  <w:r w:rsidRPr="003B0D65">
                    <w:rPr>
                      <w:i/>
                    </w:rPr>
                    <w:t xml:space="preserve"> (formerly 2001/2015 </w:t>
                  </w:r>
                  <w:r w:rsidR="0095567F">
                    <w:rPr>
                      <w:i/>
                    </w:rPr>
                    <w:t>New Source Review</w:t>
                  </w:r>
                  <w:r w:rsidRPr="003B0D65">
                    <w:rPr>
                      <w:i/>
                    </w:rPr>
                    <w:t>)</w:t>
                  </w:r>
                </w:p>
                <w:p w:rsidR="006D23D4" w:rsidRDefault="006D23D4" w:rsidP="001D200F">
                  <w:pPr>
                    <w:rPr>
                      <w:i/>
                    </w:rPr>
                  </w:pPr>
                </w:p>
                <w:p w:rsidR="003B0D65" w:rsidRPr="003B0D65" w:rsidRDefault="003B0D65" w:rsidP="001D200F">
                  <w:pPr>
                    <w:rPr>
                      <w:i/>
                    </w:rPr>
                  </w:pPr>
                  <w:r w:rsidRPr="003B0D65">
                    <w:rPr>
                      <w:i/>
                    </w:rPr>
                    <w:lastRenderedPageBreak/>
                    <w:t xml:space="preserve">If emissions are equal to or greater than the SER over the netting basis, then they are also equal to or greater than the SER. With a major modification, this triggers Type A State </w:t>
                  </w:r>
                  <w:r w:rsidR="0095567F">
                    <w:rPr>
                      <w:i/>
                    </w:rPr>
                    <w:t>New Source Review</w:t>
                  </w:r>
                  <w:r w:rsidRPr="003B0D65">
                    <w:rPr>
                      <w:i/>
                    </w:rPr>
                    <w:t xml:space="preserve"> (formerly 2001/2015 </w:t>
                  </w:r>
                  <w:r w:rsidR="0095567F">
                    <w:rPr>
                      <w:i/>
                    </w:rPr>
                    <w:t>New Source Review</w:t>
                  </w:r>
                  <w:r w:rsidRPr="003B0D65">
                    <w:rPr>
                      <w:i/>
                    </w:rPr>
                    <w:t>).</w:t>
                  </w:r>
                </w:p>
              </w:tc>
            </w:tr>
            <w:tr w:rsidR="003B0D65" w:rsidRPr="003B0D65" w:rsidTr="003B0D65">
              <w:trPr>
                <w:jc w:val="center"/>
              </w:trPr>
              <w:tc>
                <w:tcPr>
                  <w:tcW w:w="3370" w:type="dxa"/>
                </w:tcPr>
                <w:p w:rsidR="003B0D65" w:rsidRPr="003B0D65" w:rsidRDefault="003B0D65" w:rsidP="001D200F">
                  <w:pPr>
                    <w:rPr>
                      <w:i/>
                    </w:rPr>
                  </w:pPr>
                  <w:r w:rsidRPr="003B0D65">
                    <w:rPr>
                      <w:i/>
                    </w:rPr>
                    <w:lastRenderedPageBreak/>
                    <w:t>(b) In a nonattainment, reattainment or maintenance area, increasing emissions at an existing source to an amount equal to or greater than the SER over the netting basis but not subject to subsection (a).</w:t>
                  </w:r>
                </w:p>
                <w:p w:rsidR="003B0D65" w:rsidRPr="003B0D65" w:rsidRDefault="003B0D65" w:rsidP="001D200F">
                  <w:pPr>
                    <w:rPr>
                      <w:i/>
                    </w:rPr>
                  </w:pPr>
                </w:p>
              </w:tc>
              <w:tc>
                <w:tcPr>
                  <w:tcW w:w="3371" w:type="dxa"/>
                </w:tcPr>
                <w:p w:rsidR="003B0D65" w:rsidRPr="003B0D65" w:rsidRDefault="003B0D65" w:rsidP="001D200F">
                  <w:pPr>
                    <w:rPr>
                      <w:i/>
                    </w:rPr>
                  </w:pPr>
                  <w:r w:rsidRPr="003B0D65">
                    <w:rPr>
                      <w:i/>
                    </w:rPr>
                    <w:t xml:space="preserve">If emissions are equal to or greater than the SER over the netting basis, then they are also equal to or greater than the SER. Not subject to (a) means no major modification. This triggers Type B State </w:t>
                  </w:r>
                  <w:r w:rsidR="0095567F">
                    <w:rPr>
                      <w:i/>
                    </w:rPr>
                    <w:t>New Source Review</w:t>
                  </w:r>
                  <w:r w:rsidRPr="003B0D65">
                    <w:rPr>
                      <w:i/>
                    </w:rPr>
                    <w:t xml:space="preserve"> (formerly 2001/2015 </w:t>
                  </w:r>
                  <w:r w:rsidR="001817DE">
                    <w:rPr>
                      <w:i/>
                    </w:rPr>
                    <w:t>Plant Site Emission Limit</w:t>
                  </w:r>
                  <w:r w:rsidRPr="003B0D65">
                    <w:rPr>
                      <w:i/>
                    </w:rPr>
                    <w:t xml:space="preserve"> rule).</w:t>
                  </w:r>
                </w:p>
              </w:tc>
            </w:tr>
            <w:tr w:rsidR="003B0D65" w:rsidRPr="003B0D65" w:rsidTr="003B0D65">
              <w:trPr>
                <w:jc w:val="center"/>
              </w:trPr>
              <w:tc>
                <w:tcPr>
                  <w:tcW w:w="3370" w:type="dxa"/>
                </w:tcPr>
                <w:p w:rsidR="003B0D65" w:rsidRPr="003B0D65" w:rsidRDefault="003B0D65" w:rsidP="001D200F">
                  <w:pPr>
                    <w:rPr>
                      <w:i/>
                    </w:rPr>
                  </w:pPr>
                  <w:r w:rsidRPr="003B0D65">
                    <w:rPr>
                      <w:i/>
                    </w:rPr>
                    <w:t>(c) In an attainment, unclassified or sustainment area:</w:t>
                  </w:r>
                </w:p>
                <w:p w:rsidR="003B0D65" w:rsidRPr="003B0D65" w:rsidRDefault="003B0D65" w:rsidP="001D200F">
                  <w:pPr>
                    <w:rPr>
                      <w:i/>
                    </w:rPr>
                  </w:pPr>
                  <w:r w:rsidRPr="003B0D65">
                    <w:rPr>
                      <w:i/>
                    </w:rPr>
                    <w:t>(A) Construction of a new source that will have emissions of a regulated pollutant equal to or greater than the SER; or</w:t>
                  </w:r>
                </w:p>
                <w:p w:rsidR="003B0D65" w:rsidRPr="003B0D65" w:rsidRDefault="003B0D65" w:rsidP="001D200F">
                  <w:pPr>
                    <w:rPr>
                      <w:i/>
                    </w:rPr>
                  </w:pPr>
                </w:p>
                <w:p w:rsidR="003B0D65" w:rsidRPr="003B0D65" w:rsidRDefault="003B0D65" w:rsidP="001D200F">
                  <w:pPr>
                    <w:rPr>
                      <w:i/>
                    </w:rPr>
                  </w:pPr>
                </w:p>
                <w:p w:rsidR="003B0D65" w:rsidRPr="003B0D65" w:rsidRDefault="003B0D65" w:rsidP="001D200F">
                  <w:pPr>
                    <w:rPr>
                      <w:i/>
                    </w:rPr>
                  </w:pPr>
                </w:p>
                <w:p w:rsidR="003B0D65" w:rsidRPr="003B0D65" w:rsidRDefault="003B0D65" w:rsidP="001D200F">
                  <w:pPr>
                    <w:rPr>
                      <w:i/>
                    </w:rPr>
                  </w:pPr>
                </w:p>
                <w:p w:rsidR="003B0D65" w:rsidRPr="003B0D65" w:rsidRDefault="003B0D65" w:rsidP="001D200F">
                  <w:pPr>
                    <w:rPr>
                      <w:i/>
                    </w:rPr>
                  </w:pPr>
                  <w:r w:rsidRPr="003B0D65">
                    <w:rPr>
                      <w:i/>
                    </w:rPr>
                    <w:t xml:space="preserve">(B) Increasing emissions of a regulated pollutant to an amount that is equal to or greater than the SER over the netting basis. </w:t>
                  </w:r>
                </w:p>
              </w:tc>
              <w:tc>
                <w:tcPr>
                  <w:tcW w:w="3371" w:type="dxa"/>
                </w:tcPr>
                <w:p w:rsidR="003B0D65" w:rsidRPr="003B0D65" w:rsidRDefault="003B0D65" w:rsidP="001D200F">
                  <w:pPr>
                    <w:rPr>
                      <w:i/>
                    </w:rPr>
                  </w:pPr>
                  <w:r w:rsidRPr="003B0D65">
                    <w:rPr>
                      <w:i/>
                    </w:rPr>
                    <w:t xml:space="preserve">Essentially a major modification, but not subject to Major </w:t>
                  </w:r>
                  <w:r w:rsidR="0095567F">
                    <w:rPr>
                      <w:i/>
                    </w:rPr>
                    <w:t>New Source Review</w:t>
                  </w:r>
                  <w:r w:rsidRPr="003B0D65">
                    <w:rPr>
                      <w:i/>
                    </w:rPr>
                    <w:t xml:space="preserve"> unless source is a federal major source, in which case you would not be in this section. This triggers Type B State </w:t>
                  </w:r>
                  <w:r w:rsidR="0095567F">
                    <w:rPr>
                      <w:i/>
                    </w:rPr>
                    <w:t>New Source Review</w:t>
                  </w:r>
                  <w:r w:rsidRPr="003B0D65">
                    <w:rPr>
                      <w:i/>
                    </w:rPr>
                    <w:t xml:space="preserve"> (formerly 2001/2015 </w:t>
                  </w:r>
                  <w:r w:rsidR="001817DE">
                    <w:rPr>
                      <w:i/>
                    </w:rPr>
                    <w:t>Plant Site Emission Limit</w:t>
                  </w:r>
                  <w:r w:rsidRPr="003B0D65">
                    <w:rPr>
                      <w:i/>
                    </w:rPr>
                    <w:t xml:space="preserve"> rule).</w:t>
                  </w:r>
                </w:p>
                <w:p w:rsidR="003B0D65" w:rsidRPr="003B0D65" w:rsidRDefault="003B0D65" w:rsidP="001D200F">
                  <w:pPr>
                    <w:rPr>
                      <w:i/>
                    </w:rPr>
                  </w:pPr>
                  <w:r w:rsidRPr="003B0D65">
                    <w:rPr>
                      <w:i/>
                    </w:rPr>
                    <w:t xml:space="preserve">May or may not be a major modification, but not subject to Major </w:t>
                  </w:r>
                  <w:r w:rsidR="0095567F">
                    <w:rPr>
                      <w:i/>
                    </w:rPr>
                    <w:t>New Source Review</w:t>
                  </w:r>
                  <w:r w:rsidRPr="003B0D65">
                    <w:rPr>
                      <w:i/>
                    </w:rPr>
                    <w:t xml:space="preserve"> unless source is a federal major source, in which case you would not be in this section. This triggers Type B State </w:t>
                  </w:r>
                  <w:r w:rsidR="0095567F">
                    <w:rPr>
                      <w:i/>
                    </w:rPr>
                    <w:t>New Source Review</w:t>
                  </w:r>
                  <w:r w:rsidRPr="003B0D65">
                    <w:rPr>
                      <w:i/>
                    </w:rPr>
                    <w:t xml:space="preserve"> (formerly 2001/2015 </w:t>
                  </w:r>
                  <w:r w:rsidR="001817DE">
                    <w:rPr>
                      <w:i/>
                    </w:rPr>
                    <w:t>Plant Site Emission Limit</w:t>
                  </w:r>
                  <w:r w:rsidRPr="003B0D65">
                    <w:rPr>
                      <w:i/>
                    </w:rPr>
                    <w:t xml:space="preserve"> rule).</w:t>
                  </w:r>
                </w:p>
              </w:tc>
            </w:tr>
          </w:tbl>
          <w:p w:rsidR="003B0D65" w:rsidRPr="003B0D65" w:rsidRDefault="003B0D65" w:rsidP="003B0D65">
            <w:pPr>
              <w:spacing w:after="120"/>
              <w:rPr>
                <w:i/>
              </w:rPr>
            </w:pPr>
          </w:p>
          <w:p w:rsidR="003B0D65" w:rsidRPr="00C756D1" w:rsidRDefault="003B0D65" w:rsidP="007862B6">
            <w:pPr>
              <w:spacing w:after="120"/>
              <w:rPr>
                <w:i/>
              </w:rPr>
            </w:pPr>
            <w:r w:rsidRPr="003B0D65">
              <w:rPr>
                <w:i/>
              </w:rPr>
              <w:t>DEQ believes that the changes to OAR 340-222-0041 and 340-224-0010 maintain the 2001/2015 structure of OAR 340-222-0041 and 340-224-0010. DEQ therefore does not agree to pull back the proposed changes and address them in a future rulemaking.</w:t>
            </w:r>
          </w:p>
        </w:tc>
      </w:tr>
      <w:tr w:rsidR="007B4D8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7B4D85" w:rsidRPr="00EB3D0B" w:rsidRDefault="007B4D85" w:rsidP="004F2FBD">
            <w:pPr>
              <w:autoSpaceDE w:val="0"/>
              <w:autoSpaceDN w:val="0"/>
              <w:adjustRightInd w:val="0"/>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DF66F6" w:rsidRPr="00DF66F6" w:rsidRDefault="007B4D85" w:rsidP="00DF66F6">
            <w:pPr>
              <w:spacing w:after="120"/>
            </w:pPr>
            <w:r w:rsidRPr="00DE01A7">
              <w:t xml:space="preserve">DEQ should remove the proposed requirement to send both State </w:t>
            </w:r>
            <w:r w:rsidR="0095567F">
              <w:t>New Source Review</w:t>
            </w:r>
            <w:r w:rsidRPr="00DE01A7">
              <w:t xml:space="preserve"> permit applications and major NRS applications to EPA. Our experience indicates that EPA is not interested in receiving </w:t>
            </w:r>
            <w:r w:rsidR="0095567F">
              <w:t>New Source Review</w:t>
            </w:r>
            <w:r w:rsidRPr="00DE01A7">
              <w:t xml:space="preserve"> applications as EPA has no involvement with the implementation of Oregon’s SIP approved </w:t>
            </w:r>
            <w:r w:rsidR="001817DE">
              <w:t>Prevention of Significant Deterioration</w:t>
            </w:r>
            <w:r w:rsidRPr="00DE01A7">
              <w:t xml:space="preserve">, Maintenance and nonattainment </w:t>
            </w:r>
            <w:r w:rsidR="0095567F">
              <w:t>New Source Review</w:t>
            </w:r>
            <w:r w:rsidRPr="00DE01A7">
              <w:t xml:space="preserve"> programs. </w:t>
            </w:r>
            <w:r w:rsidR="00DF66F6" w:rsidRPr="00DF66F6">
              <w:t>(2, 3, 4, 7, 20, 41, 42, 44, 47, 48, 58)</w:t>
            </w:r>
          </w:p>
          <w:p w:rsidR="007B4D85" w:rsidRDefault="007B4D85" w:rsidP="002701EE">
            <w:pPr>
              <w:spacing w:after="120"/>
            </w:pPr>
            <w:r>
              <w:t xml:space="preserve">DEQ should revise its rule requiring notification of EPA of permit applications </w:t>
            </w:r>
            <w:r>
              <w:lastRenderedPageBreak/>
              <w:t xml:space="preserve">subject to </w:t>
            </w:r>
            <w:r w:rsidR="0095567F">
              <w:t>New Source Review</w:t>
            </w:r>
            <w:r>
              <w:t xml:space="preserve"> to render it enforceable. History has demonstrated that permit applicants fail to </w:t>
            </w:r>
            <w:r w:rsidR="002701EE">
              <w:t xml:space="preserve">submit a copy of the </w:t>
            </w:r>
            <w:r w:rsidR="0095567F">
              <w:t>New Source Review</w:t>
            </w:r>
            <w:r w:rsidR="002701EE">
              <w:t xml:space="preserve"> permit application directly to EPA</w:t>
            </w:r>
            <w:r>
              <w:t xml:space="preserve">, without consequence. DEQ </w:t>
            </w:r>
            <w:r w:rsidR="002701EE">
              <w:t>should</w:t>
            </w:r>
            <w:r>
              <w:t xml:space="preserve"> revis</w:t>
            </w:r>
            <w:r w:rsidR="002701EE">
              <w:t>e</w:t>
            </w:r>
            <w:r>
              <w:t xml:space="preserve"> the application forms</w:t>
            </w:r>
            <w:r w:rsidR="002701EE">
              <w:t xml:space="preserve"> for </w:t>
            </w:r>
            <w:r w:rsidR="0095567F">
              <w:t>New Source Review</w:t>
            </w:r>
            <w:r w:rsidR="002701EE">
              <w:t xml:space="preserve"> permit actions or </w:t>
            </w:r>
            <w:r>
              <w:t>chang</w:t>
            </w:r>
            <w:r w:rsidR="002701EE">
              <w:t>e the</w:t>
            </w:r>
            <w:r>
              <w:t xml:space="preserve"> rule</w:t>
            </w:r>
            <w:r w:rsidR="002701EE">
              <w:t xml:space="preserve">. </w:t>
            </w:r>
            <w:r>
              <w:t xml:space="preserve">DEQ also committed to notifying EPA by separate email or letter for future applications subject to </w:t>
            </w:r>
            <w:r w:rsidR="0095567F">
              <w:t>New Source Review</w:t>
            </w:r>
            <w:r>
              <w:t>.</w:t>
            </w:r>
            <w:r w:rsidR="00DF66F6">
              <w:t xml:space="preserve"> (40)</w:t>
            </w:r>
          </w:p>
          <w:p w:rsidR="0045763D" w:rsidRDefault="00AD5E99" w:rsidP="0045763D">
            <w:pPr>
              <w:spacing w:after="120"/>
              <w:rPr>
                <w:rFonts w:eastAsiaTheme="minorEastAsia"/>
              </w:rPr>
            </w:pPr>
            <w:r>
              <w:rPr>
                <w:i/>
              </w:rPr>
              <w:t>Re</w:t>
            </w:r>
            <w:r w:rsidR="0045763D">
              <w:rPr>
                <w:i/>
              </w:rPr>
              <w:t>sponse:</w:t>
            </w:r>
            <w:r w:rsidR="0045763D" w:rsidRPr="0045763D">
              <w:rPr>
                <w:rFonts w:eastAsiaTheme="minorEastAsia"/>
              </w:rPr>
              <w:t xml:space="preserve"> </w:t>
            </w:r>
          </w:p>
          <w:p w:rsidR="00D07F18" w:rsidRDefault="00D07F18" w:rsidP="002701EE">
            <w:pPr>
              <w:spacing w:after="120"/>
              <w:rPr>
                <w:i/>
              </w:rPr>
            </w:pPr>
            <w:commentRangeStart w:id="6"/>
            <w:r w:rsidRPr="00D07F18">
              <w:rPr>
                <w:i/>
              </w:rPr>
              <w:t xml:space="preserve">DEQ agrees with the comment and has revised OAR 340-216-0040(7) to clarify that a copy of an application subject to Major </w:t>
            </w:r>
            <w:r w:rsidR="0095567F">
              <w:rPr>
                <w:i/>
              </w:rPr>
              <w:t>New Source Review</w:t>
            </w:r>
            <w:r w:rsidRPr="00D07F18">
              <w:rPr>
                <w:i/>
              </w:rPr>
              <w:t xml:space="preserve"> under OAR 340 </w:t>
            </w:r>
            <w:proofErr w:type="gramStart"/>
            <w:r w:rsidRPr="00D07F18">
              <w:rPr>
                <w:i/>
              </w:rPr>
              <w:t>division</w:t>
            </w:r>
            <w:proofErr w:type="gramEnd"/>
            <w:r w:rsidRPr="00D07F18">
              <w:rPr>
                <w:i/>
              </w:rPr>
              <w:t xml:space="preserve"> 224 must also be sent to EPA.</w:t>
            </w:r>
          </w:p>
          <w:p w:rsidR="00AD5E99" w:rsidRPr="00AD5E99" w:rsidRDefault="0045763D" w:rsidP="002701EE">
            <w:pPr>
              <w:spacing w:after="120"/>
              <w:rPr>
                <w:i/>
              </w:rPr>
            </w:pPr>
            <w:r w:rsidRPr="0045763D">
              <w:rPr>
                <w:i/>
              </w:rPr>
              <w:t xml:space="preserve">DEQ thanks the commenters for pointing out the earlier discussion with DEQ staff on this matter. Upon further consideration, DEQ believes the most effective way to ensure that applicants submit a copy of Major </w:t>
            </w:r>
            <w:r w:rsidR="0095567F">
              <w:rPr>
                <w:i/>
              </w:rPr>
              <w:t>New Source Review</w:t>
            </w:r>
            <w:r w:rsidRPr="0045763D">
              <w:rPr>
                <w:i/>
              </w:rPr>
              <w:t xml:space="preserve"> permit applications to EPA is to add this requirement to the permit application directions. DEQ staff will make this change as soon as possible. With this action, DEQ does not believe it is necessary to revise this rule.</w:t>
            </w:r>
            <w:commentRangeEnd w:id="6"/>
            <w:r w:rsidR="00D07F18">
              <w:rPr>
                <w:rStyle w:val="CommentReference"/>
              </w:rPr>
              <w:commentReference w:id="6"/>
            </w:r>
          </w:p>
        </w:tc>
      </w:tr>
      <w:tr w:rsidR="007B4D8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7B4D85" w:rsidRPr="00EB3D0B" w:rsidRDefault="007B4D85" w:rsidP="004F2FBD">
            <w:pPr>
              <w:autoSpaceDE w:val="0"/>
              <w:autoSpaceDN w:val="0"/>
              <w:adjustRightInd w:val="0"/>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6D26B4" w:rsidRPr="006D26B4" w:rsidRDefault="007B4D85" w:rsidP="007862B6">
            <w:pPr>
              <w:spacing w:after="120"/>
            </w:pPr>
            <w:r w:rsidRPr="006D26B4">
              <w:t>DEQ should not adopt any change</w:t>
            </w:r>
            <w:r w:rsidR="006D26B4" w:rsidRPr="006D26B4">
              <w:t>s to the current definition of major modification</w:t>
            </w:r>
            <w:r w:rsidRPr="006D26B4">
              <w:t xml:space="preserve">. DEQ is proposing to change the definition to require that sources perform a netting basis to potential to emit comparison to determine the emissions increases due to physical changes and changes in method of operation. </w:t>
            </w:r>
          </w:p>
          <w:p w:rsidR="007B4D85" w:rsidRPr="006D26B4" w:rsidRDefault="006D26B4" w:rsidP="006D26B4">
            <w:pPr>
              <w:pStyle w:val="ListParagraph"/>
              <w:numPr>
                <w:ilvl w:val="0"/>
                <w:numId w:val="46"/>
              </w:numPr>
              <w:spacing w:after="120"/>
            </w:pPr>
            <w:r w:rsidRPr="006D26B4">
              <w:t>This</w:t>
            </w:r>
            <w:r w:rsidR="007B4D85" w:rsidRPr="006D26B4">
              <w:t xml:space="preserve"> significant change ignores the clear wording of the existing rule that the emissions increases must be “due to” the changes. The emissions increase due to any change that occurs post-baseline is the increase in </w:t>
            </w:r>
            <w:r w:rsidR="001817DE">
              <w:t>potential to emit</w:t>
            </w:r>
            <w:r w:rsidR="007B4D85" w:rsidRPr="006D26B4">
              <w:t xml:space="preserve">, not the difference between baseline and </w:t>
            </w:r>
            <w:r w:rsidR="001817DE">
              <w:t>potential to emit</w:t>
            </w:r>
            <w:r w:rsidR="007B4D85" w:rsidRPr="006D26B4">
              <w:t xml:space="preserve">. </w:t>
            </w:r>
          </w:p>
          <w:p w:rsidR="007B4D85" w:rsidRPr="006D26B4" w:rsidRDefault="006D26B4" w:rsidP="006D26B4">
            <w:pPr>
              <w:pStyle w:val="ListParagraph"/>
              <w:numPr>
                <w:ilvl w:val="0"/>
                <w:numId w:val="46"/>
              </w:numPr>
              <w:spacing w:after="120"/>
            </w:pPr>
            <w:r w:rsidRPr="006D26B4">
              <w:t>T</w:t>
            </w:r>
            <w:r w:rsidR="007B4D85" w:rsidRPr="006D26B4">
              <w:t xml:space="preserve">he rule requires that a source be able to calculate each “unit’s portion of the netting basis,” something few sources will be able to do. </w:t>
            </w:r>
          </w:p>
          <w:p w:rsidR="00AD5E99" w:rsidRPr="006D26B4" w:rsidRDefault="006D26B4" w:rsidP="006D26B4">
            <w:pPr>
              <w:pStyle w:val="ListParagraph"/>
              <w:numPr>
                <w:ilvl w:val="0"/>
                <w:numId w:val="46"/>
              </w:numPr>
              <w:spacing w:after="120"/>
            </w:pPr>
            <w:r w:rsidRPr="006D26B4">
              <w:t>T</w:t>
            </w:r>
            <w:r w:rsidR="007B4D85" w:rsidRPr="006D26B4">
              <w:t xml:space="preserve">he definition specifies that the categorically insignificant emissions must be included in the calculations. However, categorically insignificant activities do not have a netting basis. </w:t>
            </w:r>
            <w:r w:rsidR="00AD5E99" w:rsidRPr="006D26B4">
              <w:t>(2, 3, 4, 7, 12, 20, 41, 42, 44, 47, 48, 58)</w:t>
            </w:r>
          </w:p>
          <w:p w:rsidR="007B4D85" w:rsidRDefault="00AD5E99" w:rsidP="006D26B4">
            <w:pPr>
              <w:spacing w:after="120"/>
              <w:rPr>
                <w:i/>
              </w:rPr>
            </w:pPr>
            <w:r w:rsidRPr="006D26B4">
              <w:rPr>
                <w:i/>
              </w:rPr>
              <w:t xml:space="preserve">Response:  </w:t>
            </w:r>
          </w:p>
          <w:p w:rsidR="007F117E" w:rsidRDefault="007F117E" w:rsidP="006D26B4">
            <w:pPr>
              <w:spacing w:after="120"/>
              <w:rPr>
                <w:i/>
              </w:rPr>
            </w:pPr>
            <w:r w:rsidRPr="007F117E">
              <w:rPr>
                <w:i/>
                <w:highlight w:val="yellow"/>
              </w:rPr>
              <w:t>Need to think about major mod</w:t>
            </w:r>
          </w:p>
          <w:p w:rsidR="000D74E6" w:rsidRPr="006D26B4" w:rsidRDefault="000D74E6" w:rsidP="006D26B4">
            <w:pPr>
              <w:spacing w:after="120"/>
            </w:pPr>
          </w:p>
        </w:tc>
      </w:tr>
      <w:tr w:rsidR="007B4D8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7B4D85" w:rsidRPr="00EB3D0B" w:rsidRDefault="007B4D85" w:rsidP="004F2FBD">
            <w:pPr>
              <w:autoSpaceDE w:val="0"/>
              <w:autoSpaceDN w:val="0"/>
              <w:adjustRightInd w:val="0"/>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7B4D85" w:rsidRDefault="007B4D85" w:rsidP="000F74A5">
            <w:pPr>
              <w:spacing w:after="120"/>
            </w:pPr>
            <w:r w:rsidRPr="00073D2D">
              <w:t xml:space="preserve">DEQ should delete the proposed requirement </w:t>
            </w:r>
            <w:r w:rsidR="00311282">
              <w:t>requiring</w:t>
            </w:r>
            <w:r w:rsidRPr="00073D2D">
              <w:t xml:space="preserve"> a source seeking a first extension must update its control technology analysis. </w:t>
            </w:r>
            <w:r w:rsidRPr="00CF1C8F">
              <w:t xml:space="preserve">According to EPA, redoing or reviewing the </w:t>
            </w:r>
            <w:r w:rsidR="0095567F">
              <w:t>Best Available Control Technology</w:t>
            </w:r>
            <w:r w:rsidRPr="00CF1C8F">
              <w:t xml:space="preserve"> analysis should not be necessary for the first extension request. Pollution control technologies are unlikely to be available within the first 18-month period. </w:t>
            </w:r>
            <w:r>
              <w:t>The commenter</w:t>
            </w:r>
            <w:r w:rsidRPr="00CF1C8F">
              <w:t xml:space="preserve"> also requests that the payment requirement be changed to simple technical permit modification fee for the first extension period sin</w:t>
            </w:r>
            <w:r>
              <w:t>c</w:t>
            </w:r>
            <w:r w:rsidRPr="00CF1C8F">
              <w:t>e there is no air quality analysis involved.</w:t>
            </w:r>
            <w:r w:rsidR="00192139" w:rsidRPr="00192139">
              <w:t xml:space="preserve"> (2, 3, 4, 7, 20, 41, 42, 44, 47, 48, 58)</w:t>
            </w:r>
          </w:p>
          <w:p w:rsidR="007B4D85" w:rsidRDefault="000F74A5" w:rsidP="000F74A5">
            <w:pPr>
              <w:spacing w:after="120"/>
            </w:pPr>
            <w:r>
              <w:t>The commenter</w:t>
            </w:r>
            <w:r w:rsidR="007B4D85" w:rsidRPr="00723AF7">
              <w:t xml:space="preserve"> recommend</w:t>
            </w:r>
            <w:r>
              <w:t>s</w:t>
            </w:r>
            <w:r w:rsidR="007B4D85" w:rsidRPr="00723AF7">
              <w:t xml:space="preserve"> that for the first extension, the source also be required </w:t>
            </w:r>
            <w:r w:rsidR="007B4D85" w:rsidRPr="00723AF7">
              <w:lastRenderedPageBreak/>
              <w:t xml:space="preserve">to review the original Lowest Achievable Emission Rate or Best Available Control Technology analysis to determine if lower emission limits are feasible. For both a </w:t>
            </w:r>
            <w:r>
              <w:t>first and a second extension, the commenter</w:t>
            </w:r>
            <w:r w:rsidR="007B4D85" w:rsidRPr="00723AF7">
              <w:t xml:space="preserve"> recommend</w:t>
            </w:r>
            <w:r>
              <w:t>s</w:t>
            </w:r>
            <w:r w:rsidR="007B4D85" w:rsidRPr="00723AF7">
              <w:t xml:space="preserve"> the source be required to evaluate </w:t>
            </w:r>
            <w:r w:rsidR="0095567F">
              <w:t>Lowest Achievable Emission Rate</w:t>
            </w:r>
            <w:r w:rsidR="007B4D85" w:rsidRPr="00723AF7">
              <w:t xml:space="preserve"> or </w:t>
            </w:r>
            <w:r w:rsidR="0095567F">
              <w:t>Best Available Control Technology</w:t>
            </w:r>
            <w:r w:rsidR="007B4D85" w:rsidRPr="00723AF7">
              <w:t xml:space="preserve"> for any pollutants with National Ambient Air Quality Standards that have been developed since the original application was submitted. </w:t>
            </w:r>
            <w:r>
              <w:t>The commenter</w:t>
            </w:r>
            <w:r w:rsidR="007B4D85" w:rsidRPr="00723AF7">
              <w:t xml:space="preserve"> recommend</w:t>
            </w:r>
            <w:r>
              <w:t>s</w:t>
            </w:r>
            <w:r w:rsidR="007B4D85" w:rsidRPr="00723AF7">
              <w:t xml:space="preserve"> the rules require </w:t>
            </w:r>
            <w:r>
              <w:t>DEQ</w:t>
            </w:r>
            <w:r w:rsidR="007B4D85" w:rsidRPr="00723AF7">
              <w:t xml:space="preserve"> to notify Federal Land Managers about requests for permit extensions.</w:t>
            </w:r>
            <w:r w:rsidR="00192139">
              <w:t xml:space="preserve"> (39)</w:t>
            </w:r>
          </w:p>
          <w:p w:rsidR="00566802" w:rsidRDefault="00566802" w:rsidP="000F74A5">
            <w:pPr>
              <w:spacing w:after="120"/>
              <w:rPr>
                <w:i/>
              </w:rPr>
            </w:pPr>
            <w:r>
              <w:rPr>
                <w:i/>
              </w:rPr>
              <w:t>Response:</w:t>
            </w:r>
          </w:p>
          <w:p w:rsidR="00205BE3" w:rsidRPr="00566802" w:rsidRDefault="00566802" w:rsidP="000F74A5">
            <w:pPr>
              <w:spacing w:after="120"/>
            </w:pPr>
            <w:r>
              <w:rPr>
                <w:i/>
              </w:rPr>
              <w:t>The XX/XX/</w:t>
            </w:r>
            <w:commentRangeStart w:id="7"/>
            <w:r w:rsidRPr="00566802">
              <w:t xml:space="preserve">XX </w:t>
            </w:r>
            <w:r w:rsidR="00205BE3" w:rsidRPr="00566802">
              <w:rPr>
                <w:highlight w:val="yellow"/>
              </w:rPr>
              <w:t>EPA guidance on extensions</w:t>
            </w:r>
            <w:r w:rsidRPr="00566802">
              <w:t xml:space="preserve"> states that </w:t>
            </w:r>
          </w:p>
          <w:p w:rsidR="00205BE3" w:rsidRPr="00566802" w:rsidRDefault="00205BE3" w:rsidP="00205BE3">
            <w:pPr>
              <w:spacing w:after="120"/>
              <w:rPr>
                <w:highlight w:val="yellow"/>
              </w:rPr>
            </w:pPr>
            <w:r w:rsidRPr="00566802">
              <w:rPr>
                <w:highlight w:val="yellow"/>
              </w:rPr>
              <w:t xml:space="preserve">first </w:t>
            </w:r>
            <w:r w:rsidR="001817DE">
              <w:rPr>
                <w:highlight w:val="yellow"/>
              </w:rPr>
              <w:t>Prevention of Significant Deterioration</w:t>
            </w:r>
            <w:r w:rsidRPr="00566802">
              <w:rPr>
                <w:highlight w:val="yellow"/>
              </w:rPr>
              <w:t xml:space="preserve"> permit extension request should include</w:t>
            </w:r>
          </w:p>
          <w:p w:rsidR="00205BE3" w:rsidRPr="00566802" w:rsidRDefault="00205BE3" w:rsidP="00205BE3">
            <w:pPr>
              <w:spacing w:after="120"/>
              <w:rPr>
                <w:highlight w:val="yellow"/>
              </w:rPr>
            </w:pPr>
            <w:proofErr w:type="gramStart"/>
            <w:r w:rsidRPr="00566802">
              <w:rPr>
                <w:highlight w:val="yellow"/>
              </w:rPr>
              <w:t>a</w:t>
            </w:r>
            <w:proofErr w:type="gramEnd"/>
            <w:r w:rsidRPr="00566802">
              <w:rPr>
                <w:highlight w:val="yellow"/>
              </w:rPr>
              <w:t xml:space="preserve"> detailed justification of why the source cannot commence construction within the initial 18-month deadline. For example, relevant factors for this justification could include ongoing litigation over the </w:t>
            </w:r>
            <w:r w:rsidR="001817DE">
              <w:rPr>
                <w:highlight w:val="yellow"/>
              </w:rPr>
              <w:t>Prevention of Significant Deterioration</w:t>
            </w:r>
            <w:r w:rsidRPr="00566802">
              <w:rPr>
                <w:highlight w:val="yellow"/>
              </w:rPr>
              <w:t xml:space="preserve"> permit, natural disasters that directly affect the facility, significant or unusual economic impediments (including inability to secure financial resources necessary to commence construction) and/or delays in obtaining other required permits.</w:t>
            </w:r>
          </w:p>
          <w:p w:rsidR="00205BE3" w:rsidRPr="00566802" w:rsidRDefault="00205BE3" w:rsidP="00205BE3">
            <w:pPr>
              <w:spacing w:after="120"/>
            </w:pPr>
            <w:r w:rsidRPr="00566802">
              <w:rPr>
                <w:highlight w:val="yellow"/>
              </w:rPr>
              <w:t xml:space="preserve">The EPA believes that in most cases a request for a second extension of the commencement of construction deadline should include a substantive re-analysis and update of </w:t>
            </w:r>
            <w:r w:rsidR="001817DE">
              <w:rPr>
                <w:highlight w:val="yellow"/>
              </w:rPr>
              <w:t>Prevention of Significant Deterioration</w:t>
            </w:r>
            <w:r w:rsidRPr="00566802">
              <w:rPr>
                <w:highlight w:val="yellow"/>
              </w:rPr>
              <w:t xml:space="preserve"> requirements.</w:t>
            </w:r>
          </w:p>
          <w:commentRangeEnd w:id="7"/>
          <w:p w:rsidR="00205BE3" w:rsidRPr="00566802" w:rsidRDefault="00EE5CCF" w:rsidP="000F74A5">
            <w:pPr>
              <w:spacing w:after="120"/>
            </w:pPr>
            <w:r>
              <w:rPr>
                <w:rStyle w:val="CommentReference"/>
              </w:rPr>
              <w:commentReference w:id="7"/>
            </w:r>
          </w:p>
          <w:p w:rsidR="00D15AD3" w:rsidRDefault="00D15AD3" w:rsidP="000F74A5">
            <w:pPr>
              <w:spacing w:after="120"/>
              <w:rPr>
                <w:i/>
              </w:rPr>
            </w:pPr>
            <w:r>
              <w:rPr>
                <w:i/>
              </w:rPr>
              <w:t>Response:</w:t>
            </w:r>
          </w:p>
          <w:p w:rsidR="00DE23FC" w:rsidRPr="00DE23FC" w:rsidRDefault="00DE23FC" w:rsidP="00DE23FC">
            <w:pPr>
              <w:spacing w:after="120"/>
              <w:rPr>
                <w:i/>
              </w:rPr>
            </w:pPr>
            <w:r w:rsidRPr="00DE23FC">
              <w:rPr>
                <w:i/>
              </w:rPr>
              <w:t>DEQ proposed the following in OAR 340-224-0040(5):</w:t>
            </w:r>
          </w:p>
          <w:p w:rsidR="00DE23FC" w:rsidRPr="00DE23FC" w:rsidRDefault="00DE23FC" w:rsidP="009C1CDC">
            <w:pPr>
              <w:spacing w:after="120"/>
              <w:ind w:left="720"/>
              <w:rPr>
                <w:i/>
              </w:rPr>
            </w:pPr>
            <w:r w:rsidRPr="00DE23FC">
              <w:rPr>
                <w:i/>
              </w:rPr>
              <w:t>(a) For the first extension, the owner or operator must submit an application to modify the permit that includes the following:</w:t>
            </w:r>
          </w:p>
          <w:p w:rsidR="00DE23FC" w:rsidRPr="00DE23FC" w:rsidRDefault="00DE23FC" w:rsidP="009C1CDC">
            <w:pPr>
              <w:spacing w:after="120"/>
              <w:ind w:left="720"/>
              <w:rPr>
                <w:i/>
              </w:rPr>
            </w:pPr>
            <w:r w:rsidRPr="00DE23FC">
              <w:rPr>
                <w:i/>
              </w:rPr>
              <w:t xml:space="preserve">(A) A </w:t>
            </w:r>
            <w:r w:rsidR="0095567F">
              <w:rPr>
                <w:i/>
              </w:rPr>
              <w:t>Lowest Achievable Emission Rate</w:t>
            </w:r>
            <w:r w:rsidRPr="00DE23FC">
              <w:rPr>
                <w:i/>
              </w:rPr>
              <w:t xml:space="preserve"> or </w:t>
            </w:r>
            <w:r w:rsidR="0095567F">
              <w:rPr>
                <w:i/>
              </w:rPr>
              <w:t>Best Available Control Technology</w:t>
            </w:r>
            <w:r w:rsidRPr="00DE23FC">
              <w:rPr>
                <w:i/>
              </w:rPr>
              <w:t xml:space="preserve"> analysis, as applicable, if any new control technologies have become commercially available since the original </w:t>
            </w:r>
            <w:r w:rsidR="0095567F">
              <w:rPr>
                <w:i/>
              </w:rPr>
              <w:t>Lowest Achievable Emission Rate</w:t>
            </w:r>
            <w:r w:rsidRPr="00DE23FC">
              <w:rPr>
                <w:i/>
              </w:rPr>
              <w:t xml:space="preserve"> or </w:t>
            </w:r>
            <w:r w:rsidR="0095567F">
              <w:rPr>
                <w:i/>
              </w:rPr>
              <w:t>Best Available Control Technology</w:t>
            </w:r>
            <w:r w:rsidRPr="00DE23FC">
              <w:rPr>
                <w:i/>
              </w:rPr>
              <w:t xml:space="preserve"> analysis for the original regulated pollutants subject to Major </w:t>
            </w:r>
            <w:r w:rsidR="0095567F">
              <w:rPr>
                <w:i/>
              </w:rPr>
              <w:t>New Source Review</w:t>
            </w:r>
            <w:r w:rsidRPr="00DE23FC">
              <w:rPr>
                <w:i/>
              </w:rPr>
              <w:t xml:space="preserve"> or Type A State </w:t>
            </w:r>
            <w:r w:rsidR="0095567F">
              <w:rPr>
                <w:i/>
              </w:rPr>
              <w:t>New Source Review</w:t>
            </w:r>
            <w:r w:rsidRPr="00DE23FC">
              <w:rPr>
                <w:i/>
              </w:rPr>
              <w:t>; and</w:t>
            </w:r>
          </w:p>
          <w:p w:rsidR="00DE23FC" w:rsidRPr="00DE23FC" w:rsidRDefault="00DE23FC" w:rsidP="009C1CDC">
            <w:pPr>
              <w:spacing w:after="120"/>
              <w:ind w:left="720"/>
              <w:rPr>
                <w:i/>
              </w:rPr>
            </w:pPr>
            <w:r w:rsidRPr="00DE23FC">
              <w:rPr>
                <w:i/>
              </w:rPr>
              <w:t xml:space="preserve">(B) Payment of the moderate technical permit modification fee in OAR 340-216-8020 Part 3. </w:t>
            </w:r>
          </w:p>
          <w:p w:rsidR="00DE23FC" w:rsidRPr="00DE23FC" w:rsidRDefault="00DE23FC" w:rsidP="009C1CDC">
            <w:pPr>
              <w:spacing w:after="120"/>
              <w:ind w:left="720"/>
              <w:rPr>
                <w:i/>
              </w:rPr>
            </w:pPr>
            <w:r w:rsidRPr="00DE23FC">
              <w:rPr>
                <w:i/>
              </w:rPr>
              <w:t xml:space="preserve">(b) For the second extension, the owner or operator must submit an application to modify the permit that includes the following for the original regulated pollutants subject to Major </w:t>
            </w:r>
            <w:r w:rsidR="0095567F">
              <w:rPr>
                <w:i/>
              </w:rPr>
              <w:t>New Source Review</w:t>
            </w:r>
            <w:r w:rsidRPr="00DE23FC">
              <w:rPr>
                <w:i/>
              </w:rPr>
              <w:t xml:space="preserve"> or Type A State </w:t>
            </w:r>
            <w:r w:rsidR="0095567F">
              <w:rPr>
                <w:i/>
              </w:rPr>
              <w:t>New Source Review</w:t>
            </w:r>
            <w:r w:rsidRPr="00DE23FC">
              <w:rPr>
                <w:i/>
              </w:rPr>
              <w:t>:</w:t>
            </w:r>
          </w:p>
          <w:p w:rsidR="00DE23FC" w:rsidRPr="00DE23FC" w:rsidRDefault="00DE23FC" w:rsidP="009C1CDC">
            <w:pPr>
              <w:spacing w:after="120"/>
              <w:ind w:left="720"/>
              <w:rPr>
                <w:i/>
              </w:rPr>
            </w:pPr>
            <w:r w:rsidRPr="00DE23FC">
              <w:rPr>
                <w:i/>
              </w:rPr>
              <w:t xml:space="preserve">(A) A review of the original </w:t>
            </w:r>
            <w:r w:rsidR="0095567F">
              <w:rPr>
                <w:i/>
              </w:rPr>
              <w:t>Lowest Achievable Emission Rate</w:t>
            </w:r>
            <w:r w:rsidRPr="00DE23FC">
              <w:rPr>
                <w:i/>
              </w:rPr>
              <w:t xml:space="preserve"> or </w:t>
            </w:r>
            <w:r w:rsidR="0095567F">
              <w:rPr>
                <w:i/>
              </w:rPr>
              <w:t>Best Available Control Technology</w:t>
            </w:r>
            <w:r w:rsidRPr="00DE23FC">
              <w:rPr>
                <w:i/>
              </w:rPr>
              <w:t xml:space="preserve"> analysis for potentially lower limits and a review of any new control technologies that may have become commercially available since the original </w:t>
            </w:r>
            <w:r w:rsidR="0095567F">
              <w:rPr>
                <w:i/>
              </w:rPr>
              <w:t>Lowest Achievable Emission Rate</w:t>
            </w:r>
            <w:r w:rsidRPr="00DE23FC">
              <w:rPr>
                <w:i/>
              </w:rPr>
              <w:t xml:space="preserve"> or </w:t>
            </w:r>
            <w:r w:rsidR="0095567F">
              <w:rPr>
                <w:i/>
              </w:rPr>
              <w:t>Best Available Control Technology</w:t>
            </w:r>
            <w:r w:rsidRPr="00DE23FC">
              <w:rPr>
                <w:i/>
              </w:rPr>
              <w:t xml:space="preserve"> analysis; </w:t>
            </w:r>
          </w:p>
          <w:p w:rsidR="00DE23FC" w:rsidRPr="00DE23FC" w:rsidRDefault="00DE23FC" w:rsidP="00DE23FC">
            <w:pPr>
              <w:spacing w:after="120"/>
              <w:rPr>
                <w:i/>
              </w:rPr>
            </w:pPr>
            <w:r w:rsidRPr="00DE23FC">
              <w:rPr>
                <w:i/>
              </w:rPr>
              <w:t xml:space="preserve">DEQ believes the comment overstates the requirement to perform a </w:t>
            </w:r>
            <w:r w:rsidR="0095567F">
              <w:rPr>
                <w:i/>
              </w:rPr>
              <w:t>Lowest Achievable Emission Rate</w:t>
            </w:r>
            <w:r w:rsidRPr="00DE23FC">
              <w:rPr>
                <w:i/>
              </w:rPr>
              <w:t xml:space="preserve"> or </w:t>
            </w:r>
            <w:r w:rsidR="0095567F">
              <w:rPr>
                <w:i/>
              </w:rPr>
              <w:t>Best Available Control Technology</w:t>
            </w:r>
            <w:r w:rsidRPr="00DE23FC">
              <w:rPr>
                <w:i/>
              </w:rPr>
              <w:t xml:space="preserve"> </w:t>
            </w:r>
            <w:r w:rsidRPr="00DE23FC">
              <w:rPr>
                <w:i/>
              </w:rPr>
              <w:lastRenderedPageBreak/>
              <w:t xml:space="preserve">analysis for the first extension. As stated in the proposed rule, the analysis is required “if any new control technologies have become commercially available since the original </w:t>
            </w:r>
            <w:r w:rsidR="0095567F">
              <w:rPr>
                <w:i/>
              </w:rPr>
              <w:t>Lowest Achievable Emission Rate</w:t>
            </w:r>
            <w:r w:rsidRPr="00DE23FC">
              <w:rPr>
                <w:i/>
              </w:rPr>
              <w:t xml:space="preserve"> </w:t>
            </w:r>
            <w:r w:rsidR="009C1CDC">
              <w:rPr>
                <w:i/>
              </w:rPr>
              <w:t xml:space="preserve">or </w:t>
            </w:r>
            <w:r w:rsidR="0095567F">
              <w:rPr>
                <w:i/>
              </w:rPr>
              <w:t>Best Available Control Technology</w:t>
            </w:r>
            <w:r w:rsidR="009C1CDC">
              <w:rPr>
                <w:i/>
              </w:rPr>
              <w:t xml:space="preserve"> analysis.”</w:t>
            </w:r>
          </w:p>
          <w:p w:rsidR="00DE23FC" w:rsidRPr="00DE23FC" w:rsidRDefault="00DE23FC" w:rsidP="00DE23FC">
            <w:pPr>
              <w:spacing w:after="120"/>
              <w:rPr>
                <w:i/>
              </w:rPr>
            </w:pPr>
            <w:r w:rsidRPr="00DE23FC">
              <w:rPr>
                <w:i/>
              </w:rPr>
              <w:t xml:space="preserve">DEQ’s intent here is limited to analysis of new control technologies that were not commercially available when the original analysis was performed, where new control technology means a technology that uses a physical or chemical process that is different from those reviewed in the original analysis. For example, </w:t>
            </w:r>
            <w:proofErr w:type="spellStart"/>
            <w:r w:rsidRPr="00DE23FC">
              <w:rPr>
                <w:i/>
              </w:rPr>
              <w:t>SCONOx</w:t>
            </w:r>
            <w:proofErr w:type="spellEnd"/>
            <w:r w:rsidRPr="00DE23FC">
              <w:rPr>
                <w:i/>
              </w:rPr>
              <w:t xml:space="preserve"> uses a chemical process that is different from the chemical process used in SCR, whereas an SCR system that achieves a lower </w:t>
            </w:r>
            <w:r w:rsidR="0095567F">
              <w:rPr>
                <w:i/>
              </w:rPr>
              <w:t>nitrogen oxides</w:t>
            </w:r>
            <w:r w:rsidRPr="00DE23FC">
              <w:rPr>
                <w:i/>
              </w:rPr>
              <w:t xml:space="preserve"> emission rate does not use a different chemical or physical process from other SCR systems.</w:t>
            </w:r>
          </w:p>
          <w:p w:rsidR="00DE23FC" w:rsidRPr="00DE23FC" w:rsidRDefault="00DE23FC" w:rsidP="00DE23FC">
            <w:pPr>
              <w:spacing w:after="120"/>
              <w:rPr>
                <w:i/>
              </w:rPr>
            </w:pPr>
            <w:r w:rsidRPr="00DE23FC">
              <w:rPr>
                <w:i/>
              </w:rPr>
              <w:t>DEQ believes this is not a particularly onerous requirement. The likelihood of such new technology becoming available in such a short period of time is low and more than likely there will be nothing to analyze. On the other hand, if a new technology does become available that can achieve lower emissions, then it should be considered and DEQ has retained this requirement. However, in view of the comment, DEQ has added language (underlined below) to the proposed rule to clarify the intent:</w:t>
            </w:r>
          </w:p>
          <w:p w:rsidR="00D15AD3" w:rsidRDefault="00DE23FC" w:rsidP="009C1CDC">
            <w:pPr>
              <w:spacing w:after="120"/>
              <w:ind w:left="720"/>
              <w:rPr>
                <w:i/>
              </w:rPr>
            </w:pPr>
            <w:r w:rsidRPr="00DE23FC">
              <w:rPr>
                <w:i/>
              </w:rPr>
              <w:t xml:space="preserve">(A) A </w:t>
            </w:r>
            <w:r w:rsidR="0095567F">
              <w:rPr>
                <w:i/>
              </w:rPr>
              <w:t>Lowest Achievable Emission Rate</w:t>
            </w:r>
            <w:r w:rsidRPr="00DE23FC">
              <w:rPr>
                <w:i/>
              </w:rPr>
              <w:t xml:space="preserve"> or </w:t>
            </w:r>
            <w:r w:rsidR="0095567F">
              <w:rPr>
                <w:i/>
              </w:rPr>
              <w:t>Best Available Control Technology</w:t>
            </w:r>
            <w:r w:rsidRPr="00DE23FC">
              <w:rPr>
                <w:i/>
              </w:rPr>
              <w:t xml:space="preserve"> analysis, as applicable, if any new control technologies</w:t>
            </w:r>
            <w:r w:rsidRPr="00DE23FC">
              <w:rPr>
                <w:i/>
                <w:u w:val="single"/>
              </w:rPr>
              <w:t>, meaning control technologies that use a physical or chemical process that is different from those reviewed in the original analysis,</w:t>
            </w:r>
            <w:r w:rsidRPr="00DE23FC">
              <w:rPr>
                <w:i/>
              </w:rPr>
              <w:t xml:space="preserve"> have become commercially available since the original </w:t>
            </w:r>
            <w:r w:rsidR="0095567F">
              <w:rPr>
                <w:i/>
              </w:rPr>
              <w:t>Lowest Achievable Emission Rate</w:t>
            </w:r>
            <w:r w:rsidRPr="00DE23FC">
              <w:rPr>
                <w:i/>
              </w:rPr>
              <w:t xml:space="preserve"> or </w:t>
            </w:r>
            <w:r w:rsidR="0095567F">
              <w:rPr>
                <w:i/>
              </w:rPr>
              <w:t>Best Available Control Technology</w:t>
            </w:r>
            <w:r w:rsidRPr="00DE23FC">
              <w:rPr>
                <w:i/>
              </w:rPr>
              <w:t xml:space="preserve"> analysis for the original regulated pollutants subject to Major </w:t>
            </w:r>
            <w:r w:rsidR="0095567F">
              <w:rPr>
                <w:i/>
              </w:rPr>
              <w:t>New Source Review</w:t>
            </w:r>
            <w:r w:rsidRPr="00DE23FC">
              <w:rPr>
                <w:i/>
              </w:rPr>
              <w:t xml:space="preserve"> or Type A State </w:t>
            </w:r>
            <w:r w:rsidR="0095567F">
              <w:rPr>
                <w:i/>
              </w:rPr>
              <w:t>New Source Review</w:t>
            </w:r>
            <w:r w:rsidRPr="00DE23FC">
              <w:rPr>
                <w:i/>
              </w:rPr>
              <w:t>;</w:t>
            </w:r>
          </w:p>
          <w:p w:rsidR="009C1CDC" w:rsidRPr="00D15AD3" w:rsidRDefault="000A7A5B" w:rsidP="000A7A5B">
            <w:pPr>
              <w:spacing w:after="120"/>
              <w:rPr>
                <w:i/>
              </w:rPr>
            </w:pPr>
            <w:commentRangeStart w:id="8"/>
            <w:r>
              <w:rPr>
                <w:i/>
              </w:rPr>
              <w:t xml:space="preserve">DEQ must review a control technology analysis </w:t>
            </w:r>
            <w:r w:rsidRPr="000A7A5B">
              <w:rPr>
                <w:i/>
              </w:rPr>
              <w:t xml:space="preserve">if any new control technologies have become commercially available since the original </w:t>
            </w:r>
            <w:r w:rsidR="0095567F">
              <w:rPr>
                <w:i/>
              </w:rPr>
              <w:t>Lowest Achievable Emission Rate</w:t>
            </w:r>
            <w:r w:rsidRPr="000A7A5B">
              <w:rPr>
                <w:i/>
              </w:rPr>
              <w:t xml:space="preserve"> or </w:t>
            </w:r>
            <w:r w:rsidR="0095567F">
              <w:rPr>
                <w:i/>
              </w:rPr>
              <w:t>Best Available Control Technology</w:t>
            </w:r>
            <w:r w:rsidRPr="000A7A5B">
              <w:rPr>
                <w:i/>
              </w:rPr>
              <w:t xml:space="preserve"> analysis </w:t>
            </w:r>
            <w:r>
              <w:rPr>
                <w:i/>
              </w:rPr>
              <w:t>was done</w:t>
            </w:r>
            <w:r w:rsidR="006A0774">
              <w:rPr>
                <w:i/>
              </w:rPr>
              <w:t xml:space="preserve">. </w:t>
            </w:r>
            <w:r>
              <w:rPr>
                <w:i/>
              </w:rPr>
              <w:t xml:space="preserve">Therefore, a moderate </w:t>
            </w:r>
            <w:r w:rsidRPr="009C1CDC">
              <w:rPr>
                <w:i/>
              </w:rPr>
              <w:t xml:space="preserve">technical permit modification fee for the first extension </w:t>
            </w:r>
            <w:r>
              <w:rPr>
                <w:i/>
              </w:rPr>
              <w:t>is required</w:t>
            </w:r>
            <w:r w:rsidR="006A0774">
              <w:rPr>
                <w:i/>
              </w:rPr>
              <w:t xml:space="preserve">. </w:t>
            </w:r>
            <w:commentRangeEnd w:id="8"/>
            <w:r>
              <w:rPr>
                <w:rStyle w:val="CommentReference"/>
              </w:rPr>
              <w:commentReference w:id="8"/>
            </w:r>
          </w:p>
        </w:tc>
      </w:tr>
      <w:tr w:rsidR="007B4D8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7B4D85" w:rsidRPr="00EB3D0B" w:rsidRDefault="007B4D85" w:rsidP="004F2FBD">
            <w:pPr>
              <w:autoSpaceDE w:val="0"/>
              <w:autoSpaceDN w:val="0"/>
              <w:adjustRightInd w:val="0"/>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192139" w:rsidRPr="00192139" w:rsidRDefault="007B4D85" w:rsidP="00192139">
            <w:pPr>
              <w:spacing w:after="120"/>
            </w:pPr>
            <w:r w:rsidRPr="009E1CBF">
              <w:t xml:space="preserve">The proposed revisions to the rules appear to be missing language related to the use of priority offsets. Klamath Falls priority offsets should be identified in OAR 340-204-0320. OAR 340-224-0510(4) requires that emission reductions used as offsets be equivalent to the emissions being offset in terms of short term, seasonal, and yearly time periods to mitigate the effects of the proposed emissions. Because woodstoves are only operated seasonally, offsets generated from their retirement arguably would not meet this requirement for an industrial source operating year round. DEQ </w:t>
            </w:r>
            <w:r w:rsidR="00EE5CCF">
              <w:t xml:space="preserve">should </w:t>
            </w:r>
            <w:r w:rsidRPr="009E1CBF">
              <w:t xml:space="preserve">revise the rules to clarify that this is not an impediment to the use of wood stove derived offsets. </w:t>
            </w:r>
            <w:r w:rsidR="00192139" w:rsidRPr="00192139">
              <w:t>(2, 3, 4, 7, 20, 41, 42, 44, 47, 48, 58)</w:t>
            </w:r>
          </w:p>
          <w:p w:rsidR="007B4D85" w:rsidRDefault="00192139" w:rsidP="007862B6">
            <w:pPr>
              <w:spacing w:after="120"/>
              <w:rPr>
                <w:i/>
              </w:rPr>
            </w:pPr>
            <w:r>
              <w:rPr>
                <w:i/>
              </w:rPr>
              <w:t>Response:</w:t>
            </w:r>
          </w:p>
          <w:p w:rsidR="00D15AD3" w:rsidRPr="00D15AD3" w:rsidRDefault="00D15AD3" w:rsidP="00D15AD3">
            <w:pPr>
              <w:spacing w:after="120"/>
              <w:rPr>
                <w:i/>
              </w:rPr>
            </w:pPr>
            <w:commentRangeStart w:id="9"/>
            <w:r w:rsidRPr="00D15AD3">
              <w:rPr>
                <w:i/>
              </w:rPr>
              <w:t>DEQ believes the commenters raise good points and has found that the proposed rules failed to address priority source</w:t>
            </w:r>
            <w:r w:rsidR="00E17F38">
              <w:rPr>
                <w:i/>
              </w:rPr>
              <w:t>s</w:t>
            </w:r>
            <w:r w:rsidRPr="00D15AD3">
              <w:rPr>
                <w:i/>
              </w:rPr>
              <w:t xml:space="preserve"> for other designated areas, as well the values to be used for priority source offsets in Lakeview.</w:t>
            </w:r>
            <w:commentRangeEnd w:id="9"/>
            <w:r w:rsidR="00846AC1">
              <w:rPr>
                <w:rStyle w:val="CommentReference"/>
              </w:rPr>
              <w:commentReference w:id="9"/>
            </w:r>
          </w:p>
          <w:p w:rsidR="00D15AD3" w:rsidRPr="00D15AD3" w:rsidRDefault="00D15AD3" w:rsidP="00D15AD3">
            <w:pPr>
              <w:spacing w:after="120"/>
              <w:rPr>
                <w:i/>
              </w:rPr>
            </w:pPr>
            <w:r w:rsidRPr="00D15AD3">
              <w:rPr>
                <w:i/>
              </w:rPr>
              <w:lastRenderedPageBreak/>
              <w:t>DEQ does not believe that priority sources will be defined for all areas designated as sustainment, nonattainment, reattainment or maintenance areas. DEQ expects that this will only be done in cases where there is clear evidence that a certain type of source is a major contributor to the air quality problem in the area. Further, DEQ did not consider “looking back” to determine if priority sources should be identified for existing designated area. DEQ believes that identifying priority sources for areas other than Lakeview would require a more in-depth review than this rulemaking allows and therefore will not identify priority sources for other areas in this rulemaking, except as proposed in OAR 340-204-0320(2).</w:t>
            </w:r>
          </w:p>
          <w:p w:rsidR="00D15AD3" w:rsidRPr="00D15AD3" w:rsidRDefault="00D15AD3" w:rsidP="00D15AD3">
            <w:pPr>
              <w:spacing w:after="120"/>
              <w:rPr>
                <w:i/>
              </w:rPr>
            </w:pPr>
            <w:r w:rsidRPr="00D15AD3">
              <w:rPr>
                <w:i/>
              </w:rPr>
              <w:t xml:space="preserve">With respect to the Lakeview sustainment area, DEQ believes it has correctly identified </w:t>
            </w:r>
            <w:r w:rsidRPr="00D15AD3">
              <w:rPr>
                <w:i/>
                <w:u w:val="single"/>
              </w:rPr>
              <w:t>uncertified r</w:t>
            </w:r>
            <w:r w:rsidRPr="00D15AD3">
              <w:rPr>
                <w:bCs/>
                <w:i/>
                <w:u w:val="single"/>
              </w:rPr>
              <w:t>esidential wood fuel-fired devices</w:t>
            </w:r>
            <w:r w:rsidRPr="00D15AD3">
              <w:rPr>
                <w:i/>
              </w:rPr>
              <w:t xml:space="preserve"> as the priority source. However, DEQ failed to identify the annual emission reduction offset values for residential wood-fired devices in Lakeview.</w:t>
            </w:r>
          </w:p>
          <w:p w:rsidR="00D15AD3" w:rsidRPr="00D15AD3" w:rsidRDefault="00D15AD3" w:rsidP="00D15AD3">
            <w:pPr>
              <w:spacing w:after="120"/>
              <w:rPr>
                <w:i/>
              </w:rPr>
            </w:pPr>
            <w:r w:rsidRPr="00D15AD3">
              <w:rPr>
                <w:i/>
              </w:rPr>
              <w:t>DEQ notes that annual emission reduction offset values for residential wood-fired devices have been identified for Klamath Falls in OAR 340-240-0560. DEQ compared the winter monthly average low temperatures in Klamath Falls and Lakeview, and notes that the average monthly low temperatures in Lakeview are generally somewhat lower than the monthly average low temperatures in Klamath Falls. This suggests that households in Lakeview that heat with wood fuel are likely to use somewhat more fuel, or at least not less fuel, than similar households in Klamath Falls. DEQ therefore concludes that the annual emission reduction offset values for residential wood-fired devices in Klamath Falls can reasonably and conservatively be applied in Lakeview as well.</w:t>
            </w:r>
          </w:p>
          <w:p w:rsidR="00D15AD3" w:rsidRPr="00D15AD3" w:rsidRDefault="00D15AD3" w:rsidP="00D15AD3">
            <w:pPr>
              <w:spacing w:after="120"/>
              <w:rPr>
                <w:i/>
              </w:rPr>
            </w:pPr>
            <w:r w:rsidRPr="00D15AD3">
              <w:rPr>
                <w:i/>
              </w:rPr>
              <w:t>Comparison of monthly average low temperatures (degrees F) in Klamath Falls and Lakeview (source: Wikipedia)</w:t>
            </w:r>
          </w:p>
          <w:tbl>
            <w:tblPr>
              <w:tblStyle w:val="TableGrid"/>
              <w:tblW w:w="0" w:type="auto"/>
              <w:jc w:val="center"/>
              <w:tblLayout w:type="fixed"/>
              <w:tblLook w:val="04A0"/>
            </w:tblPr>
            <w:tblGrid>
              <w:gridCol w:w="1521"/>
              <w:gridCol w:w="963"/>
              <w:gridCol w:w="963"/>
              <w:gridCol w:w="963"/>
              <w:gridCol w:w="963"/>
              <w:gridCol w:w="963"/>
              <w:gridCol w:w="963"/>
            </w:tblGrid>
            <w:tr w:rsidR="00D15AD3" w:rsidRPr="00D15AD3" w:rsidTr="00003121">
              <w:trPr>
                <w:jc w:val="center"/>
              </w:trPr>
              <w:tc>
                <w:tcPr>
                  <w:tcW w:w="1521" w:type="dxa"/>
                </w:tcPr>
                <w:p w:rsidR="00D15AD3" w:rsidRPr="00D15AD3" w:rsidRDefault="00D15AD3" w:rsidP="00003121">
                  <w:pPr>
                    <w:rPr>
                      <w:i/>
                    </w:rPr>
                  </w:pPr>
                </w:p>
              </w:tc>
              <w:tc>
                <w:tcPr>
                  <w:tcW w:w="963" w:type="dxa"/>
                </w:tcPr>
                <w:p w:rsidR="00D15AD3" w:rsidRPr="00D15AD3" w:rsidRDefault="00D15AD3" w:rsidP="00003121">
                  <w:pPr>
                    <w:rPr>
                      <w:i/>
                    </w:rPr>
                  </w:pPr>
                  <w:r w:rsidRPr="00D15AD3">
                    <w:rPr>
                      <w:i/>
                    </w:rPr>
                    <w:t>Oct</w:t>
                  </w:r>
                </w:p>
              </w:tc>
              <w:tc>
                <w:tcPr>
                  <w:tcW w:w="963" w:type="dxa"/>
                </w:tcPr>
                <w:p w:rsidR="00D15AD3" w:rsidRPr="00D15AD3" w:rsidRDefault="00D15AD3" w:rsidP="00003121">
                  <w:pPr>
                    <w:rPr>
                      <w:i/>
                    </w:rPr>
                  </w:pPr>
                  <w:r w:rsidRPr="00D15AD3">
                    <w:rPr>
                      <w:i/>
                    </w:rPr>
                    <w:t>Nov</w:t>
                  </w:r>
                </w:p>
              </w:tc>
              <w:tc>
                <w:tcPr>
                  <w:tcW w:w="963" w:type="dxa"/>
                </w:tcPr>
                <w:p w:rsidR="00D15AD3" w:rsidRPr="00D15AD3" w:rsidRDefault="00D15AD3" w:rsidP="00003121">
                  <w:pPr>
                    <w:rPr>
                      <w:i/>
                    </w:rPr>
                  </w:pPr>
                  <w:r w:rsidRPr="00D15AD3">
                    <w:rPr>
                      <w:i/>
                    </w:rPr>
                    <w:t>Dec</w:t>
                  </w:r>
                </w:p>
              </w:tc>
              <w:tc>
                <w:tcPr>
                  <w:tcW w:w="963" w:type="dxa"/>
                </w:tcPr>
                <w:p w:rsidR="00D15AD3" w:rsidRPr="00D15AD3" w:rsidRDefault="00D15AD3" w:rsidP="00003121">
                  <w:pPr>
                    <w:rPr>
                      <w:i/>
                    </w:rPr>
                  </w:pPr>
                  <w:r w:rsidRPr="00D15AD3">
                    <w:rPr>
                      <w:i/>
                    </w:rPr>
                    <w:t>Jan</w:t>
                  </w:r>
                </w:p>
              </w:tc>
              <w:tc>
                <w:tcPr>
                  <w:tcW w:w="963" w:type="dxa"/>
                </w:tcPr>
                <w:p w:rsidR="00D15AD3" w:rsidRPr="00D15AD3" w:rsidRDefault="00D15AD3" w:rsidP="00003121">
                  <w:pPr>
                    <w:rPr>
                      <w:i/>
                    </w:rPr>
                  </w:pPr>
                  <w:r w:rsidRPr="00D15AD3">
                    <w:rPr>
                      <w:i/>
                    </w:rPr>
                    <w:t>Feb</w:t>
                  </w:r>
                </w:p>
              </w:tc>
              <w:tc>
                <w:tcPr>
                  <w:tcW w:w="963" w:type="dxa"/>
                </w:tcPr>
                <w:p w:rsidR="00D15AD3" w:rsidRPr="00D15AD3" w:rsidRDefault="00D15AD3" w:rsidP="00003121">
                  <w:pPr>
                    <w:rPr>
                      <w:i/>
                    </w:rPr>
                  </w:pPr>
                  <w:r w:rsidRPr="00D15AD3">
                    <w:rPr>
                      <w:i/>
                    </w:rPr>
                    <w:t>Mar</w:t>
                  </w:r>
                </w:p>
              </w:tc>
            </w:tr>
            <w:tr w:rsidR="00D15AD3" w:rsidRPr="00D15AD3" w:rsidTr="00003121">
              <w:trPr>
                <w:jc w:val="center"/>
              </w:trPr>
              <w:tc>
                <w:tcPr>
                  <w:tcW w:w="1521" w:type="dxa"/>
                </w:tcPr>
                <w:p w:rsidR="00D15AD3" w:rsidRPr="00D15AD3" w:rsidRDefault="00D15AD3" w:rsidP="00003121">
                  <w:pPr>
                    <w:rPr>
                      <w:i/>
                    </w:rPr>
                  </w:pPr>
                  <w:r w:rsidRPr="00D15AD3">
                    <w:rPr>
                      <w:i/>
                    </w:rPr>
                    <w:t>Klamath Falls</w:t>
                  </w:r>
                </w:p>
              </w:tc>
              <w:tc>
                <w:tcPr>
                  <w:tcW w:w="963" w:type="dxa"/>
                </w:tcPr>
                <w:p w:rsidR="00D15AD3" w:rsidRPr="00D15AD3" w:rsidRDefault="00D15AD3" w:rsidP="00003121">
                  <w:pPr>
                    <w:rPr>
                      <w:i/>
                    </w:rPr>
                  </w:pPr>
                  <w:r w:rsidRPr="00D15AD3">
                    <w:rPr>
                      <w:i/>
                    </w:rPr>
                    <w:t>35.4</w:t>
                  </w:r>
                </w:p>
              </w:tc>
              <w:tc>
                <w:tcPr>
                  <w:tcW w:w="963" w:type="dxa"/>
                </w:tcPr>
                <w:p w:rsidR="00D15AD3" w:rsidRPr="00D15AD3" w:rsidRDefault="00D15AD3" w:rsidP="00003121">
                  <w:pPr>
                    <w:rPr>
                      <w:i/>
                    </w:rPr>
                  </w:pPr>
                  <w:r w:rsidRPr="00D15AD3">
                    <w:rPr>
                      <w:i/>
                    </w:rPr>
                    <w:t>28.2</w:t>
                  </w:r>
                </w:p>
              </w:tc>
              <w:tc>
                <w:tcPr>
                  <w:tcW w:w="963" w:type="dxa"/>
                </w:tcPr>
                <w:p w:rsidR="00D15AD3" w:rsidRPr="00D15AD3" w:rsidRDefault="00D15AD3" w:rsidP="00003121">
                  <w:pPr>
                    <w:rPr>
                      <w:i/>
                    </w:rPr>
                  </w:pPr>
                  <w:r w:rsidRPr="00D15AD3">
                    <w:rPr>
                      <w:i/>
                    </w:rPr>
                    <w:t>22.7</w:t>
                  </w:r>
                </w:p>
              </w:tc>
              <w:tc>
                <w:tcPr>
                  <w:tcW w:w="963" w:type="dxa"/>
                </w:tcPr>
                <w:p w:rsidR="00D15AD3" w:rsidRPr="00D15AD3" w:rsidRDefault="00D15AD3" w:rsidP="00003121">
                  <w:pPr>
                    <w:rPr>
                      <w:i/>
                    </w:rPr>
                  </w:pPr>
                  <w:r w:rsidRPr="00D15AD3">
                    <w:rPr>
                      <w:i/>
                    </w:rPr>
                    <w:t>20.6</w:t>
                  </w:r>
                </w:p>
              </w:tc>
              <w:tc>
                <w:tcPr>
                  <w:tcW w:w="963" w:type="dxa"/>
                </w:tcPr>
                <w:p w:rsidR="00D15AD3" w:rsidRPr="00D15AD3" w:rsidRDefault="00D15AD3" w:rsidP="00003121">
                  <w:pPr>
                    <w:rPr>
                      <w:i/>
                    </w:rPr>
                  </w:pPr>
                  <w:r w:rsidRPr="00D15AD3">
                    <w:rPr>
                      <w:i/>
                    </w:rPr>
                    <w:t>24.5</w:t>
                  </w:r>
                </w:p>
              </w:tc>
              <w:tc>
                <w:tcPr>
                  <w:tcW w:w="963" w:type="dxa"/>
                </w:tcPr>
                <w:p w:rsidR="00D15AD3" w:rsidRPr="00D15AD3" w:rsidRDefault="00D15AD3" w:rsidP="00003121">
                  <w:pPr>
                    <w:rPr>
                      <w:i/>
                    </w:rPr>
                  </w:pPr>
                  <w:r w:rsidRPr="00D15AD3">
                    <w:rPr>
                      <w:i/>
                    </w:rPr>
                    <w:t>28.1</w:t>
                  </w:r>
                </w:p>
              </w:tc>
            </w:tr>
            <w:tr w:rsidR="00D15AD3" w:rsidRPr="00D15AD3" w:rsidTr="00003121">
              <w:trPr>
                <w:jc w:val="center"/>
              </w:trPr>
              <w:tc>
                <w:tcPr>
                  <w:tcW w:w="1521" w:type="dxa"/>
                </w:tcPr>
                <w:p w:rsidR="00D15AD3" w:rsidRPr="00D15AD3" w:rsidRDefault="00D15AD3" w:rsidP="00003121">
                  <w:pPr>
                    <w:rPr>
                      <w:i/>
                    </w:rPr>
                  </w:pPr>
                  <w:r w:rsidRPr="00D15AD3">
                    <w:rPr>
                      <w:i/>
                    </w:rPr>
                    <w:t>Lakeview</w:t>
                  </w:r>
                </w:p>
              </w:tc>
              <w:tc>
                <w:tcPr>
                  <w:tcW w:w="963" w:type="dxa"/>
                </w:tcPr>
                <w:p w:rsidR="00D15AD3" w:rsidRPr="00D15AD3" w:rsidRDefault="00D15AD3" w:rsidP="00003121">
                  <w:pPr>
                    <w:rPr>
                      <w:i/>
                    </w:rPr>
                  </w:pPr>
                  <w:r w:rsidRPr="00D15AD3">
                    <w:rPr>
                      <w:i/>
                    </w:rPr>
                    <w:t>33.1</w:t>
                  </w:r>
                </w:p>
              </w:tc>
              <w:tc>
                <w:tcPr>
                  <w:tcW w:w="963" w:type="dxa"/>
                </w:tcPr>
                <w:p w:rsidR="00D15AD3" w:rsidRPr="00D15AD3" w:rsidRDefault="00D15AD3" w:rsidP="00003121">
                  <w:pPr>
                    <w:rPr>
                      <w:i/>
                    </w:rPr>
                  </w:pPr>
                  <w:r w:rsidRPr="00D15AD3">
                    <w:rPr>
                      <w:i/>
                    </w:rPr>
                    <w:t>26.0</w:t>
                  </w:r>
                </w:p>
              </w:tc>
              <w:tc>
                <w:tcPr>
                  <w:tcW w:w="963" w:type="dxa"/>
                </w:tcPr>
                <w:p w:rsidR="00D15AD3" w:rsidRPr="00D15AD3" w:rsidRDefault="00D15AD3" w:rsidP="00003121">
                  <w:pPr>
                    <w:rPr>
                      <w:i/>
                    </w:rPr>
                  </w:pPr>
                  <w:r w:rsidRPr="00D15AD3">
                    <w:rPr>
                      <w:i/>
                    </w:rPr>
                    <w:t>20.6</w:t>
                  </w:r>
                </w:p>
              </w:tc>
              <w:tc>
                <w:tcPr>
                  <w:tcW w:w="963" w:type="dxa"/>
                </w:tcPr>
                <w:p w:rsidR="00D15AD3" w:rsidRPr="00D15AD3" w:rsidRDefault="00D15AD3" w:rsidP="00003121">
                  <w:pPr>
                    <w:rPr>
                      <w:i/>
                    </w:rPr>
                  </w:pPr>
                  <w:r w:rsidRPr="00D15AD3">
                    <w:rPr>
                      <w:i/>
                    </w:rPr>
                    <w:t>20.6</w:t>
                  </w:r>
                </w:p>
              </w:tc>
              <w:tc>
                <w:tcPr>
                  <w:tcW w:w="963" w:type="dxa"/>
                </w:tcPr>
                <w:p w:rsidR="00D15AD3" w:rsidRPr="00D15AD3" w:rsidRDefault="00D15AD3" w:rsidP="00003121">
                  <w:pPr>
                    <w:rPr>
                      <w:i/>
                    </w:rPr>
                  </w:pPr>
                  <w:r w:rsidRPr="00D15AD3">
                    <w:rPr>
                      <w:i/>
                    </w:rPr>
                    <w:t>24.0</w:t>
                  </w:r>
                </w:p>
              </w:tc>
              <w:tc>
                <w:tcPr>
                  <w:tcW w:w="963" w:type="dxa"/>
                </w:tcPr>
                <w:p w:rsidR="00D15AD3" w:rsidRPr="00D15AD3" w:rsidRDefault="00D15AD3" w:rsidP="00003121">
                  <w:pPr>
                    <w:rPr>
                      <w:i/>
                    </w:rPr>
                  </w:pPr>
                  <w:r w:rsidRPr="00D15AD3">
                    <w:rPr>
                      <w:i/>
                    </w:rPr>
                    <w:t>27.8</w:t>
                  </w:r>
                </w:p>
              </w:tc>
            </w:tr>
          </w:tbl>
          <w:p w:rsidR="00D15AD3" w:rsidRPr="00D15AD3" w:rsidRDefault="00D15AD3" w:rsidP="00D15AD3">
            <w:pPr>
              <w:spacing w:after="120"/>
              <w:rPr>
                <w:i/>
              </w:rPr>
            </w:pPr>
          </w:p>
          <w:p w:rsidR="00D15AD3" w:rsidRPr="00D15AD3" w:rsidRDefault="00D15AD3" w:rsidP="00D15AD3">
            <w:pPr>
              <w:spacing w:after="120"/>
              <w:rPr>
                <w:i/>
              </w:rPr>
            </w:pPr>
            <w:r w:rsidRPr="00D15AD3">
              <w:rPr>
                <w:i/>
              </w:rPr>
              <w:t>DEQ has therefore revised OAR 340-240-0560 to allow the use of the Klamath Falls annual emission reduction offset values for residential wood-fired devices in other areas when referred to this rule, and OAR 340-268-0030(f) to specify that a source must use the procedures in OAR 340-240-0560 to calculate the emission reductions from r</w:t>
            </w:r>
            <w:r w:rsidRPr="00D15AD3">
              <w:rPr>
                <w:bCs/>
                <w:i/>
              </w:rPr>
              <w:t xml:space="preserve">esidential wood fuel-fired devices </w:t>
            </w:r>
            <w:r w:rsidRPr="00D15AD3">
              <w:rPr>
                <w:i/>
              </w:rPr>
              <w:t>in Klamath Falls or Lakeview.</w:t>
            </w:r>
          </w:p>
          <w:p w:rsidR="00192139" w:rsidRPr="00192139" w:rsidRDefault="00D15AD3" w:rsidP="00D15AD3">
            <w:pPr>
              <w:spacing w:after="120"/>
              <w:rPr>
                <w:i/>
              </w:rPr>
            </w:pPr>
            <w:r w:rsidRPr="00D15AD3">
              <w:rPr>
                <w:i/>
              </w:rPr>
              <w:t>DEQ agrees with this comment and has revised OAR 340-224-0510(4) to state that offsets must be equivalent to the emissions being offset in terms of short term, seasonal, and yearly time periods to mitigate the effects of the proposed emissions, or “must address the air quality problem in the area, such as but not limited to woodstove replacements to address winter-time exceedances of short term PM2.5 standards.”</w:t>
            </w:r>
          </w:p>
        </w:tc>
      </w:tr>
      <w:tr w:rsidR="007B4D8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7B4D85" w:rsidRPr="00EB3D0B" w:rsidRDefault="007B4D85" w:rsidP="004F2FBD">
            <w:pPr>
              <w:autoSpaceDE w:val="0"/>
              <w:autoSpaceDN w:val="0"/>
              <w:adjustRightInd w:val="0"/>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7B4D85" w:rsidRDefault="007B4D85" w:rsidP="007862B6">
            <w:pPr>
              <w:spacing w:after="120"/>
            </w:pPr>
            <w:r>
              <w:t xml:space="preserve">Proposed changes to the </w:t>
            </w:r>
            <w:r w:rsidR="0095567F">
              <w:t>New Source Review</w:t>
            </w:r>
            <w:r>
              <w:t xml:space="preserve"> requirements are insufficient to </w:t>
            </w:r>
            <w:r w:rsidR="00EE5CCF">
              <w:t xml:space="preserve">protect air </w:t>
            </w:r>
            <w:r>
              <w:t xml:space="preserve">quality. Under DEQ’s proposal, sources subject to State </w:t>
            </w:r>
            <w:r w:rsidR="0095567F">
              <w:t>New Source Review</w:t>
            </w:r>
            <w:r>
              <w:t xml:space="preserve"> in sustainment areas are</w:t>
            </w:r>
            <w:r w:rsidR="00EE5CCF">
              <w:t xml:space="preserve"> required to either conduct an air quality a</w:t>
            </w:r>
            <w:r>
              <w:t>nalysis (modeling) or demonstrate a Net Air Quality Benefit (offsets)</w:t>
            </w:r>
            <w:proofErr w:type="gramStart"/>
            <w:r w:rsidR="007353F7">
              <w:t>,</w:t>
            </w:r>
            <w:proofErr w:type="gramEnd"/>
            <w:r w:rsidR="007353F7">
              <w:t xml:space="preserve"> </w:t>
            </w:r>
            <w:r>
              <w:t>differ</w:t>
            </w:r>
            <w:r w:rsidR="007353F7">
              <w:t>ing for</w:t>
            </w:r>
            <w:r>
              <w:t xml:space="preserve"> </w:t>
            </w:r>
            <w:r w:rsidR="007353F7">
              <w:t xml:space="preserve">State </w:t>
            </w:r>
            <w:r w:rsidR="0095567F">
              <w:t>New Source Review</w:t>
            </w:r>
            <w:r w:rsidR="007353F7">
              <w:t xml:space="preserve"> </w:t>
            </w:r>
            <w:r>
              <w:t>sources in attainment areas that only have the option of con</w:t>
            </w:r>
            <w:r w:rsidR="00EE5CCF">
              <w:t>ducting an a</w:t>
            </w:r>
            <w:r>
              <w:t xml:space="preserve">ir </w:t>
            </w:r>
            <w:r w:rsidR="00EE5CCF">
              <w:t>q</w:t>
            </w:r>
            <w:r>
              <w:t xml:space="preserve">uality </w:t>
            </w:r>
            <w:r w:rsidR="00EE5CCF">
              <w:t>a</w:t>
            </w:r>
            <w:r>
              <w:t xml:space="preserve">nalysis. It is unclear whether this program would even work in areas that are above the </w:t>
            </w:r>
            <w:r w:rsidR="0095567F">
              <w:t>National Ambient Air Quality Standards</w:t>
            </w:r>
            <w:r>
              <w:t xml:space="preserve">. A requirement of State </w:t>
            </w:r>
            <w:r w:rsidR="0095567F">
              <w:t>New Source Review</w:t>
            </w:r>
            <w:r>
              <w:t xml:space="preserve"> is that the source demonstrates it will not cause or contribute to a new violation of the </w:t>
            </w:r>
            <w:r w:rsidR="0095567F">
              <w:t>National Ambient Air Quality Standards</w:t>
            </w:r>
            <w:r>
              <w:t xml:space="preserve"> even if their emissions model below the </w:t>
            </w:r>
            <w:r w:rsidR="007353F7">
              <w:t xml:space="preserve">significant impact level. </w:t>
            </w:r>
            <w:r>
              <w:t xml:space="preserve">Unless the modeling shows zero impact, it is unclear whether, even under the sustainment designation, new sources and modifications can meet the requirements of State </w:t>
            </w:r>
            <w:r w:rsidR="0095567F">
              <w:t>New Source Review</w:t>
            </w:r>
            <w:r>
              <w:t xml:space="preserve">. </w:t>
            </w:r>
          </w:p>
          <w:p w:rsidR="007B4D85" w:rsidRDefault="007B4D85" w:rsidP="007862B6">
            <w:pPr>
              <w:spacing w:after="120"/>
            </w:pPr>
            <w:r>
              <w:t>The offset ratios chosen by DEQ are wholly insufficient to achieve the goals of the sustainment program</w:t>
            </w:r>
            <w:r w:rsidR="00391C46">
              <w:t xml:space="preserve"> to keep</w:t>
            </w:r>
            <w:r>
              <w:t xml:space="preserve"> an area under the </w:t>
            </w:r>
            <w:r w:rsidR="0095567F">
              <w:t>National Ambient Air Quality Standards</w:t>
            </w:r>
            <w:r>
              <w:t xml:space="preserve">, let alone reducing emissions in an area violating the </w:t>
            </w:r>
            <w:r w:rsidR="0095567F">
              <w:t>National Ambient Air Quality Standards</w:t>
            </w:r>
            <w:r>
              <w:t xml:space="preserve"> enough to help the area get below dangerous levels. If DEQ insists on using the sustainment program, DEQ should at least modify the offset ratios to a more modest level so that the program might actually have a chance of succeeding in stabilizing or reducing the ambient concentration of air pollutants.</w:t>
            </w:r>
          </w:p>
          <w:p w:rsidR="007B4D85" w:rsidRDefault="007B4D85" w:rsidP="007353F7">
            <w:pPr>
              <w:spacing w:after="120"/>
            </w:pPr>
            <w:r>
              <w:t xml:space="preserve">It is unclear whether a source subject to Major </w:t>
            </w:r>
            <w:r w:rsidR="0095567F">
              <w:t>New Source Review</w:t>
            </w:r>
            <w:r>
              <w:t xml:space="preserve"> in reattainment area would need to meet both nonattainment and reattainment</w:t>
            </w:r>
            <w:r w:rsidR="007353F7">
              <w:t xml:space="preserve"> requirements</w:t>
            </w:r>
            <w:r>
              <w:t xml:space="preserve"> for a pollutant designated as reattainment. The regulations could potentially be read as only requiring a federal major new source of a reattainment pollutant to meet the requirements of the reattainment section</w:t>
            </w:r>
            <w:r w:rsidR="007353F7">
              <w:t>, a</w:t>
            </w:r>
            <w:r>
              <w:t xml:space="preserve"> clear violation of the Clean Air Act because the requirements of that division bear no semblance to the requirements of Nonattainment New Source Review in the Clean Air Act.</w:t>
            </w:r>
            <w:r w:rsidR="0011548C">
              <w:t xml:space="preserve"> (40)</w:t>
            </w:r>
          </w:p>
          <w:p w:rsidR="003352A1" w:rsidRDefault="003352A1" w:rsidP="007353F7">
            <w:pPr>
              <w:spacing w:after="120"/>
              <w:rPr>
                <w:i/>
              </w:rPr>
            </w:pPr>
            <w:r>
              <w:rPr>
                <w:i/>
              </w:rPr>
              <w:t>Response:</w:t>
            </w:r>
          </w:p>
          <w:p w:rsidR="00DE2E06" w:rsidRPr="00DE2E06" w:rsidRDefault="00DE2E06" w:rsidP="00DE2E06">
            <w:pPr>
              <w:spacing w:after="120"/>
              <w:rPr>
                <w:i/>
              </w:rPr>
            </w:pPr>
            <w:r w:rsidRPr="00DE2E06">
              <w:rPr>
                <w:i/>
              </w:rPr>
              <w:t>Commenters have identified the very problem that sustainment areas were created to solve, at least partially.</w:t>
            </w:r>
          </w:p>
          <w:p w:rsidR="00DE2E06" w:rsidRPr="00DE2E06" w:rsidRDefault="00DE2E06" w:rsidP="00DE2E06">
            <w:pPr>
              <w:spacing w:after="120"/>
              <w:rPr>
                <w:i/>
              </w:rPr>
            </w:pPr>
            <w:commentRangeStart w:id="10"/>
            <w:r w:rsidRPr="00DE2E06">
              <w:rPr>
                <w:i/>
              </w:rPr>
              <w:t>The following is copied from the response to comment number 87:</w:t>
            </w:r>
            <w:commentRangeEnd w:id="10"/>
            <w:r>
              <w:rPr>
                <w:rStyle w:val="CommentReference"/>
              </w:rPr>
              <w:commentReference w:id="10"/>
            </w:r>
          </w:p>
          <w:p w:rsidR="00DE2E06" w:rsidRPr="00DE2E06" w:rsidRDefault="00DE2E06" w:rsidP="00DE2E06">
            <w:pPr>
              <w:spacing w:after="120"/>
              <w:rPr>
                <w:i/>
              </w:rPr>
            </w:pPr>
            <w:r w:rsidRPr="00DE2E06">
              <w:rPr>
                <w:i/>
              </w:rPr>
              <w:t xml:space="preserve">“Lakeview is currently designated as an attainment/unclassified area. To obtain a permit, a source must complete an air quality analysis that demonstrates that their emissions do no cause an exceedance </w:t>
            </w:r>
            <w:proofErr w:type="gramStart"/>
            <w:r w:rsidRPr="00DE2E06">
              <w:rPr>
                <w:i/>
              </w:rPr>
              <w:t xml:space="preserve">of a </w:t>
            </w:r>
            <w:r w:rsidR="0095567F">
              <w:rPr>
                <w:i/>
              </w:rPr>
              <w:t>National Ambient Air Quality Standards</w:t>
            </w:r>
            <w:proofErr w:type="gramEnd"/>
            <w:r w:rsidRPr="00DE2E06">
              <w:rPr>
                <w:i/>
              </w:rPr>
              <w:t xml:space="preserve">. However, if the air quality already exceeds </w:t>
            </w:r>
            <w:proofErr w:type="gramStart"/>
            <w:r w:rsidRPr="00DE2E06">
              <w:rPr>
                <w:i/>
              </w:rPr>
              <w:t xml:space="preserve">a </w:t>
            </w:r>
            <w:r w:rsidR="0095567F">
              <w:rPr>
                <w:i/>
              </w:rPr>
              <w:t>National Ambient Air Quality Standards</w:t>
            </w:r>
            <w:proofErr w:type="gramEnd"/>
            <w:r w:rsidRPr="00DE2E06">
              <w:rPr>
                <w:i/>
              </w:rPr>
              <w:t>, as it does in Lakeview, this test is very difficult or impossible to pass.</w:t>
            </w:r>
          </w:p>
          <w:p w:rsidR="00DE2E06" w:rsidRPr="00DE2E06" w:rsidRDefault="00DE2E06" w:rsidP="00DE2E06">
            <w:pPr>
              <w:spacing w:after="120"/>
              <w:rPr>
                <w:i/>
              </w:rPr>
            </w:pPr>
            <w:r w:rsidRPr="00DE2E06">
              <w:rPr>
                <w:i/>
              </w:rPr>
              <w:t>The only alternative prior to this rulemaking was to designate the area as a nonattainment area. In a nonattainment area, the air quality analysis is not required but other requirements must be met, such as obtaining offsets and meeting the net air quality benefit requirements. However, it takes years to change the area’s designation. During that time, the area remains designated as attainment/unclassified and obtaining a permit is practically impossible.”</w:t>
            </w:r>
          </w:p>
          <w:p w:rsidR="00DE2E06" w:rsidRPr="00DE2E06" w:rsidRDefault="00DE2E06" w:rsidP="00DE2E06">
            <w:pPr>
              <w:spacing w:after="120"/>
              <w:rPr>
                <w:i/>
              </w:rPr>
            </w:pPr>
            <w:r w:rsidRPr="00DE2E06">
              <w:rPr>
                <w:i/>
              </w:rPr>
              <w:lastRenderedPageBreak/>
              <w:t xml:space="preserve">To restate the above, a source seeking to locate in an attainment area where air quality exceeds </w:t>
            </w:r>
            <w:r w:rsidR="0095567F">
              <w:rPr>
                <w:i/>
              </w:rPr>
              <w:t>National Ambient Air Quality Standards</w:t>
            </w:r>
            <w:r w:rsidRPr="00DE2E06">
              <w:rPr>
                <w:i/>
              </w:rPr>
              <w:t xml:space="preserve"> has little or no chance of showing compliance with the air quality analysis requirement. For such a source, have the area designated as nonattainment would eliminate the requirement for the air quality analysis and replace it with requirements to obtain offsets and demonstrate net air quality benefit. Although these requirements are not easy to meet, they are at least possible. However, it takes years to change the way an area is designated, during which time an effective permit roadblock exists.</w:t>
            </w:r>
          </w:p>
          <w:p w:rsidR="00DE2E06" w:rsidRPr="00DE2E06" w:rsidRDefault="00DE2E06" w:rsidP="00DE2E06">
            <w:pPr>
              <w:spacing w:after="120"/>
              <w:rPr>
                <w:i/>
              </w:rPr>
            </w:pPr>
            <w:r w:rsidRPr="00DE2E06">
              <w:rPr>
                <w:i/>
              </w:rPr>
              <w:t xml:space="preserve">DEQ created the sustainment area designation to remove the permitting roadblock, at least for those sources subject to State </w:t>
            </w:r>
            <w:r w:rsidR="0095567F">
              <w:rPr>
                <w:i/>
              </w:rPr>
              <w:t>New Source Review</w:t>
            </w:r>
            <w:r w:rsidRPr="00DE2E06">
              <w:rPr>
                <w:i/>
              </w:rPr>
              <w:t xml:space="preserve">. Sources that are subject to Major </w:t>
            </w:r>
            <w:r w:rsidR="0095567F">
              <w:rPr>
                <w:i/>
              </w:rPr>
              <w:t>New Source Review</w:t>
            </w:r>
            <w:r w:rsidRPr="00DE2E06">
              <w:rPr>
                <w:i/>
              </w:rPr>
              <w:t xml:space="preserve"> in such areas will still face the permitting roadblock because the Major </w:t>
            </w:r>
            <w:r w:rsidR="0095567F">
              <w:rPr>
                <w:i/>
              </w:rPr>
              <w:t>New Source Review</w:t>
            </w:r>
            <w:r w:rsidRPr="00DE2E06">
              <w:rPr>
                <w:i/>
              </w:rPr>
              <w:t xml:space="preserve"> requirements must comply with the federal </w:t>
            </w:r>
            <w:r w:rsidR="001817DE">
              <w:rPr>
                <w:i/>
              </w:rPr>
              <w:t>Prevention of Significant Deterioration</w:t>
            </w:r>
            <w:r w:rsidRPr="00DE2E06">
              <w:rPr>
                <w:i/>
              </w:rPr>
              <w:t xml:space="preserve"> requirements; DEQ cannot make these requirements less stringent. Sources subject to Major </w:t>
            </w:r>
            <w:r w:rsidR="0095567F">
              <w:rPr>
                <w:i/>
              </w:rPr>
              <w:t>New Source Review</w:t>
            </w:r>
            <w:r w:rsidRPr="00DE2E06">
              <w:rPr>
                <w:i/>
              </w:rPr>
              <w:t xml:space="preserve"> for the sustainment pollutant must still meet the air quality analysis requirement, which, as stated above, will be difficult if not impossible. DEQ is well aware that the sustainment area requirements for Major </w:t>
            </w:r>
            <w:r w:rsidR="0095567F">
              <w:rPr>
                <w:i/>
              </w:rPr>
              <w:t>New Source Review</w:t>
            </w:r>
            <w:r w:rsidRPr="00DE2E06">
              <w:rPr>
                <w:i/>
              </w:rPr>
              <w:t xml:space="preserve"> do not change the situation and tried to be clear about this in the rulemaking public notice and meetings.</w:t>
            </w:r>
          </w:p>
          <w:p w:rsidR="00DE2E06" w:rsidRPr="00DE2E06" w:rsidRDefault="00DE2E06" w:rsidP="00DE2E06">
            <w:pPr>
              <w:spacing w:after="120"/>
              <w:rPr>
                <w:i/>
              </w:rPr>
            </w:pPr>
            <w:r w:rsidRPr="00DE2E06">
              <w:rPr>
                <w:i/>
              </w:rPr>
              <w:t xml:space="preserve">To remove the permitting roadblock for sources subject to State </w:t>
            </w:r>
            <w:r w:rsidR="0095567F">
              <w:rPr>
                <w:i/>
              </w:rPr>
              <w:t>New Source Review</w:t>
            </w:r>
            <w:r w:rsidRPr="00DE2E06">
              <w:rPr>
                <w:i/>
              </w:rPr>
              <w:t xml:space="preserve">, DEQ essentially blended the requirements for attainment and nonattainment areas to allow sources a choice of performing the air quality analysis or of obtaining offsets and demonstrating net air quality benefit. In reality, the air quality analysis requirements will likely still be very difficult or impossible to meet, leaving offsets and net air quality benefit the only real choice. In effect, for sources subject to State </w:t>
            </w:r>
            <w:r w:rsidR="0095567F">
              <w:rPr>
                <w:i/>
              </w:rPr>
              <w:t>New Source Review</w:t>
            </w:r>
            <w:r w:rsidRPr="00DE2E06">
              <w:rPr>
                <w:i/>
              </w:rPr>
              <w:t>, the requirements are similar to those in a nonattainment area.</w:t>
            </w:r>
          </w:p>
          <w:p w:rsidR="00DE2E06" w:rsidRPr="003352A1" w:rsidRDefault="00DE2E06" w:rsidP="007353F7">
            <w:pPr>
              <w:spacing w:after="120"/>
              <w:rPr>
                <w:i/>
              </w:rPr>
            </w:pPr>
            <w:r w:rsidRPr="00DE2E06">
              <w:rPr>
                <w:i/>
              </w:rPr>
              <w:t xml:space="preserve">DEQ believes the rules pertaining to Major </w:t>
            </w:r>
            <w:r w:rsidR="0095567F">
              <w:rPr>
                <w:i/>
              </w:rPr>
              <w:t>New Source Review</w:t>
            </w:r>
            <w:r w:rsidRPr="00DE2E06">
              <w:rPr>
                <w:i/>
              </w:rPr>
              <w:t xml:space="preserve"> in a reattainment area are quite clear. The Major </w:t>
            </w:r>
            <w:r w:rsidR="0095567F">
              <w:rPr>
                <w:i/>
              </w:rPr>
              <w:t>New Source Review</w:t>
            </w:r>
            <w:r w:rsidRPr="00DE2E06">
              <w:rPr>
                <w:i/>
              </w:rPr>
              <w:t xml:space="preserve"> reattainment area rule states that source subject to Major </w:t>
            </w:r>
            <w:r w:rsidR="0095567F">
              <w:rPr>
                <w:i/>
              </w:rPr>
              <w:t>New Source Review</w:t>
            </w:r>
            <w:r w:rsidRPr="00DE2E06">
              <w:rPr>
                <w:i/>
              </w:rPr>
              <w:t xml:space="preserve"> in a reattainment area must meet the requirements for a nonattainment area, treating the reattainment pollutant as a nonattainment pollutant.</w:t>
            </w:r>
          </w:p>
        </w:tc>
      </w:tr>
      <w:tr w:rsidR="007B4D8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7B4D85" w:rsidRPr="00EB3D0B" w:rsidRDefault="007B4D85" w:rsidP="00B43FEC">
            <w:pPr>
              <w:ind w:right="-115"/>
              <w:rPr>
                <w:bCs/>
              </w:rPr>
            </w:pPr>
            <w:r>
              <w:rPr>
                <w:bCs/>
              </w:rPr>
              <w:lastRenderedPageBreak/>
              <w:t>Other Comments</w:t>
            </w: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7B4D85" w:rsidRDefault="00652B97" w:rsidP="007862B6">
            <w:pPr>
              <w:spacing w:after="120"/>
            </w:pPr>
            <w:r>
              <w:t>The commenter has lived in Oregon for 35 of</w:t>
            </w:r>
            <w:r w:rsidR="007B4D85">
              <w:t xml:space="preserve"> 41 y</w:t>
            </w:r>
            <w:r>
              <w:t>ea</w:t>
            </w:r>
            <w:r w:rsidR="007B4D85">
              <w:t>rs</w:t>
            </w:r>
            <w:r>
              <w:t xml:space="preserve"> and has recently developed asthma. The commenter </w:t>
            </w:r>
            <w:r w:rsidR="007B4D85">
              <w:t>wonder</w:t>
            </w:r>
            <w:r>
              <w:t>ed</w:t>
            </w:r>
            <w:r w:rsidR="007B4D85">
              <w:t xml:space="preserve"> if moving back into SE, near Johnson Creek &amp; Precision Cast p</w:t>
            </w:r>
            <w:r>
              <w:t>arts has something to do with his/her half lung capacity</w:t>
            </w:r>
            <w:r w:rsidR="006A0774">
              <w:t xml:space="preserve">. </w:t>
            </w:r>
            <w:r w:rsidR="007B4D85">
              <w:t xml:space="preserve">PCP might provide local jobs but at the cost of what? Stricter </w:t>
            </w:r>
            <w:r w:rsidR="00FF1B4A">
              <w:t>regulations on air pollutants are</w:t>
            </w:r>
            <w:r w:rsidR="007B4D85">
              <w:t xml:space="preserve"> a no brainer.</w:t>
            </w:r>
            <w:r>
              <w:t xml:space="preserve"> (28)</w:t>
            </w:r>
          </w:p>
          <w:p w:rsidR="00DC1016" w:rsidRDefault="00827ACA" w:rsidP="007862B6">
            <w:pPr>
              <w:spacing w:after="120"/>
              <w:rPr>
                <w:i/>
              </w:rPr>
            </w:pPr>
            <w:r>
              <w:rPr>
                <w:i/>
              </w:rPr>
              <w:t>Response:</w:t>
            </w:r>
          </w:p>
          <w:p w:rsidR="00321C58" w:rsidRDefault="00827ACA" w:rsidP="002E7B6B">
            <w:pPr>
              <w:spacing w:after="120"/>
              <w:rPr>
                <w:i/>
              </w:rPr>
            </w:pPr>
            <w:r>
              <w:rPr>
                <w:i/>
              </w:rPr>
              <w:t xml:space="preserve">DEQ does not conduct health studies or evaluations but relies </w:t>
            </w:r>
            <w:r w:rsidR="00646281">
              <w:rPr>
                <w:i/>
              </w:rPr>
              <w:t>o</w:t>
            </w:r>
            <w:r>
              <w:rPr>
                <w:i/>
              </w:rPr>
              <w:t>n EPA standards which are based on extensive scientific and technical assessments and undergo extensive review. In this regard, EPA has classified six air pollutants as criteria pollutant</w:t>
            </w:r>
            <w:r w:rsidR="0073332B">
              <w:rPr>
                <w:i/>
              </w:rPr>
              <w:t xml:space="preserve"> because EPA uses health-based criteria as the basis for setting permissible levels of these pollutants in the atmosphere</w:t>
            </w:r>
            <w:r w:rsidR="006A0774">
              <w:rPr>
                <w:i/>
              </w:rPr>
              <w:t xml:space="preserve">. </w:t>
            </w:r>
          </w:p>
          <w:p w:rsidR="001600B4" w:rsidRDefault="00321C58" w:rsidP="002E7B6B">
            <w:pPr>
              <w:spacing w:after="120"/>
              <w:rPr>
                <w:i/>
              </w:rPr>
            </w:pPr>
            <w:r>
              <w:rPr>
                <w:i/>
              </w:rPr>
              <w:t>EPA periodically conducts comprehensive re</w:t>
            </w:r>
            <w:r w:rsidR="001600B4">
              <w:rPr>
                <w:i/>
              </w:rPr>
              <w:t>views of the scientific literatu</w:t>
            </w:r>
            <w:r>
              <w:rPr>
                <w:i/>
              </w:rPr>
              <w:t xml:space="preserve">re on </w:t>
            </w:r>
            <w:r>
              <w:rPr>
                <w:i/>
              </w:rPr>
              <w:lastRenderedPageBreak/>
              <w:t>health effects associated with exposure to the criteria pollutants</w:t>
            </w:r>
            <w:r w:rsidR="006A0774">
              <w:rPr>
                <w:i/>
              </w:rPr>
              <w:t xml:space="preserve">. </w:t>
            </w:r>
            <w:r w:rsidR="001600B4">
              <w:rPr>
                <w:i/>
              </w:rPr>
              <w:t>The resulting “criteria documents” critically assess the scientific literature and serve as the basis for making regulatory decisions about whether to retain or revise the National Ambient Air Quality Standards that specify allowable concentrations of each of these pollutants in the air. The standards are set at a level that protects public health with an adequate margin of safety. However, the standards are not “risk free.” Even in areas that meet the standards, there may be days when unusually sensitive individuals, including children, experience health effects related to air pollution</w:t>
            </w:r>
            <w:r w:rsidR="006A0774">
              <w:rPr>
                <w:i/>
              </w:rPr>
              <w:t xml:space="preserve">. </w:t>
            </w:r>
            <w:r w:rsidR="001600B4">
              <w:rPr>
                <w:i/>
              </w:rPr>
              <w:t>This is especially the case for pollutants such as ozone and particulate matter that do not have discernible thresholds below which health effects are absent</w:t>
            </w:r>
            <w:r w:rsidR="006A0774">
              <w:rPr>
                <w:i/>
              </w:rPr>
              <w:t xml:space="preserve">. </w:t>
            </w:r>
            <w:r w:rsidR="001600B4">
              <w:rPr>
                <w:i/>
              </w:rPr>
              <w:t>Comparisons of pollutant concentrations with longer-term air quality standards can help identify the pollutants that pose the greatest concerns. Such comparisons can provide a perspective on whether pollutants pose equal or different levels of concern with respect to long-term exposure.</w:t>
            </w:r>
          </w:p>
          <w:p w:rsidR="001600B4" w:rsidRDefault="001600B4" w:rsidP="002E7B6B">
            <w:pPr>
              <w:spacing w:after="120"/>
              <w:rPr>
                <w:i/>
              </w:rPr>
            </w:pPr>
            <w:r>
              <w:rPr>
                <w:i/>
              </w:rPr>
              <w:t>Some of the standards are designed to protect the public from adverse health effects that can occur after being exposed for a short time such as one hour or one day.</w:t>
            </w:r>
            <w:r w:rsidR="00257F93">
              <w:rPr>
                <w:i/>
              </w:rPr>
              <w:t xml:space="preserve"> Other standards are designed to protect people from health effects that can occur after being exposed for a much longer time, such as a year</w:t>
            </w:r>
            <w:r w:rsidR="006A0774">
              <w:rPr>
                <w:i/>
              </w:rPr>
              <w:t xml:space="preserve">. </w:t>
            </w:r>
            <w:r w:rsidR="00257F93">
              <w:rPr>
                <w:i/>
              </w:rPr>
              <w:t>For example, current standards for carbon monoxide are for short-term periods of one hour and eight hours</w:t>
            </w:r>
            <w:r w:rsidR="006A0774">
              <w:rPr>
                <w:i/>
              </w:rPr>
              <w:t xml:space="preserve">. </w:t>
            </w:r>
            <w:r w:rsidR="00257F93">
              <w:rPr>
                <w:i/>
              </w:rPr>
              <w:t>By contrast, the current standard for nitrogen dioxide is for one year. Some pollutants have both short-term and long-term standards.</w:t>
            </w:r>
          </w:p>
          <w:p w:rsidR="00257F93" w:rsidRDefault="00A7422A" w:rsidP="002E7B6B">
            <w:pPr>
              <w:spacing w:after="120"/>
              <w:rPr>
                <w:i/>
              </w:rPr>
            </w:pPr>
            <w:r>
              <w:rPr>
                <w:i/>
              </w:rPr>
              <w:t>Health effects tha</w:t>
            </w:r>
            <w:r w:rsidR="000228D3">
              <w:rPr>
                <w:i/>
              </w:rPr>
              <w:t>t have been associated with each of these pollutants</w:t>
            </w:r>
            <w:r w:rsidR="003F1C2C">
              <w:rPr>
                <w:i/>
              </w:rPr>
              <w:t xml:space="preserve"> are summarized below</w:t>
            </w:r>
            <w:r w:rsidR="006A0774">
              <w:rPr>
                <w:i/>
              </w:rPr>
              <w:t xml:space="preserve">. </w:t>
            </w:r>
            <w:r w:rsidR="003F1C2C">
              <w:rPr>
                <w:i/>
              </w:rPr>
              <w:t>Th</w:t>
            </w:r>
            <w:r w:rsidR="00630AF1">
              <w:rPr>
                <w:i/>
              </w:rPr>
              <w:t>is information is drawn from EPA’s crite</w:t>
            </w:r>
            <w:r w:rsidR="000F3F83">
              <w:rPr>
                <w:i/>
              </w:rPr>
              <w:t>ria documents as well as more recent studies.</w:t>
            </w:r>
          </w:p>
          <w:p w:rsidR="000F3F83" w:rsidRDefault="000F3F83" w:rsidP="00775870">
            <w:pPr>
              <w:pStyle w:val="ListParagraph"/>
              <w:numPr>
                <w:ilvl w:val="0"/>
                <w:numId w:val="45"/>
              </w:numPr>
              <w:spacing w:after="120"/>
              <w:rPr>
                <w:i/>
              </w:rPr>
            </w:pPr>
            <w:r>
              <w:rPr>
                <w:i/>
              </w:rPr>
              <w:t>Gro</w:t>
            </w:r>
            <w:r w:rsidR="00E04EAD">
              <w:rPr>
                <w:i/>
              </w:rPr>
              <w:t>und-level ozone – Short-term (also known as “acute”) exposure to ground-level ozone can cause a variety of respiratory health effects, including inflammation of the lung, reduced lung function, and respiratory symptoms such as cough, chest pain, and shortness of breath. It also can decrease the capacity to perform exercise. Exposure to ambient concentrations of ozone also has been associated with the exacerbation of asthma, bronchitis, and respiratory effects serious enough to require emergency room visits and hospital admissions. Some evidence suggests that high ozone concentrations may contribute to increased mortality.</w:t>
            </w:r>
          </w:p>
          <w:p w:rsidR="009534B5" w:rsidRDefault="00E04EAD" w:rsidP="00775870">
            <w:pPr>
              <w:tabs>
                <w:tab w:val="left" w:pos="3719"/>
              </w:tabs>
              <w:spacing w:after="120"/>
              <w:ind w:left="720"/>
              <w:rPr>
                <w:i/>
                <w:highlight w:val="yellow"/>
              </w:rPr>
            </w:pPr>
            <w:r>
              <w:rPr>
                <w:i/>
              </w:rPr>
              <w:t xml:space="preserve">Health effects associated with long-term (also known as “chronic”) exposure to ozone are not well established and documented as health effects associated with short-term exposure, but long-term exposures also are of concern. In 1996, EPA’s criteria document for ozone concluded that there was insufficient evidence to determine whether health effects resulted directly from long-term exposure, along with other environmental factors, could be responsible for health effects. Since 1996, a few studies suggest that long-term exposure to ozone is associated with decreases in lung function in humans, increased prevalence of asthma, increased development of asthma </w:t>
            </w:r>
            <w:r>
              <w:rPr>
                <w:i/>
              </w:rPr>
              <w:lastRenderedPageBreak/>
              <w:t>in children who exercise outdoors, and exacerbation of existing asthma.</w:t>
            </w:r>
            <w:r w:rsidR="009534B5" w:rsidRPr="0073332B">
              <w:rPr>
                <w:i/>
                <w:highlight w:val="yellow"/>
              </w:rPr>
              <w:t xml:space="preserve"> </w:t>
            </w:r>
          </w:p>
          <w:p w:rsidR="00E04EAD" w:rsidRDefault="009534B5" w:rsidP="00775870">
            <w:pPr>
              <w:tabs>
                <w:tab w:val="left" w:pos="3719"/>
              </w:tabs>
              <w:spacing w:after="120"/>
              <w:ind w:left="720"/>
              <w:rPr>
                <w:i/>
              </w:rPr>
            </w:pPr>
            <w:r w:rsidRPr="00430236">
              <w:rPr>
                <w:i/>
              </w:rPr>
              <w:t>Ozone trends in Eugene, Portland, Salem, Hermiston and Bend have decreased over time since a peak in 2004 but have increased in Medford. The</w:t>
            </w:r>
            <w:r>
              <w:rPr>
                <w:i/>
              </w:rPr>
              <w:t xml:space="preserve"> standard is 0.075 parts per million and the monitored values range from approximately 0.058 to 0.0</w:t>
            </w:r>
            <w:r w:rsidR="00430236">
              <w:rPr>
                <w:i/>
              </w:rPr>
              <w:t>63 ppm.</w:t>
            </w:r>
          </w:p>
          <w:p w:rsidR="00BB72CC" w:rsidRDefault="00BA0403" w:rsidP="00775870">
            <w:pPr>
              <w:pStyle w:val="ListParagraph"/>
              <w:numPr>
                <w:ilvl w:val="0"/>
                <w:numId w:val="45"/>
              </w:numPr>
              <w:tabs>
                <w:tab w:val="left" w:pos="3719"/>
              </w:tabs>
              <w:spacing w:after="120"/>
              <w:rPr>
                <w:i/>
              </w:rPr>
            </w:pPr>
            <w:r w:rsidRPr="00775870">
              <w:rPr>
                <w:i/>
              </w:rPr>
              <w:t>Particulate matter in the air (often called PM</w:t>
            </w:r>
            <w:r w:rsidRPr="00775870">
              <w:rPr>
                <w:i/>
                <w:vertAlign w:val="subscript"/>
              </w:rPr>
              <w:t>10</w:t>
            </w:r>
            <w:r w:rsidRPr="00775870">
              <w:rPr>
                <w:i/>
              </w:rPr>
              <w:t xml:space="preserve"> or PM</w:t>
            </w:r>
            <w:r w:rsidRPr="00775870">
              <w:rPr>
                <w:i/>
                <w:vertAlign w:val="subscript"/>
              </w:rPr>
              <w:t>2.5</w:t>
            </w:r>
            <w:r w:rsidRPr="00775870">
              <w:rPr>
                <w:i/>
              </w:rPr>
              <w:t>) has been found to cause increased risk of mortality (death), hospital admissions and emergency room visits for heart and lung diseases, respiratory effects, and decreases in lung function</w:t>
            </w:r>
            <w:r w:rsidR="006A0774">
              <w:rPr>
                <w:i/>
              </w:rPr>
              <w:t xml:space="preserve">. </w:t>
            </w:r>
            <w:r w:rsidRPr="00775870">
              <w:rPr>
                <w:i/>
              </w:rPr>
              <w:t>Such health effects have been associated with both short-term and long-term exposure to particulate matter</w:t>
            </w:r>
            <w:r w:rsidR="006A0774">
              <w:rPr>
                <w:i/>
              </w:rPr>
              <w:t xml:space="preserve">. </w:t>
            </w:r>
            <w:r w:rsidRPr="00775870">
              <w:rPr>
                <w:i/>
              </w:rPr>
              <w:t>Children and adults with asthma are considered to be among the groups most sensitive to respiratory effects. Studies published since the release of EPA’s criteria document for particulate matter have found further evidence of an association between particulate matter and increased respiratory disease and symptoms in children with asthma and increased hospitalizations or emergency room visits for persons with asthma</w:t>
            </w:r>
            <w:r w:rsidR="006A0774">
              <w:rPr>
                <w:i/>
              </w:rPr>
              <w:t xml:space="preserve">. </w:t>
            </w:r>
            <w:r w:rsidRPr="00775870">
              <w:rPr>
                <w:i/>
              </w:rPr>
              <w:t>Studies also have that chromic exposure to particulate is associated with morality in adults and suggest that it may be associated with mortality in infants</w:t>
            </w:r>
            <w:r w:rsidR="006A0774">
              <w:rPr>
                <w:i/>
              </w:rPr>
              <w:t xml:space="preserve">. </w:t>
            </w:r>
            <w:r w:rsidRPr="00775870">
              <w:rPr>
                <w:i/>
              </w:rPr>
              <w:t>Also, recent studies suggest that chronic exposure to par</w:t>
            </w:r>
            <w:r w:rsidR="00DF0ECC" w:rsidRPr="00775870">
              <w:rPr>
                <w:i/>
              </w:rPr>
              <w:t>ticulate matter may affect lung</w:t>
            </w:r>
            <w:r w:rsidRPr="00775870">
              <w:rPr>
                <w:i/>
              </w:rPr>
              <w:t xml:space="preserve"> function and growth</w:t>
            </w:r>
            <w:r w:rsidR="006A0774">
              <w:rPr>
                <w:i/>
              </w:rPr>
              <w:t xml:space="preserve">. </w:t>
            </w:r>
            <w:r w:rsidRPr="00775870">
              <w:rPr>
                <w:i/>
              </w:rPr>
              <w:t xml:space="preserve">Prior to </w:t>
            </w:r>
            <w:r w:rsidR="00DF0ECC" w:rsidRPr="00775870">
              <w:rPr>
                <w:i/>
              </w:rPr>
              <w:t>1997, the National Ambient Air Q</w:t>
            </w:r>
            <w:r w:rsidRPr="00775870">
              <w:rPr>
                <w:i/>
              </w:rPr>
              <w:t>uality Standard for particulate matter was based on particulate matter measuring 10 microns or less (PM</w:t>
            </w:r>
            <w:r w:rsidRPr="00775870">
              <w:rPr>
                <w:i/>
                <w:vertAlign w:val="subscript"/>
              </w:rPr>
              <w:t>10</w:t>
            </w:r>
            <w:r w:rsidRPr="00775870">
              <w:rPr>
                <w:i/>
              </w:rPr>
              <w:t>). In 1997, the standard was revised to address the health risks from particulate matter measuring 2.5 microns or less (PM</w:t>
            </w:r>
            <w:r w:rsidRPr="00775870">
              <w:rPr>
                <w:i/>
                <w:vertAlign w:val="subscript"/>
              </w:rPr>
              <w:t>2.5</w:t>
            </w:r>
            <w:r w:rsidRPr="00775870">
              <w:rPr>
                <w:i/>
              </w:rPr>
              <w:t>).</w:t>
            </w:r>
            <w:r w:rsidR="00BB72CC">
              <w:rPr>
                <w:i/>
              </w:rPr>
              <w:t xml:space="preserve"> </w:t>
            </w:r>
          </w:p>
          <w:p w:rsidR="00BB72CC" w:rsidRDefault="00BB72CC" w:rsidP="00BB72CC">
            <w:pPr>
              <w:pStyle w:val="ListParagraph"/>
              <w:tabs>
                <w:tab w:val="left" w:pos="3719"/>
              </w:tabs>
              <w:spacing w:after="120"/>
              <w:rPr>
                <w:i/>
              </w:rPr>
            </w:pPr>
          </w:p>
          <w:p w:rsidR="00775870" w:rsidRDefault="00BB72CC" w:rsidP="00BB72CC">
            <w:pPr>
              <w:pStyle w:val="ListParagraph"/>
              <w:tabs>
                <w:tab w:val="left" w:pos="3719"/>
              </w:tabs>
              <w:spacing w:after="120"/>
              <w:rPr>
                <w:i/>
              </w:rPr>
            </w:pPr>
            <w:r>
              <w:rPr>
                <w:i/>
              </w:rPr>
              <w:t>PM</w:t>
            </w:r>
            <w:r>
              <w:rPr>
                <w:i/>
                <w:vertAlign w:val="subscript"/>
              </w:rPr>
              <w:t>2.5</w:t>
            </w:r>
            <w:r>
              <w:rPr>
                <w:i/>
              </w:rPr>
              <w:t xml:space="preserve"> trends around the state have been variable, with most locations increasing lately. Some of the increases in PM</w:t>
            </w:r>
            <w:r>
              <w:rPr>
                <w:i/>
                <w:vertAlign w:val="subscript"/>
              </w:rPr>
              <w:t>2.5</w:t>
            </w:r>
            <w:r>
              <w:rPr>
                <w:i/>
              </w:rPr>
              <w:t xml:space="preserve"> emissions seem to be due to woodstoves since the high monitored values happen during the winter at night. </w:t>
            </w:r>
            <w:r w:rsidR="00684871" w:rsidRPr="00684871">
              <w:rPr>
                <w:i/>
                <w:highlight w:val="yellow"/>
              </w:rPr>
              <w:t xml:space="preserve">Portland </w:t>
            </w:r>
            <w:r w:rsidR="00763318" w:rsidRPr="00684871">
              <w:rPr>
                <w:i/>
                <w:highlight w:val="yellow"/>
              </w:rPr>
              <w:t>42 ug/m3 in 2013!!!  Standard is 35!!!</w:t>
            </w:r>
          </w:p>
          <w:p w:rsidR="00FB53F5" w:rsidRDefault="00FB53F5" w:rsidP="00FB53F5">
            <w:pPr>
              <w:pStyle w:val="ListParagraph"/>
              <w:tabs>
                <w:tab w:val="left" w:pos="3719"/>
              </w:tabs>
              <w:spacing w:after="120"/>
              <w:rPr>
                <w:i/>
              </w:rPr>
            </w:pPr>
          </w:p>
          <w:p w:rsidR="00FB53F5" w:rsidRDefault="00BA0403" w:rsidP="00775870">
            <w:pPr>
              <w:pStyle w:val="ListParagraph"/>
              <w:numPr>
                <w:ilvl w:val="0"/>
                <w:numId w:val="45"/>
              </w:numPr>
              <w:tabs>
                <w:tab w:val="left" w:pos="3719"/>
              </w:tabs>
              <w:spacing w:after="120"/>
              <w:rPr>
                <w:i/>
              </w:rPr>
            </w:pPr>
            <w:r w:rsidRPr="00775870">
              <w:rPr>
                <w:i/>
              </w:rPr>
              <w:t xml:space="preserve">Sulfur dioxide poses particular concerns for those with asthma, who are considered to be especially susceptible to its effects. Short-term exposures of asthmatic individuals to elevated levels of sulfur dioxide while exercising at a moderate level </w:t>
            </w:r>
            <w:r w:rsidR="0096629F" w:rsidRPr="00775870">
              <w:rPr>
                <w:i/>
              </w:rPr>
              <w:t>may result in breathing difficulties accompanied by symptoms such as wheezing, chest tightness, or shortness of breath. Effects that have been associated with longer-term exposures to high concentrations of sulfur dioxide, in conjunction with high levels of particulate matter include respiratory illness, alterations in the lung’s defenses, and aggravation of existing cardiovascular diseases.</w:t>
            </w:r>
            <w:r w:rsidR="00FB53F5">
              <w:rPr>
                <w:i/>
              </w:rPr>
              <w:t xml:space="preserve"> </w:t>
            </w:r>
          </w:p>
          <w:p w:rsidR="00FB53F5" w:rsidRDefault="00FB53F5" w:rsidP="00FB53F5">
            <w:pPr>
              <w:pStyle w:val="ListParagraph"/>
              <w:tabs>
                <w:tab w:val="left" w:pos="3719"/>
              </w:tabs>
              <w:spacing w:after="120"/>
              <w:rPr>
                <w:i/>
              </w:rPr>
            </w:pPr>
          </w:p>
          <w:p w:rsidR="00BA0403" w:rsidRDefault="00FB53F5" w:rsidP="00FB53F5">
            <w:pPr>
              <w:pStyle w:val="ListParagraph"/>
              <w:tabs>
                <w:tab w:val="left" w:pos="3719"/>
              </w:tabs>
              <w:spacing w:after="120"/>
              <w:rPr>
                <w:i/>
              </w:rPr>
            </w:pPr>
            <w:r>
              <w:rPr>
                <w:i/>
              </w:rPr>
              <w:t xml:space="preserve">Hourly </w:t>
            </w:r>
            <w:r w:rsidR="001817DE">
              <w:rPr>
                <w:i/>
              </w:rPr>
              <w:t>sulfur dioxide</w:t>
            </w:r>
            <w:r>
              <w:rPr>
                <w:i/>
              </w:rPr>
              <w:t xml:space="preserve"> trends, monitored in Portland, have decreased since 2006 and are around 10 parts per billion compared to the 75 ppb</w:t>
            </w:r>
            <w:r w:rsidR="00122357">
              <w:rPr>
                <w:i/>
              </w:rPr>
              <w:t xml:space="preserve"> standard.</w:t>
            </w:r>
          </w:p>
          <w:p w:rsidR="00FB53F5" w:rsidRPr="00775870" w:rsidRDefault="00FB53F5" w:rsidP="00FB53F5">
            <w:pPr>
              <w:pStyle w:val="ListParagraph"/>
              <w:tabs>
                <w:tab w:val="left" w:pos="3719"/>
              </w:tabs>
              <w:spacing w:after="120"/>
              <w:rPr>
                <w:i/>
              </w:rPr>
            </w:pPr>
          </w:p>
          <w:p w:rsidR="00FB53F5" w:rsidRDefault="005B6FBE" w:rsidP="00775870">
            <w:pPr>
              <w:pStyle w:val="ListParagraph"/>
              <w:numPr>
                <w:ilvl w:val="0"/>
                <w:numId w:val="45"/>
              </w:numPr>
              <w:tabs>
                <w:tab w:val="left" w:pos="3719"/>
              </w:tabs>
              <w:spacing w:after="120"/>
              <w:rPr>
                <w:i/>
              </w:rPr>
            </w:pPr>
            <w:r>
              <w:rPr>
                <w:i/>
              </w:rPr>
              <w:t xml:space="preserve">Carbon monoxide – Exposure to carbon monoxide reduces the capacity of </w:t>
            </w:r>
            <w:r>
              <w:rPr>
                <w:i/>
              </w:rPr>
              <w:lastRenderedPageBreak/>
              <w:t>the blood to carry oxygen, thereby decreasing the supply of oxygen to tissues and organs such as the heart</w:t>
            </w:r>
            <w:r w:rsidR="006A0774">
              <w:rPr>
                <w:i/>
              </w:rPr>
              <w:t xml:space="preserve">. </w:t>
            </w:r>
            <w:r>
              <w:rPr>
                <w:i/>
              </w:rPr>
              <w:t>Short-term exposure can cause effects such as reduced time to onset of angina pain, neurobehavioral effects, and a reduction in exercise performance. Long-term exposure has not been studied adequately in humans to draw conclusions regarding possible chronic effects, though a recent study reported an association between long-term exposure to carbon monoxide and other traffic-related pollutants and respiratory symptoms in children</w:t>
            </w:r>
            <w:r w:rsidR="006A0774">
              <w:rPr>
                <w:i/>
              </w:rPr>
              <w:t xml:space="preserve">. </w:t>
            </w:r>
          </w:p>
          <w:p w:rsidR="00FB53F5" w:rsidRDefault="00FB53F5" w:rsidP="00FB53F5">
            <w:pPr>
              <w:pStyle w:val="ListParagraph"/>
              <w:tabs>
                <w:tab w:val="left" w:pos="3719"/>
              </w:tabs>
              <w:spacing w:after="120"/>
              <w:rPr>
                <w:i/>
              </w:rPr>
            </w:pPr>
          </w:p>
          <w:p w:rsidR="0096629F" w:rsidRDefault="00FB53F5" w:rsidP="00FB53F5">
            <w:pPr>
              <w:pStyle w:val="ListParagraph"/>
              <w:tabs>
                <w:tab w:val="left" w:pos="3719"/>
              </w:tabs>
              <w:spacing w:after="120"/>
              <w:rPr>
                <w:i/>
              </w:rPr>
            </w:pPr>
            <w:r w:rsidRPr="00FB53F5">
              <w:rPr>
                <w:i/>
              </w:rPr>
              <w:t xml:space="preserve">Carbon monoxide levels in the Portland area, the only location monitored in the state, are far below the </w:t>
            </w:r>
            <w:r w:rsidR="00122357">
              <w:rPr>
                <w:i/>
              </w:rPr>
              <w:t xml:space="preserve">8-hour </w:t>
            </w:r>
            <w:r w:rsidRPr="00FB53F5">
              <w:rPr>
                <w:i/>
              </w:rPr>
              <w:t xml:space="preserve">federal health standard </w:t>
            </w:r>
            <w:r w:rsidR="00122357">
              <w:rPr>
                <w:i/>
              </w:rPr>
              <w:t>of 9</w:t>
            </w:r>
            <w:r w:rsidRPr="00FB53F5">
              <w:rPr>
                <w:i/>
              </w:rPr>
              <w:t xml:space="preserve"> parts per million and have been trending down since approximately 1990 (currently less than 2 ppm).</w:t>
            </w:r>
            <w:r w:rsidR="00122357">
              <w:rPr>
                <w:i/>
              </w:rPr>
              <w:t xml:space="preserve"> </w:t>
            </w:r>
          </w:p>
          <w:p w:rsidR="00FB53F5" w:rsidRDefault="00FB53F5" w:rsidP="00FB53F5">
            <w:pPr>
              <w:pStyle w:val="ListParagraph"/>
              <w:tabs>
                <w:tab w:val="left" w:pos="3719"/>
              </w:tabs>
              <w:spacing w:after="120"/>
              <w:rPr>
                <w:i/>
              </w:rPr>
            </w:pPr>
          </w:p>
          <w:p w:rsidR="00FB53F5" w:rsidRDefault="009624FA" w:rsidP="00FB53F5">
            <w:pPr>
              <w:pStyle w:val="ListParagraph"/>
              <w:numPr>
                <w:ilvl w:val="0"/>
                <w:numId w:val="45"/>
              </w:numPr>
              <w:tabs>
                <w:tab w:val="left" w:pos="3719"/>
              </w:tabs>
              <w:spacing w:after="120"/>
              <w:rPr>
                <w:i/>
              </w:rPr>
            </w:pPr>
            <w:r>
              <w:rPr>
                <w:i/>
              </w:rPr>
              <w:t>Nitrogen dioxide – Exposure to nitrogen dioxide has been associated with a variety of health effects. Effects include decreased lung function, increased respiratory symptoms or illness, and increased symptoms in children with asthma</w:t>
            </w:r>
            <w:r w:rsidR="006A0774">
              <w:rPr>
                <w:i/>
              </w:rPr>
              <w:t xml:space="preserve">. </w:t>
            </w:r>
            <w:r>
              <w:rPr>
                <w:i/>
              </w:rPr>
              <w:t>Nitrogen dioxide also is a major contributor to the formation of ground-level ozone</w:t>
            </w:r>
            <w:r w:rsidR="006A0774">
              <w:rPr>
                <w:i/>
              </w:rPr>
              <w:t xml:space="preserve">. </w:t>
            </w:r>
          </w:p>
          <w:p w:rsidR="00FB53F5" w:rsidRPr="00FB53F5" w:rsidRDefault="00FB53F5" w:rsidP="00FB53F5">
            <w:pPr>
              <w:pStyle w:val="ListParagraph"/>
              <w:rPr>
                <w:i/>
              </w:rPr>
            </w:pPr>
          </w:p>
          <w:p w:rsidR="0073332B" w:rsidRPr="00FB53F5" w:rsidRDefault="00FB53F5" w:rsidP="00FB53F5">
            <w:pPr>
              <w:pStyle w:val="ListParagraph"/>
              <w:tabs>
                <w:tab w:val="left" w:pos="3719"/>
              </w:tabs>
              <w:spacing w:after="120"/>
              <w:rPr>
                <w:i/>
              </w:rPr>
            </w:pPr>
            <w:r w:rsidRPr="00FB53F5">
              <w:rPr>
                <w:i/>
              </w:rPr>
              <w:t xml:space="preserve">Hourly </w:t>
            </w:r>
            <w:r w:rsidR="0095567F">
              <w:rPr>
                <w:i/>
              </w:rPr>
              <w:t>nitrogen oxides</w:t>
            </w:r>
            <w:r w:rsidRPr="00FB53F5">
              <w:rPr>
                <w:i/>
              </w:rPr>
              <w:t xml:space="preserve"> trends, monitored in Portland, have decreased since 2008 and are around 35 parts per billion compared to the 100 ppb standard. Annual </w:t>
            </w:r>
            <w:r w:rsidR="0095567F">
              <w:rPr>
                <w:i/>
              </w:rPr>
              <w:t>nitrogen oxides</w:t>
            </w:r>
            <w:r w:rsidRPr="00FB53F5">
              <w:rPr>
                <w:i/>
              </w:rPr>
              <w:t xml:space="preserve"> trends have remained about the same since 2008 and are around 10 parts per billion compared to the 5</w:t>
            </w:r>
            <w:r w:rsidR="00122357">
              <w:rPr>
                <w:i/>
              </w:rPr>
              <w:t>3</w:t>
            </w:r>
            <w:r w:rsidRPr="00FB53F5">
              <w:rPr>
                <w:i/>
              </w:rPr>
              <w:t xml:space="preserve"> ppb standard</w:t>
            </w:r>
            <w:r w:rsidR="006A0774">
              <w:rPr>
                <w:i/>
              </w:rPr>
              <w:t xml:space="preserve">. </w:t>
            </w:r>
          </w:p>
          <w:p w:rsidR="001B06B4" w:rsidRPr="001B06B4" w:rsidRDefault="00670C85" w:rsidP="001B06B4">
            <w:pPr>
              <w:spacing w:after="120"/>
              <w:rPr>
                <w:i/>
              </w:rPr>
            </w:pPr>
            <w:r>
              <w:rPr>
                <w:i/>
              </w:rPr>
              <w:t xml:space="preserve">The Portland Air Quality </w:t>
            </w:r>
            <w:r w:rsidR="00F53131">
              <w:rPr>
                <w:i/>
              </w:rPr>
              <w:t>Maintenance Area</w:t>
            </w:r>
            <w:r w:rsidR="00646281">
              <w:rPr>
                <w:i/>
              </w:rPr>
              <w:t xml:space="preserve"> is designated as being in attainment </w:t>
            </w:r>
            <w:r w:rsidR="00A261DF">
              <w:rPr>
                <w:i/>
              </w:rPr>
              <w:t xml:space="preserve">(meeting the standards) </w:t>
            </w:r>
            <w:r w:rsidR="00646281">
              <w:rPr>
                <w:i/>
              </w:rPr>
              <w:t xml:space="preserve">for nitrogen oxides, sulfur oxides and particulate and as being in maintenance for ozone and carbon monoxide. </w:t>
            </w:r>
            <w:r w:rsidR="00FB6239">
              <w:rPr>
                <w:i/>
              </w:rPr>
              <w:t xml:space="preserve">Maintenance for ozone and carbon monoxide means that air quality in the Portland area once exceeded the </w:t>
            </w:r>
            <w:r w:rsidR="0095567F">
              <w:rPr>
                <w:i/>
              </w:rPr>
              <w:t>National Ambient Air Quality Standards</w:t>
            </w:r>
            <w:r w:rsidR="00FB6239">
              <w:rPr>
                <w:i/>
              </w:rPr>
              <w:t xml:space="preserve"> for these pollutants but now meets the standards</w:t>
            </w:r>
            <w:r w:rsidR="006A0774">
              <w:rPr>
                <w:i/>
              </w:rPr>
              <w:t xml:space="preserve">. </w:t>
            </w:r>
          </w:p>
          <w:p w:rsidR="002E7B6B" w:rsidRDefault="00A24E85" w:rsidP="00A24E85">
            <w:pPr>
              <w:spacing w:after="120"/>
              <w:rPr>
                <w:i/>
              </w:rPr>
            </w:pPr>
            <w:r>
              <w:rPr>
                <w:i/>
              </w:rPr>
              <w:t>Permit emission limits and actual emissions for</w:t>
            </w:r>
            <w:r w:rsidR="00E7473C" w:rsidRPr="00E7473C">
              <w:rPr>
                <w:i/>
              </w:rPr>
              <w:t xml:space="preserve"> </w:t>
            </w:r>
            <w:r w:rsidR="002F419F">
              <w:rPr>
                <w:i/>
              </w:rPr>
              <w:t xml:space="preserve">Precision Castparts </w:t>
            </w:r>
            <w:r>
              <w:rPr>
                <w:i/>
              </w:rPr>
              <w:t>are contained in  the following table:</w:t>
            </w:r>
          </w:p>
          <w:tbl>
            <w:tblPr>
              <w:tblStyle w:val="TableGrid"/>
              <w:tblW w:w="0" w:type="auto"/>
              <w:tblLayout w:type="fixed"/>
              <w:tblLook w:val="04A0"/>
            </w:tblPr>
            <w:tblGrid>
              <w:gridCol w:w="2720"/>
              <w:gridCol w:w="2720"/>
              <w:gridCol w:w="2720"/>
            </w:tblGrid>
            <w:tr w:rsidR="00A24E85" w:rsidRPr="0037267C" w:rsidTr="00A24E85">
              <w:tc>
                <w:tcPr>
                  <w:tcW w:w="2720" w:type="dxa"/>
                </w:tcPr>
                <w:p w:rsidR="00A24E85" w:rsidRPr="0037267C" w:rsidRDefault="00A24E85" w:rsidP="00A24E85">
                  <w:pPr>
                    <w:spacing w:after="120"/>
                    <w:jc w:val="center"/>
                    <w:rPr>
                      <w:i/>
                      <w:highlight w:val="yellow"/>
                    </w:rPr>
                  </w:pPr>
                  <w:r w:rsidRPr="0037267C">
                    <w:rPr>
                      <w:i/>
                      <w:highlight w:val="yellow"/>
                    </w:rPr>
                    <w:t>Pollutant</w:t>
                  </w:r>
                </w:p>
              </w:tc>
              <w:tc>
                <w:tcPr>
                  <w:tcW w:w="2720" w:type="dxa"/>
                </w:tcPr>
                <w:p w:rsidR="00A24E85" w:rsidRPr="0037267C" w:rsidRDefault="00A24E85" w:rsidP="00A24E85">
                  <w:pPr>
                    <w:spacing w:after="120"/>
                    <w:jc w:val="center"/>
                    <w:rPr>
                      <w:i/>
                      <w:highlight w:val="yellow"/>
                    </w:rPr>
                  </w:pPr>
                  <w:r w:rsidRPr="0037267C">
                    <w:rPr>
                      <w:i/>
                      <w:highlight w:val="yellow"/>
                    </w:rPr>
                    <w:t>Permit Limit</w:t>
                  </w:r>
                </w:p>
              </w:tc>
              <w:tc>
                <w:tcPr>
                  <w:tcW w:w="2720" w:type="dxa"/>
                </w:tcPr>
                <w:p w:rsidR="00A24E85" w:rsidRPr="0037267C" w:rsidRDefault="00A24E85" w:rsidP="00A24E85">
                  <w:pPr>
                    <w:spacing w:after="120"/>
                    <w:jc w:val="center"/>
                    <w:rPr>
                      <w:i/>
                      <w:highlight w:val="yellow"/>
                    </w:rPr>
                  </w:pPr>
                  <w:r w:rsidRPr="0037267C">
                    <w:rPr>
                      <w:i/>
                      <w:highlight w:val="yellow"/>
                    </w:rPr>
                    <w:t>Actual Emissions</w:t>
                  </w:r>
                </w:p>
              </w:tc>
            </w:tr>
            <w:tr w:rsidR="00A24E85" w:rsidRPr="0037267C" w:rsidTr="00A24E85">
              <w:tc>
                <w:tcPr>
                  <w:tcW w:w="2720" w:type="dxa"/>
                </w:tcPr>
                <w:p w:rsidR="00A24E85" w:rsidRPr="0037267C" w:rsidRDefault="00A24E85" w:rsidP="00A24E85">
                  <w:pPr>
                    <w:spacing w:after="120"/>
                    <w:rPr>
                      <w:i/>
                      <w:highlight w:val="yellow"/>
                    </w:rPr>
                  </w:pPr>
                  <w:r w:rsidRPr="0037267C">
                    <w:rPr>
                      <w:i/>
                      <w:highlight w:val="yellow"/>
                    </w:rPr>
                    <w:t>CO</w:t>
                  </w:r>
                </w:p>
              </w:tc>
              <w:tc>
                <w:tcPr>
                  <w:tcW w:w="2720" w:type="dxa"/>
                </w:tcPr>
                <w:p w:rsidR="00A24E85" w:rsidRPr="0037267C" w:rsidRDefault="00A24E85" w:rsidP="00A24E85">
                  <w:pPr>
                    <w:spacing w:after="120"/>
                    <w:rPr>
                      <w:i/>
                      <w:highlight w:val="yellow"/>
                    </w:rPr>
                  </w:pPr>
                </w:p>
              </w:tc>
              <w:tc>
                <w:tcPr>
                  <w:tcW w:w="2720" w:type="dxa"/>
                </w:tcPr>
                <w:p w:rsidR="00A24E85" w:rsidRPr="0037267C" w:rsidRDefault="00A24E85" w:rsidP="00A24E85">
                  <w:pPr>
                    <w:spacing w:after="120"/>
                    <w:rPr>
                      <w:i/>
                      <w:highlight w:val="yellow"/>
                    </w:rPr>
                  </w:pPr>
                </w:p>
              </w:tc>
            </w:tr>
            <w:tr w:rsidR="00A24E85" w:rsidRPr="0037267C" w:rsidTr="00A24E85">
              <w:tc>
                <w:tcPr>
                  <w:tcW w:w="2720" w:type="dxa"/>
                </w:tcPr>
                <w:p w:rsidR="00A24E85" w:rsidRPr="0037267C" w:rsidRDefault="0095567F" w:rsidP="00A24E85">
                  <w:pPr>
                    <w:spacing w:after="120"/>
                    <w:rPr>
                      <w:i/>
                      <w:highlight w:val="yellow"/>
                      <w:vertAlign w:val="subscript"/>
                    </w:rPr>
                  </w:pPr>
                  <w:r>
                    <w:rPr>
                      <w:i/>
                      <w:highlight w:val="yellow"/>
                    </w:rPr>
                    <w:t>nitrogen oxides</w:t>
                  </w:r>
                </w:p>
              </w:tc>
              <w:tc>
                <w:tcPr>
                  <w:tcW w:w="2720" w:type="dxa"/>
                </w:tcPr>
                <w:p w:rsidR="00A24E85" w:rsidRPr="0037267C" w:rsidRDefault="00A24E85" w:rsidP="00A24E85">
                  <w:pPr>
                    <w:spacing w:after="120"/>
                    <w:rPr>
                      <w:i/>
                      <w:highlight w:val="yellow"/>
                    </w:rPr>
                  </w:pPr>
                </w:p>
              </w:tc>
              <w:tc>
                <w:tcPr>
                  <w:tcW w:w="2720" w:type="dxa"/>
                </w:tcPr>
                <w:p w:rsidR="00A24E85" w:rsidRPr="0037267C" w:rsidRDefault="00A24E85" w:rsidP="00A24E85">
                  <w:pPr>
                    <w:spacing w:after="120"/>
                    <w:rPr>
                      <w:i/>
                      <w:highlight w:val="yellow"/>
                    </w:rPr>
                  </w:pPr>
                </w:p>
              </w:tc>
            </w:tr>
            <w:tr w:rsidR="00A24E85" w:rsidRPr="0037267C" w:rsidTr="00A24E85">
              <w:tc>
                <w:tcPr>
                  <w:tcW w:w="2720" w:type="dxa"/>
                </w:tcPr>
                <w:p w:rsidR="00A24E85" w:rsidRPr="0037267C" w:rsidRDefault="00A24E85" w:rsidP="00A24E85">
                  <w:pPr>
                    <w:spacing w:after="120"/>
                    <w:rPr>
                      <w:i/>
                      <w:highlight w:val="yellow"/>
                      <w:vertAlign w:val="subscript"/>
                    </w:rPr>
                  </w:pPr>
                  <w:r w:rsidRPr="0037267C">
                    <w:rPr>
                      <w:i/>
                      <w:highlight w:val="yellow"/>
                    </w:rPr>
                    <w:t>PM</w:t>
                  </w:r>
                  <w:r w:rsidRPr="0037267C">
                    <w:rPr>
                      <w:i/>
                      <w:highlight w:val="yellow"/>
                      <w:vertAlign w:val="subscript"/>
                    </w:rPr>
                    <w:t>2.5</w:t>
                  </w:r>
                  <w:r w:rsidRPr="0037267C">
                    <w:rPr>
                      <w:i/>
                      <w:highlight w:val="yellow"/>
                    </w:rPr>
                    <w:t>/PM</w:t>
                  </w:r>
                  <w:r w:rsidRPr="0037267C">
                    <w:rPr>
                      <w:i/>
                      <w:highlight w:val="yellow"/>
                      <w:vertAlign w:val="subscript"/>
                    </w:rPr>
                    <w:t>10</w:t>
                  </w:r>
                </w:p>
              </w:tc>
              <w:tc>
                <w:tcPr>
                  <w:tcW w:w="2720" w:type="dxa"/>
                </w:tcPr>
                <w:p w:rsidR="00A24E85" w:rsidRPr="0037267C" w:rsidRDefault="00A24E85" w:rsidP="00A24E85">
                  <w:pPr>
                    <w:spacing w:after="120"/>
                    <w:rPr>
                      <w:i/>
                      <w:highlight w:val="yellow"/>
                    </w:rPr>
                  </w:pPr>
                </w:p>
              </w:tc>
              <w:tc>
                <w:tcPr>
                  <w:tcW w:w="2720" w:type="dxa"/>
                </w:tcPr>
                <w:p w:rsidR="00A24E85" w:rsidRPr="0037267C" w:rsidRDefault="00A24E85" w:rsidP="00A24E85">
                  <w:pPr>
                    <w:spacing w:after="120"/>
                    <w:rPr>
                      <w:i/>
                      <w:highlight w:val="yellow"/>
                    </w:rPr>
                  </w:pPr>
                </w:p>
              </w:tc>
            </w:tr>
            <w:tr w:rsidR="00A24E85" w:rsidRPr="0037267C" w:rsidTr="00A24E85">
              <w:tc>
                <w:tcPr>
                  <w:tcW w:w="2720" w:type="dxa"/>
                </w:tcPr>
                <w:p w:rsidR="00A24E85" w:rsidRPr="0037267C" w:rsidRDefault="001817DE" w:rsidP="00A24E85">
                  <w:pPr>
                    <w:spacing w:after="120"/>
                    <w:rPr>
                      <w:i/>
                      <w:highlight w:val="yellow"/>
                      <w:vertAlign w:val="subscript"/>
                    </w:rPr>
                  </w:pPr>
                  <w:r>
                    <w:rPr>
                      <w:i/>
                      <w:highlight w:val="yellow"/>
                    </w:rPr>
                    <w:t>sulfur dioxide</w:t>
                  </w:r>
                </w:p>
              </w:tc>
              <w:tc>
                <w:tcPr>
                  <w:tcW w:w="2720" w:type="dxa"/>
                </w:tcPr>
                <w:p w:rsidR="00A24E85" w:rsidRPr="0037267C" w:rsidRDefault="00A24E85" w:rsidP="00A24E85">
                  <w:pPr>
                    <w:spacing w:after="120"/>
                    <w:rPr>
                      <w:i/>
                      <w:highlight w:val="yellow"/>
                    </w:rPr>
                  </w:pPr>
                </w:p>
              </w:tc>
              <w:tc>
                <w:tcPr>
                  <w:tcW w:w="2720" w:type="dxa"/>
                </w:tcPr>
                <w:p w:rsidR="00A24E85" w:rsidRPr="0037267C" w:rsidRDefault="00A24E85" w:rsidP="00A24E85">
                  <w:pPr>
                    <w:spacing w:after="120"/>
                    <w:rPr>
                      <w:i/>
                      <w:highlight w:val="yellow"/>
                    </w:rPr>
                  </w:pPr>
                </w:p>
              </w:tc>
            </w:tr>
            <w:tr w:rsidR="00A24E85" w:rsidRPr="0037267C" w:rsidTr="00A24E85">
              <w:tc>
                <w:tcPr>
                  <w:tcW w:w="2720" w:type="dxa"/>
                </w:tcPr>
                <w:p w:rsidR="00A24E85" w:rsidRPr="0037267C" w:rsidRDefault="001817DE" w:rsidP="00A24E85">
                  <w:pPr>
                    <w:spacing w:after="120"/>
                    <w:rPr>
                      <w:i/>
                      <w:highlight w:val="yellow"/>
                    </w:rPr>
                  </w:pPr>
                  <w:r>
                    <w:rPr>
                      <w:i/>
                      <w:highlight w:val="yellow"/>
                    </w:rPr>
                    <w:t>volatile organic compounds</w:t>
                  </w:r>
                </w:p>
              </w:tc>
              <w:tc>
                <w:tcPr>
                  <w:tcW w:w="2720" w:type="dxa"/>
                </w:tcPr>
                <w:p w:rsidR="00A24E85" w:rsidRPr="0037267C" w:rsidRDefault="00A24E85" w:rsidP="00A24E85">
                  <w:pPr>
                    <w:spacing w:after="120"/>
                    <w:rPr>
                      <w:i/>
                      <w:highlight w:val="yellow"/>
                    </w:rPr>
                  </w:pPr>
                </w:p>
              </w:tc>
              <w:tc>
                <w:tcPr>
                  <w:tcW w:w="2720" w:type="dxa"/>
                </w:tcPr>
                <w:p w:rsidR="00A24E85" w:rsidRPr="0037267C" w:rsidRDefault="00A24E85" w:rsidP="00A24E85">
                  <w:pPr>
                    <w:spacing w:after="120"/>
                    <w:rPr>
                      <w:i/>
                      <w:highlight w:val="yellow"/>
                    </w:rPr>
                  </w:pPr>
                </w:p>
              </w:tc>
            </w:tr>
            <w:tr w:rsidR="00A24E85" w:rsidTr="00A24E85">
              <w:tc>
                <w:tcPr>
                  <w:tcW w:w="2720" w:type="dxa"/>
                </w:tcPr>
                <w:p w:rsidR="00A24E85" w:rsidRDefault="0095567F" w:rsidP="00A24E85">
                  <w:pPr>
                    <w:spacing w:after="120"/>
                    <w:rPr>
                      <w:i/>
                    </w:rPr>
                  </w:pPr>
                  <w:r>
                    <w:rPr>
                      <w:i/>
                      <w:highlight w:val="yellow"/>
                    </w:rPr>
                    <w:t>greenhouse gases</w:t>
                  </w:r>
                </w:p>
              </w:tc>
              <w:tc>
                <w:tcPr>
                  <w:tcW w:w="2720" w:type="dxa"/>
                </w:tcPr>
                <w:p w:rsidR="00A24E85" w:rsidRDefault="00A24E85" w:rsidP="00A24E85">
                  <w:pPr>
                    <w:spacing w:after="120"/>
                    <w:rPr>
                      <w:i/>
                    </w:rPr>
                  </w:pPr>
                </w:p>
              </w:tc>
              <w:tc>
                <w:tcPr>
                  <w:tcW w:w="2720" w:type="dxa"/>
                </w:tcPr>
                <w:p w:rsidR="00A24E85" w:rsidRDefault="00A24E85" w:rsidP="00A24E85">
                  <w:pPr>
                    <w:spacing w:after="120"/>
                    <w:rPr>
                      <w:i/>
                    </w:rPr>
                  </w:pPr>
                </w:p>
              </w:tc>
            </w:tr>
            <w:tr w:rsidR="009D64EB" w:rsidTr="00A24E85">
              <w:tc>
                <w:tcPr>
                  <w:tcW w:w="2720" w:type="dxa"/>
                </w:tcPr>
                <w:p w:rsidR="009D64EB" w:rsidRPr="0037267C" w:rsidRDefault="009D64EB" w:rsidP="00A24E85">
                  <w:pPr>
                    <w:spacing w:after="120"/>
                    <w:rPr>
                      <w:i/>
                      <w:highlight w:val="yellow"/>
                    </w:rPr>
                  </w:pPr>
                  <w:r>
                    <w:rPr>
                      <w:i/>
                      <w:highlight w:val="yellow"/>
                    </w:rPr>
                    <w:t>Hazardous Air Pollutants</w:t>
                  </w:r>
                </w:p>
              </w:tc>
              <w:tc>
                <w:tcPr>
                  <w:tcW w:w="2720" w:type="dxa"/>
                </w:tcPr>
                <w:p w:rsidR="009D64EB" w:rsidRDefault="009D64EB" w:rsidP="00A24E85">
                  <w:pPr>
                    <w:spacing w:after="120"/>
                    <w:rPr>
                      <w:i/>
                    </w:rPr>
                  </w:pPr>
                </w:p>
              </w:tc>
              <w:tc>
                <w:tcPr>
                  <w:tcW w:w="2720" w:type="dxa"/>
                </w:tcPr>
                <w:p w:rsidR="009D64EB" w:rsidRDefault="009D64EB" w:rsidP="00A24E85">
                  <w:pPr>
                    <w:spacing w:after="120"/>
                    <w:rPr>
                      <w:i/>
                    </w:rPr>
                  </w:pPr>
                </w:p>
              </w:tc>
            </w:tr>
          </w:tbl>
          <w:p w:rsidR="00A24E85" w:rsidRDefault="00A24E85" w:rsidP="00A24E85">
            <w:pPr>
              <w:spacing w:after="120"/>
              <w:rPr>
                <w:i/>
              </w:rPr>
            </w:pPr>
          </w:p>
          <w:p w:rsidR="00A24E85" w:rsidRDefault="009D64EB" w:rsidP="00A24E85">
            <w:pPr>
              <w:spacing w:after="120"/>
              <w:rPr>
                <w:i/>
              </w:rPr>
            </w:pPr>
            <w:r>
              <w:rPr>
                <w:i/>
              </w:rPr>
              <w:t>Precision Castparts is a fairly small source of pollutants comparatively speaking</w:t>
            </w:r>
            <w:r w:rsidR="006A0774">
              <w:rPr>
                <w:i/>
              </w:rPr>
              <w:t xml:space="preserve">. </w:t>
            </w:r>
            <w:r w:rsidR="00DA62B7">
              <w:rPr>
                <w:i/>
              </w:rPr>
              <w:t>HAPS?  Process?  Constant?  Spikes? Other sources in the area?  Close by monitors?</w:t>
            </w:r>
          </w:p>
          <w:p w:rsidR="00A24E85" w:rsidRPr="008146F8" w:rsidRDefault="00A24E85" w:rsidP="00A24E85">
            <w:pPr>
              <w:spacing w:after="120"/>
              <w:rPr>
                <w:i/>
              </w:rPr>
            </w:pPr>
          </w:p>
        </w:tc>
      </w:tr>
      <w:tr w:rsidR="007B4D8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7B4D85" w:rsidRPr="00EB3D0B" w:rsidRDefault="007B4D85" w:rsidP="00A62014">
            <w:pPr>
              <w:ind w:right="-115"/>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7B4D85" w:rsidRPr="00013B00" w:rsidRDefault="007B4D85" w:rsidP="003D3800">
            <w:pPr>
              <w:spacing w:after="120"/>
            </w:pPr>
            <w:r w:rsidRPr="00013B00">
              <w:t>There is so much in the air that we breathe that singly could be considered non toxic or even benign when considered individually. Many of these chemicals combine in the atmosphere to actually create a very hazardous "stew</w:t>
            </w:r>
            <w:r w:rsidR="0024424F" w:rsidRPr="00013B00">
              <w:t>.</w:t>
            </w:r>
            <w:r w:rsidRPr="00013B00">
              <w:t xml:space="preserve">" </w:t>
            </w:r>
            <w:r w:rsidR="00EB7114">
              <w:t xml:space="preserve">DEQ should </w:t>
            </w:r>
            <w:r w:rsidRPr="00013B00">
              <w:t xml:space="preserve">consider the cumulative effects of concentrations in neighborhoods and the "spike phenomenon" where total releases remain within limits, but concentrated bursts create poor air quality. </w:t>
            </w:r>
            <w:r w:rsidR="0024424F" w:rsidRPr="00013B00">
              <w:t xml:space="preserve">Some airsheds are already overloaded. </w:t>
            </w:r>
            <w:r w:rsidR="00D67F2C">
              <w:t>(8)</w:t>
            </w:r>
          </w:p>
          <w:p w:rsidR="00D326E3" w:rsidRPr="00013B00" w:rsidRDefault="00D326E3" w:rsidP="003D3800">
            <w:pPr>
              <w:spacing w:after="120"/>
              <w:rPr>
                <w:i/>
              </w:rPr>
            </w:pPr>
            <w:r w:rsidRPr="00013B00">
              <w:rPr>
                <w:i/>
              </w:rPr>
              <w:t>Response:</w:t>
            </w:r>
          </w:p>
          <w:p w:rsidR="009661B5" w:rsidRPr="003D3800" w:rsidRDefault="002C70EA" w:rsidP="003D3800">
            <w:pPr>
              <w:pStyle w:val="PlainText"/>
              <w:spacing w:after="120"/>
              <w:rPr>
                <w:rFonts w:ascii="Times New Roman" w:hAnsi="Times New Roman"/>
                <w:i/>
                <w:sz w:val="24"/>
                <w:szCs w:val="24"/>
              </w:rPr>
            </w:pPr>
            <w:r w:rsidRPr="009661B5">
              <w:rPr>
                <w:rFonts w:ascii="Times New Roman" w:hAnsi="Times New Roman"/>
                <w:i/>
                <w:sz w:val="24"/>
                <w:szCs w:val="24"/>
              </w:rPr>
              <w:t>The primary focus of DEQ’s Air Quality program in the past was addressed at regulating the criteria air pollutants ozone, carbon monoxide, oxides of nitrogen, sulfur dioxide, particulate matter and lead from automobile exhaust.</w:t>
            </w:r>
            <w:r w:rsidRPr="002C70EA">
              <w:rPr>
                <w:i/>
              </w:rPr>
              <w:t xml:space="preserve"> </w:t>
            </w:r>
            <w:r w:rsidR="009661B5" w:rsidRPr="00013B00">
              <w:rPr>
                <w:rFonts w:ascii="Times New Roman" w:hAnsi="Times New Roman"/>
                <w:i/>
                <w:sz w:val="24"/>
                <w:szCs w:val="24"/>
              </w:rPr>
              <w:t xml:space="preserve">Cumulative effects of </w:t>
            </w:r>
            <w:r w:rsidR="009661B5">
              <w:rPr>
                <w:rFonts w:ascii="Times New Roman" w:hAnsi="Times New Roman"/>
                <w:i/>
                <w:sz w:val="24"/>
                <w:szCs w:val="24"/>
              </w:rPr>
              <w:t xml:space="preserve">criteria </w:t>
            </w:r>
            <w:r w:rsidR="009661B5" w:rsidRPr="00013B00">
              <w:rPr>
                <w:rFonts w:ascii="Times New Roman" w:hAnsi="Times New Roman"/>
                <w:i/>
                <w:sz w:val="24"/>
                <w:szCs w:val="24"/>
              </w:rPr>
              <w:t>pollutants from all sources in an area are taken into account when ambient monitoring is done in an area and t</w:t>
            </w:r>
            <w:r w:rsidR="009661B5">
              <w:rPr>
                <w:rFonts w:ascii="Times New Roman" w:hAnsi="Times New Roman"/>
                <w:i/>
                <w:sz w:val="24"/>
                <w:szCs w:val="24"/>
              </w:rPr>
              <w:t xml:space="preserve">he results compared to the </w:t>
            </w:r>
            <w:r w:rsidR="009661B5" w:rsidRPr="00013B00">
              <w:rPr>
                <w:rFonts w:ascii="Times New Roman" w:hAnsi="Times New Roman"/>
                <w:i/>
                <w:sz w:val="24"/>
                <w:szCs w:val="24"/>
              </w:rPr>
              <w:t>N</w:t>
            </w:r>
            <w:r w:rsidR="009661B5">
              <w:rPr>
                <w:rFonts w:ascii="Times New Roman" w:hAnsi="Times New Roman"/>
                <w:i/>
                <w:sz w:val="24"/>
                <w:szCs w:val="24"/>
              </w:rPr>
              <w:t xml:space="preserve">ational </w:t>
            </w:r>
            <w:r w:rsidR="009661B5" w:rsidRPr="00013B00">
              <w:rPr>
                <w:rFonts w:ascii="Times New Roman" w:hAnsi="Times New Roman"/>
                <w:i/>
                <w:sz w:val="24"/>
                <w:szCs w:val="24"/>
              </w:rPr>
              <w:t>A</w:t>
            </w:r>
            <w:r w:rsidR="009661B5">
              <w:rPr>
                <w:rFonts w:ascii="Times New Roman" w:hAnsi="Times New Roman"/>
                <w:i/>
                <w:sz w:val="24"/>
                <w:szCs w:val="24"/>
              </w:rPr>
              <w:t xml:space="preserve">mbient </w:t>
            </w:r>
            <w:r w:rsidR="009661B5" w:rsidRPr="00013B00">
              <w:rPr>
                <w:rFonts w:ascii="Times New Roman" w:hAnsi="Times New Roman"/>
                <w:i/>
                <w:sz w:val="24"/>
                <w:szCs w:val="24"/>
              </w:rPr>
              <w:t>A</w:t>
            </w:r>
            <w:r w:rsidR="009661B5">
              <w:rPr>
                <w:rFonts w:ascii="Times New Roman" w:hAnsi="Times New Roman"/>
                <w:i/>
                <w:sz w:val="24"/>
                <w:szCs w:val="24"/>
              </w:rPr>
              <w:t xml:space="preserve">ir </w:t>
            </w:r>
            <w:r w:rsidR="009661B5" w:rsidRPr="00013B00">
              <w:rPr>
                <w:rFonts w:ascii="Times New Roman" w:hAnsi="Times New Roman"/>
                <w:i/>
                <w:sz w:val="24"/>
                <w:szCs w:val="24"/>
              </w:rPr>
              <w:t>Q</w:t>
            </w:r>
            <w:r w:rsidR="009661B5">
              <w:rPr>
                <w:rFonts w:ascii="Times New Roman" w:hAnsi="Times New Roman"/>
                <w:i/>
                <w:sz w:val="24"/>
                <w:szCs w:val="24"/>
              </w:rPr>
              <w:t xml:space="preserve">uality </w:t>
            </w:r>
            <w:r w:rsidR="009661B5" w:rsidRPr="00013B00">
              <w:rPr>
                <w:rFonts w:ascii="Times New Roman" w:hAnsi="Times New Roman"/>
                <w:i/>
                <w:sz w:val="24"/>
                <w:szCs w:val="24"/>
              </w:rPr>
              <w:t>S</w:t>
            </w:r>
            <w:r w:rsidR="009661B5">
              <w:rPr>
                <w:rFonts w:ascii="Times New Roman" w:hAnsi="Times New Roman"/>
                <w:i/>
                <w:sz w:val="24"/>
                <w:szCs w:val="24"/>
              </w:rPr>
              <w:t>tandards</w:t>
            </w:r>
            <w:r w:rsidR="009661B5" w:rsidRPr="00013B00">
              <w:rPr>
                <w:rFonts w:ascii="Times New Roman" w:hAnsi="Times New Roman"/>
                <w:i/>
                <w:sz w:val="24"/>
                <w:szCs w:val="24"/>
              </w:rPr>
              <w:t xml:space="preserve"> for criteria pollutants. Based on DEQ’s ambient monitoring network, the Portland area is meeting all ambient air quality standards, meaning that the existing air is protective of public health and welfare on both a </w:t>
            </w:r>
            <w:r w:rsidR="009661B5" w:rsidRPr="003D3800">
              <w:rPr>
                <w:rFonts w:ascii="Times New Roman" w:hAnsi="Times New Roman"/>
                <w:i/>
                <w:sz w:val="24"/>
                <w:szCs w:val="24"/>
              </w:rPr>
              <w:t xml:space="preserve">short-term and long-term basis for the criteria pollutants. </w:t>
            </w:r>
          </w:p>
          <w:p w:rsidR="003D3800" w:rsidRPr="003D3800" w:rsidRDefault="003D3800" w:rsidP="003D3800">
            <w:pPr>
              <w:pStyle w:val="PlainText"/>
              <w:spacing w:after="120"/>
              <w:rPr>
                <w:rFonts w:ascii="Times New Roman" w:hAnsi="Times New Roman"/>
                <w:i/>
                <w:sz w:val="24"/>
                <w:szCs w:val="24"/>
              </w:rPr>
            </w:pPr>
            <w:r w:rsidRPr="003D3800">
              <w:rPr>
                <w:rFonts w:ascii="Times New Roman" w:hAnsi="Times New Roman"/>
                <w:i/>
                <w:sz w:val="24"/>
                <w:szCs w:val="24"/>
              </w:rPr>
              <w:t>DEQ shares the commentator’s concern for hazardous air pollutant emissions in the Portland Metro airshed and the need to reduce these emissions. This problem is not unique to Portland, but rather affects the majority of the large industrialized cities of the country. The general need to reduce HAP emissions nationwide was the basis for the current Federal HAP program, which DEQ has adopted in its rules by reference. This program, established by the 1990 Amendments to the Clean Air Act, requires EPA to develop Maximum Achievable Control Technology Standards (MACT) to control HAP emissions from over 170 categories of major stationary sources that release 10 tons per year of a single HAP or 25 tons per year of a combination of HAPs.</w:t>
            </w:r>
          </w:p>
          <w:p w:rsidR="003D3800" w:rsidRPr="003D3800" w:rsidRDefault="003D3800" w:rsidP="003D3800">
            <w:pPr>
              <w:pStyle w:val="PlainText"/>
              <w:spacing w:after="120"/>
              <w:rPr>
                <w:rFonts w:ascii="Times New Roman" w:hAnsi="Times New Roman"/>
                <w:i/>
                <w:sz w:val="24"/>
                <w:szCs w:val="24"/>
              </w:rPr>
            </w:pPr>
            <w:r w:rsidRPr="003D3800">
              <w:rPr>
                <w:rFonts w:ascii="Times New Roman" w:hAnsi="Times New Roman"/>
                <w:i/>
                <w:sz w:val="24"/>
                <w:szCs w:val="24"/>
              </w:rPr>
              <w:t xml:space="preserve">The Clean Air Act, prior to the 1990 amendments, directed EPA to regulate toxic air pollutants based on the risks each pollutant posed to human health. EPA became involved in many legal, scientific, and policy debates over which pollutants to regulate and how stringently to regulate them. Debates focused on risk assessment methods and assumptions, the amount of health risk data needed to justify regulation, analyses of the costs to industry and benefits to human health and the environment, and decisions about "how safe is safe." the chemical-by-chemical regulatory approach an approach based solely on risk proved difficult, and from 1970 through 1989, EPA regulated only seven pollutants (asbestos, benzene, </w:t>
            </w:r>
            <w:r w:rsidRPr="003D3800">
              <w:rPr>
                <w:rFonts w:ascii="Times New Roman" w:hAnsi="Times New Roman"/>
                <w:i/>
                <w:sz w:val="24"/>
                <w:szCs w:val="24"/>
              </w:rPr>
              <w:lastRenderedPageBreak/>
              <w:t>beryllium, inorganic arsenic, mercury, radionuclides, and vinyl chloride). Collectively, these standards only cut annual air toxics emissions by an estimated 125,000 tons nationwide.</w:t>
            </w:r>
          </w:p>
          <w:p w:rsidR="003D3800" w:rsidRPr="003D3800" w:rsidRDefault="003D3800" w:rsidP="003D3800">
            <w:pPr>
              <w:pStyle w:val="PlainText"/>
              <w:spacing w:after="120"/>
              <w:rPr>
                <w:rFonts w:ascii="Times New Roman" w:hAnsi="Times New Roman"/>
                <w:i/>
                <w:sz w:val="24"/>
                <w:szCs w:val="24"/>
              </w:rPr>
            </w:pPr>
            <w:r w:rsidRPr="003D3800">
              <w:rPr>
                <w:rFonts w:ascii="Times New Roman" w:hAnsi="Times New Roman"/>
                <w:i/>
                <w:sz w:val="24"/>
                <w:szCs w:val="24"/>
              </w:rPr>
              <w:t>The present program is in two phases. The initial phase is technology based and when fully implemented, the standards will reduce air toxics emissions by about 1 million tons per year nationwide, or approximately 75% from 1990 levels. After setting a MACT standard, EPA has 8 years (9 years for the earliest standards) to examine the risk posed by continued emissions from regulated facilities and to issue requirements for additional controls if they are necessary to reduce an unacceptable residual risk.</w:t>
            </w:r>
          </w:p>
          <w:p w:rsidR="003D3800" w:rsidRPr="003D3800" w:rsidRDefault="003D3800" w:rsidP="003D3800">
            <w:pPr>
              <w:pStyle w:val="PlainText"/>
              <w:spacing w:after="120"/>
              <w:rPr>
                <w:rFonts w:ascii="Times New Roman" w:hAnsi="Times New Roman"/>
                <w:i/>
                <w:sz w:val="24"/>
                <w:szCs w:val="24"/>
              </w:rPr>
            </w:pPr>
            <w:r w:rsidRPr="003D3800">
              <w:rPr>
                <w:rFonts w:ascii="Times New Roman" w:hAnsi="Times New Roman"/>
                <w:i/>
                <w:sz w:val="24"/>
                <w:szCs w:val="24"/>
              </w:rPr>
              <w:t xml:space="preserve">As previously stated, DEQ recognizes there is additional need to address possible health impacts from HAP emissions that are not subject to the federal program. </w:t>
            </w:r>
            <w:r w:rsidR="00C91C76" w:rsidRPr="003D3800">
              <w:rPr>
                <w:rFonts w:ascii="Times New Roman" w:hAnsi="Times New Roman"/>
                <w:i/>
                <w:sz w:val="24"/>
                <w:szCs w:val="24"/>
              </w:rPr>
              <w:t xml:space="preserve">To develop </w:t>
            </w:r>
            <w:r w:rsidR="00C91C76">
              <w:rPr>
                <w:rFonts w:ascii="Times New Roman" w:hAnsi="Times New Roman"/>
                <w:i/>
                <w:sz w:val="24"/>
                <w:szCs w:val="24"/>
              </w:rPr>
              <w:t xml:space="preserve">such </w:t>
            </w:r>
            <w:r w:rsidR="00C91C76" w:rsidRPr="003D3800">
              <w:rPr>
                <w:rFonts w:ascii="Times New Roman" w:hAnsi="Times New Roman"/>
                <w:i/>
                <w:sz w:val="24"/>
                <w:szCs w:val="24"/>
              </w:rPr>
              <w:t>a hazardous air pollutant program of the magnitude necessary to address the HAP problem requires incredible resources. DEQ has never had sufficient resources to accomplish a project of this magnitude and has heavily relied on EPA for this function.</w:t>
            </w:r>
            <w:r w:rsidR="00C91C76">
              <w:rPr>
                <w:rFonts w:ascii="Times New Roman" w:hAnsi="Times New Roman"/>
                <w:i/>
                <w:sz w:val="24"/>
                <w:szCs w:val="24"/>
              </w:rPr>
              <w:t xml:space="preserve">  Because of the need to address HAP emissions not subject to the federal program, </w:t>
            </w:r>
            <w:r w:rsidRPr="00C91C76">
              <w:rPr>
                <w:rFonts w:ascii="Times New Roman" w:hAnsi="Times New Roman"/>
                <w:i/>
                <w:sz w:val="24"/>
                <w:szCs w:val="24"/>
                <w:highlight w:val="yellow"/>
              </w:rPr>
              <w:t>DEQ is developing an additional HAP rule to supplement the current HAP program. A Scientific Advisory Panel of experts will assist DEQ in its development of HAP thresholds.</w:t>
            </w:r>
            <w:r w:rsidRPr="003D3800">
              <w:rPr>
                <w:rFonts w:ascii="Times New Roman" w:hAnsi="Times New Roman"/>
                <w:i/>
                <w:sz w:val="24"/>
                <w:szCs w:val="24"/>
              </w:rPr>
              <w:t xml:space="preserve"> </w:t>
            </w:r>
          </w:p>
          <w:p w:rsidR="008C2786" w:rsidRPr="00806280" w:rsidRDefault="00D326E3" w:rsidP="003D3800">
            <w:pPr>
              <w:spacing w:after="120"/>
              <w:rPr>
                <w:i/>
              </w:rPr>
            </w:pPr>
            <w:r w:rsidRPr="00013B00">
              <w:rPr>
                <w:i/>
                <w:highlight w:val="yellow"/>
              </w:rPr>
              <w:t>For toxic air pollutants, DEQ has recently developed an Air Toxics Program as outlined in Oregon Administrative Rules 340, division 246</w:t>
            </w:r>
            <w:r w:rsidR="006A0774" w:rsidRPr="00013B00">
              <w:rPr>
                <w:i/>
                <w:highlight w:val="yellow"/>
              </w:rPr>
              <w:t xml:space="preserve">. </w:t>
            </w:r>
            <w:r w:rsidRPr="00013B00">
              <w:rPr>
                <w:i/>
                <w:highlight w:val="yellow"/>
              </w:rPr>
              <w:t>The p</w:t>
            </w:r>
            <w:r w:rsidR="00F44CF4" w:rsidRPr="00013B00">
              <w:rPr>
                <w:i/>
                <w:highlight w:val="yellow"/>
              </w:rPr>
              <w:t>u</w:t>
            </w:r>
            <w:r w:rsidRPr="00013B00">
              <w:rPr>
                <w:i/>
                <w:highlight w:val="yellow"/>
              </w:rPr>
              <w:t>rpose of this program is to addre</w:t>
            </w:r>
            <w:r w:rsidR="00F44CF4" w:rsidRPr="00013B00">
              <w:rPr>
                <w:i/>
                <w:highlight w:val="yellow"/>
              </w:rPr>
              <w:t>ss threats to public health and</w:t>
            </w:r>
            <w:r w:rsidRPr="00013B00">
              <w:rPr>
                <w:i/>
                <w:highlight w:val="yellow"/>
              </w:rPr>
              <w:t xml:space="preserve"> the environment from toxic air pollut</w:t>
            </w:r>
            <w:r w:rsidR="00F44CF4" w:rsidRPr="00013B00">
              <w:rPr>
                <w:i/>
                <w:highlight w:val="yellow"/>
              </w:rPr>
              <w:t>an</w:t>
            </w:r>
            <w:r w:rsidRPr="00013B00">
              <w:rPr>
                <w:i/>
                <w:highlight w:val="yellow"/>
              </w:rPr>
              <w:t>ts that remain after implementin</w:t>
            </w:r>
            <w:r w:rsidR="00F44CF4" w:rsidRPr="00013B00">
              <w:rPr>
                <w:i/>
                <w:highlight w:val="yellow"/>
              </w:rPr>
              <w:t>g the state delegated technology-b</w:t>
            </w:r>
            <w:r w:rsidRPr="00013B00">
              <w:rPr>
                <w:i/>
                <w:highlight w:val="yellow"/>
              </w:rPr>
              <w:t>ased strategies</w:t>
            </w:r>
            <w:r w:rsidR="00F44CF4" w:rsidRPr="00013B00">
              <w:rPr>
                <w:i/>
                <w:highlight w:val="yellow"/>
              </w:rPr>
              <w:t xml:space="preserve"> </w:t>
            </w:r>
            <w:r w:rsidRPr="00013B00">
              <w:rPr>
                <w:i/>
                <w:highlight w:val="yellow"/>
              </w:rPr>
              <w:t>of the federal air toxics program (MACT standards)</w:t>
            </w:r>
            <w:r w:rsidR="006A0774" w:rsidRPr="00013B00">
              <w:rPr>
                <w:i/>
                <w:highlight w:val="yellow"/>
              </w:rPr>
              <w:t xml:space="preserve">. </w:t>
            </w:r>
            <w:r w:rsidRPr="00013B00">
              <w:rPr>
                <w:i/>
                <w:highlight w:val="yellow"/>
              </w:rPr>
              <w:t xml:space="preserve">Oregon’s program may use several procedures to evaluate the impacts of toxic air pollutants, including a community-based effort that focuses on geographic areas of concern. The Air Toxics Program is still in its infancy but has established ambient benchmarks (not standards) for 51 toxic air pollutants. At this time no ambient monitoring has been done in the __________ area for any of these toxic air pollutants. DEQ is currently pursuing legislative funding for additional toxic monitors to gather data on toxic air pollutant concentrations at various locations in the state. DEQ will prioritize the location of these monitors and the geographic areas of concern based on criteria outlined in division 246. It is not known at this time where the _______ area will fit </w:t>
            </w:r>
            <w:r w:rsidRPr="00806280">
              <w:rPr>
                <w:i/>
                <w:highlight w:val="yellow"/>
              </w:rPr>
              <w:t>in this prioritization</w:t>
            </w:r>
            <w:r w:rsidR="006A0774" w:rsidRPr="00806280">
              <w:rPr>
                <w:i/>
                <w:highlight w:val="yellow"/>
              </w:rPr>
              <w:t xml:space="preserve">. </w:t>
            </w:r>
          </w:p>
          <w:p w:rsidR="00B001FB" w:rsidRPr="00806280" w:rsidRDefault="00B001FB" w:rsidP="003D3800">
            <w:pPr>
              <w:pStyle w:val="PlainText"/>
              <w:spacing w:after="120"/>
              <w:rPr>
                <w:rFonts w:ascii="Times New Roman" w:hAnsi="Times New Roman"/>
                <w:i/>
                <w:sz w:val="24"/>
                <w:szCs w:val="24"/>
              </w:rPr>
            </w:pPr>
            <w:commentRangeStart w:id="11"/>
            <w:r w:rsidRPr="00806280">
              <w:rPr>
                <w:rFonts w:ascii="Times New Roman" w:hAnsi="Times New Roman"/>
                <w:i/>
                <w:sz w:val="24"/>
                <w:szCs w:val="24"/>
              </w:rPr>
              <w:t xml:space="preserve">The results of EPA’s Cumulative Exposure Project show that in areas like Northwest Portland, over 50% of the exposure to HAPs are from vehicles and less than 20% is for large industrial sources (for more information about what is being done about air toxics go to EPA’s website </w:t>
            </w:r>
            <w:hyperlink r:id="rId11" w:history="1">
              <w:r w:rsidRPr="00806280">
                <w:rPr>
                  <w:rStyle w:val="Hyperlink"/>
                  <w:rFonts w:ascii="Times New Roman" w:hAnsi="Times New Roman" w:cs="Times New Roman"/>
                  <w:i/>
                  <w:sz w:val="24"/>
                  <w:szCs w:val="24"/>
                </w:rPr>
                <w:t>www.epa.gov/cumulativeexposure)</w:t>
              </w:r>
            </w:hyperlink>
            <w:r w:rsidR="006A0774" w:rsidRPr="00806280">
              <w:rPr>
                <w:rFonts w:ascii="Times New Roman" w:hAnsi="Times New Roman"/>
                <w:i/>
                <w:sz w:val="24"/>
                <w:szCs w:val="24"/>
              </w:rPr>
              <w:t xml:space="preserve">. </w:t>
            </w:r>
            <w:commentRangeEnd w:id="11"/>
            <w:r w:rsidRPr="00806280">
              <w:rPr>
                <w:rStyle w:val="CommentReference"/>
                <w:rFonts w:ascii="Times New Roman" w:eastAsia="Times New Roman" w:hAnsi="Times New Roman"/>
                <w:i/>
                <w:sz w:val="24"/>
                <w:szCs w:val="24"/>
              </w:rPr>
              <w:commentReference w:id="11"/>
            </w:r>
            <w:r w:rsidR="00860FF4" w:rsidRPr="00806280">
              <w:rPr>
                <w:rFonts w:ascii="Times New Roman" w:hAnsi="Times New Roman"/>
                <w:i/>
                <w:sz w:val="24"/>
                <w:szCs w:val="24"/>
              </w:rPr>
              <w:t>DEQ</w:t>
            </w:r>
            <w:r w:rsidRPr="00806280">
              <w:rPr>
                <w:rFonts w:ascii="Times New Roman" w:hAnsi="Times New Roman"/>
                <w:i/>
                <w:sz w:val="24"/>
                <w:szCs w:val="24"/>
              </w:rPr>
              <w:t xml:space="preserve"> currently does not have a regulatory approach to evaluate cumulative impacts from air pollution.</w:t>
            </w:r>
          </w:p>
          <w:p w:rsidR="008C2786" w:rsidRPr="00013B00" w:rsidRDefault="008C2786" w:rsidP="003D3800">
            <w:pPr>
              <w:spacing w:after="120"/>
              <w:rPr>
                <w:i/>
              </w:rPr>
            </w:pPr>
            <w:r w:rsidRPr="00013B00">
              <w:rPr>
                <w:i/>
              </w:rPr>
              <w:t xml:space="preserve">DEQ does not agree with the idea that </w:t>
            </w:r>
            <w:commentRangeStart w:id="12"/>
            <w:r w:rsidRPr="00013B00">
              <w:rPr>
                <w:i/>
              </w:rPr>
              <w:t xml:space="preserve">Intel </w:t>
            </w:r>
            <w:commentRangeEnd w:id="12"/>
            <w:r w:rsidRPr="00013B00">
              <w:rPr>
                <w:rStyle w:val="CommentReference"/>
                <w:sz w:val="24"/>
                <w:szCs w:val="24"/>
              </w:rPr>
              <w:commentReference w:id="12"/>
            </w:r>
            <w:r w:rsidRPr="00013B00">
              <w:rPr>
                <w:i/>
              </w:rPr>
              <w:t xml:space="preserve">could emit a “spike” of emissions that </w:t>
            </w:r>
            <w:r w:rsidRPr="00013B00">
              <w:rPr>
                <w:i/>
              </w:rPr>
              <w:lastRenderedPageBreak/>
              <w:t>would emit all or a significant part of the annually allows emissions in a short time. The estimates of Intel’s emissions are based on all processes operating all the time for a full year. Intel operates a number of manufacturing processes that operate as separate batches. Each batch process produces only a small part of the annually allowed emissions. Even if all of the processes were to operate simultaneously, the emissions would still not result in a significant spike compared to the annual limit.</w:t>
            </w:r>
          </w:p>
          <w:p w:rsidR="00D326E3" w:rsidRPr="00013B00" w:rsidRDefault="00553EA5" w:rsidP="003D3800">
            <w:pPr>
              <w:spacing w:after="120"/>
              <w:rPr>
                <w:i/>
              </w:rPr>
            </w:pPr>
            <w:r w:rsidRPr="00553EA5">
              <w:rPr>
                <w:i/>
              </w:rPr>
              <w:t>No change to the proposed rule amendments is proposed in response to this comment.</w:t>
            </w:r>
          </w:p>
        </w:tc>
      </w:tr>
      <w:tr w:rsidR="007B4D8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7B4D85" w:rsidRPr="00EB3D0B" w:rsidRDefault="007B4D85" w:rsidP="00A62014">
            <w:pPr>
              <w:ind w:right="-115"/>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C14C30" w:rsidRPr="00BD4B55" w:rsidRDefault="00C14C30" w:rsidP="00C14C30">
            <w:pPr>
              <w:spacing w:after="120"/>
            </w:pPr>
            <w:r w:rsidRPr="00BD4B55">
              <w:t xml:space="preserve">First, Intel should be held to the highest standards for pollution control and required to use the best achievable control abatement technology. </w:t>
            </w:r>
            <w:r w:rsidR="00A0012F">
              <w:t>I</w:t>
            </w:r>
            <w:r w:rsidR="00EB7114">
              <w:t xml:space="preserve">t is incumbent upon </w:t>
            </w:r>
            <w:r w:rsidRPr="00BD4B55">
              <w:t>DEQ to work with the legislature to require zero to</w:t>
            </w:r>
            <w:r w:rsidR="0095729E">
              <w:t xml:space="preserve">xin release from their plants. </w:t>
            </w:r>
            <w:r w:rsidRPr="00BD4B55">
              <w:t>Allowing Intel and other semiconductor plants to release toxins that we breath</w:t>
            </w:r>
            <w:r w:rsidR="00924584" w:rsidRPr="00BD4B55">
              <w:t>e</w:t>
            </w:r>
            <w:r w:rsidRPr="00BD4B55">
              <w:t xml:space="preserve"> so they can make money is unacceptable</w:t>
            </w:r>
            <w:r w:rsidR="006A0774">
              <w:t xml:space="preserve">. </w:t>
            </w:r>
            <w:r w:rsidRPr="00BD4B55">
              <w:t>Intel says they reduce their pollution by 85% or so</w:t>
            </w:r>
            <w:r w:rsidR="006A0774">
              <w:t xml:space="preserve">. </w:t>
            </w:r>
            <w:r w:rsidRPr="00BD4B55">
              <w:t>If they can do that, then just keep adding the scrubbers, charcoal filters, etc. to reduce the toxic emissions to zero</w:t>
            </w:r>
            <w:r w:rsidR="006A0774">
              <w:t xml:space="preserve">. </w:t>
            </w:r>
            <w:r w:rsidRPr="00BD4B55">
              <w:t>If required to do so they will find a way to do it. Emissions should be monitored continuously by two independent third parties funded by Intel</w:t>
            </w:r>
            <w:r w:rsidR="006A0774">
              <w:t xml:space="preserve">. </w:t>
            </w:r>
            <w:r w:rsidRPr="00C11FBF">
              <w:t>We cannot all</w:t>
            </w:r>
            <w:r w:rsidR="0010096B" w:rsidRPr="00C11FBF">
              <w:t xml:space="preserve">ow Intel to </w:t>
            </w:r>
            <w:r w:rsidR="006C0EDC" w:rsidRPr="00C11FBF">
              <w:t>self-report</w:t>
            </w:r>
            <w:r w:rsidR="0010096B" w:rsidRPr="00C11FBF">
              <w:t xml:space="preserve">. </w:t>
            </w:r>
            <w:r w:rsidRPr="00C11FBF">
              <w:t>Not</w:t>
            </w:r>
            <w:r w:rsidRPr="00BD4B55">
              <w:t xml:space="preserve"> reporting their </w:t>
            </w:r>
            <w:proofErr w:type="spellStart"/>
            <w:r w:rsidRPr="00BD4B55">
              <w:t>flouride</w:t>
            </w:r>
            <w:proofErr w:type="spellEnd"/>
            <w:r w:rsidRPr="00BD4B55">
              <w:t xml:space="preserve"> emissions for decades needs to be considered</w:t>
            </w:r>
            <w:r w:rsidR="006A0774">
              <w:t xml:space="preserve">. </w:t>
            </w:r>
            <w:r w:rsidRPr="00BD4B55">
              <w:t>A paltry $143,000 fine was a slap in our faces</w:t>
            </w:r>
            <w:r w:rsidR="006A0774">
              <w:t xml:space="preserve">. </w:t>
            </w:r>
          </w:p>
          <w:p w:rsidR="00C40437" w:rsidRDefault="00EB7114" w:rsidP="00A0012F">
            <w:pPr>
              <w:spacing w:after="120"/>
            </w:pPr>
            <w:r>
              <w:t>To</w:t>
            </w:r>
            <w:r w:rsidR="00924584" w:rsidRPr="00BD4B55">
              <w:t xml:space="preserve"> protect children’s health, it is important fo</w:t>
            </w:r>
            <w:r w:rsidR="00A0012F">
              <w:t xml:space="preserve">r Oregon DEQ to adopt rules for Intel </w:t>
            </w:r>
            <w:r w:rsidR="00924584" w:rsidRPr="00BD4B55">
              <w:t>and any other producer of semi</w:t>
            </w:r>
            <w:r w:rsidR="00A0012F">
              <w:t>conductors or related materials</w:t>
            </w:r>
            <w:r w:rsidR="00924584" w:rsidRPr="00BD4B55">
              <w:t xml:space="preserve"> to employ Best Available Control Technology for fluoride and other toxic emissions. </w:t>
            </w:r>
            <w:r>
              <w:t>S</w:t>
            </w:r>
            <w:r w:rsidR="00AC10AE" w:rsidRPr="00AC10AE">
              <w:rPr>
                <w:highlight w:val="yellow"/>
              </w:rPr>
              <w:t>ilica particulate emission</w:t>
            </w:r>
            <w:r>
              <w:rPr>
                <w:highlight w:val="yellow"/>
              </w:rPr>
              <w:t xml:space="preserve"> should be very carefully evaluated</w:t>
            </w:r>
            <w:r w:rsidR="00AC10AE" w:rsidRPr="00AC10AE">
              <w:rPr>
                <w:highlight w:val="yellow"/>
              </w:rPr>
              <w:t xml:space="preserve">, especially silica particulates that are created when </w:t>
            </w:r>
            <w:r w:rsidR="001817DE">
              <w:rPr>
                <w:highlight w:val="yellow"/>
              </w:rPr>
              <w:t>volatile organic compound</w:t>
            </w:r>
            <w:r w:rsidR="00AC10AE" w:rsidRPr="00AC10AE">
              <w:rPr>
                <w:highlight w:val="yellow"/>
              </w:rPr>
              <w:t xml:space="preserve">s produced by the organic solvent </w:t>
            </w:r>
            <w:proofErr w:type="spellStart"/>
            <w:r w:rsidR="00AC10AE" w:rsidRPr="00AC10AE">
              <w:rPr>
                <w:highlight w:val="yellow"/>
              </w:rPr>
              <w:t>hexamethyldisilazane</w:t>
            </w:r>
            <w:proofErr w:type="spellEnd"/>
            <w:r w:rsidR="00AC10AE" w:rsidRPr="00AC10AE">
              <w:rPr>
                <w:highlight w:val="yellow"/>
              </w:rPr>
              <w:t xml:space="preserve"> (HMDS) are captured in the plant's solvent exhaust ducts, and sent to the plant's </w:t>
            </w:r>
            <w:r w:rsidR="001817DE">
              <w:rPr>
                <w:highlight w:val="yellow"/>
              </w:rPr>
              <w:t>volatile organic compounds</w:t>
            </w:r>
            <w:r w:rsidR="00AC10AE" w:rsidRPr="00AC10AE">
              <w:rPr>
                <w:highlight w:val="yellow"/>
              </w:rPr>
              <w:t xml:space="preserve"> abatement systems (thermal oxidizers), which incinerate the HMDS emissions and convert them to silica.  Silica in the lungs can lead to pulmonary fibrosis. </w:t>
            </w:r>
            <w:r>
              <w:rPr>
                <w:highlight w:val="yellow"/>
              </w:rPr>
              <w:t>T</w:t>
            </w:r>
            <w:r w:rsidR="00AC10AE" w:rsidRPr="00AC10AE">
              <w:rPr>
                <w:highlight w:val="yellow"/>
              </w:rPr>
              <w:t>he use of fluorides and their related compounds</w:t>
            </w:r>
            <w:r>
              <w:rPr>
                <w:highlight w:val="yellow"/>
              </w:rPr>
              <w:t xml:space="preserve"> are equally concerning because of </w:t>
            </w:r>
            <w:proofErr w:type="gramStart"/>
            <w:r>
              <w:rPr>
                <w:highlight w:val="yellow"/>
              </w:rPr>
              <w:t xml:space="preserve">their </w:t>
            </w:r>
            <w:r w:rsidR="00AC10AE" w:rsidRPr="00AC10AE">
              <w:rPr>
                <w:highlight w:val="yellow"/>
              </w:rPr>
              <w:t xml:space="preserve"> toxic</w:t>
            </w:r>
            <w:r>
              <w:rPr>
                <w:highlight w:val="yellow"/>
              </w:rPr>
              <w:t>ity</w:t>
            </w:r>
            <w:proofErr w:type="gramEnd"/>
            <w:r w:rsidR="00AC10AE" w:rsidRPr="00AC10AE">
              <w:rPr>
                <w:highlight w:val="yellow"/>
              </w:rPr>
              <w:t>, especially combined with other chemicals, and should not be emitted all.</w:t>
            </w:r>
            <w:r w:rsidR="00AC10AE" w:rsidRPr="00AC10AE">
              <w:t xml:space="preserve">  </w:t>
            </w:r>
            <w:r w:rsidR="00924584" w:rsidRPr="00BD4B55">
              <w:t>Specifically, please retain Oregon's current regulations and i</w:t>
            </w:r>
            <w:r w:rsidR="00C14C30" w:rsidRPr="00BD4B55">
              <w:t>n addition please add to Section (66) "Federal Major Source" part (e) Source categories:  add Manufacturing - Semiconductor and related devices (SIC Code 3674</w:t>
            </w:r>
            <w:r w:rsidR="00E97654" w:rsidRPr="00E97654">
              <w:t xml:space="preserve"> so that</w:t>
            </w:r>
            <w:r w:rsidR="0010096B">
              <w:t xml:space="preserve"> Intel will be classified as a m</w:t>
            </w:r>
            <w:r w:rsidR="00E97654" w:rsidRPr="00E97654">
              <w:t xml:space="preserve">ajor </w:t>
            </w:r>
            <w:r w:rsidR="0010096B">
              <w:t>s</w:t>
            </w:r>
            <w:r w:rsidR="00E97654" w:rsidRPr="00E97654">
              <w:t xml:space="preserve">ource and be required to adhere to more stringent air quality regulations. </w:t>
            </w:r>
            <w:r w:rsidR="0011548C" w:rsidRPr="00BD4B55">
              <w:t>(</w:t>
            </w:r>
            <w:r w:rsidR="009766D3">
              <w:t xml:space="preserve">1, 5, 6, 8, 9, 10, 11, 14, 15, </w:t>
            </w:r>
            <w:r w:rsidR="00777FE6">
              <w:t xml:space="preserve">16, 17, 18, 19, </w:t>
            </w:r>
            <w:r w:rsidR="00C40437">
              <w:t xml:space="preserve">21, 22, 23, 25, 26, </w:t>
            </w:r>
            <w:r w:rsidR="00924584" w:rsidRPr="00BD4B55">
              <w:t xml:space="preserve">27, </w:t>
            </w:r>
            <w:r w:rsidR="00C40437">
              <w:t xml:space="preserve">28, 32, </w:t>
            </w:r>
            <w:r w:rsidR="0011548C" w:rsidRPr="00BD4B55">
              <w:t>33</w:t>
            </w:r>
            <w:r w:rsidR="00C40437">
              <w:t>, 34, 36, 37, 45, 49, 50, 51, 54, 55, 60</w:t>
            </w:r>
            <w:r w:rsidR="0011548C" w:rsidRPr="00BD4B55">
              <w:t>)</w:t>
            </w:r>
          </w:p>
          <w:p w:rsidR="007B4D85" w:rsidRPr="00BD4B55" w:rsidRDefault="00C14C30" w:rsidP="00623B37">
            <w:pPr>
              <w:spacing w:after="120"/>
              <w:rPr>
                <w:i/>
              </w:rPr>
            </w:pPr>
            <w:r w:rsidRPr="00BD4B55">
              <w:rPr>
                <w:i/>
              </w:rPr>
              <w:t>Response:</w:t>
            </w:r>
          </w:p>
          <w:p w:rsidR="00924584" w:rsidRPr="00BD4B55" w:rsidRDefault="00924584" w:rsidP="00924584">
            <w:pPr>
              <w:spacing w:after="120"/>
              <w:rPr>
                <w:i/>
              </w:rPr>
            </w:pPr>
            <w:r w:rsidRPr="00BD4B55">
              <w:rPr>
                <w:i/>
              </w:rPr>
              <w:t>DEQ appreciates these comments, but does not agree with the proposed change. The proposed change would have the effect of making it more likely that Intel will trigger Prevention of Significant Deterioration in the future, and be required to perform a Be</w:t>
            </w:r>
            <w:r w:rsidR="0095567F">
              <w:rPr>
                <w:i/>
              </w:rPr>
              <w:t>st Available Control Technology</w:t>
            </w:r>
            <w:r w:rsidRPr="00BD4B55">
              <w:rPr>
                <w:i/>
              </w:rPr>
              <w:t xml:space="preserve"> analysis. In DEQ’s opinion, Intel </w:t>
            </w:r>
            <w:r w:rsidRPr="00BD4B55">
              <w:rPr>
                <w:i/>
              </w:rPr>
              <w:lastRenderedPageBreak/>
              <w:t>already operates emission control systems that would very likely be considered Best Available Control Technology, so there is nothing to be gained from making the proposed change.</w:t>
            </w:r>
          </w:p>
          <w:p w:rsidR="00924584" w:rsidRDefault="00924584" w:rsidP="00623B37">
            <w:pPr>
              <w:spacing w:after="120"/>
              <w:rPr>
                <w:i/>
              </w:rPr>
            </w:pPr>
            <w:r w:rsidRPr="00BD4B55">
              <w:rPr>
                <w:i/>
              </w:rPr>
              <w:t>Intel is also not the only source of emissions in the Hillsboro area. There are many other sources of air pollution, including other industrial sources as well as non-industrial sources such as motor vehicles, dry cleaners, boilers, home furnaces, household chemical products, etc. Intel’s emissions are controlled by modern control devices that most likely would qualify as Best Available Control Technology.</w:t>
            </w:r>
          </w:p>
          <w:p w:rsidR="009E2259" w:rsidRDefault="0095729E" w:rsidP="00C11FBF">
            <w:pPr>
              <w:spacing w:after="120"/>
              <w:rPr>
                <w:i/>
              </w:rPr>
            </w:pPr>
            <w:r>
              <w:rPr>
                <w:i/>
              </w:rPr>
              <w:t>Intel wi</w:t>
            </w:r>
            <w:r w:rsidR="00140918">
              <w:rPr>
                <w:i/>
              </w:rPr>
              <w:t xml:space="preserve">ll be required to get a Title V operating </w:t>
            </w:r>
            <w:r>
              <w:rPr>
                <w:i/>
              </w:rPr>
              <w:t>permit based their current emissions.</w:t>
            </w:r>
            <w:r w:rsidR="00712583">
              <w:rPr>
                <w:i/>
              </w:rPr>
              <w:t xml:space="preserve"> </w:t>
            </w:r>
            <w:r>
              <w:rPr>
                <w:i/>
              </w:rPr>
              <w:t xml:space="preserve">Title V permits </w:t>
            </w:r>
            <w:r w:rsidR="00712583">
              <w:rPr>
                <w:i/>
              </w:rPr>
              <w:t xml:space="preserve">are required by the </w:t>
            </w:r>
            <w:r w:rsidR="00140918">
              <w:rPr>
                <w:i/>
              </w:rPr>
              <w:t xml:space="preserve">1990 </w:t>
            </w:r>
            <w:r w:rsidR="00712583">
              <w:rPr>
                <w:i/>
              </w:rPr>
              <w:t xml:space="preserve">Clean Air Act </w:t>
            </w:r>
            <w:r w:rsidR="00140918">
              <w:rPr>
                <w:i/>
              </w:rPr>
              <w:t xml:space="preserve">Amendments </w:t>
            </w:r>
            <w:r w:rsidR="00712583">
              <w:rPr>
                <w:i/>
              </w:rPr>
              <w:t>for all large sources and a lim</w:t>
            </w:r>
            <w:r w:rsidR="00140918">
              <w:rPr>
                <w:i/>
              </w:rPr>
              <w:t xml:space="preserve">ited number of smaller sources. The Title V permit program streamlines the way permitting authorities regulate air pollution by consolidating all air pollution control requirements into a single comprehensive operating permit that covers all aspects of a source’s year-to-year air pollution activities. </w:t>
            </w:r>
            <w:r w:rsidR="00D91720">
              <w:rPr>
                <w:i/>
              </w:rPr>
              <w:t xml:space="preserve">The program was designed to ensure better compliance, to allow for more thorough air pollution control and provide an opportunity for citizens to be involved in the permit review process. Sources are required to provide emissions reports at least semiannually and </w:t>
            </w:r>
            <w:r w:rsidR="00377303">
              <w:rPr>
                <w:i/>
              </w:rPr>
              <w:t>must certif</w:t>
            </w:r>
            <w:r w:rsidR="00D91720">
              <w:rPr>
                <w:i/>
              </w:rPr>
              <w:t xml:space="preserve">y </w:t>
            </w:r>
            <w:r w:rsidR="00377303">
              <w:rPr>
                <w:i/>
              </w:rPr>
              <w:t xml:space="preserve">their </w:t>
            </w:r>
            <w:r w:rsidR="00D91720">
              <w:rPr>
                <w:i/>
              </w:rPr>
              <w:t>compliance st</w:t>
            </w:r>
            <w:r w:rsidR="00377303">
              <w:rPr>
                <w:i/>
              </w:rPr>
              <w:t>atus annually</w:t>
            </w:r>
            <w:r w:rsidR="006A0774">
              <w:rPr>
                <w:i/>
              </w:rPr>
              <w:t xml:space="preserve">. </w:t>
            </w:r>
            <w:r w:rsidR="00377303">
              <w:rPr>
                <w:i/>
              </w:rPr>
              <w:t>These compliance certifications must be signed by a responsible official of truth, accuracy, and completeness</w:t>
            </w:r>
            <w:r w:rsidR="00CD19AF">
              <w:rPr>
                <w:i/>
              </w:rPr>
              <w:t xml:space="preserve"> based on information and belief formed after reasonable inquiry</w:t>
            </w:r>
            <w:r w:rsidR="006A0774">
              <w:rPr>
                <w:i/>
              </w:rPr>
              <w:t xml:space="preserve">. </w:t>
            </w:r>
            <w:r w:rsidR="00377303">
              <w:rPr>
                <w:i/>
              </w:rPr>
              <w:t xml:space="preserve">A responsible official is someone in upper management that has the authority to influence the day-to-day operations of the facility. There is civil and criminal liability for false reporting. </w:t>
            </w:r>
            <w:r w:rsidR="00C11FBF">
              <w:rPr>
                <w:i/>
              </w:rPr>
              <w:t>Because of the compliance certification requirements under the Title V program, there is no need for independent third party monitoring</w:t>
            </w:r>
            <w:r w:rsidR="006A0774">
              <w:rPr>
                <w:i/>
              </w:rPr>
              <w:t xml:space="preserve">. </w:t>
            </w:r>
          </w:p>
          <w:p w:rsidR="00C11FBF" w:rsidRPr="00C11FBF" w:rsidRDefault="00C11FBF" w:rsidP="00C11FBF">
            <w:pPr>
              <w:spacing w:after="120"/>
              <w:rPr>
                <w:i/>
              </w:rPr>
            </w:pPr>
            <w:r w:rsidRPr="00184E67">
              <w:rPr>
                <w:i/>
                <w:highlight w:val="yellow"/>
              </w:rPr>
              <w:t xml:space="preserve">Not reporting their </w:t>
            </w:r>
            <w:proofErr w:type="spellStart"/>
            <w:r w:rsidRPr="00184E67">
              <w:rPr>
                <w:i/>
                <w:highlight w:val="yellow"/>
              </w:rPr>
              <w:t>flouride</w:t>
            </w:r>
            <w:proofErr w:type="spellEnd"/>
            <w:r w:rsidRPr="00184E67">
              <w:rPr>
                <w:i/>
                <w:highlight w:val="yellow"/>
              </w:rPr>
              <w:t xml:space="preserve"> emissions for decades needs to be considered</w:t>
            </w:r>
            <w:r w:rsidR="006A0774">
              <w:rPr>
                <w:i/>
                <w:highlight w:val="yellow"/>
              </w:rPr>
              <w:t xml:space="preserve">. </w:t>
            </w:r>
            <w:r w:rsidRPr="00184E67">
              <w:rPr>
                <w:i/>
                <w:highlight w:val="yellow"/>
              </w:rPr>
              <w:t>A paltry $143,000 fine was a slap in our faces</w:t>
            </w:r>
            <w:r w:rsidR="006A0774">
              <w:rPr>
                <w:i/>
                <w:highlight w:val="yellow"/>
              </w:rPr>
              <w:t xml:space="preserve">. </w:t>
            </w:r>
          </w:p>
          <w:p w:rsidR="00BD4B55" w:rsidRPr="00BD4B55" w:rsidRDefault="00C11FBF" w:rsidP="00623B37">
            <w:pPr>
              <w:spacing w:after="120"/>
              <w:rPr>
                <w:i/>
              </w:rPr>
            </w:pPr>
            <w:r w:rsidRPr="00C11FBF">
              <w:rPr>
                <w:i/>
              </w:rPr>
              <w:t>No change to the proposed rule amendments is proposed in response to this comment.</w:t>
            </w:r>
          </w:p>
        </w:tc>
      </w:tr>
    </w:tbl>
    <w:p w:rsidR="00D02ACC" w:rsidRDefault="00D02ACC" w:rsidP="00D02ACC">
      <w:pPr>
        <w:rPr>
          <w:sz w:val="22"/>
          <w:szCs w:val="22"/>
        </w:rPr>
      </w:pPr>
    </w:p>
    <w:p w:rsidR="00A70C83" w:rsidRPr="002D0FE2" w:rsidRDefault="00A70C83" w:rsidP="00D02ACC">
      <w:pPr>
        <w:rPr>
          <w:sz w:val="22"/>
          <w:szCs w:val="22"/>
        </w:rPr>
      </w:pPr>
    </w:p>
    <w:tbl>
      <w:tblPr>
        <w:tblW w:w="10440" w:type="dxa"/>
        <w:tblInd w:w="18" w:type="dxa"/>
        <w:tblLayout w:type="fixed"/>
        <w:tblLook w:val="0000"/>
      </w:tblPr>
      <w:tblGrid>
        <w:gridCol w:w="1080"/>
        <w:gridCol w:w="3240"/>
        <w:gridCol w:w="4680"/>
        <w:gridCol w:w="1440"/>
      </w:tblGrid>
      <w:tr w:rsidR="00B746A4" w:rsidRPr="002D0FE2" w:rsidTr="00C14C30">
        <w:trPr>
          <w:trHeight w:val="282"/>
          <w:tblHeader/>
        </w:trPr>
        <w:tc>
          <w:tcPr>
            <w:tcW w:w="10440" w:type="dxa"/>
            <w:gridSpan w:val="4"/>
            <w:tcBorders>
              <w:top w:val="single" w:sz="4" w:space="0" w:color="808080"/>
              <w:left w:val="single" w:sz="4" w:space="0" w:color="808080"/>
              <w:bottom w:val="single" w:sz="4" w:space="0" w:color="808080"/>
              <w:right w:val="single" w:sz="4" w:space="0" w:color="808080"/>
            </w:tcBorders>
            <w:shd w:val="clear" w:color="auto" w:fill="auto"/>
            <w:noWrap/>
          </w:tcPr>
          <w:p w:rsidR="00B746A4" w:rsidRPr="002D0FE2" w:rsidRDefault="0008713B" w:rsidP="006A2FF0">
            <w:pPr>
              <w:jc w:val="center"/>
              <w:rPr>
                <w:sz w:val="22"/>
                <w:szCs w:val="22"/>
              </w:rPr>
            </w:pPr>
            <w:r>
              <w:rPr>
                <w:sz w:val="22"/>
                <w:szCs w:val="22"/>
              </w:rPr>
              <w:br w:type="page"/>
            </w:r>
            <w:r w:rsidR="00B746A4" w:rsidRPr="002D0FE2">
              <w:rPr>
                <w:sz w:val="22"/>
                <w:szCs w:val="22"/>
              </w:rPr>
              <w:t>List of People Submitting Comments (by Commenter Number)</w:t>
            </w:r>
          </w:p>
        </w:tc>
      </w:tr>
      <w:tr w:rsidR="00B746A4" w:rsidRPr="002D0FE2" w:rsidTr="00C14C30">
        <w:trPr>
          <w:trHeight w:val="323"/>
          <w:tblHeader/>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B746A4" w:rsidRPr="002D0FE2" w:rsidRDefault="00B746A4" w:rsidP="00F71F4C">
            <w:pPr>
              <w:jc w:val="center"/>
              <w:rPr>
                <w:bCs/>
                <w:sz w:val="22"/>
                <w:szCs w:val="22"/>
              </w:rPr>
            </w:pPr>
            <w:r w:rsidRPr="002D0FE2">
              <w:rPr>
                <w:bCs/>
                <w:sz w:val="22"/>
                <w:szCs w:val="22"/>
              </w:rPr>
              <w:t>Number</w:t>
            </w:r>
          </w:p>
        </w:tc>
        <w:tc>
          <w:tcPr>
            <w:tcW w:w="3240" w:type="dxa"/>
            <w:tcBorders>
              <w:top w:val="single" w:sz="4" w:space="0" w:color="808080"/>
              <w:left w:val="nil"/>
              <w:bottom w:val="single" w:sz="4" w:space="0" w:color="808080"/>
              <w:right w:val="single" w:sz="4" w:space="0" w:color="808080"/>
            </w:tcBorders>
            <w:shd w:val="clear" w:color="auto" w:fill="auto"/>
            <w:noWrap/>
          </w:tcPr>
          <w:p w:rsidR="00B746A4" w:rsidRPr="002D0FE2" w:rsidRDefault="00B746A4" w:rsidP="00B746A4">
            <w:pPr>
              <w:rPr>
                <w:bCs/>
                <w:sz w:val="22"/>
                <w:szCs w:val="22"/>
              </w:rPr>
            </w:pPr>
            <w:r w:rsidRPr="002D0FE2">
              <w:rPr>
                <w:bCs/>
                <w:sz w:val="22"/>
                <w:szCs w:val="22"/>
              </w:rPr>
              <w:t>Name</w:t>
            </w:r>
          </w:p>
        </w:tc>
        <w:tc>
          <w:tcPr>
            <w:tcW w:w="4680" w:type="dxa"/>
            <w:tcBorders>
              <w:top w:val="single" w:sz="4" w:space="0" w:color="808080"/>
              <w:left w:val="nil"/>
              <w:bottom w:val="single" w:sz="4" w:space="0" w:color="808080"/>
              <w:right w:val="single" w:sz="4" w:space="0" w:color="808080"/>
            </w:tcBorders>
            <w:shd w:val="clear" w:color="auto" w:fill="auto"/>
            <w:noWrap/>
          </w:tcPr>
          <w:p w:rsidR="00B746A4" w:rsidRPr="002D0FE2" w:rsidRDefault="00B746A4" w:rsidP="00B746A4">
            <w:pPr>
              <w:rPr>
                <w:bCs/>
                <w:sz w:val="22"/>
                <w:szCs w:val="22"/>
              </w:rPr>
            </w:pPr>
            <w:r w:rsidRPr="002D0FE2">
              <w:rPr>
                <w:bCs/>
                <w:sz w:val="22"/>
                <w:szCs w:val="22"/>
              </w:rPr>
              <w:t>Organization</w:t>
            </w:r>
          </w:p>
        </w:tc>
        <w:tc>
          <w:tcPr>
            <w:tcW w:w="1440" w:type="dxa"/>
            <w:tcBorders>
              <w:top w:val="single" w:sz="4" w:space="0" w:color="808080"/>
              <w:left w:val="nil"/>
              <w:bottom w:val="single" w:sz="4" w:space="0" w:color="808080"/>
              <w:right w:val="single" w:sz="4" w:space="0" w:color="808080"/>
            </w:tcBorders>
            <w:shd w:val="clear" w:color="auto" w:fill="auto"/>
            <w:noWrap/>
          </w:tcPr>
          <w:p w:rsidR="00B746A4" w:rsidRPr="002D0FE2" w:rsidRDefault="00B746A4" w:rsidP="001B37A0">
            <w:pPr>
              <w:jc w:val="center"/>
              <w:rPr>
                <w:bCs/>
                <w:sz w:val="22"/>
                <w:szCs w:val="22"/>
              </w:rPr>
            </w:pPr>
            <w:r w:rsidRPr="002D0FE2">
              <w:rPr>
                <w:bCs/>
                <w:sz w:val="22"/>
                <w:szCs w:val="22"/>
              </w:rPr>
              <w:t>Receive date</w:t>
            </w:r>
          </w:p>
        </w:tc>
      </w:tr>
      <w:tr w:rsidR="002C261B" w:rsidRPr="002D0FE2" w:rsidTr="007862B6">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sidRPr="002D0FE2">
              <w:rPr>
                <w:sz w:val="22"/>
                <w:szCs w:val="22"/>
              </w:rPr>
              <w:t>1</w:t>
            </w:r>
          </w:p>
        </w:tc>
        <w:tc>
          <w:tcPr>
            <w:tcW w:w="3240" w:type="dxa"/>
            <w:tcBorders>
              <w:top w:val="single" w:sz="4" w:space="0" w:color="808080"/>
              <w:left w:val="nil"/>
              <w:bottom w:val="single" w:sz="4" w:space="0" w:color="808080"/>
              <w:right w:val="single" w:sz="4" w:space="0" w:color="808080"/>
            </w:tcBorders>
            <w:shd w:val="clear" w:color="auto" w:fill="auto"/>
            <w:noWrap/>
          </w:tcPr>
          <w:p w:rsidR="002C261B" w:rsidRPr="002D0FE2" w:rsidRDefault="002C261B" w:rsidP="005E26A1">
            <w:pPr>
              <w:rPr>
                <w:sz w:val="22"/>
                <w:szCs w:val="22"/>
              </w:rPr>
            </w:pPr>
            <w:r>
              <w:rPr>
                <w:sz w:val="22"/>
                <w:szCs w:val="22"/>
              </w:rPr>
              <w:t>Howard Ashley</w:t>
            </w:r>
          </w:p>
        </w:tc>
        <w:tc>
          <w:tcPr>
            <w:tcW w:w="4680" w:type="dxa"/>
            <w:tcBorders>
              <w:top w:val="single" w:sz="4" w:space="0" w:color="808080"/>
              <w:left w:val="nil"/>
              <w:bottom w:val="single" w:sz="4" w:space="0" w:color="808080"/>
              <w:right w:val="single" w:sz="4" w:space="0" w:color="808080"/>
            </w:tcBorders>
            <w:shd w:val="clear" w:color="auto" w:fill="auto"/>
          </w:tcPr>
          <w:p w:rsidR="002C261B" w:rsidRDefault="002C261B" w:rsidP="007862B6">
            <w:r w:rsidRPr="00EC4318">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266685" w:rsidRDefault="002C261B" w:rsidP="001B37A0">
            <w:pPr>
              <w:jc w:val="center"/>
              <w:rPr>
                <w:sz w:val="22"/>
                <w:szCs w:val="22"/>
              </w:rPr>
            </w:pPr>
          </w:p>
        </w:tc>
      </w:tr>
      <w:tr w:rsidR="002C261B" w:rsidRPr="002D0FE2" w:rsidTr="00D21CE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sidRPr="002D0FE2">
              <w:rPr>
                <w:sz w:val="22"/>
                <w:szCs w:val="22"/>
              </w:rPr>
              <w:t>2</w:t>
            </w:r>
          </w:p>
        </w:tc>
        <w:tc>
          <w:tcPr>
            <w:tcW w:w="3240" w:type="dxa"/>
            <w:tcBorders>
              <w:top w:val="single" w:sz="4" w:space="0" w:color="808080"/>
              <w:left w:val="nil"/>
              <w:bottom w:val="single" w:sz="4" w:space="0" w:color="808080"/>
              <w:right w:val="single" w:sz="4" w:space="0" w:color="808080"/>
            </w:tcBorders>
            <w:shd w:val="clear" w:color="auto" w:fill="auto"/>
            <w:noWrap/>
          </w:tcPr>
          <w:p w:rsidR="002C261B" w:rsidRPr="002D0FE2" w:rsidRDefault="002C261B" w:rsidP="005E26A1">
            <w:pPr>
              <w:rPr>
                <w:sz w:val="22"/>
                <w:szCs w:val="22"/>
              </w:rPr>
            </w:pPr>
            <w:r w:rsidRPr="002D0FE2">
              <w:rPr>
                <w:sz w:val="22"/>
                <w:szCs w:val="22"/>
              </w:rPr>
              <w:t>John Ledger</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2C261B" w:rsidRDefault="002C261B">
            <w:pPr>
              <w:rPr>
                <w:color w:val="000000"/>
              </w:rPr>
            </w:pPr>
            <w:r>
              <w:rPr>
                <w:color w:val="000000"/>
              </w:rPr>
              <w:t>Associated Oregon Industries</w:t>
            </w:r>
          </w:p>
          <w:p w:rsidR="002C261B" w:rsidRDefault="002C261B">
            <w:pPr>
              <w:rPr>
                <w:color w:val="000000"/>
              </w:rPr>
            </w:pPr>
          </w:p>
        </w:tc>
        <w:tc>
          <w:tcPr>
            <w:tcW w:w="1440" w:type="dxa"/>
            <w:tcBorders>
              <w:top w:val="single" w:sz="4" w:space="0" w:color="808080"/>
              <w:left w:val="nil"/>
              <w:bottom w:val="single" w:sz="4" w:space="0" w:color="808080"/>
              <w:right w:val="single" w:sz="4" w:space="0" w:color="808080"/>
            </w:tcBorders>
            <w:shd w:val="clear" w:color="auto" w:fill="auto"/>
          </w:tcPr>
          <w:p w:rsidR="002C261B" w:rsidRPr="00266685" w:rsidRDefault="002C261B" w:rsidP="001B37A0">
            <w:pPr>
              <w:jc w:val="center"/>
              <w:rPr>
                <w:sz w:val="22"/>
                <w:szCs w:val="22"/>
              </w:rPr>
            </w:pPr>
            <w:r w:rsidRPr="00266685">
              <w:rPr>
                <w:sz w:val="22"/>
                <w:szCs w:val="22"/>
              </w:rPr>
              <w:t>08/28/14</w:t>
            </w:r>
          </w:p>
          <w:p w:rsidR="002C261B" w:rsidRPr="002D0FE2" w:rsidRDefault="002C261B" w:rsidP="001B37A0">
            <w:pPr>
              <w:jc w:val="center"/>
              <w:rPr>
                <w:sz w:val="22"/>
                <w:szCs w:val="22"/>
              </w:rPr>
            </w:pPr>
            <w:r w:rsidRPr="00266685">
              <w:rPr>
                <w:sz w:val="22"/>
                <w:szCs w:val="22"/>
              </w:rPr>
              <w:t>09/15/14</w:t>
            </w:r>
          </w:p>
        </w:tc>
      </w:tr>
      <w:tr w:rsidR="002C261B" w:rsidRPr="002D0FE2" w:rsidTr="00D21CE3">
        <w:trPr>
          <w:trHeight w:val="188"/>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sidRPr="002D0FE2">
              <w:rPr>
                <w:sz w:val="22"/>
                <w:szCs w:val="22"/>
              </w:rPr>
              <w:t>3</w:t>
            </w:r>
          </w:p>
        </w:tc>
        <w:tc>
          <w:tcPr>
            <w:tcW w:w="3240" w:type="dxa"/>
            <w:tcBorders>
              <w:top w:val="single" w:sz="4" w:space="0" w:color="808080"/>
              <w:left w:val="nil"/>
              <w:bottom w:val="single" w:sz="4" w:space="0" w:color="808080"/>
              <w:right w:val="single" w:sz="4" w:space="0" w:color="808080"/>
            </w:tcBorders>
            <w:shd w:val="clear" w:color="auto" w:fill="auto"/>
            <w:noWrap/>
          </w:tcPr>
          <w:p w:rsidR="002C261B" w:rsidRPr="002D0FE2" w:rsidRDefault="002C261B" w:rsidP="005E26A1">
            <w:pPr>
              <w:rPr>
                <w:rFonts w:eastAsiaTheme="minorHAnsi"/>
                <w:sz w:val="22"/>
                <w:szCs w:val="22"/>
              </w:rPr>
            </w:pPr>
            <w:r>
              <w:rPr>
                <w:rFonts w:eastAsiaTheme="minorHAnsi"/>
                <w:sz w:val="22"/>
                <w:szCs w:val="22"/>
              </w:rPr>
              <w:t>Mike Riley</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2C261B" w:rsidRDefault="002C261B">
            <w:pPr>
              <w:rPr>
                <w:color w:val="000000"/>
              </w:rPr>
            </w:pPr>
            <w:r>
              <w:rPr>
                <w:color w:val="000000"/>
              </w:rPr>
              <w:t xml:space="preserve">ATI Primary Titanium Operations </w:t>
            </w:r>
            <w:r w:rsidRPr="001B37A0">
              <w:rPr>
                <w:color w:val="000000"/>
                <w:highlight w:val="yellow"/>
              </w:rPr>
              <w:t>(AOI)</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2D0FE2" w:rsidRDefault="002C261B" w:rsidP="001B37A0">
            <w:pPr>
              <w:jc w:val="center"/>
              <w:rPr>
                <w:sz w:val="22"/>
                <w:szCs w:val="22"/>
              </w:rPr>
            </w:pPr>
            <w:r>
              <w:rPr>
                <w:sz w:val="22"/>
                <w:szCs w:val="22"/>
              </w:rPr>
              <w:t>09/02</w:t>
            </w:r>
            <w:r w:rsidRPr="001B37A0">
              <w:rPr>
                <w:sz w:val="22"/>
                <w:szCs w:val="22"/>
              </w:rPr>
              <w:t>/14</w:t>
            </w:r>
          </w:p>
        </w:tc>
      </w:tr>
      <w:tr w:rsidR="002C261B" w:rsidRPr="002D0FE2" w:rsidTr="00D21CE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sidRPr="002D0FE2">
              <w:rPr>
                <w:sz w:val="22"/>
                <w:szCs w:val="22"/>
              </w:rPr>
              <w:t>4</w:t>
            </w:r>
          </w:p>
        </w:tc>
        <w:tc>
          <w:tcPr>
            <w:tcW w:w="3240" w:type="dxa"/>
            <w:tcBorders>
              <w:top w:val="single" w:sz="4" w:space="0" w:color="808080"/>
              <w:left w:val="nil"/>
              <w:bottom w:val="single" w:sz="4" w:space="0" w:color="808080"/>
              <w:right w:val="single" w:sz="4" w:space="0" w:color="808080"/>
            </w:tcBorders>
            <w:shd w:val="clear" w:color="auto" w:fill="auto"/>
            <w:noWrap/>
          </w:tcPr>
          <w:p w:rsidR="002C261B" w:rsidRPr="002D0FE2" w:rsidRDefault="002C261B" w:rsidP="008616F1">
            <w:pPr>
              <w:rPr>
                <w:sz w:val="22"/>
                <w:szCs w:val="22"/>
              </w:rPr>
            </w:pPr>
            <w:r>
              <w:rPr>
                <w:sz w:val="22"/>
                <w:szCs w:val="22"/>
              </w:rPr>
              <w:t>Mike Riley</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2C261B" w:rsidRDefault="002C261B">
            <w:pPr>
              <w:rPr>
                <w:color w:val="000000"/>
              </w:rPr>
            </w:pPr>
            <w:r>
              <w:rPr>
                <w:color w:val="000000"/>
              </w:rPr>
              <w:t xml:space="preserve">ATI Specialty Alloys &amp; Components </w:t>
            </w:r>
            <w:r w:rsidRPr="001B37A0">
              <w:rPr>
                <w:color w:val="000000"/>
                <w:highlight w:val="yellow"/>
              </w:rPr>
              <w:t>(AOI)</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2D0FE2" w:rsidRDefault="002C261B" w:rsidP="001B37A0">
            <w:pPr>
              <w:jc w:val="center"/>
              <w:rPr>
                <w:sz w:val="22"/>
                <w:szCs w:val="22"/>
              </w:rPr>
            </w:pPr>
            <w:r w:rsidRPr="001B37A0">
              <w:rPr>
                <w:sz w:val="22"/>
                <w:szCs w:val="22"/>
              </w:rPr>
              <w:t>09/02/14</w:t>
            </w:r>
          </w:p>
        </w:tc>
      </w:tr>
      <w:tr w:rsidR="002C261B" w:rsidRPr="002D0FE2" w:rsidTr="00D21CE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Pr>
                <w:sz w:val="22"/>
                <w:szCs w:val="22"/>
              </w:rPr>
              <w:t>5</w:t>
            </w:r>
          </w:p>
        </w:tc>
        <w:tc>
          <w:tcPr>
            <w:tcW w:w="3240" w:type="dxa"/>
            <w:tcBorders>
              <w:top w:val="single" w:sz="4" w:space="0" w:color="808080"/>
              <w:left w:val="nil"/>
              <w:bottom w:val="single" w:sz="4" w:space="0" w:color="808080"/>
              <w:right w:val="single" w:sz="4" w:space="0" w:color="808080"/>
            </w:tcBorders>
            <w:shd w:val="clear" w:color="auto" w:fill="auto"/>
            <w:noWrap/>
          </w:tcPr>
          <w:p w:rsidR="002C261B" w:rsidRPr="002D0FE2" w:rsidRDefault="002C261B" w:rsidP="00ED6EA3">
            <w:pPr>
              <w:rPr>
                <w:rStyle w:val="Strong"/>
                <w:b w:val="0"/>
                <w:sz w:val="22"/>
                <w:szCs w:val="22"/>
              </w:rPr>
            </w:pPr>
            <w:r>
              <w:rPr>
                <w:color w:val="000000"/>
              </w:rPr>
              <w:t xml:space="preserve">Robert Bailey </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2C261B" w:rsidRDefault="002C261B">
            <w:pPr>
              <w:rPr>
                <w:color w:val="000000"/>
              </w:rPr>
            </w:pPr>
            <w:r>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2D0FE2" w:rsidRDefault="002C261B" w:rsidP="001B37A0">
            <w:pPr>
              <w:jc w:val="center"/>
              <w:rPr>
                <w:sz w:val="22"/>
                <w:szCs w:val="22"/>
              </w:rPr>
            </w:pPr>
          </w:p>
        </w:tc>
      </w:tr>
      <w:tr w:rsidR="002C261B" w:rsidRPr="002D0FE2" w:rsidTr="007862B6">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Pr>
                <w:sz w:val="22"/>
                <w:szCs w:val="22"/>
              </w:rPr>
              <w:t>6</w:t>
            </w:r>
          </w:p>
        </w:tc>
        <w:tc>
          <w:tcPr>
            <w:tcW w:w="3240" w:type="dxa"/>
            <w:tcBorders>
              <w:top w:val="single" w:sz="4" w:space="0" w:color="808080"/>
              <w:left w:val="nil"/>
              <w:bottom w:val="single" w:sz="4" w:space="0" w:color="808080"/>
              <w:right w:val="single" w:sz="4" w:space="0" w:color="808080"/>
            </w:tcBorders>
            <w:shd w:val="clear" w:color="auto" w:fill="auto"/>
            <w:noWrap/>
          </w:tcPr>
          <w:p w:rsidR="002C261B" w:rsidRPr="0090126E" w:rsidRDefault="002C261B" w:rsidP="005E26A1">
            <w:pPr>
              <w:rPr>
                <w:sz w:val="22"/>
                <w:szCs w:val="22"/>
              </w:rPr>
            </w:pPr>
            <w:r>
              <w:rPr>
                <w:sz w:val="22"/>
                <w:szCs w:val="22"/>
              </w:rPr>
              <w:t>Myra Beeler</w:t>
            </w:r>
          </w:p>
        </w:tc>
        <w:tc>
          <w:tcPr>
            <w:tcW w:w="4680" w:type="dxa"/>
            <w:tcBorders>
              <w:top w:val="single" w:sz="4" w:space="0" w:color="808080"/>
              <w:left w:val="nil"/>
              <w:bottom w:val="single" w:sz="4" w:space="0" w:color="808080"/>
              <w:right w:val="single" w:sz="4" w:space="0" w:color="808080"/>
            </w:tcBorders>
            <w:shd w:val="clear" w:color="auto" w:fill="auto"/>
          </w:tcPr>
          <w:p w:rsidR="002C261B" w:rsidRDefault="002C261B" w:rsidP="007862B6">
            <w:r w:rsidRPr="00EC4318">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2C261B" w:rsidRDefault="002C261B" w:rsidP="001B37A0">
            <w:pPr>
              <w:jc w:val="center"/>
              <w:rPr>
                <w:sz w:val="22"/>
                <w:szCs w:val="22"/>
              </w:rPr>
            </w:pPr>
          </w:p>
        </w:tc>
      </w:tr>
      <w:tr w:rsidR="002C261B" w:rsidRPr="002D0FE2" w:rsidTr="00D21CE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Pr>
                <w:sz w:val="22"/>
                <w:szCs w:val="22"/>
              </w:rPr>
              <w:t>7</w:t>
            </w:r>
          </w:p>
        </w:tc>
        <w:tc>
          <w:tcPr>
            <w:tcW w:w="3240" w:type="dxa"/>
            <w:tcBorders>
              <w:top w:val="single" w:sz="4" w:space="0" w:color="808080"/>
              <w:left w:val="nil"/>
              <w:bottom w:val="single" w:sz="4" w:space="0" w:color="808080"/>
              <w:right w:val="single" w:sz="4" w:space="0" w:color="808080"/>
            </w:tcBorders>
            <w:shd w:val="clear" w:color="auto" w:fill="auto"/>
            <w:noWrap/>
          </w:tcPr>
          <w:p w:rsidR="002C261B" w:rsidRPr="002D0FE2" w:rsidRDefault="002C261B" w:rsidP="005E26A1">
            <w:pPr>
              <w:rPr>
                <w:sz w:val="22"/>
                <w:szCs w:val="22"/>
              </w:rPr>
            </w:pPr>
            <w:r w:rsidRPr="0090126E">
              <w:rPr>
                <w:sz w:val="22"/>
                <w:szCs w:val="22"/>
              </w:rPr>
              <w:t>Russell Strader</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2C261B" w:rsidRDefault="002C261B">
            <w:pPr>
              <w:rPr>
                <w:color w:val="000000"/>
              </w:rPr>
            </w:pPr>
            <w:r>
              <w:rPr>
                <w:color w:val="000000"/>
              </w:rPr>
              <w:t>Boise Cascade Wood products (BCWP)</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2D0FE2" w:rsidRDefault="002C261B" w:rsidP="001B37A0">
            <w:pPr>
              <w:jc w:val="center"/>
              <w:rPr>
                <w:sz w:val="22"/>
                <w:szCs w:val="22"/>
              </w:rPr>
            </w:pPr>
            <w:r>
              <w:rPr>
                <w:sz w:val="22"/>
                <w:szCs w:val="22"/>
              </w:rPr>
              <w:t>08/28/14</w:t>
            </w:r>
          </w:p>
        </w:tc>
      </w:tr>
      <w:tr w:rsidR="002C261B" w:rsidRPr="002D0FE2" w:rsidTr="005138FC">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Pr>
                <w:sz w:val="22"/>
                <w:szCs w:val="22"/>
              </w:rPr>
              <w:t>8</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2C261B" w:rsidRDefault="002C261B" w:rsidP="00ED6EA3">
            <w:pPr>
              <w:rPr>
                <w:color w:val="000000"/>
              </w:rPr>
            </w:pPr>
            <w:r>
              <w:rPr>
                <w:color w:val="000000"/>
              </w:rPr>
              <w:t>Michael Byrne</w:t>
            </w:r>
          </w:p>
        </w:tc>
        <w:tc>
          <w:tcPr>
            <w:tcW w:w="4680" w:type="dxa"/>
            <w:tcBorders>
              <w:top w:val="single" w:sz="4" w:space="0" w:color="808080"/>
              <w:left w:val="nil"/>
              <w:bottom w:val="single" w:sz="4" w:space="0" w:color="808080"/>
              <w:right w:val="single" w:sz="4" w:space="0" w:color="808080"/>
            </w:tcBorders>
            <w:shd w:val="clear" w:color="auto" w:fill="auto"/>
          </w:tcPr>
          <w:p w:rsidR="002C261B" w:rsidRDefault="002C261B">
            <w:r w:rsidRPr="007403B7">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2D0FE2" w:rsidRDefault="002C261B" w:rsidP="001B37A0">
            <w:pPr>
              <w:jc w:val="center"/>
              <w:rPr>
                <w:sz w:val="22"/>
                <w:szCs w:val="22"/>
              </w:rPr>
            </w:pPr>
          </w:p>
        </w:tc>
      </w:tr>
      <w:tr w:rsidR="002C261B" w:rsidRPr="002D0FE2" w:rsidTr="005138FC">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Pr>
                <w:sz w:val="22"/>
                <w:szCs w:val="22"/>
              </w:rPr>
              <w:lastRenderedPageBreak/>
              <w:t>9</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2C261B" w:rsidRDefault="002C261B" w:rsidP="00ED6EA3">
            <w:pPr>
              <w:rPr>
                <w:color w:val="000000"/>
              </w:rPr>
            </w:pPr>
            <w:r>
              <w:rPr>
                <w:color w:val="000000"/>
              </w:rPr>
              <w:t xml:space="preserve">Rev. Caren Caldwell </w:t>
            </w:r>
          </w:p>
        </w:tc>
        <w:tc>
          <w:tcPr>
            <w:tcW w:w="4680" w:type="dxa"/>
            <w:tcBorders>
              <w:top w:val="single" w:sz="4" w:space="0" w:color="808080"/>
              <w:left w:val="nil"/>
              <w:bottom w:val="single" w:sz="4" w:space="0" w:color="808080"/>
              <w:right w:val="single" w:sz="4" w:space="0" w:color="808080"/>
            </w:tcBorders>
            <w:shd w:val="clear" w:color="auto" w:fill="auto"/>
          </w:tcPr>
          <w:p w:rsidR="002C261B" w:rsidRDefault="002C261B">
            <w:r w:rsidRPr="007403B7">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2D0FE2" w:rsidRDefault="002C261B" w:rsidP="001B37A0">
            <w:pPr>
              <w:jc w:val="center"/>
              <w:rPr>
                <w:sz w:val="22"/>
                <w:szCs w:val="22"/>
              </w:rPr>
            </w:pPr>
          </w:p>
        </w:tc>
      </w:tr>
      <w:tr w:rsidR="002C261B" w:rsidRPr="002D0FE2" w:rsidTr="005138FC">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Pr>
                <w:sz w:val="22"/>
                <w:szCs w:val="22"/>
              </w:rPr>
              <w:t>10</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2C261B" w:rsidRDefault="002C261B" w:rsidP="00ED6EA3">
            <w:pPr>
              <w:rPr>
                <w:color w:val="000000"/>
              </w:rPr>
            </w:pPr>
            <w:r>
              <w:rPr>
                <w:color w:val="000000"/>
              </w:rPr>
              <w:t>Eric Canon</w:t>
            </w:r>
          </w:p>
        </w:tc>
        <w:tc>
          <w:tcPr>
            <w:tcW w:w="4680" w:type="dxa"/>
            <w:tcBorders>
              <w:top w:val="single" w:sz="4" w:space="0" w:color="808080"/>
              <w:left w:val="nil"/>
              <w:bottom w:val="single" w:sz="4" w:space="0" w:color="808080"/>
              <w:right w:val="single" w:sz="4" w:space="0" w:color="808080"/>
            </w:tcBorders>
            <w:shd w:val="clear" w:color="auto" w:fill="auto"/>
          </w:tcPr>
          <w:p w:rsidR="002C261B" w:rsidRDefault="002C261B">
            <w:r w:rsidRPr="007403B7">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2D0FE2" w:rsidRDefault="002C261B" w:rsidP="001B37A0">
            <w:pPr>
              <w:jc w:val="center"/>
              <w:rPr>
                <w:sz w:val="22"/>
                <w:szCs w:val="22"/>
              </w:rPr>
            </w:pPr>
          </w:p>
        </w:tc>
      </w:tr>
      <w:tr w:rsidR="002C261B" w:rsidRPr="002D0FE2" w:rsidTr="005138FC">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Pr>
                <w:sz w:val="22"/>
                <w:szCs w:val="22"/>
              </w:rPr>
              <w:t>11</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2C261B" w:rsidRDefault="002C261B" w:rsidP="00ED6EA3">
            <w:pPr>
              <w:rPr>
                <w:color w:val="000000"/>
              </w:rPr>
            </w:pPr>
            <w:r>
              <w:rPr>
                <w:color w:val="000000"/>
              </w:rPr>
              <w:t xml:space="preserve">Pat Clark </w:t>
            </w:r>
            <w:bookmarkStart w:id="13" w:name="_GoBack"/>
            <w:bookmarkEnd w:id="13"/>
          </w:p>
        </w:tc>
        <w:tc>
          <w:tcPr>
            <w:tcW w:w="4680" w:type="dxa"/>
            <w:tcBorders>
              <w:top w:val="single" w:sz="4" w:space="0" w:color="808080"/>
              <w:left w:val="nil"/>
              <w:bottom w:val="single" w:sz="4" w:space="0" w:color="808080"/>
              <w:right w:val="single" w:sz="4" w:space="0" w:color="808080"/>
            </w:tcBorders>
            <w:shd w:val="clear" w:color="auto" w:fill="auto"/>
          </w:tcPr>
          <w:p w:rsidR="002C261B" w:rsidRDefault="002C261B">
            <w:r w:rsidRPr="007403B7">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2D0FE2" w:rsidRDefault="002C261B" w:rsidP="001B37A0">
            <w:pPr>
              <w:jc w:val="center"/>
              <w:rPr>
                <w:sz w:val="22"/>
                <w:szCs w:val="22"/>
              </w:rPr>
            </w:pPr>
          </w:p>
        </w:tc>
      </w:tr>
      <w:tr w:rsidR="002C261B" w:rsidRPr="002D0FE2" w:rsidTr="00D21CE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Pr>
                <w:sz w:val="22"/>
                <w:szCs w:val="22"/>
              </w:rPr>
              <w:t>12</w:t>
            </w:r>
          </w:p>
        </w:tc>
        <w:tc>
          <w:tcPr>
            <w:tcW w:w="3240" w:type="dxa"/>
            <w:tcBorders>
              <w:top w:val="single" w:sz="4" w:space="0" w:color="808080"/>
              <w:left w:val="nil"/>
              <w:bottom w:val="single" w:sz="4" w:space="0" w:color="808080"/>
              <w:right w:val="single" w:sz="4" w:space="0" w:color="808080"/>
            </w:tcBorders>
            <w:shd w:val="clear" w:color="auto" w:fill="auto"/>
            <w:noWrap/>
          </w:tcPr>
          <w:p w:rsidR="002C261B" w:rsidRPr="002D0FE2" w:rsidRDefault="002C261B" w:rsidP="005E26A1">
            <w:pPr>
              <w:rPr>
                <w:sz w:val="22"/>
                <w:szCs w:val="22"/>
              </w:rPr>
            </w:pPr>
            <w:r>
              <w:rPr>
                <w:sz w:val="22"/>
                <w:szCs w:val="22"/>
              </w:rPr>
              <w:t>Jess Brown</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2C261B" w:rsidRDefault="002C261B">
            <w:pPr>
              <w:rPr>
                <w:color w:val="000000"/>
              </w:rPr>
            </w:pPr>
            <w:r>
              <w:rPr>
                <w:color w:val="000000"/>
              </w:rPr>
              <w:t>Collins Companies</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2D0FE2" w:rsidRDefault="002C261B" w:rsidP="001B37A0">
            <w:pPr>
              <w:jc w:val="center"/>
              <w:rPr>
                <w:sz w:val="22"/>
                <w:szCs w:val="22"/>
              </w:rPr>
            </w:pPr>
            <w:r w:rsidRPr="00053405">
              <w:rPr>
                <w:sz w:val="22"/>
                <w:szCs w:val="22"/>
              </w:rPr>
              <w:t>08/28/14</w:t>
            </w:r>
          </w:p>
        </w:tc>
      </w:tr>
      <w:tr w:rsidR="002C261B" w:rsidRPr="002D0FE2" w:rsidTr="00D21CE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Pr>
                <w:sz w:val="22"/>
                <w:szCs w:val="22"/>
              </w:rPr>
              <w:t>13</w:t>
            </w:r>
          </w:p>
        </w:tc>
        <w:tc>
          <w:tcPr>
            <w:tcW w:w="3240" w:type="dxa"/>
            <w:tcBorders>
              <w:top w:val="single" w:sz="4" w:space="0" w:color="808080"/>
              <w:left w:val="nil"/>
              <w:bottom w:val="single" w:sz="4" w:space="0" w:color="808080"/>
              <w:right w:val="single" w:sz="4" w:space="0" w:color="808080"/>
            </w:tcBorders>
            <w:shd w:val="clear" w:color="auto" w:fill="auto"/>
            <w:noWrap/>
          </w:tcPr>
          <w:p w:rsidR="002C261B" w:rsidRPr="002D0FE2" w:rsidRDefault="002C261B" w:rsidP="005E26A1">
            <w:pPr>
              <w:rPr>
                <w:sz w:val="22"/>
                <w:szCs w:val="22"/>
              </w:rPr>
            </w:pPr>
            <w:r>
              <w:rPr>
                <w:sz w:val="22"/>
                <w:szCs w:val="22"/>
              </w:rPr>
              <w:t>Darren Nichols</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2C261B" w:rsidRDefault="002C261B">
            <w:pPr>
              <w:rPr>
                <w:color w:val="000000"/>
              </w:rPr>
            </w:pPr>
            <w:r>
              <w:rPr>
                <w:color w:val="000000"/>
              </w:rPr>
              <w:t>Columbia River Gorge Commission</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2D0FE2" w:rsidRDefault="002C261B" w:rsidP="00053405">
            <w:pPr>
              <w:jc w:val="center"/>
              <w:rPr>
                <w:sz w:val="22"/>
                <w:szCs w:val="22"/>
              </w:rPr>
            </w:pPr>
            <w:r w:rsidRPr="00053405">
              <w:rPr>
                <w:sz w:val="22"/>
                <w:szCs w:val="22"/>
              </w:rPr>
              <w:t>08/2</w:t>
            </w:r>
            <w:r>
              <w:rPr>
                <w:sz w:val="22"/>
                <w:szCs w:val="22"/>
              </w:rPr>
              <w:t>7</w:t>
            </w:r>
            <w:r w:rsidRPr="00053405">
              <w:rPr>
                <w:sz w:val="22"/>
                <w:szCs w:val="22"/>
              </w:rPr>
              <w:t>/14</w:t>
            </w:r>
          </w:p>
        </w:tc>
      </w:tr>
      <w:tr w:rsidR="002C261B" w:rsidRPr="002D0FE2" w:rsidTr="005138FC">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Pr>
                <w:sz w:val="22"/>
                <w:szCs w:val="22"/>
              </w:rPr>
              <w:t>14</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2C261B" w:rsidRDefault="002C261B" w:rsidP="00ED6EA3">
            <w:pPr>
              <w:rPr>
                <w:color w:val="000000"/>
              </w:rPr>
            </w:pPr>
            <w:r>
              <w:rPr>
                <w:color w:val="000000"/>
              </w:rPr>
              <w:t>Kristina DiPaola</w:t>
            </w:r>
          </w:p>
        </w:tc>
        <w:tc>
          <w:tcPr>
            <w:tcW w:w="4680" w:type="dxa"/>
            <w:tcBorders>
              <w:top w:val="single" w:sz="4" w:space="0" w:color="808080"/>
              <w:left w:val="nil"/>
              <w:bottom w:val="single" w:sz="4" w:space="0" w:color="808080"/>
              <w:right w:val="single" w:sz="4" w:space="0" w:color="808080"/>
            </w:tcBorders>
            <w:shd w:val="clear" w:color="auto" w:fill="auto"/>
          </w:tcPr>
          <w:p w:rsidR="002C261B" w:rsidRDefault="002C261B">
            <w:r w:rsidRPr="00EC4318">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2D0FE2" w:rsidRDefault="002C261B" w:rsidP="001B37A0">
            <w:pPr>
              <w:jc w:val="center"/>
              <w:rPr>
                <w:sz w:val="22"/>
                <w:szCs w:val="22"/>
              </w:rPr>
            </w:pPr>
          </w:p>
        </w:tc>
      </w:tr>
      <w:tr w:rsidR="002C261B" w:rsidRPr="002D0FE2" w:rsidTr="005138FC">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Pr>
                <w:sz w:val="22"/>
                <w:szCs w:val="22"/>
              </w:rPr>
              <w:t>15</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2C261B" w:rsidRDefault="002C261B" w:rsidP="00ED6EA3">
            <w:pPr>
              <w:rPr>
                <w:color w:val="000000"/>
              </w:rPr>
            </w:pPr>
            <w:r>
              <w:rPr>
                <w:color w:val="000000"/>
              </w:rPr>
              <w:t xml:space="preserve">Russell A. Dondero </w:t>
            </w:r>
          </w:p>
        </w:tc>
        <w:tc>
          <w:tcPr>
            <w:tcW w:w="4680" w:type="dxa"/>
            <w:tcBorders>
              <w:top w:val="single" w:sz="4" w:space="0" w:color="808080"/>
              <w:left w:val="nil"/>
              <w:bottom w:val="single" w:sz="4" w:space="0" w:color="808080"/>
              <w:right w:val="single" w:sz="4" w:space="0" w:color="808080"/>
            </w:tcBorders>
            <w:shd w:val="clear" w:color="auto" w:fill="auto"/>
          </w:tcPr>
          <w:p w:rsidR="002C261B" w:rsidRDefault="002C261B">
            <w:r w:rsidRPr="00EC4318">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2D0FE2" w:rsidRDefault="002C261B" w:rsidP="001B37A0">
            <w:pPr>
              <w:jc w:val="center"/>
              <w:rPr>
                <w:sz w:val="22"/>
                <w:szCs w:val="22"/>
              </w:rPr>
            </w:pPr>
          </w:p>
        </w:tc>
      </w:tr>
      <w:tr w:rsidR="002C261B" w:rsidRPr="002D0FE2" w:rsidTr="005138FC">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Pr>
                <w:sz w:val="22"/>
                <w:szCs w:val="22"/>
              </w:rPr>
              <w:t>16</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2C261B" w:rsidRDefault="002C261B" w:rsidP="00ED6EA3">
            <w:pPr>
              <w:rPr>
                <w:color w:val="000000"/>
              </w:rPr>
            </w:pPr>
            <w:r>
              <w:rPr>
                <w:color w:val="000000"/>
              </w:rPr>
              <w:t xml:space="preserve">Paul &amp; Stephanie Edwards </w:t>
            </w:r>
          </w:p>
        </w:tc>
        <w:tc>
          <w:tcPr>
            <w:tcW w:w="4680" w:type="dxa"/>
            <w:tcBorders>
              <w:top w:val="single" w:sz="4" w:space="0" w:color="808080"/>
              <w:left w:val="nil"/>
              <w:bottom w:val="single" w:sz="4" w:space="0" w:color="808080"/>
              <w:right w:val="single" w:sz="4" w:space="0" w:color="808080"/>
            </w:tcBorders>
            <w:shd w:val="clear" w:color="auto" w:fill="auto"/>
          </w:tcPr>
          <w:p w:rsidR="002C261B" w:rsidRDefault="002C261B">
            <w:r w:rsidRPr="00EC4318">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2D0FE2" w:rsidRDefault="002C261B" w:rsidP="001B37A0">
            <w:pPr>
              <w:jc w:val="center"/>
              <w:rPr>
                <w:sz w:val="22"/>
                <w:szCs w:val="22"/>
              </w:rPr>
            </w:pPr>
          </w:p>
        </w:tc>
      </w:tr>
      <w:tr w:rsidR="002C261B" w:rsidRPr="002D0FE2" w:rsidTr="005138FC">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Pr>
                <w:sz w:val="22"/>
                <w:szCs w:val="22"/>
              </w:rPr>
              <w:t>17</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2C261B" w:rsidRDefault="002C261B" w:rsidP="00ED6EA3">
            <w:pPr>
              <w:rPr>
                <w:color w:val="000000"/>
              </w:rPr>
            </w:pPr>
            <w:r>
              <w:rPr>
                <w:color w:val="000000"/>
              </w:rPr>
              <w:t>Jules Elias</w:t>
            </w:r>
          </w:p>
        </w:tc>
        <w:tc>
          <w:tcPr>
            <w:tcW w:w="4680" w:type="dxa"/>
            <w:tcBorders>
              <w:top w:val="single" w:sz="4" w:space="0" w:color="808080"/>
              <w:left w:val="nil"/>
              <w:bottom w:val="single" w:sz="4" w:space="0" w:color="808080"/>
              <w:right w:val="single" w:sz="4" w:space="0" w:color="808080"/>
            </w:tcBorders>
            <w:shd w:val="clear" w:color="auto" w:fill="auto"/>
          </w:tcPr>
          <w:p w:rsidR="002C261B" w:rsidRDefault="002C261B" w:rsidP="007862B6">
            <w:r w:rsidRPr="00EC4318">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2D0FE2" w:rsidRDefault="002C261B" w:rsidP="001B37A0">
            <w:pPr>
              <w:jc w:val="center"/>
              <w:rPr>
                <w:sz w:val="22"/>
                <w:szCs w:val="22"/>
              </w:rPr>
            </w:pPr>
          </w:p>
        </w:tc>
      </w:tr>
      <w:tr w:rsidR="002C261B" w:rsidRPr="002D0FE2" w:rsidTr="005138FC">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Pr>
                <w:sz w:val="22"/>
                <w:szCs w:val="22"/>
              </w:rPr>
              <w:t>18</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2C261B" w:rsidRDefault="002C261B" w:rsidP="00ED6EA3">
            <w:pPr>
              <w:rPr>
                <w:color w:val="000000"/>
              </w:rPr>
            </w:pPr>
            <w:r>
              <w:rPr>
                <w:color w:val="000000"/>
              </w:rPr>
              <w:t xml:space="preserve">Mildred Estrin </w:t>
            </w:r>
          </w:p>
        </w:tc>
        <w:tc>
          <w:tcPr>
            <w:tcW w:w="4680" w:type="dxa"/>
            <w:tcBorders>
              <w:top w:val="single" w:sz="4" w:space="0" w:color="808080"/>
              <w:left w:val="nil"/>
              <w:bottom w:val="single" w:sz="4" w:space="0" w:color="808080"/>
              <w:right w:val="single" w:sz="4" w:space="0" w:color="808080"/>
            </w:tcBorders>
            <w:shd w:val="clear" w:color="auto" w:fill="auto"/>
          </w:tcPr>
          <w:p w:rsidR="002C261B" w:rsidRDefault="002C261B">
            <w:r w:rsidRPr="00EC4318">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2D0FE2" w:rsidRDefault="002C261B" w:rsidP="001B37A0">
            <w:pPr>
              <w:jc w:val="center"/>
              <w:rPr>
                <w:sz w:val="22"/>
                <w:szCs w:val="22"/>
              </w:rPr>
            </w:pPr>
          </w:p>
        </w:tc>
      </w:tr>
      <w:tr w:rsidR="002C261B" w:rsidRPr="002D0FE2" w:rsidTr="007862B6">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Pr>
                <w:sz w:val="22"/>
                <w:szCs w:val="22"/>
              </w:rPr>
              <w:t>19</w:t>
            </w:r>
          </w:p>
        </w:tc>
        <w:tc>
          <w:tcPr>
            <w:tcW w:w="3240" w:type="dxa"/>
            <w:tcBorders>
              <w:top w:val="single" w:sz="4" w:space="0" w:color="808080"/>
              <w:left w:val="nil"/>
              <w:bottom w:val="single" w:sz="4" w:space="0" w:color="808080"/>
              <w:right w:val="single" w:sz="4" w:space="0" w:color="808080"/>
            </w:tcBorders>
            <w:shd w:val="clear" w:color="auto" w:fill="auto"/>
            <w:noWrap/>
          </w:tcPr>
          <w:p w:rsidR="002C261B" w:rsidRDefault="002C261B" w:rsidP="005E26A1">
            <w:pPr>
              <w:rPr>
                <w:sz w:val="22"/>
                <w:szCs w:val="22"/>
              </w:rPr>
            </w:pPr>
            <w:r>
              <w:rPr>
                <w:sz w:val="22"/>
                <w:szCs w:val="22"/>
              </w:rPr>
              <w:t>Val Evers</w:t>
            </w:r>
          </w:p>
        </w:tc>
        <w:tc>
          <w:tcPr>
            <w:tcW w:w="4680" w:type="dxa"/>
            <w:tcBorders>
              <w:top w:val="single" w:sz="4" w:space="0" w:color="808080"/>
              <w:left w:val="nil"/>
              <w:bottom w:val="single" w:sz="4" w:space="0" w:color="808080"/>
              <w:right w:val="single" w:sz="4" w:space="0" w:color="808080"/>
            </w:tcBorders>
            <w:shd w:val="clear" w:color="auto" w:fill="auto"/>
          </w:tcPr>
          <w:p w:rsidR="002C261B" w:rsidRDefault="002C261B" w:rsidP="007862B6">
            <w:r w:rsidRPr="00EC4318">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053405" w:rsidRDefault="002C261B" w:rsidP="001B37A0">
            <w:pPr>
              <w:jc w:val="center"/>
              <w:rPr>
                <w:sz w:val="22"/>
                <w:szCs w:val="22"/>
              </w:rPr>
            </w:pPr>
          </w:p>
        </w:tc>
      </w:tr>
      <w:tr w:rsidR="002C261B" w:rsidRPr="002D0FE2" w:rsidTr="00D21CE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Pr>
                <w:sz w:val="22"/>
                <w:szCs w:val="22"/>
              </w:rPr>
              <w:t>20</w:t>
            </w:r>
          </w:p>
        </w:tc>
        <w:tc>
          <w:tcPr>
            <w:tcW w:w="3240" w:type="dxa"/>
            <w:tcBorders>
              <w:top w:val="single" w:sz="4" w:space="0" w:color="808080"/>
              <w:left w:val="nil"/>
              <w:bottom w:val="single" w:sz="4" w:space="0" w:color="808080"/>
              <w:right w:val="single" w:sz="4" w:space="0" w:color="808080"/>
            </w:tcBorders>
            <w:shd w:val="clear" w:color="auto" w:fill="auto"/>
            <w:noWrap/>
          </w:tcPr>
          <w:p w:rsidR="002C261B" w:rsidRPr="002D0FE2" w:rsidRDefault="002C261B" w:rsidP="005E26A1">
            <w:pPr>
              <w:rPr>
                <w:sz w:val="22"/>
                <w:szCs w:val="22"/>
              </w:rPr>
            </w:pPr>
            <w:r>
              <w:rPr>
                <w:sz w:val="22"/>
                <w:szCs w:val="22"/>
              </w:rPr>
              <w:t>Drew Gilpin</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2C261B" w:rsidRDefault="002C261B">
            <w:pPr>
              <w:rPr>
                <w:color w:val="000000"/>
              </w:rPr>
            </w:pPr>
            <w:proofErr w:type="spellStart"/>
            <w:r>
              <w:rPr>
                <w:color w:val="000000"/>
              </w:rPr>
              <w:t>Evraz</w:t>
            </w:r>
            <w:proofErr w:type="spellEnd"/>
            <w:r>
              <w:rPr>
                <w:color w:val="000000"/>
              </w:rPr>
              <w:t xml:space="preserve"> </w:t>
            </w:r>
            <w:r w:rsidRPr="00053405">
              <w:rPr>
                <w:color w:val="000000"/>
                <w:highlight w:val="yellow"/>
              </w:rPr>
              <w:t>(AOI)</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2D0FE2" w:rsidRDefault="002C261B" w:rsidP="001B37A0">
            <w:pPr>
              <w:jc w:val="center"/>
              <w:rPr>
                <w:sz w:val="22"/>
                <w:szCs w:val="22"/>
              </w:rPr>
            </w:pPr>
            <w:r w:rsidRPr="00053405">
              <w:rPr>
                <w:sz w:val="22"/>
                <w:szCs w:val="22"/>
              </w:rPr>
              <w:t>08/28/14</w:t>
            </w:r>
          </w:p>
        </w:tc>
      </w:tr>
      <w:tr w:rsidR="002C261B" w:rsidRPr="002D0FE2" w:rsidTr="005138FC">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Pr>
                <w:sz w:val="22"/>
                <w:szCs w:val="22"/>
              </w:rPr>
              <w:t>21</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2C261B" w:rsidRDefault="002C261B" w:rsidP="00ED6EA3">
            <w:pPr>
              <w:rPr>
                <w:color w:val="000000"/>
              </w:rPr>
            </w:pPr>
            <w:r>
              <w:rPr>
                <w:color w:val="000000"/>
              </w:rPr>
              <w:t xml:space="preserve">Dale Feik </w:t>
            </w:r>
          </w:p>
        </w:tc>
        <w:tc>
          <w:tcPr>
            <w:tcW w:w="4680" w:type="dxa"/>
            <w:tcBorders>
              <w:top w:val="single" w:sz="4" w:space="0" w:color="808080"/>
              <w:left w:val="nil"/>
              <w:bottom w:val="single" w:sz="4" w:space="0" w:color="808080"/>
              <w:right w:val="single" w:sz="4" w:space="0" w:color="808080"/>
            </w:tcBorders>
            <w:shd w:val="clear" w:color="auto" w:fill="auto"/>
          </w:tcPr>
          <w:p w:rsidR="002C261B" w:rsidRDefault="002C261B">
            <w:r w:rsidRPr="007239B1">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2D0FE2" w:rsidRDefault="002C261B" w:rsidP="001B37A0">
            <w:pPr>
              <w:jc w:val="center"/>
              <w:rPr>
                <w:sz w:val="22"/>
                <w:szCs w:val="22"/>
              </w:rPr>
            </w:pPr>
          </w:p>
        </w:tc>
      </w:tr>
      <w:tr w:rsidR="002C261B" w:rsidRPr="002D0FE2" w:rsidTr="005138FC">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Pr>
                <w:sz w:val="22"/>
                <w:szCs w:val="22"/>
              </w:rPr>
              <w:t>22</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2C261B" w:rsidRDefault="002C261B" w:rsidP="00ED6EA3">
            <w:pPr>
              <w:rPr>
                <w:color w:val="000000"/>
              </w:rPr>
            </w:pPr>
            <w:r>
              <w:rPr>
                <w:color w:val="000000"/>
              </w:rPr>
              <w:t>Linda Feik</w:t>
            </w:r>
          </w:p>
        </w:tc>
        <w:tc>
          <w:tcPr>
            <w:tcW w:w="4680" w:type="dxa"/>
            <w:tcBorders>
              <w:top w:val="single" w:sz="4" w:space="0" w:color="808080"/>
              <w:left w:val="nil"/>
              <w:bottom w:val="single" w:sz="4" w:space="0" w:color="808080"/>
              <w:right w:val="single" w:sz="4" w:space="0" w:color="808080"/>
            </w:tcBorders>
            <w:shd w:val="clear" w:color="auto" w:fill="auto"/>
          </w:tcPr>
          <w:p w:rsidR="002C261B" w:rsidRDefault="002C261B" w:rsidP="007862B6">
            <w:r w:rsidRPr="00EC4318">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2D0FE2" w:rsidRDefault="002C261B" w:rsidP="001B37A0">
            <w:pPr>
              <w:jc w:val="center"/>
              <w:rPr>
                <w:sz w:val="22"/>
                <w:szCs w:val="22"/>
              </w:rPr>
            </w:pPr>
          </w:p>
        </w:tc>
      </w:tr>
      <w:tr w:rsidR="002C261B" w:rsidRPr="002D0FE2" w:rsidTr="005138FC">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Pr>
                <w:sz w:val="22"/>
                <w:szCs w:val="22"/>
              </w:rPr>
              <w:t>23</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2C261B" w:rsidRDefault="002C261B" w:rsidP="00ED6EA3">
            <w:pPr>
              <w:rPr>
                <w:color w:val="000000"/>
              </w:rPr>
            </w:pPr>
            <w:r>
              <w:rPr>
                <w:color w:val="000000"/>
              </w:rPr>
              <w:t>Anne Ferguson</w:t>
            </w:r>
          </w:p>
        </w:tc>
        <w:tc>
          <w:tcPr>
            <w:tcW w:w="4680" w:type="dxa"/>
            <w:tcBorders>
              <w:top w:val="single" w:sz="4" w:space="0" w:color="808080"/>
              <w:left w:val="nil"/>
              <w:bottom w:val="single" w:sz="4" w:space="0" w:color="808080"/>
              <w:right w:val="single" w:sz="4" w:space="0" w:color="808080"/>
            </w:tcBorders>
            <w:shd w:val="clear" w:color="auto" w:fill="auto"/>
          </w:tcPr>
          <w:p w:rsidR="002C261B" w:rsidRDefault="002C261B">
            <w:r w:rsidRPr="007239B1">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2D0FE2" w:rsidRDefault="002C261B" w:rsidP="001B37A0">
            <w:pPr>
              <w:jc w:val="center"/>
              <w:rPr>
                <w:sz w:val="22"/>
                <w:szCs w:val="22"/>
              </w:rPr>
            </w:pPr>
          </w:p>
        </w:tc>
      </w:tr>
      <w:tr w:rsidR="002C261B" w:rsidRPr="002D0FE2" w:rsidTr="00D21CE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Pr>
                <w:sz w:val="22"/>
                <w:szCs w:val="22"/>
              </w:rPr>
              <w:t>24</w:t>
            </w:r>
          </w:p>
        </w:tc>
        <w:tc>
          <w:tcPr>
            <w:tcW w:w="3240" w:type="dxa"/>
            <w:tcBorders>
              <w:top w:val="single" w:sz="4" w:space="0" w:color="808080"/>
              <w:left w:val="nil"/>
              <w:bottom w:val="single" w:sz="4" w:space="0" w:color="808080"/>
              <w:right w:val="single" w:sz="4" w:space="0" w:color="808080"/>
            </w:tcBorders>
            <w:shd w:val="clear" w:color="auto" w:fill="auto"/>
            <w:noWrap/>
          </w:tcPr>
          <w:p w:rsidR="002C261B" w:rsidRPr="002D0FE2" w:rsidRDefault="002C261B" w:rsidP="005E26A1">
            <w:pPr>
              <w:rPr>
                <w:sz w:val="22"/>
                <w:szCs w:val="22"/>
              </w:rPr>
            </w:pPr>
            <w:r>
              <w:rPr>
                <w:sz w:val="22"/>
                <w:szCs w:val="22"/>
              </w:rPr>
              <w:t>Richard Till</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2C261B" w:rsidRDefault="002C261B">
            <w:pPr>
              <w:rPr>
                <w:color w:val="000000"/>
              </w:rPr>
            </w:pPr>
            <w:r>
              <w:rPr>
                <w:color w:val="000000"/>
              </w:rPr>
              <w:t>Friends of the Columbia Gorge </w:t>
            </w:r>
          </w:p>
          <w:p w:rsidR="002C261B" w:rsidRDefault="002C261B">
            <w:pPr>
              <w:rPr>
                <w:color w:val="000000"/>
              </w:rPr>
            </w:pPr>
          </w:p>
        </w:tc>
        <w:tc>
          <w:tcPr>
            <w:tcW w:w="1440" w:type="dxa"/>
            <w:tcBorders>
              <w:top w:val="single" w:sz="4" w:space="0" w:color="808080"/>
              <w:left w:val="nil"/>
              <w:bottom w:val="single" w:sz="4" w:space="0" w:color="808080"/>
              <w:right w:val="single" w:sz="4" w:space="0" w:color="808080"/>
            </w:tcBorders>
            <w:shd w:val="clear" w:color="auto" w:fill="auto"/>
          </w:tcPr>
          <w:p w:rsidR="002C261B" w:rsidRPr="00266685" w:rsidRDefault="002C261B" w:rsidP="001B37A0">
            <w:pPr>
              <w:jc w:val="center"/>
              <w:rPr>
                <w:sz w:val="22"/>
                <w:szCs w:val="22"/>
              </w:rPr>
            </w:pPr>
            <w:r w:rsidRPr="00266685">
              <w:rPr>
                <w:sz w:val="22"/>
                <w:szCs w:val="22"/>
              </w:rPr>
              <w:t>08/28/14</w:t>
            </w:r>
          </w:p>
          <w:p w:rsidR="002C261B" w:rsidRPr="002D0FE2" w:rsidRDefault="002C261B" w:rsidP="001B37A0">
            <w:pPr>
              <w:jc w:val="center"/>
              <w:rPr>
                <w:sz w:val="22"/>
                <w:szCs w:val="22"/>
              </w:rPr>
            </w:pPr>
            <w:r w:rsidRPr="00266685">
              <w:rPr>
                <w:sz w:val="22"/>
                <w:szCs w:val="22"/>
              </w:rPr>
              <w:t>09/15/14</w:t>
            </w:r>
          </w:p>
        </w:tc>
      </w:tr>
      <w:tr w:rsidR="002C261B" w:rsidRPr="002D0FE2" w:rsidTr="005138FC">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Pr>
                <w:sz w:val="22"/>
                <w:szCs w:val="22"/>
              </w:rPr>
              <w:t>25</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2C261B" w:rsidRDefault="002C261B" w:rsidP="00ED6EA3">
            <w:pPr>
              <w:rPr>
                <w:color w:val="000000"/>
              </w:rPr>
            </w:pPr>
            <w:r>
              <w:rPr>
                <w:color w:val="000000"/>
              </w:rPr>
              <w:t xml:space="preserve">Steve &amp; Marilyn Hall </w:t>
            </w:r>
          </w:p>
        </w:tc>
        <w:tc>
          <w:tcPr>
            <w:tcW w:w="4680" w:type="dxa"/>
            <w:tcBorders>
              <w:top w:val="single" w:sz="4" w:space="0" w:color="808080"/>
              <w:left w:val="nil"/>
              <w:bottom w:val="single" w:sz="4" w:space="0" w:color="808080"/>
              <w:right w:val="single" w:sz="4" w:space="0" w:color="808080"/>
            </w:tcBorders>
            <w:shd w:val="clear" w:color="auto" w:fill="auto"/>
          </w:tcPr>
          <w:p w:rsidR="002C261B" w:rsidRDefault="002C261B">
            <w:r w:rsidRPr="00AF1092">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2D0FE2" w:rsidRDefault="002C261B" w:rsidP="001B37A0">
            <w:pPr>
              <w:jc w:val="center"/>
              <w:rPr>
                <w:sz w:val="22"/>
                <w:szCs w:val="22"/>
              </w:rPr>
            </w:pPr>
          </w:p>
        </w:tc>
      </w:tr>
      <w:tr w:rsidR="002C261B" w:rsidRPr="002D0FE2" w:rsidTr="005138FC">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Pr>
                <w:sz w:val="22"/>
                <w:szCs w:val="22"/>
              </w:rPr>
              <w:t>26</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2C261B" w:rsidRDefault="002C261B" w:rsidP="00ED6EA3">
            <w:pPr>
              <w:rPr>
                <w:color w:val="000000"/>
              </w:rPr>
            </w:pPr>
            <w:r>
              <w:rPr>
                <w:color w:val="000000"/>
              </w:rPr>
              <w:t>The Rev. Heather Lynn Hanson</w:t>
            </w:r>
          </w:p>
        </w:tc>
        <w:tc>
          <w:tcPr>
            <w:tcW w:w="4680" w:type="dxa"/>
            <w:tcBorders>
              <w:top w:val="single" w:sz="4" w:space="0" w:color="808080"/>
              <w:left w:val="nil"/>
              <w:bottom w:val="single" w:sz="4" w:space="0" w:color="808080"/>
              <w:right w:val="single" w:sz="4" w:space="0" w:color="808080"/>
            </w:tcBorders>
            <w:shd w:val="clear" w:color="auto" w:fill="auto"/>
          </w:tcPr>
          <w:p w:rsidR="002C261B" w:rsidRDefault="002C261B">
            <w:r w:rsidRPr="00AF1092">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2D0FE2" w:rsidRDefault="002C261B" w:rsidP="001B37A0">
            <w:pPr>
              <w:jc w:val="center"/>
              <w:rPr>
                <w:sz w:val="22"/>
                <w:szCs w:val="22"/>
              </w:rPr>
            </w:pPr>
          </w:p>
        </w:tc>
      </w:tr>
      <w:tr w:rsidR="002C261B" w:rsidRPr="002D0FE2" w:rsidTr="005138FC">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Pr>
                <w:sz w:val="22"/>
                <w:szCs w:val="22"/>
              </w:rPr>
              <w:t>27</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2C261B" w:rsidRDefault="002C261B" w:rsidP="00ED6EA3">
            <w:pPr>
              <w:rPr>
                <w:color w:val="000000"/>
              </w:rPr>
            </w:pPr>
            <w:r>
              <w:rPr>
                <w:color w:val="000000"/>
              </w:rPr>
              <w:t>John Hayes</w:t>
            </w:r>
          </w:p>
        </w:tc>
        <w:tc>
          <w:tcPr>
            <w:tcW w:w="4680" w:type="dxa"/>
            <w:tcBorders>
              <w:top w:val="single" w:sz="4" w:space="0" w:color="808080"/>
              <w:left w:val="nil"/>
              <w:bottom w:val="single" w:sz="4" w:space="0" w:color="808080"/>
              <w:right w:val="single" w:sz="4" w:space="0" w:color="808080"/>
            </w:tcBorders>
            <w:shd w:val="clear" w:color="auto" w:fill="auto"/>
          </w:tcPr>
          <w:p w:rsidR="002C261B" w:rsidRDefault="002C261B">
            <w:r w:rsidRPr="00AF1092">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2D0FE2" w:rsidRDefault="002C261B" w:rsidP="001B37A0">
            <w:pPr>
              <w:jc w:val="center"/>
              <w:rPr>
                <w:sz w:val="22"/>
                <w:szCs w:val="22"/>
              </w:rPr>
            </w:pPr>
          </w:p>
        </w:tc>
      </w:tr>
      <w:tr w:rsidR="002C261B" w:rsidRPr="002D0FE2" w:rsidTr="005138FC">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Pr>
                <w:sz w:val="22"/>
                <w:szCs w:val="22"/>
              </w:rPr>
              <w:t>28</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2C261B" w:rsidRDefault="002C261B" w:rsidP="00ED6EA3">
            <w:pPr>
              <w:rPr>
                <w:color w:val="000000"/>
              </w:rPr>
            </w:pPr>
            <w:r>
              <w:rPr>
                <w:color w:val="000000"/>
              </w:rPr>
              <w:t xml:space="preserve">Gitanjali Hursh </w:t>
            </w:r>
          </w:p>
        </w:tc>
        <w:tc>
          <w:tcPr>
            <w:tcW w:w="4680" w:type="dxa"/>
            <w:tcBorders>
              <w:top w:val="single" w:sz="4" w:space="0" w:color="808080"/>
              <w:left w:val="nil"/>
              <w:bottom w:val="single" w:sz="4" w:space="0" w:color="808080"/>
              <w:right w:val="single" w:sz="4" w:space="0" w:color="808080"/>
            </w:tcBorders>
            <w:shd w:val="clear" w:color="auto" w:fill="auto"/>
          </w:tcPr>
          <w:p w:rsidR="002C261B" w:rsidRDefault="002C261B">
            <w:r w:rsidRPr="00AF1092">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2D0FE2" w:rsidRDefault="002C261B" w:rsidP="001B37A0">
            <w:pPr>
              <w:jc w:val="center"/>
              <w:rPr>
                <w:sz w:val="22"/>
                <w:szCs w:val="22"/>
              </w:rPr>
            </w:pPr>
          </w:p>
        </w:tc>
      </w:tr>
      <w:tr w:rsidR="002C261B" w:rsidRPr="002D0FE2" w:rsidTr="00D21CE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Pr>
                <w:sz w:val="22"/>
                <w:szCs w:val="22"/>
              </w:rPr>
              <w:t>29</w:t>
            </w:r>
          </w:p>
        </w:tc>
        <w:tc>
          <w:tcPr>
            <w:tcW w:w="3240" w:type="dxa"/>
            <w:tcBorders>
              <w:top w:val="single" w:sz="4" w:space="0" w:color="808080"/>
              <w:left w:val="nil"/>
              <w:bottom w:val="single" w:sz="4" w:space="0" w:color="808080"/>
              <w:right w:val="single" w:sz="4" w:space="0" w:color="808080"/>
            </w:tcBorders>
            <w:shd w:val="clear" w:color="auto" w:fill="auto"/>
            <w:noWrap/>
          </w:tcPr>
          <w:p w:rsidR="002C261B" w:rsidRPr="002D0FE2" w:rsidRDefault="002C261B" w:rsidP="005E26A1">
            <w:pPr>
              <w:rPr>
                <w:sz w:val="22"/>
                <w:szCs w:val="22"/>
              </w:rPr>
            </w:pPr>
            <w:r>
              <w:rPr>
                <w:sz w:val="22"/>
                <w:szCs w:val="22"/>
              </w:rPr>
              <w:t>Rafael Ortega</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2C261B" w:rsidRDefault="002C261B">
            <w:pPr>
              <w:rPr>
                <w:color w:val="000000"/>
              </w:rPr>
            </w:pPr>
            <w:r>
              <w:rPr>
                <w:color w:val="000000"/>
              </w:rPr>
              <w:t>IQ Collision  Center Inc</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2D0FE2" w:rsidRDefault="002C261B" w:rsidP="001B37A0">
            <w:pPr>
              <w:jc w:val="center"/>
              <w:rPr>
                <w:sz w:val="22"/>
                <w:szCs w:val="22"/>
              </w:rPr>
            </w:pPr>
          </w:p>
        </w:tc>
      </w:tr>
      <w:tr w:rsidR="002C261B" w:rsidRPr="002D0FE2" w:rsidTr="00D21CE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Pr>
                <w:sz w:val="22"/>
                <w:szCs w:val="22"/>
              </w:rPr>
              <w:t>30</w:t>
            </w:r>
          </w:p>
        </w:tc>
        <w:tc>
          <w:tcPr>
            <w:tcW w:w="3240" w:type="dxa"/>
            <w:tcBorders>
              <w:top w:val="single" w:sz="4" w:space="0" w:color="808080"/>
              <w:left w:val="nil"/>
              <w:bottom w:val="single" w:sz="4" w:space="0" w:color="808080"/>
              <w:right w:val="single" w:sz="4" w:space="0" w:color="808080"/>
            </w:tcBorders>
            <w:shd w:val="clear" w:color="auto" w:fill="auto"/>
            <w:noWrap/>
          </w:tcPr>
          <w:p w:rsidR="002C261B" w:rsidRPr="002D0FE2" w:rsidRDefault="002C261B" w:rsidP="005E26A1">
            <w:pPr>
              <w:rPr>
                <w:sz w:val="22"/>
                <w:szCs w:val="22"/>
              </w:rPr>
            </w:pPr>
            <w:r>
              <w:rPr>
                <w:sz w:val="22"/>
                <w:szCs w:val="22"/>
              </w:rPr>
              <w:t>Sandra Hicks</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2C261B" w:rsidRDefault="002C261B">
            <w:pPr>
              <w:rPr>
                <w:color w:val="000000"/>
              </w:rPr>
            </w:pPr>
            <w:r>
              <w:rPr>
                <w:color w:val="000000"/>
              </w:rPr>
              <w:t>Intel</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2D0FE2" w:rsidRDefault="002C261B" w:rsidP="001B37A0">
            <w:pPr>
              <w:jc w:val="center"/>
              <w:rPr>
                <w:sz w:val="22"/>
                <w:szCs w:val="22"/>
              </w:rPr>
            </w:pPr>
            <w:r>
              <w:rPr>
                <w:sz w:val="22"/>
                <w:szCs w:val="22"/>
              </w:rPr>
              <w:t>09/15/14</w:t>
            </w:r>
          </w:p>
        </w:tc>
      </w:tr>
      <w:tr w:rsidR="002C261B" w:rsidRPr="002D0FE2" w:rsidTr="00D21CE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Pr>
                <w:sz w:val="22"/>
                <w:szCs w:val="22"/>
              </w:rPr>
              <w:t>31</w:t>
            </w:r>
          </w:p>
        </w:tc>
        <w:tc>
          <w:tcPr>
            <w:tcW w:w="3240" w:type="dxa"/>
            <w:tcBorders>
              <w:top w:val="single" w:sz="4" w:space="0" w:color="808080"/>
              <w:left w:val="nil"/>
              <w:bottom w:val="single" w:sz="4" w:space="0" w:color="808080"/>
              <w:right w:val="single" w:sz="4" w:space="0" w:color="808080"/>
            </w:tcBorders>
            <w:shd w:val="clear" w:color="auto" w:fill="auto"/>
            <w:noWrap/>
          </w:tcPr>
          <w:p w:rsidR="002C261B" w:rsidRPr="002D0FE2" w:rsidRDefault="002C261B" w:rsidP="005E26A1">
            <w:pPr>
              <w:rPr>
                <w:sz w:val="22"/>
                <w:szCs w:val="22"/>
              </w:rPr>
            </w:pPr>
            <w:r>
              <w:rPr>
                <w:sz w:val="22"/>
                <w:szCs w:val="22"/>
              </w:rPr>
              <w:t>Max Hueftle</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2C261B" w:rsidRDefault="002C261B">
            <w:pPr>
              <w:rPr>
                <w:color w:val="000000"/>
              </w:rPr>
            </w:pPr>
            <w:r>
              <w:rPr>
                <w:color w:val="000000"/>
              </w:rPr>
              <w:t>Lane Regional Air Pollution Agency</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2D0FE2" w:rsidRDefault="002C261B" w:rsidP="001B37A0">
            <w:pPr>
              <w:jc w:val="center"/>
              <w:rPr>
                <w:sz w:val="22"/>
                <w:szCs w:val="22"/>
              </w:rPr>
            </w:pPr>
            <w:r w:rsidRPr="00ED6EA3">
              <w:rPr>
                <w:sz w:val="22"/>
                <w:szCs w:val="22"/>
              </w:rPr>
              <w:t>08/28/14</w:t>
            </w:r>
          </w:p>
        </w:tc>
      </w:tr>
      <w:tr w:rsidR="002C261B" w:rsidRPr="002D0FE2" w:rsidTr="005138FC">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Pr>
                <w:sz w:val="22"/>
                <w:szCs w:val="22"/>
              </w:rPr>
              <w:t>32</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2C261B" w:rsidRDefault="002C261B" w:rsidP="00ED6EA3">
            <w:pPr>
              <w:rPr>
                <w:color w:val="000000"/>
              </w:rPr>
            </w:pPr>
            <w:r>
              <w:rPr>
                <w:color w:val="000000"/>
              </w:rPr>
              <w:t>Warren Lancaster</w:t>
            </w:r>
          </w:p>
        </w:tc>
        <w:tc>
          <w:tcPr>
            <w:tcW w:w="4680" w:type="dxa"/>
            <w:tcBorders>
              <w:top w:val="single" w:sz="4" w:space="0" w:color="808080"/>
              <w:left w:val="nil"/>
              <w:bottom w:val="single" w:sz="4" w:space="0" w:color="808080"/>
              <w:right w:val="single" w:sz="4" w:space="0" w:color="808080"/>
            </w:tcBorders>
            <w:shd w:val="clear" w:color="auto" w:fill="auto"/>
          </w:tcPr>
          <w:p w:rsidR="002C261B" w:rsidRDefault="002C261B" w:rsidP="007862B6">
            <w:r w:rsidRPr="00EC4318">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2D0FE2" w:rsidRDefault="002C261B" w:rsidP="001B37A0">
            <w:pPr>
              <w:jc w:val="center"/>
              <w:rPr>
                <w:sz w:val="22"/>
                <w:szCs w:val="22"/>
              </w:rPr>
            </w:pPr>
          </w:p>
        </w:tc>
      </w:tr>
      <w:tr w:rsidR="002C261B" w:rsidRPr="002D0FE2" w:rsidTr="005138FC">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Pr>
                <w:sz w:val="22"/>
                <w:szCs w:val="22"/>
              </w:rPr>
              <w:t>33</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2C261B" w:rsidRDefault="002C261B" w:rsidP="00ED6EA3">
            <w:pPr>
              <w:rPr>
                <w:color w:val="000000"/>
              </w:rPr>
            </w:pPr>
            <w:r>
              <w:rPr>
                <w:color w:val="000000"/>
              </w:rPr>
              <w:t>Jim Lubischer</w:t>
            </w:r>
          </w:p>
        </w:tc>
        <w:tc>
          <w:tcPr>
            <w:tcW w:w="4680" w:type="dxa"/>
            <w:tcBorders>
              <w:top w:val="single" w:sz="4" w:space="0" w:color="808080"/>
              <w:left w:val="nil"/>
              <w:bottom w:val="single" w:sz="4" w:space="0" w:color="808080"/>
              <w:right w:val="single" w:sz="4" w:space="0" w:color="808080"/>
            </w:tcBorders>
            <w:shd w:val="clear" w:color="auto" w:fill="auto"/>
          </w:tcPr>
          <w:p w:rsidR="002C261B" w:rsidRDefault="002C261B">
            <w:r w:rsidRPr="00EB37B4">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2D0FE2" w:rsidRDefault="002C261B" w:rsidP="001B37A0">
            <w:pPr>
              <w:jc w:val="center"/>
              <w:rPr>
                <w:sz w:val="22"/>
                <w:szCs w:val="22"/>
              </w:rPr>
            </w:pPr>
          </w:p>
        </w:tc>
      </w:tr>
      <w:tr w:rsidR="002C261B" w:rsidRPr="002D0FE2" w:rsidTr="005138FC">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Pr>
                <w:sz w:val="22"/>
                <w:szCs w:val="22"/>
              </w:rPr>
              <w:t>34</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2C261B" w:rsidRDefault="002C261B" w:rsidP="00ED6EA3">
            <w:pPr>
              <w:rPr>
                <w:color w:val="000000"/>
              </w:rPr>
            </w:pPr>
            <w:r>
              <w:rPr>
                <w:color w:val="000000"/>
              </w:rPr>
              <w:t>Rudy Marchesi</w:t>
            </w:r>
          </w:p>
        </w:tc>
        <w:tc>
          <w:tcPr>
            <w:tcW w:w="4680" w:type="dxa"/>
            <w:tcBorders>
              <w:top w:val="single" w:sz="4" w:space="0" w:color="808080"/>
              <w:left w:val="nil"/>
              <w:bottom w:val="single" w:sz="4" w:space="0" w:color="808080"/>
              <w:right w:val="single" w:sz="4" w:space="0" w:color="808080"/>
            </w:tcBorders>
            <w:shd w:val="clear" w:color="auto" w:fill="auto"/>
          </w:tcPr>
          <w:p w:rsidR="002C261B" w:rsidRDefault="002C261B">
            <w:r w:rsidRPr="00EB37B4">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2D0FE2" w:rsidRDefault="002C261B" w:rsidP="001B37A0">
            <w:pPr>
              <w:jc w:val="center"/>
              <w:rPr>
                <w:sz w:val="22"/>
                <w:szCs w:val="22"/>
              </w:rPr>
            </w:pPr>
          </w:p>
        </w:tc>
      </w:tr>
      <w:tr w:rsidR="002C261B" w:rsidRPr="002D0FE2" w:rsidTr="00D21CE3">
        <w:trPr>
          <w:trHeight w:val="188"/>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Pr>
                <w:sz w:val="22"/>
                <w:szCs w:val="22"/>
              </w:rPr>
              <w:t>35</w:t>
            </w:r>
          </w:p>
        </w:tc>
        <w:tc>
          <w:tcPr>
            <w:tcW w:w="3240" w:type="dxa"/>
            <w:tcBorders>
              <w:top w:val="single" w:sz="4" w:space="0" w:color="808080"/>
              <w:left w:val="nil"/>
              <w:bottom w:val="single" w:sz="4" w:space="0" w:color="808080"/>
              <w:right w:val="single" w:sz="4" w:space="0" w:color="808080"/>
            </w:tcBorders>
            <w:shd w:val="clear" w:color="auto" w:fill="auto"/>
            <w:noWrap/>
          </w:tcPr>
          <w:p w:rsidR="002C261B" w:rsidRPr="002D0FE2" w:rsidRDefault="002C261B" w:rsidP="005E26A1">
            <w:pPr>
              <w:rPr>
                <w:rFonts w:eastAsiaTheme="minorHAnsi"/>
                <w:sz w:val="22"/>
                <w:szCs w:val="22"/>
              </w:rPr>
            </w:pPr>
            <w:r>
              <w:rPr>
                <w:rFonts w:eastAsiaTheme="minorHAnsi"/>
                <w:sz w:val="22"/>
                <w:szCs w:val="22"/>
              </w:rPr>
              <w:t>Peter Nelson</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2C261B" w:rsidRDefault="002C261B">
            <w:pPr>
              <w:rPr>
                <w:color w:val="000000"/>
              </w:rPr>
            </w:pPr>
            <w:r>
              <w:rPr>
                <w:color w:val="000000"/>
              </w:rPr>
              <w:t>Marc Nelson Oil Products</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2D0FE2" w:rsidRDefault="002C261B" w:rsidP="001B37A0">
            <w:pPr>
              <w:jc w:val="center"/>
              <w:rPr>
                <w:sz w:val="22"/>
                <w:szCs w:val="22"/>
              </w:rPr>
            </w:pPr>
          </w:p>
        </w:tc>
      </w:tr>
      <w:tr w:rsidR="002C261B" w:rsidRPr="002D0FE2" w:rsidTr="005138FC">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Pr>
                <w:sz w:val="22"/>
                <w:szCs w:val="22"/>
              </w:rPr>
              <w:t>36</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2C261B" w:rsidRDefault="002C261B" w:rsidP="00ED6EA3">
            <w:pPr>
              <w:rPr>
                <w:color w:val="000000"/>
              </w:rPr>
            </w:pPr>
            <w:r>
              <w:rPr>
                <w:color w:val="000000"/>
              </w:rPr>
              <w:t>Fred Marsh </w:t>
            </w:r>
          </w:p>
        </w:tc>
        <w:tc>
          <w:tcPr>
            <w:tcW w:w="4680" w:type="dxa"/>
            <w:tcBorders>
              <w:top w:val="single" w:sz="4" w:space="0" w:color="808080"/>
              <w:left w:val="nil"/>
              <w:bottom w:val="single" w:sz="4" w:space="0" w:color="808080"/>
              <w:right w:val="single" w:sz="4" w:space="0" w:color="808080"/>
            </w:tcBorders>
            <w:shd w:val="clear" w:color="auto" w:fill="auto"/>
          </w:tcPr>
          <w:p w:rsidR="002C261B" w:rsidRDefault="002C261B">
            <w:r w:rsidRPr="00697F32">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2D0FE2" w:rsidRDefault="002C261B" w:rsidP="001B37A0">
            <w:pPr>
              <w:jc w:val="center"/>
              <w:rPr>
                <w:sz w:val="22"/>
                <w:szCs w:val="22"/>
              </w:rPr>
            </w:pPr>
          </w:p>
        </w:tc>
      </w:tr>
      <w:tr w:rsidR="002C261B" w:rsidRPr="002D0FE2" w:rsidTr="005138FC">
        <w:trPr>
          <w:trHeight w:val="188"/>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Pr>
                <w:sz w:val="22"/>
                <w:szCs w:val="22"/>
              </w:rPr>
              <w:t>37</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2C261B" w:rsidRDefault="002C261B" w:rsidP="00ED6EA3">
            <w:pPr>
              <w:rPr>
                <w:color w:val="000000"/>
              </w:rPr>
            </w:pPr>
            <w:r>
              <w:rPr>
                <w:color w:val="000000"/>
              </w:rPr>
              <w:t>Bonnie McDowell</w:t>
            </w:r>
          </w:p>
        </w:tc>
        <w:tc>
          <w:tcPr>
            <w:tcW w:w="4680" w:type="dxa"/>
            <w:tcBorders>
              <w:top w:val="single" w:sz="4" w:space="0" w:color="808080"/>
              <w:left w:val="nil"/>
              <w:bottom w:val="single" w:sz="4" w:space="0" w:color="808080"/>
              <w:right w:val="single" w:sz="4" w:space="0" w:color="808080"/>
            </w:tcBorders>
            <w:shd w:val="clear" w:color="auto" w:fill="auto"/>
          </w:tcPr>
          <w:p w:rsidR="002C261B" w:rsidRDefault="002C261B" w:rsidP="007862B6">
            <w:r w:rsidRPr="00EC4318">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2D0FE2" w:rsidRDefault="002C261B" w:rsidP="001B37A0">
            <w:pPr>
              <w:jc w:val="center"/>
              <w:rPr>
                <w:sz w:val="22"/>
                <w:szCs w:val="22"/>
              </w:rPr>
            </w:pPr>
          </w:p>
        </w:tc>
      </w:tr>
      <w:tr w:rsidR="002C261B" w:rsidRPr="002D0FE2" w:rsidTr="005138FC">
        <w:trPr>
          <w:trHeight w:val="188"/>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Pr>
                <w:sz w:val="22"/>
                <w:szCs w:val="22"/>
              </w:rPr>
              <w:t>38</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2C261B" w:rsidRDefault="002C261B" w:rsidP="00ED6EA3">
            <w:pPr>
              <w:rPr>
                <w:color w:val="000000"/>
              </w:rPr>
            </w:pPr>
            <w:r>
              <w:rPr>
                <w:color w:val="000000"/>
              </w:rPr>
              <w:t xml:space="preserve">Martha Moore </w:t>
            </w:r>
          </w:p>
        </w:tc>
        <w:tc>
          <w:tcPr>
            <w:tcW w:w="4680" w:type="dxa"/>
            <w:tcBorders>
              <w:top w:val="single" w:sz="4" w:space="0" w:color="808080"/>
              <w:left w:val="nil"/>
              <w:bottom w:val="single" w:sz="4" w:space="0" w:color="808080"/>
              <w:right w:val="single" w:sz="4" w:space="0" w:color="808080"/>
            </w:tcBorders>
            <w:shd w:val="clear" w:color="auto" w:fill="auto"/>
          </w:tcPr>
          <w:p w:rsidR="002C261B" w:rsidRDefault="002C261B">
            <w:r w:rsidRPr="00697F32">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2D0FE2" w:rsidRDefault="002C261B" w:rsidP="001B37A0">
            <w:pPr>
              <w:jc w:val="center"/>
              <w:rPr>
                <w:sz w:val="22"/>
                <w:szCs w:val="22"/>
              </w:rPr>
            </w:pPr>
          </w:p>
        </w:tc>
      </w:tr>
      <w:tr w:rsidR="002C261B" w:rsidRPr="002D0FE2" w:rsidTr="007862B6">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Pr>
                <w:sz w:val="22"/>
                <w:szCs w:val="22"/>
              </w:rPr>
              <w:t>39</w:t>
            </w:r>
          </w:p>
        </w:tc>
        <w:tc>
          <w:tcPr>
            <w:tcW w:w="3240" w:type="dxa"/>
            <w:tcBorders>
              <w:top w:val="single" w:sz="4" w:space="0" w:color="808080"/>
              <w:left w:val="nil"/>
              <w:bottom w:val="single" w:sz="4" w:space="0" w:color="808080"/>
              <w:right w:val="single" w:sz="4" w:space="0" w:color="808080"/>
            </w:tcBorders>
            <w:shd w:val="clear" w:color="auto" w:fill="auto"/>
            <w:noWrap/>
          </w:tcPr>
          <w:p w:rsidR="002C261B" w:rsidRPr="002D0FE2" w:rsidRDefault="002C261B" w:rsidP="007862B6">
            <w:pPr>
              <w:rPr>
                <w:sz w:val="22"/>
                <w:szCs w:val="22"/>
              </w:rPr>
            </w:pPr>
            <w:r>
              <w:rPr>
                <w:color w:val="000000"/>
              </w:rPr>
              <w:t>Tonnie Cummings</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2C261B" w:rsidRDefault="002C261B" w:rsidP="007862B6">
            <w:pPr>
              <w:rPr>
                <w:color w:val="000000"/>
              </w:rPr>
            </w:pPr>
            <w:r>
              <w:rPr>
                <w:color w:val="000000"/>
              </w:rPr>
              <w:t>National Park Service</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2D0FE2" w:rsidRDefault="002C261B" w:rsidP="007862B6">
            <w:pPr>
              <w:jc w:val="center"/>
              <w:rPr>
                <w:sz w:val="22"/>
                <w:szCs w:val="22"/>
              </w:rPr>
            </w:pPr>
          </w:p>
        </w:tc>
      </w:tr>
      <w:tr w:rsidR="002C261B" w:rsidRPr="002D0FE2" w:rsidTr="005138FC">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Pr>
                <w:sz w:val="22"/>
                <w:szCs w:val="22"/>
              </w:rPr>
              <w:t>40</w:t>
            </w:r>
          </w:p>
        </w:tc>
        <w:tc>
          <w:tcPr>
            <w:tcW w:w="3240" w:type="dxa"/>
            <w:tcBorders>
              <w:top w:val="single" w:sz="4" w:space="0" w:color="808080"/>
              <w:left w:val="nil"/>
              <w:bottom w:val="single" w:sz="4" w:space="0" w:color="808080"/>
              <w:right w:val="single" w:sz="4" w:space="0" w:color="808080"/>
            </w:tcBorders>
            <w:shd w:val="clear" w:color="auto" w:fill="auto"/>
            <w:noWrap/>
          </w:tcPr>
          <w:p w:rsidR="002C261B" w:rsidRPr="002D0FE2" w:rsidRDefault="002C261B" w:rsidP="005138FC">
            <w:pPr>
              <w:rPr>
                <w:sz w:val="22"/>
                <w:szCs w:val="22"/>
              </w:rPr>
            </w:pPr>
            <w:r w:rsidRPr="00266685">
              <w:rPr>
                <w:sz w:val="22"/>
                <w:szCs w:val="22"/>
              </w:rPr>
              <w:t>John Krallman</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2C261B" w:rsidRDefault="002C261B" w:rsidP="005138FC">
            <w:pPr>
              <w:rPr>
                <w:color w:val="000000"/>
              </w:rPr>
            </w:pPr>
            <w:r>
              <w:rPr>
                <w:color w:val="000000"/>
              </w:rPr>
              <w:t>Neighbors for Clean Air/ Northwest Environmental Defense Center/Columbia Riverkeeper</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2D0FE2" w:rsidRDefault="002C261B" w:rsidP="005138FC">
            <w:pPr>
              <w:jc w:val="center"/>
              <w:rPr>
                <w:sz w:val="22"/>
                <w:szCs w:val="22"/>
              </w:rPr>
            </w:pPr>
            <w:r w:rsidRPr="00053405">
              <w:rPr>
                <w:sz w:val="22"/>
                <w:szCs w:val="22"/>
              </w:rPr>
              <w:t>08/28/14</w:t>
            </w:r>
          </w:p>
        </w:tc>
      </w:tr>
      <w:tr w:rsidR="002C261B" w:rsidRPr="002D0FE2" w:rsidTr="005138FC">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Pr>
                <w:sz w:val="22"/>
                <w:szCs w:val="22"/>
              </w:rPr>
              <w:t>41</w:t>
            </w:r>
          </w:p>
        </w:tc>
        <w:tc>
          <w:tcPr>
            <w:tcW w:w="3240" w:type="dxa"/>
            <w:tcBorders>
              <w:top w:val="single" w:sz="4" w:space="0" w:color="808080"/>
              <w:left w:val="nil"/>
              <w:bottom w:val="single" w:sz="4" w:space="0" w:color="808080"/>
              <w:right w:val="single" w:sz="4" w:space="0" w:color="808080"/>
            </w:tcBorders>
            <w:shd w:val="clear" w:color="auto" w:fill="auto"/>
            <w:noWrap/>
          </w:tcPr>
          <w:p w:rsidR="002C261B" w:rsidRPr="002D0FE2" w:rsidRDefault="002C261B" w:rsidP="005138FC">
            <w:pPr>
              <w:rPr>
                <w:sz w:val="22"/>
                <w:szCs w:val="22"/>
              </w:rPr>
            </w:pPr>
            <w:r>
              <w:rPr>
                <w:sz w:val="22"/>
                <w:szCs w:val="22"/>
              </w:rPr>
              <w:t>Shanna Brownstein</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2C261B" w:rsidRDefault="002C261B" w:rsidP="005138FC">
            <w:pPr>
              <w:rPr>
                <w:color w:val="000000"/>
              </w:rPr>
            </w:pPr>
            <w:r>
              <w:rPr>
                <w:color w:val="000000"/>
              </w:rPr>
              <w:t xml:space="preserve">NW Natural  </w:t>
            </w:r>
            <w:r w:rsidRPr="00A552F9">
              <w:rPr>
                <w:color w:val="000000"/>
                <w:highlight w:val="yellow"/>
              </w:rPr>
              <w:t>(AOI)</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2D0FE2" w:rsidRDefault="002C261B" w:rsidP="005138FC">
            <w:pPr>
              <w:jc w:val="center"/>
              <w:rPr>
                <w:sz w:val="22"/>
                <w:szCs w:val="22"/>
              </w:rPr>
            </w:pPr>
          </w:p>
        </w:tc>
      </w:tr>
      <w:tr w:rsidR="002C261B" w:rsidRPr="002D0FE2" w:rsidTr="00D21CE3">
        <w:trPr>
          <w:trHeight w:val="188"/>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Pr>
                <w:sz w:val="22"/>
                <w:szCs w:val="22"/>
              </w:rPr>
              <w:t>42</w:t>
            </w:r>
          </w:p>
        </w:tc>
        <w:tc>
          <w:tcPr>
            <w:tcW w:w="3240" w:type="dxa"/>
            <w:tcBorders>
              <w:top w:val="single" w:sz="4" w:space="0" w:color="808080"/>
              <w:left w:val="nil"/>
              <w:bottom w:val="single" w:sz="4" w:space="0" w:color="808080"/>
              <w:right w:val="single" w:sz="4" w:space="0" w:color="808080"/>
            </w:tcBorders>
            <w:shd w:val="clear" w:color="auto" w:fill="auto"/>
            <w:noWrap/>
          </w:tcPr>
          <w:p w:rsidR="002C261B" w:rsidRPr="002D0FE2" w:rsidRDefault="002C261B" w:rsidP="00244BDA">
            <w:pPr>
              <w:rPr>
                <w:sz w:val="22"/>
                <w:szCs w:val="22"/>
              </w:rPr>
            </w:pPr>
            <w:r w:rsidRPr="0090126E">
              <w:rPr>
                <w:sz w:val="22"/>
                <w:szCs w:val="22"/>
              </w:rPr>
              <w:t>Kathryn VanNatta</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2C261B" w:rsidRDefault="002C261B">
            <w:pPr>
              <w:rPr>
                <w:color w:val="000000"/>
              </w:rPr>
            </w:pPr>
            <w:r>
              <w:rPr>
                <w:color w:val="000000"/>
              </w:rPr>
              <w:t>Northwest Pulp &amp; Paper Association (NWPPA)</w:t>
            </w:r>
            <w:r w:rsidRPr="00A552F9">
              <w:rPr>
                <w:color w:val="000000"/>
                <w:highlight w:val="yellow"/>
              </w:rPr>
              <w:t xml:space="preserve"> (AOI)</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2D0FE2" w:rsidRDefault="002C261B" w:rsidP="001B37A0">
            <w:pPr>
              <w:jc w:val="center"/>
              <w:rPr>
                <w:sz w:val="22"/>
                <w:szCs w:val="22"/>
              </w:rPr>
            </w:pPr>
          </w:p>
        </w:tc>
      </w:tr>
      <w:tr w:rsidR="002C261B" w:rsidRPr="002D0FE2" w:rsidTr="00D21CE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Pr>
                <w:sz w:val="22"/>
                <w:szCs w:val="22"/>
              </w:rPr>
              <w:t>4</w:t>
            </w:r>
            <w:r w:rsidRPr="002D0FE2">
              <w:rPr>
                <w:sz w:val="22"/>
                <w:szCs w:val="22"/>
              </w:rPr>
              <w:t>3</w:t>
            </w:r>
          </w:p>
        </w:tc>
        <w:tc>
          <w:tcPr>
            <w:tcW w:w="3240" w:type="dxa"/>
            <w:tcBorders>
              <w:top w:val="single" w:sz="4" w:space="0" w:color="808080"/>
              <w:left w:val="nil"/>
              <w:bottom w:val="single" w:sz="4" w:space="0" w:color="808080"/>
              <w:right w:val="single" w:sz="4" w:space="0" w:color="808080"/>
            </w:tcBorders>
            <w:shd w:val="clear" w:color="auto" w:fill="auto"/>
            <w:noWrap/>
          </w:tcPr>
          <w:p w:rsidR="002C261B" w:rsidRPr="002D0FE2" w:rsidRDefault="002C261B" w:rsidP="00031721">
            <w:pPr>
              <w:pStyle w:val="ColorfulList-Accent11"/>
              <w:ind w:left="0"/>
              <w:rPr>
                <w:sz w:val="22"/>
                <w:szCs w:val="22"/>
              </w:rPr>
            </w:pPr>
            <w:r>
              <w:rPr>
                <w:sz w:val="22"/>
                <w:szCs w:val="22"/>
              </w:rPr>
              <w:t xml:space="preserve">Janet A. </w:t>
            </w:r>
            <w:proofErr w:type="spellStart"/>
            <w:r>
              <w:rPr>
                <w:sz w:val="22"/>
                <w:szCs w:val="22"/>
              </w:rPr>
              <w:t>Gillaspie</w:t>
            </w:r>
            <w:proofErr w:type="spellEnd"/>
          </w:p>
        </w:tc>
        <w:tc>
          <w:tcPr>
            <w:tcW w:w="4680" w:type="dxa"/>
            <w:tcBorders>
              <w:top w:val="single" w:sz="4" w:space="0" w:color="808080"/>
              <w:left w:val="nil"/>
              <w:bottom w:val="single" w:sz="4" w:space="0" w:color="808080"/>
              <w:right w:val="single" w:sz="4" w:space="0" w:color="808080"/>
            </w:tcBorders>
            <w:shd w:val="clear" w:color="auto" w:fill="auto"/>
            <w:vAlign w:val="bottom"/>
          </w:tcPr>
          <w:p w:rsidR="002C261B" w:rsidRDefault="002C261B">
            <w:pPr>
              <w:rPr>
                <w:color w:val="000000"/>
              </w:rPr>
            </w:pPr>
            <w:r>
              <w:rPr>
                <w:color w:val="000000"/>
              </w:rPr>
              <w:t>Oregon Association of Clean Water Agencies (ACWA)</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2D0FE2" w:rsidRDefault="002C261B" w:rsidP="001B37A0">
            <w:pPr>
              <w:jc w:val="center"/>
              <w:rPr>
                <w:sz w:val="22"/>
                <w:szCs w:val="22"/>
              </w:rPr>
            </w:pPr>
          </w:p>
        </w:tc>
      </w:tr>
      <w:tr w:rsidR="002C261B" w:rsidRPr="002D0FE2" w:rsidTr="00D21CE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Pr>
                <w:sz w:val="22"/>
                <w:szCs w:val="22"/>
              </w:rPr>
              <w:lastRenderedPageBreak/>
              <w:t>44</w:t>
            </w:r>
          </w:p>
        </w:tc>
        <w:tc>
          <w:tcPr>
            <w:tcW w:w="3240" w:type="dxa"/>
            <w:tcBorders>
              <w:top w:val="single" w:sz="4" w:space="0" w:color="808080"/>
              <w:left w:val="nil"/>
              <w:bottom w:val="single" w:sz="4" w:space="0" w:color="808080"/>
              <w:right w:val="single" w:sz="4" w:space="0" w:color="808080"/>
            </w:tcBorders>
            <w:shd w:val="clear" w:color="auto" w:fill="auto"/>
            <w:noWrap/>
          </w:tcPr>
          <w:p w:rsidR="002C261B" w:rsidRPr="002D0FE2" w:rsidRDefault="002C261B" w:rsidP="00BE6EE7">
            <w:pPr>
              <w:rPr>
                <w:sz w:val="22"/>
                <w:szCs w:val="22"/>
              </w:rPr>
            </w:pPr>
            <w:r w:rsidRPr="0090126E">
              <w:rPr>
                <w:sz w:val="22"/>
                <w:szCs w:val="22"/>
              </w:rPr>
              <w:t>Lincoln Cannon</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2C261B" w:rsidRDefault="002C261B">
            <w:pPr>
              <w:rPr>
                <w:color w:val="000000"/>
              </w:rPr>
            </w:pPr>
            <w:r>
              <w:rPr>
                <w:color w:val="000000"/>
              </w:rPr>
              <w:t xml:space="preserve">Oregon Forest Industries Council (OFIC) </w:t>
            </w:r>
            <w:r w:rsidRPr="00A552F9">
              <w:rPr>
                <w:color w:val="000000"/>
                <w:highlight w:val="yellow"/>
              </w:rPr>
              <w:t>(AOI)</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2D0FE2" w:rsidRDefault="002C261B" w:rsidP="001B37A0">
            <w:pPr>
              <w:jc w:val="center"/>
              <w:rPr>
                <w:sz w:val="22"/>
                <w:szCs w:val="22"/>
              </w:rPr>
            </w:pPr>
          </w:p>
        </w:tc>
      </w:tr>
      <w:tr w:rsidR="002C261B" w:rsidRPr="002D0FE2" w:rsidTr="005138FC">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Pr>
                <w:sz w:val="22"/>
                <w:szCs w:val="22"/>
              </w:rPr>
              <w:t>45</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2C261B" w:rsidRDefault="002C261B" w:rsidP="00A552F9">
            <w:pPr>
              <w:rPr>
                <w:color w:val="000000"/>
              </w:rPr>
            </w:pPr>
            <w:r>
              <w:rPr>
                <w:color w:val="000000"/>
              </w:rPr>
              <w:t xml:space="preserve">Karin  Pfeiffer-Hoyt </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2C261B" w:rsidRDefault="002C261B">
            <w:pPr>
              <w:rPr>
                <w:color w:val="000000"/>
              </w:rPr>
            </w:pPr>
            <w:r w:rsidRPr="00C932AD">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2D0FE2" w:rsidRDefault="002C261B" w:rsidP="001B37A0">
            <w:pPr>
              <w:jc w:val="center"/>
              <w:rPr>
                <w:sz w:val="22"/>
                <w:szCs w:val="22"/>
              </w:rPr>
            </w:pPr>
          </w:p>
        </w:tc>
      </w:tr>
      <w:tr w:rsidR="002C261B" w:rsidRPr="002D0FE2" w:rsidTr="00D21CE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Pr>
                <w:sz w:val="22"/>
                <w:szCs w:val="22"/>
              </w:rPr>
              <w:t>46</w:t>
            </w:r>
          </w:p>
        </w:tc>
        <w:tc>
          <w:tcPr>
            <w:tcW w:w="3240" w:type="dxa"/>
            <w:tcBorders>
              <w:top w:val="single" w:sz="4" w:space="0" w:color="808080"/>
              <w:left w:val="nil"/>
              <w:bottom w:val="single" w:sz="4" w:space="0" w:color="808080"/>
              <w:right w:val="single" w:sz="4" w:space="0" w:color="808080"/>
            </w:tcBorders>
            <w:shd w:val="clear" w:color="auto" w:fill="auto"/>
            <w:noWrap/>
          </w:tcPr>
          <w:p w:rsidR="002C261B" w:rsidRPr="002D0FE2" w:rsidRDefault="002C261B" w:rsidP="00244BDA">
            <w:pPr>
              <w:rPr>
                <w:sz w:val="22"/>
                <w:szCs w:val="22"/>
              </w:rPr>
            </w:pPr>
            <w:r>
              <w:rPr>
                <w:sz w:val="22"/>
                <w:szCs w:val="22"/>
              </w:rPr>
              <w:t>Sam Hartfield/David Breen</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2C261B" w:rsidRDefault="002C261B">
            <w:pPr>
              <w:rPr>
                <w:color w:val="000000"/>
              </w:rPr>
            </w:pPr>
            <w:r>
              <w:rPr>
                <w:color w:val="000000"/>
              </w:rPr>
              <w:t>Port of Portland</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2D0FE2" w:rsidRDefault="002C261B" w:rsidP="001B37A0">
            <w:pPr>
              <w:jc w:val="center"/>
              <w:rPr>
                <w:sz w:val="22"/>
                <w:szCs w:val="22"/>
              </w:rPr>
            </w:pPr>
          </w:p>
        </w:tc>
      </w:tr>
      <w:tr w:rsidR="002C261B" w:rsidRPr="002D0FE2" w:rsidTr="00D21CE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E37B44" w:rsidRDefault="002C261B" w:rsidP="007862B6">
            <w:pPr>
              <w:jc w:val="center"/>
              <w:rPr>
                <w:sz w:val="22"/>
                <w:szCs w:val="22"/>
              </w:rPr>
            </w:pPr>
            <w:r>
              <w:rPr>
                <w:sz w:val="22"/>
                <w:szCs w:val="22"/>
              </w:rPr>
              <w:t>47</w:t>
            </w:r>
          </w:p>
        </w:tc>
        <w:tc>
          <w:tcPr>
            <w:tcW w:w="3240" w:type="dxa"/>
            <w:tcBorders>
              <w:top w:val="single" w:sz="4" w:space="0" w:color="808080"/>
              <w:left w:val="nil"/>
              <w:bottom w:val="single" w:sz="4" w:space="0" w:color="808080"/>
              <w:right w:val="single" w:sz="4" w:space="0" w:color="808080"/>
            </w:tcBorders>
            <w:shd w:val="clear" w:color="auto" w:fill="auto"/>
            <w:noWrap/>
          </w:tcPr>
          <w:p w:rsidR="002C261B" w:rsidRPr="002D0FE2" w:rsidRDefault="002C261B" w:rsidP="00244BDA">
            <w:pPr>
              <w:rPr>
                <w:sz w:val="22"/>
                <w:szCs w:val="22"/>
              </w:rPr>
            </w:pPr>
            <w:r w:rsidRPr="0090126E">
              <w:rPr>
                <w:sz w:val="22"/>
                <w:szCs w:val="22"/>
              </w:rPr>
              <w:t>Ray Hendricks</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2C261B" w:rsidRDefault="002C261B">
            <w:pPr>
              <w:rPr>
                <w:color w:val="000000"/>
              </w:rPr>
            </w:pPr>
            <w:r>
              <w:rPr>
                <w:color w:val="000000"/>
              </w:rPr>
              <w:t xml:space="preserve">PGE </w:t>
            </w:r>
            <w:r w:rsidRPr="00A552F9">
              <w:rPr>
                <w:color w:val="000000"/>
                <w:highlight w:val="yellow"/>
              </w:rPr>
              <w:t>(AOI)</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2D0FE2" w:rsidRDefault="002C261B" w:rsidP="001B37A0">
            <w:pPr>
              <w:jc w:val="center"/>
              <w:rPr>
                <w:sz w:val="22"/>
                <w:szCs w:val="22"/>
              </w:rPr>
            </w:pPr>
          </w:p>
        </w:tc>
      </w:tr>
      <w:tr w:rsidR="002C261B" w:rsidRPr="00E37B44" w:rsidTr="00D21CE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E37B44" w:rsidRDefault="002C261B" w:rsidP="007862B6">
            <w:pPr>
              <w:jc w:val="center"/>
              <w:rPr>
                <w:sz w:val="22"/>
                <w:szCs w:val="22"/>
              </w:rPr>
            </w:pPr>
            <w:r>
              <w:rPr>
                <w:sz w:val="22"/>
                <w:szCs w:val="22"/>
              </w:rPr>
              <w:t>48</w:t>
            </w:r>
          </w:p>
        </w:tc>
        <w:tc>
          <w:tcPr>
            <w:tcW w:w="3240" w:type="dxa"/>
            <w:tcBorders>
              <w:top w:val="single" w:sz="4" w:space="0" w:color="808080"/>
              <w:left w:val="nil"/>
              <w:bottom w:val="single" w:sz="4" w:space="0" w:color="808080"/>
              <w:right w:val="single" w:sz="4" w:space="0" w:color="808080"/>
            </w:tcBorders>
            <w:shd w:val="clear" w:color="auto" w:fill="auto"/>
            <w:noWrap/>
          </w:tcPr>
          <w:p w:rsidR="002C261B" w:rsidRPr="00E37B44" w:rsidRDefault="002C261B" w:rsidP="00244BDA">
            <w:pPr>
              <w:rPr>
                <w:sz w:val="22"/>
                <w:szCs w:val="22"/>
              </w:rPr>
            </w:pPr>
            <w:r>
              <w:rPr>
                <w:sz w:val="22"/>
                <w:szCs w:val="22"/>
              </w:rPr>
              <w:t>Kristana Lee</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2C261B" w:rsidRDefault="002C261B">
            <w:pPr>
              <w:rPr>
                <w:color w:val="000000"/>
              </w:rPr>
            </w:pPr>
            <w:r>
              <w:rPr>
                <w:color w:val="000000"/>
              </w:rPr>
              <w:t xml:space="preserve">Roseburg Forest Products </w:t>
            </w:r>
            <w:r w:rsidRPr="00A552F9">
              <w:rPr>
                <w:color w:val="000000"/>
                <w:highlight w:val="yellow"/>
              </w:rPr>
              <w:t>(AOI)</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E37B44" w:rsidRDefault="002C261B" w:rsidP="001B37A0">
            <w:pPr>
              <w:jc w:val="center"/>
              <w:rPr>
                <w:sz w:val="22"/>
                <w:szCs w:val="22"/>
              </w:rPr>
            </w:pPr>
          </w:p>
        </w:tc>
      </w:tr>
      <w:tr w:rsidR="002C261B" w:rsidRPr="00E37B44" w:rsidTr="007862B6">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E37B44" w:rsidRDefault="002C261B" w:rsidP="007862B6">
            <w:pPr>
              <w:jc w:val="center"/>
              <w:rPr>
                <w:sz w:val="22"/>
                <w:szCs w:val="22"/>
              </w:rPr>
            </w:pPr>
            <w:r>
              <w:rPr>
                <w:sz w:val="22"/>
                <w:szCs w:val="22"/>
              </w:rPr>
              <w:t>49</w:t>
            </w:r>
          </w:p>
        </w:tc>
        <w:tc>
          <w:tcPr>
            <w:tcW w:w="3240" w:type="dxa"/>
            <w:tcBorders>
              <w:top w:val="single" w:sz="4" w:space="0" w:color="808080"/>
              <w:left w:val="nil"/>
              <w:bottom w:val="single" w:sz="4" w:space="0" w:color="808080"/>
              <w:right w:val="single" w:sz="4" w:space="0" w:color="808080"/>
            </w:tcBorders>
            <w:shd w:val="clear" w:color="auto" w:fill="auto"/>
            <w:noWrap/>
          </w:tcPr>
          <w:p w:rsidR="002C261B" w:rsidRDefault="002C261B" w:rsidP="00515F0A">
            <w:pPr>
              <w:rPr>
                <w:color w:val="000000"/>
              </w:rPr>
            </w:pPr>
            <w:r>
              <w:rPr>
                <w:color w:val="000000"/>
              </w:rPr>
              <w:t xml:space="preserve">Bob </w:t>
            </w:r>
            <w:proofErr w:type="spellStart"/>
            <w:r>
              <w:rPr>
                <w:color w:val="000000"/>
              </w:rPr>
              <w:t>Sagar</w:t>
            </w:r>
            <w:proofErr w:type="spellEnd"/>
          </w:p>
        </w:tc>
        <w:tc>
          <w:tcPr>
            <w:tcW w:w="4680" w:type="dxa"/>
            <w:tcBorders>
              <w:top w:val="single" w:sz="4" w:space="0" w:color="808080"/>
              <w:left w:val="nil"/>
              <w:bottom w:val="single" w:sz="4" w:space="0" w:color="808080"/>
              <w:right w:val="single" w:sz="4" w:space="0" w:color="808080"/>
            </w:tcBorders>
            <w:shd w:val="clear" w:color="auto" w:fill="auto"/>
          </w:tcPr>
          <w:p w:rsidR="002C261B" w:rsidRDefault="002C261B" w:rsidP="007862B6">
            <w:r w:rsidRPr="00EC4318">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E37B44" w:rsidRDefault="002C261B" w:rsidP="001B37A0">
            <w:pPr>
              <w:jc w:val="center"/>
              <w:rPr>
                <w:sz w:val="22"/>
                <w:szCs w:val="22"/>
              </w:rPr>
            </w:pPr>
          </w:p>
        </w:tc>
      </w:tr>
      <w:tr w:rsidR="002C261B" w:rsidRPr="00E37B44" w:rsidTr="007862B6">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E37B44" w:rsidRDefault="002C261B" w:rsidP="007862B6">
            <w:pPr>
              <w:jc w:val="center"/>
              <w:rPr>
                <w:sz w:val="22"/>
                <w:szCs w:val="22"/>
              </w:rPr>
            </w:pPr>
            <w:r>
              <w:rPr>
                <w:sz w:val="22"/>
                <w:szCs w:val="22"/>
              </w:rPr>
              <w:t>50</w:t>
            </w:r>
          </w:p>
        </w:tc>
        <w:tc>
          <w:tcPr>
            <w:tcW w:w="3240" w:type="dxa"/>
            <w:tcBorders>
              <w:top w:val="single" w:sz="4" w:space="0" w:color="808080"/>
              <w:left w:val="nil"/>
              <w:bottom w:val="single" w:sz="4" w:space="0" w:color="808080"/>
              <w:right w:val="single" w:sz="4" w:space="0" w:color="808080"/>
            </w:tcBorders>
            <w:shd w:val="clear" w:color="auto" w:fill="auto"/>
            <w:noWrap/>
          </w:tcPr>
          <w:p w:rsidR="002C261B" w:rsidRDefault="002C261B" w:rsidP="00515F0A">
            <w:pPr>
              <w:rPr>
                <w:color w:val="000000"/>
              </w:rPr>
            </w:pPr>
            <w:r>
              <w:rPr>
                <w:color w:val="000000"/>
              </w:rPr>
              <w:t xml:space="preserve">Del </w:t>
            </w:r>
            <w:proofErr w:type="spellStart"/>
            <w:r>
              <w:rPr>
                <w:color w:val="000000"/>
              </w:rPr>
              <w:t>Schrag</w:t>
            </w:r>
            <w:proofErr w:type="spellEnd"/>
          </w:p>
        </w:tc>
        <w:tc>
          <w:tcPr>
            <w:tcW w:w="4680" w:type="dxa"/>
            <w:tcBorders>
              <w:top w:val="single" w:sz="4" w:space="0" w:color="808080"/>
              <w:left w:val="nil"/>
              <w:bottom w:val="single" w:sz="4" w:space="0" w:color="808080"/>
              <w:right w:val="single" w:sz="4" w:space="0" w:color="808080"/>
            </w:tcBorders>
            <w:shd w:val="clear" w:color="auto" w:fill="auto"/>
          </w:tcPr>
          <w:p w:rsidR="002C261B" w:rsidRDefault="002C261B" w:rsidP="007862B6">
            <w:r w:rsidRPr="00EC4318">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E37B44" w:rsidRDefault="002C261B" w:rsidP="001B37A0">
            <w:pPr>
              <w:jc w:val="center"/>
              <w:rPr>
                <w:sz w:val="22"/>
                <w:szCs w:val="22"/>
              </w:rPr>
            </w:pPr>
          </w:p>
        </w:tc>
      </w:tr>
      <w:tr w:rsidR="002C261B" w:rsidRPr="00E37B44" w:rsidTr="00D21CE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E37B44" w:rsidRDefault="002C261B" w:rsidP="007862B6">
            <w:pPr>
              <w:jc w:val="center"/>
              <w:rPr>
                <w:sz w:val="22"/>
                <w:szCs w:val="22"/>
              </w:rPr>
            </w:pPr>
            <w:r>
              <w:rPr>
                <w:sz w:val="22"/>
                <w:szCs w:val="22"/>
              </w:rPr>
              <w:t>51</w:t>
            </w:r>
          </w:p>
        </w:tc>
        <w:tc>
          <w:tcPr>
            <w:tcW w:w="3240" w:type="dxa"/>
            <w:tcBorders>
              <w:top w:val="single" w:sz="4" w:space="0" w:color="808080"/>
              <w:left w:val="nil"/>
              <w:bottom w:val="single" w:sz="4" w:space="0" w:color="808080"/>
              <w:right w:val="single" w:sz="4" w:space="0" w:color="808080"/>
            </w:tcBorders>
            <w:shd w:val="clear" w:color="auto" w:fill="auto"/>
            <w:noWrap/>
          </w:tcPr>
          <w:p w:rsidR="002C261B" w:rsidRPr="00E37B44" w:rsidRDefault="002C261B" w:rsidP="00515F0A">
            <w:pPr>
              <w:rPr>
                <w:sz w:val="22"/>
                <w:szCs w:val="22"/>
              </w:rPr>
            </w:pPr>
            <w:r>
              <w:rPr>
                <w:color w:val="000000"/>
              </w:rPr>
              <w:t>Jack  Timmons</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2C261B" w:rsidRDefault="002C261B">
            <w:pPr>
              <w:rPr>
                <w:color w:val="000000"/>
              </w:rPr>
            </w:pPr>
            <w:r w:rsidRPr="00C932AD">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E37B44" w:rsidRDefault="002C261B" w:rsidP="001B37A0">
            <w:pPr>
              <w:jc w:val="center"/>
              <w:rPr>
                <w:sz w:val="22"/>
                <w:szCs w:val="22"/>
              </w:rPr>
            </w:pPr>
          </w:p>
        </w:tc>
      </w:tr>
      <w:tr w:rsidR="002C261B" w:rsidRPr="00E37B44" w:rsidTr="00D21CE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E37B44" w:rsidRDefault="002C261B" w:rsidP="007862B6">
            <w:pPr>
              <w:jc w:val="center"/>
              <w:rPr>
                <w:sz w:val="22"/>
                <w:szCs w:val="22"/>
              </w:rPr>
            </w:pPr>
            <w:r>
              <w:rPr>
                <w:sz w:val="22"/>
                <w:szCs w:val="22"/>
              </w:rPr>
              <w:t>52</w:t>
            </w:r>
          </w:p>
        </w:tc>
        <w:tc>
          <w:tcPr>
            <w:tcW w:w="3240" w:type="dxa"/>
            <w:tcBorders>
              <w:top w:val="single" w:sz="4" w:space="0" w:color="808080"/>
              <w:left w:val="nil"/>
              <w:bottom w:val="single" w:sz="4" w:space="0" w:color="808080"/>
              <w:right w:val="single" w:sz="4" w:space="0" w:color="808080"/>
            </w:tcBorders>
            <w:shd w:val="clear" w:color="auto" w:fill="auto"/>
            <w:noWrap/>
          </w:tcPr>
          <w:p w:rsidR="002C261B" w:rsidRPr="00E37B44" w:rsidRDefault="002C261B" w:rsidP="00E17CCC">
            <w:pPr>
              <w:rPr>
                <w:sz w:val="22"/>
                <w:szCs w:val="22"/>
              </w:rPr>
            </w:pPr>
            <w:r>
              <w:rPr>
                <w:sz w:val="22"/>
                <w:szCs w:val="22"/>
              </w:rPr>
              <w:t>Debra Suzuki</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2C261B" w:rsidRDefault="002C261B">
            <w:pPr>
              <w:rPr>
                <w:color w:val="000000"/>
              </w:rPr>
            </w:pPr>
            <w:r>
              <w:rPr>
                <w:color w:val="000000"/>
              </w:rPr>
              <w:t>US Environmental Protection Agency</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E37B44" w:rsidRDefault="002C261B" w:rsidP="001B37A0">
            <w:pPr>
              <w:jc w:val="center"/>
              <w:rPr>
                <w:sz w:val="22"/>
                <w:szCs w:val="22"/>
              </w:rPr>
            </w:pPr>
          </w:p>
        </w:tc>
      </w:tr>
      <w:tr w:rsidR="002C261B" w:rsidRPr="00E37B44" w:rsidTr="00D21CE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Default="002C261B" w:rsidP="007862B6">
            <w:pPr>
              <w:jc w:val="center"/>
              <w:rPr>
                <w:sz w:val="22"/>
                <w:szCs w:val="22"/>
              </w:rPr>
            </w:pPr>
            <w:r>
              <w:rPr>
                <w:sz w:val="22"/>
                <w:szCs w:val="22"/>
              </w:rPr>
              <w:t>53</w:t>
            </w:r>
          </w:p>
        </w:tc>
        <w:tc>
          <w:tcPr>
            <w:tcW w:w="3240" w:type="dxa"/>
            <w:tcBorders>
              <w:top w:val="single" w:sz="4" w:space="0" w:color="808080"/>
              <w:left w:val="nil"/>
              <w:bottom w:val="single" w:sz="4" w:space="0" w:color="808080"/>
              <w:right w:val="single" w:sz="4" w:space="0" w:color="808080"/>
            </w:tcBorders>
            <w:shd w:val="clear" w:color="auto" w:fill="auto"/>
            <w:noWrap/>
          </w:tcPr>
          <w:p w:rsidR="002C261B" w:rsidRPr="00E37B44" w:rsidRDefault="002C261B" w:rsidP="00244BDA">
            <w:pPr>
              <w:rPr>
                <w:sz w:val="22"/>
                <w:szCs w:val="22"/>
              </w:rPr>
            </w:pPr>
            <w:r>
              <w:rPr>
                <w:sz w:val="22"/>
                <w:szCs w:val="22"/>
              </w:rPr>
              <w:t>James Pena</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2C261B" w:rsidRDefault="002C261B">
            <w:pPr>
              <w:rPr>
                <w:color w:val="000000"/>
              </w:rPr>
            </w:pPr>
            <w:r>
              <w:rPr>
                <w:color w:val="000000"/>
              </w:rPr>
              <w:t>US Forest Service (USFS)</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E37B44" w:rsidRDefault="002C261B" w:rsidP="001B37A0">
            <w:pPr>
              <w:jc w:val="center"/>
              <w:rPr>
                <w:sz w:val="22"/>
                <w:szCs w:val="22"/>
              </w:rPr>
            </w:pPr>
          </w:p>
        </w:tc>
      </w:tr>
      <w:tr w:rsidR="002C261B" w:rsidRPr="00E37B44" w:rsidTr="007862B6">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E37B44" w:rsidRDefault="002C261B" w:rsidP="007862B6">
            <w:pPr>
              <w:jc w:val="center"/>
              <w:rPr>
                <w:sz w:val="22"/>
                <w:szCs w:val="22"/>
              </w:rPr>
            </w:pPr>
            <w:r>
              <w:rPr>
                <w:sz w:val="22"/>
                <w:szCs w:val="22"/>
              </w:rPr>
              <w:t>54</w:t>
            </w:r>
          </w:p>
        </w:tc>
        <w:tc>
          <w:tcPr>
            <w:tcW w:w="3240" w:type="dxa"/>
            <w:tcBorders>
              <w:top w:val="single" w:sz="4" w:space="0" w:color="808080"/>
              <w:left w:val="nil"/>
              <w:bottom w:val="single" w:sz="4" w:space="0" w:color="808080"/>
              <w:right w:val="single" w:sz="4" w:space="0" w:color="808080"/>
            </w:tcBorders>
            <w:shd w:val="clear" w:color="auto" w:fill="auto"/>
            <w:noWrap/>
          </w:tcPr>
          <w:p w:rsidR="002C261B" w:rsidRDefault="002C261B" w:rsidP="00114136">
            <w:pPr>
              <w:tabs>
                <w:tab w:val="right" w:pos="3024"/>
              </w:tabs>
              <w:rPr>
                <w:color w:val="000000"/>
              </w:rPr>
            </w:pPr>
            <w:r>
              <w:rPr>
                <w:color w:val="000000"/>
              </w:rPr>
              <w:t>Loren Waltz</w:t>
            </w:r>
            <w:r w:rsidR="00114136">
              <w:rPr>
                <w:color w:val="000000"/>
              </w:rPr>
              <w:tab/>
            </w:r>
          </w:p>
        </w:tc>
        <w:tc>
          <w:tcPr>
            <w:tcW w:w="4680" w:type="dxa"/>
            <w:tcBorders>
              <w:top w:val="single" w:sz="4" w:space="0" w:color="808080"/>
              <w:left w:val="nil"/>
              <w:bottom w:val="single" w:sz="4" w:space="0" w:color="808080"/>
              <w:right w:val="single" w:sz="4" w:space="0" w:color="808080"/>
            </w:tcBorders>
            <w:shd w:val="clear" w:color="auto" w:fill="auto"/>
          </w:tcPr>
          <w:p w:rsidR="002C261B" w:rsidRDefault="002C261B" w:rsidP="007862B6">
            <w:r w:rsidRPr="00EC4318">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E37B44" w:rsidRDefault="002C261B" w:rsidP="001B37A0">
            <w:pPr>
              <w:jc w:val="center"/>
              <w:rPr>
                <w:sz w:val="22"/>
                <w:szCs w:val="22"/>
              </w:rPr>
            </w:pPr>
          </w:p>
        </w:tc>
      </w:tr>
      <w:tr w:rsidR="002C261B" w:rsidRPr="00E37B44" w:rsidTr="00D21CE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Pr>
                <w:sz w:val="22"/>
                <w:szCs w:val="22"/>
              </w:rPr>
              <w:t>55</w:t>
            </w:r>
          </w:p>
        </w:tc>
        <w:tc>
          <w:tcPr>
            <w:tcW w:w="3240" w:type="dxa"/>
            <w:tcBorders>
              <w:top w:val="single" w:sz="4" w:space="0" w:color="808080"/>
              <w:left w:val="nil"/>
              <w:bottom w:val="single" w:sz="4" w:space="0" w:color="808080"/>
              <w:right w:val="single" w:sz="4" w:space="0" w:color="808080"/>
            </w:tcBorders>
            <w:shd w:val="clear" w:color="auto" w:fill="auto"/>
            <w:noWrap/>
          </w:tcPr>
          <w:p w:rsidR="002C261B" w:rsidRPr="002D0FE2" w:rsidRDefault="002C261B" w:rsidP="00514A04">
            <w:pPr>
              <w:rPr>
                <w:rFonts w:eastAsiaTheme="minorHAnsi"/>
                <w:sz w:val="22"/>
                <w:szCs w:val="22"/>
              </w:rPr>
            </w:pPr>
            <w:r>
              <w:rPr>
                <w:color w:val="000000"/>
              </w:rPr>
              <w:t>Ruth and William Warren</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2C261B" w:rsidRDefault="002C261B">
            <w:pPr>
              <w:rPr>
                <w:color w:val="000000"/>
              </w:rPr>
            </w:pPr>
            <w:r w:rsidRPr="00C932AD">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E37B44" w:rsidRDefault="002C261B" w:rsidP="001B37A0">
            <w:pPr>
              <w:jc w:val="center"/>
              <w:rPr>
                <w:sz w:val="22"/>
                <w:szCs w:val="22"/>
              </w:rPr>
            </w:pPr>
          </w:p>
        </w:tc>
      </w:tr>
      <w:tr w:rsidR="002C261B" w:rsidRPr="002D0FE2" w:rsidTr="00D21CE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Pr>
                <w:sz w:val="22"/>
                <w:szCs w:val="22"/>
              </w:rPr>
              <w:t>56</w:t>
            </w:r>
          </w:p>
        </w:tc>
        <w:tc>
          <w:tcPr>
            <w:tcW w:w="3240" w:type="dxa"/>
            <w:tcBorders>
              <w:top w:val="single" w:sz="4" w:space="0" w:color="808080"/>
              <w:left w:val="nil"/>
              <w:bottom w:val="single" w:sz="4" w:space="0" w:color="808080"/>
              <w:right w:val="single" w:sz="4" w:space="0" w:color="808080"/>
            </w:tcBorders>
            <w:shd w:val="clear" w:color="auto" w:fill="auto"/>
            <w:noWrap/>
          </w:tcPr>
          <w:p w:rsidR="002C261B" w:rsidRPr="002D0FE2" w:rsidRDefault="002C261B" w:rsidP="00097977">
            <w:pPr>
              <w:rPr>
                <w:sz w:val="22"/>
                <w:szCs w:val="22"/>
              </w:rPr>
            </w:pPr>
            <w:r>
              <w:rPr>
                <w:sz w:val="22"/>
                <w:szCs w:val="22"/>
              </w:rPr>
              <w:t>Paul Burns</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2C261B" w:rsidRDefault="002C261B">
            <w:pPr>
              <w:rPr>
                <w:color w:val="000000"/>
              </w:rPr>
            </w:pPr>
            <w:r>
              <w:rPr>
                <w:color w:val="000000"/>
              </w:rPr>
              <w:t>Waste Management</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2D0FE2" w:rsidRDefault="002C261B" w:rsidP="001B37A0">
            <w:pPr>
              <w:jc w:val="center"/>
              <w:rPr>
                <w:sz w:val="22"/>
                <w:szCs w:val="22"/>
              </w:rPr>
            </w:pPr>
          </w:p>
        </w:tc>
      </w:tr>
      <w:tr w:rsidR="002C261B" w:rsidRPr="002D0FE2" w:rsidTr="00D21CE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1918B4" w:rsidRDefault="002C261B" w:rsidP="007862B6">
            <w:pPr>
              <w:jc w:val="center"/>
              <w:rPr>
                <w:sz w:val="22"/>
                <w:szCs w:val="22"/>
              </w:rPr>
            </w:pPr>
            <w:r>
              <w:rPr>
                <w:sz w:val="22"/>
                <w:szCs w:val="22"/>
              </w:rPr>
              <w:t>57</w:t>
            </w:r>
          </w:p>
        </w:tc>
        <w:tc>
          <w:tcPr>
            <w:tcW w:w="3240" w:type="dxa"/>
            <w:tcBorders>
              <w:top w:val="single" w:sz="4" w:space="0" w:color="808080"/>
              <w:left w:val="nil"/>
              <w:bottom w:val="single" w:sz="4" w:space="0" w:color="808080"/>
              <w:right w:val="single" w:sz="4" w:space="0" w:color="808080"/>
            </w:tcBorders>
            <w:shd w:val="clear" w:color="auto" w:fill="auto"/>
            <w:noWrap/>
          </w:tcPr>
          <w:p w:rsidR="002C261B" w:rsidRPr="002D0FE2" w:rsidRDefault="002C261B" w:rsidP="00097977">
            <w:pPr>
              <w:rPr>
                <w:sz w:val="22"/>
                <w:szCs w:val="22"/>
              </w:rPr>
            </w:pPr>
            <w:r>
              <w:rPr>
                <w:sz w:val="22"/>
                <w:szCs w:val="22"/>
              </w:rPr>
              <w:t>Frank E. Holmes</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2C261B" w:rsidRDefault="002C261B">
            <w:pPr>
              <w:rPr>
                <w:color w:val="000000"/>
              </w:rPr>
            </w:pPr>
            <w:r>
              <w:rPr>
                <w:color w:val="000000"/>
              </w:rPr>
              <w:t>Western States Petroleum Association (WSPA)</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2D0FE2" w:rsidRDefault="002C261B" w:rsidP="001B37A0">
            <w:pPr>
              <w:jc w:val="center"/>
              <w:rPr>
                <w:sz w:val="22"/>
                <w:szCs w:val="22"/>
              </w:rPr>
            </w:pPr>
          </w:p>
        </w:tc>
      </w:tr>
      <w:tr w:rsidR="002C261B" w:rsidRPr="001918B4" w:rsidTr="00956E64">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1918B4" w:rsidRDefault="002C261B" w:rsidP="007862B6">
            <w:pPr>
              <w:jc w:val="center"/>
              <w:rPr>
                <w:sz w:val="22"/>
                <w:szCs w:val="22"/>
              </w:rPr>
            </w:pPr>
            <w:r>
              <w:rPr>
                <w:sz w:val="22"/>
                <w:szCs w:val="22"/>
              </w:rPr>
              <w:t>58</w:t>
            </w:r>
          </w:p>
        </w:tc>
        <w:tc>
          <w:tcPr>
            <w:tcW w:w="3240" w:type="dxa"/>
            <w:tcBorders>
              <w:top w:val="single" w:sz="4" w:space="0" w:color="808080"/>
              <w:left w:val="nil"/>
              <w:bottom w:val="single" w:sz="4" w:space="0" w:color="808080"/>
              <w:right w:val="single" w:sz="4" w:space="0" w:color="808080"/>
            </w:tcBorders>
            <w:shd w:val="clear" w:color="auto" w:fill="auto"/>
            <w:noWrap/>
          </w:tcPr>
          <w:p w:rsidR="002C261B" w:rsidRPr="001918B4" w:rsidRDefault="002C261B" w:rsidP="0044400A">
            <w:pPr>
              <w:rPr>
                <w:sz w:val="22"/>
                <w:szCs w:val="22"/>
              </w:rPr>
            </w:pPr>
            <w:r w:rsidRPr="0090126E">
              <w:rPr>
                <w:sz w:val="22"/>
                <w:szCs w:val="22"/>
              </w:rPr>
              <w:t>Dale Wonn</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2C261B" w:rsidRDefault="002C261B">
            <w:pPr>
              <w:rPr>
                <w:color w:val="000000"/>
              </w:rPr>
            </w:pPr>
            <w:r>
              <w:rPr>
                <w:color w:val="000000"/>
              </w:rPr>
              <w:t>Weyerhaeuser (</w:t>
            </w:r>
            <w:r w:rsidRPr="00514A04">
              <w:rPr>
                <w:color w:val="000000"/>
                <w:highlight w:val="yellow"/>
              </w:rPr>
              <w:t>AOI)</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1918B4" w:rsidRDefault="002C261B" w:rsidP="001B37A0">
            <w:pPr>
              <w:jc w:val="center"/>
              <w:rPr>
                <w:sz w:val="22"/>
                <w:szCs w:val="22"/>
              </w:rPr>
            </w:pPr>
          </w:p>
        </w:tc>
      </w:tr>
      <w:tr w:rsidR="002C261B" w:rsidRPr="001918B4" w:rsidTr="00D21CE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1918B4" w:rsidRDefault="002C261B" w:rsidP="00F71F4C">
            <w:pPr>
              <w:jc w:val="center"/>
              <w:rPr>
                <w:sz w:val="22"/>
                <w:szCs w:val="22"/>
              </w:rPr>
            </w:pPr>
            <w:r>
              <w:rPr>
                <w:sz w:val="22"/>
                <w:szCs w:val="22"/>
              </w:rPr>
              <w:t>59</w:t>
            </w:r>
          </w:p>
        </w:tc>
        <w:tc>
          <w:tcPr>
            <w:tcW w:w="3240" w:type="dxa"/>
            <w:tcBorders>
              <w:top w:val="single" w:sz="4" w:space="0" w:color="808080"/>
              <w:left w:val="nil"/>
              <w:bottom w:val="single" w:sz="4" w:space="0" w:color="808080"/>
              <w:right w:val="single" w:sz="4" w:space="0" w:color="808080"/>
            </w:tcBorders>
            <w:shd w:val="clear" w:color="auto" w:fill="auto"/>
            <w:noWrap/>
          </w:tcPr>
          <w:p w:rsidR="002C261B" w:rsidRPr="001918B4" w:rsidRDefault="002C261B" w:rsidP="00ED6EA3">
            <w:pPr>
              <w:rPr>
                <w:sz w:val="22"/>
                <w:szCs w:val="22"/>
              </w:rPr>
            </w:pPr>
            <w:r>
              <w:rPr>
                <w:color w:val="000000"/>
              </w:rPr>
              <w:t xml:space="preserve">Rob Vance </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2C261B" w:rsidRDefault="002C261B">
            <w:pPr>
              <w:rPr>
                <w:color w:val="000000"/>
              </w:rPr>
            </w:pPr>
            <w:r>
              <w:rPr>
                <w:color w:val="000000"/>
              </w:rPr>
              <w:t>DEQ</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1918B4" w:rsidRDefault="002C261B" w:rsidP="001B37A0">
            <w:pPr>
              <w:jc w:val="center"/>
              <w:rPr>
                <w:sz w:val="22"/>
                <w:szCs w:val="22"/>
              </w:rPr>
            </w:pPr>
          </w:p>
        </w:tc>
      </w:tr>
      <w:tr w:rsidR="00C40437" w:rsidRPr="001918B4" w:rsidTr="00D21CE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C40437" w:rsidRDefault="00C40437" w:rsidP="00F71F4C">
            <w:pPr>
              <w:jc w:val="center"/>
              <w:rPr>
                <w:sz w:val="22"/>
                <w:szCs w:val="22"/>
              </w:rPr>
            </w:pPr>
            <w:r>
              <w:rPr>
                <w:sz w:val="22"/>
                <w:szCs w:val="22"/>
              </w:rPr>
              <w:t>60</w:t>
            </w:r>
          </w:p>
        </w:tc>
        <w:tc>
          <w:tcPr>
            <w:tcW w:w="3240" w:type="dxa"/>
            <w:tcBorders>
              <w:top w:val="single" w:sz="4" w:space="0" w:color="808080"/>
              <w:left w:val="nil"/>
              <w:bottom w:val="single" w:sz="4" w:space="0" w:color="808080"/>
              <w:right w:val="single" w:sz="4" w:space="0" w:color="808080"/>
            </w:tcBorders>
            <w:shd w:val="clear" w:color="auto" w:fill="auto"/>
            <w:noWrap/>
          </w:tcPr>
          <w:p w:rsidR="00C40437" w:rsidRDefault="00C40437" w:rsidP="00ED6EA3">
            <w:pPr>
              <w:rPr>
                <w:color w:val="000000"/>
              </w:rPr>
            </w:pPr>
            <w:r w:rsidRPr="00900CB8">
              <w:t>Sharon Genasci</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C40437" w:rsidRDefault="00C40437">
            <w:pPr>
              <w:rPr>
                <w:color w:val="000000"/>
              </w:rPr>
            </w:pPr>
            <w:r w:rsidRPr="00C40437">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C40437" w:rsidRPr="001918B4" w:rsidRDefault="00C40437" w:rsidP="001B37A0">
            <w:pPr>
              <w:jc w:val="center"/>
              <w:rPr>
                <w:sz w:val="22"/>
                <w:szCs w:val="22"/>
              </w:rPr>
            </w:pPr>
          </w:p>
        </w:tc>
      </w:tr>
    </w:tbl>
    <w:p w:rsidR="00076541" w:rsidRDefault="00076541" w:rsidP="00956E64">
      <w:pPr>
        <w:rPr>
          <w:sz w:val="22"/>
          <w:szCs w:val="22"/>
        </w:rPr>
      </w:pPr>
    </w:p>
    <w:p w:rsidR="00752819" w:rsidRPr="002D0FE2" w:rsidRDefault="00752819" w:rsidP="000D030B">
      <w:pPr>
        <w:rPr>
          <w:sz w:val="22"/>
          <w:szCs w:val="22"/>
        </w:rPr>
      </w:pPr>
    </w:p>
    <w:sectPr w:rsidR="00752819" w:rsidRPr="002D0FE2" w:rsidSect="00911DEC">
      <w:headerReference w:type="default" r:id="rId12"/>
      <w:headerReference w:type="first" r:id="rId13"/>
      <w:pgSz w:w="12240" w:h="15840" w:code="1"/>
      <w:pgMar w:top="720" w:right="360" w:bottom="1440" w:left="1080" w:header="720" w:footer="720" w:gutter="0"/>
      <w:cols w:space="720"/>
      <w:noEndnote/>
      <w:titlePg/>
      <w:docGrid w:linePitch="326"/>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jinahar" w:date="2014-12-03T06:55:00Z" w:initials="j">
    <w:p w:rsidR="00327739" w:rsidRDefault="00327739">
      <w:pPr>
        <w:pStyle w:val="CommentText"/>
      </w:pPr>
      <w:r>
        <w:rPr>
          <w:rStyle w:val="CommentReference"/>
        </w:rPr>
        <w:annotationRef/>
      </w:r>
      <w:r>
        <w:t>This document has all of the comments that still need responses.</w:t>
      </w:r>
    </w:p>
    <w:p w:rsidR="00FC7312" w:rsidRDefault="00FC7312">
      <w:pPr>
        <w:pStyle w:val="CommentText"/>
      </w:pPr>
    </w:p>
    <w:p w:rsidR="00FC7312" w:rsidRDefault="00FC7312">
      <w:pPr>
        <w:pStyle w:val="CommentText"/>
      </w:pPr>
      <w:r>
        <w:t>REPLACE ACRONYMS</w:t>
      </w:r>
    </w:p>
  </w:comment>
  <w:comment w:id="2" w:author="Mark" w:date="2014-12-02T20:44:00Z" w:initials="M">
    <w:p w:rsidR="00327739" w:rsidRPr="00EF553C" w:rsidRDefault="00327739">
      <w:pPr>
        <w:pStyle w:val="CommentText"/>
      </w:pPr>
      <w:r>
        <w:rPr>
          <w:rStyle w:val="CommentReference"/>
        </w:rPr>
        <w:annotationRef/>
      </w:r>
      <w:r w:rsidRPr="00EF553C">
        <w:t>We need to verify with EPA that this, or something like it, will take care of their concern</w:t>
      </w:r>
      <w:r w:rsidRPr="00EF553C">
        <w:annotationRef/>
      </w:r>
    </w:p>
    <w:p w:rsidR="00327739" w:rsidRPr="00EF553C" w:rsidRDefault="00327739">
      <w:pPr>
        <w:pStyle w:val="CommentText"/>
      </w:pPr>
    </w:p>
    <w:p w:rsidR="00327739" w:rsidRPr="00EF553C" w:rsidRDefault="00327739">
      <w:pPr>
        <w:pStyle w:val="CommentText"/>
      </w:pPr>
      <w:r w:rsidRPr="00EF553C">
        <w:t>BUT WHAT ABOUT THE RULE BY RULE COMPARISON AND WHICH RULES APPLY IN LIEU OF OR IN ADDITION?</w:t>
      </w:r>
    </w:p>
  </w:comment>
  <w:comment w:id="3" w:author="Mark" w:date="2014-11-12T07:06:00Z" w:initials="M">
    <w:p w:rsidR="00327739" w:rsidRDefault="00327739">
      <w:pPr>
        <w:pStyle w:val="CommentText"/>
      </w:pPr>
      <w:r>
        <w:rPr>
          <w:rStyle w:val="CommentReference"/>
        </w:rPr>
        <w:annotationRef/>
      </w:r>
      <w:r>
        <w:t>Already addressed?  Add to other similar comments in Part 1</w:t>
      </w:r>
    </w:p>
  </w:comment>
  <w:comment w:id="4" w:author="jinahar" w:date="2014-11-10T14:55:00Z" w:initials="j">
    <w:p w:rsidR="00327739" w:rsidRDefault="00327739">
      <w:pPr>
        <w:pStyle w:val="CommentText"/>
      </w:pPr>
      <w:r>
        <w:rPr>
          <w:rStyle w:val="CommentReference"/>
        </w:rPr>
        <w:annotationRef/>
      </w:r>
      <w:r>
        <w:t>George:  you had this part of the comment highlighted in yellow meaning you weren’t finished yet:</w:t>
      </w:r>
    </w:p>
    <w:p w:rsidR="00327739" w:rsidRDefault="00327739">
      <w:pPr>
        <w:pStyle w:val="CommentText"/>
      </w:pPr>
    </w:p>
    <w:p w:rsidR="00327739" w:rsidRDefault="00327739">
      <w:pPr>
        <w:pStyle w:val="CommentText"/>
      </w:pPr>
      <w:proofErr w:type="gramStart"/>
      <w:r w:rsidRPr="00846AC1">
        <w:rPr>
          <w:highlight w:val="yellow"/>
        </w:rPr>
        <w:t>emissions</w:t>
      </w:r>
      <w:proofErr w:type="gramEnd"/>
      <w:r w:rsidRPr="00846AC1">
        <w:rPr>
          <w:highlight w:val="yellow"/>
        </w:rPr>
        <w:t xml:space="preserve"> from categorically insignificant activities must be considered when determining NSR or PSD applicability under OAR 340 division 224.”</w:t>
      </w:r>
    </w:p>
    <w:p w:rsidR="00327739" w:rsidRDefault="00327739">
      <w:pPr>
        <w:pStyle w:val="CommentText"/>
      </w:pPr>
    </w:p>
    <w:p w:rsidR="00327739" w:rsidRDefault="00327739">
      <w:pPr>
        <w:pStyle w:val="CommentText"/>
      </w:pPr>
      <w:r>
        <w:t>Gfd reply – I think this is ok, but think all of the PSEL rule/NSR comments should be grouped together so that all are responded to as a whole.</w:t>
      </w:r>
    </w:p>
  </w:comment>
  <w:comment w:id="5" w:author="jinahar" w:date="2014-11-10T14:53:00Z" w:initials="j">
    <w:p w:rsidR="00327739" w:rsidRDefault="00327739">
      <w:pPr>
        <w:pStyle w:val="CommentText"/>
      </w:pPr>
      <w:r>
        <w:rPr>
          <w:rStyle w:val="CommentReference"/>
        </w:rPr>
        <w:annotationRef/>
      </w:r>
      <w:r>
        <w:t>George, you had this highlighted in yellow in your last summary of responses along with these parts of the comment:</w:t>
      </w:r>
    </w:p>
    <w:p w:rsidR="00327739" w:rsidRDefault="00327739">
      <w:pPr>
        <w:pStyle w:val="CommentText"/>
      </w:pPr>
    </w:p>
    <w:p w:rsidR="00327739" w:rsidRDefault="00327739">
      <w:pPr>
        <w:pStyle w:val="CommentText"/>
      </w:pPr>
      <w:r w:rsidRPr="00846AC1">
        <w:rPr>
          <w:highlight w:val="yellow"/>
        </w:rPr>
        <w:t>As written, this means that by requesting to increase a NOx PSEL to 40 tpy or more in a nonattainment area--regardless of the source’s netting basis--that source will trigger nonattainment State NSR and be required to provide offsets and demonstrate a net air quality benefit</w:t>
      </w:r>
    </w:p>
    <w:p w:rsidR="00327739" w:rsidRDefault="00327739">
      <w:pPr>
        <w:pStyle w:val="CommentText"/>
      </w:pPr>
    </w:p>
    <w:p w:rsidR="00327739" w:rsidRDefault="00327739">
      <w:pPr>
        <w:pStyle w:val="CommentText"/>
      </w:pPr>
      <w:r w:rsidRPr="00846AC1">
        <w:rPr>
          <w:highlight w:val="yellow"/>
        </w:rPr>
        <w:t>Therefore, a very plausible reading of OAR 340-224-0010(2) is that it serves as a separate and perhaps supplementary gateway into State NSR.</w:t>
      </w:r>
    </w:p>
    <w:p w:rsidR="00327739" w:rsidRDefault="00327739">
      <w:pPr>
        <w:pStyle w:val="CommentText"/>
      </w:pPr>
    </w:p>
    <w:p w:rsidR="00327739" w:rsidRDefault="00327739">
      <w:pPr>
        <w:pStyle w:val="CommentText"/>
      </w:pPr>
      <w:r>
        <w:t>Gfd reply – same as above, all PSEL/NSR comments should be grouped. Also, I think this is highlighted because I/we need to think about this comment some more. Also, I think there are more changes to make to the PSEL rule/NSR applicability.</w:t>
      </w:r>
    </w:p>
  </w:comment>
  <w:comment w:id="6" w:author="jinahar" w:date="2014-11-13T14:36:00Z" w:initials="j">
    <w:p w:rsidR="00327739" w:rsidRDefault="00327739">
      <w:pPr>
        <w:pStyle w:val="CommentText"/>
      </w:pPr>
      <w:r>
        <w:rPr>
          <w:rStyle w:val="CommentReference"/>
        </w:rPr>
        <w:annotationRef/>
      </w:r>
      <w:r>
        <w:t>George, you have two different responses here. Which one do you want?</w:t>
      </w:r>
    </w:p>
    <w:p w:rsidR="00327739" w:rsidRDefault="00327739">
      <w:pPr>
        <w:pStyle w:val="CommentText"/>
      </w:pPr>
    </w:p>
    <w:p w:rsidR="00327739" w:rsidRDefault="00327739">
      <w:pPr>
        <w:pStyle w:val="CommentText"/>
      </w:pPr>
      <w:r>
        <w:t>Gfd reply- both. The first responds to the first comment, the second responds to the second comment. However, I think the short summary of the first comment may be missing so detail that was in the comment I originally wrote this for.</w:t>
      </w:r>
    </w:p>
  </w:comment>
  <w:comment w:id="7" w:author="Mark" w:date="2014-12-03T06:18:00Z" w:initials="M">
    <w:p w:rsidR="00327739" w:rsidRDefault="00327739">
      <w:pPr>
        <w:pStyle w:val="CommentText"/>
      </w:pPr>
      <w:r>
        <w:rPr>
          <w:rStyle w:val="CommentReference"/>
        </w:rPr>
        <w:annotationRef/>
      </w:r>
      <w:r>
        <w:t>Talk with George</w:t>
      </w:r>
    </w:p>
  </w:comment>
  <w:comment w:id="8" w:author="Mark" w:date="2014-11-12T07:39:00Z" w:initials="M">
    <w:p w:rsidR="00327739" w:rsidRDefault="00327739">
      <w:pPr>
        <w:pStyle w:val="CommentText"/>
      </w:pPr>
      <w:r>
        <w:rPr>
          <w:rStyle w:val="CommentReference"/>
        </w:rPr>
        <w:annotationRef/>
      </w:r>
      <w:r>
        <w:t xml:space="preserve">What if there is no new control technology?  </w:t>
      </w:r>
    </w:p>
  </w:comment>
  <w:comment w:id="9" w:author="jinahar" w:date="2014-11-12T07:43:00Z" w:initials="j">
    <w:p w:rsidR="00327739" w:rsidRDefault="00327739">
      <w:pPr>
        <w:pStyle w:val="CommentText"/>
      </w:pPr>
      <w:r>
        <w:rPr>
          <w:rStyle w:val="CommentReference"/>
        </w:rPr>
        <w:annotationRef/>
      </w:r>
      <w:r>
        <w:t>George:  you had this part of the comment highlighted in yellow:</w:t>
      </w:r>
    </w:p>
    <w:p w:rsidR="00327739" w:rsidRDefault="00327739">
      <w:pPr>
        <w:pStyle w:val="CommentText"/>
      </w:pPr>
    </w:p>
    <w:p w:rsidR="00327739" w:rsidRDefault="00327739">
      <w:pPr>
        <w:pStyle w:val="CommentText"/>
      </w:pPr>
      <w:proofErr w:type="gramStart"/>
      <w:r w:rsidRPr="00003121">
        <w:rPr>
          <w:highlight w:val="yellow"/>
        </w:rPr>
        <w:t>of</w:t>
      </w:r>
      <w:proofErr w:type="gramEnd"/>
      <w:r w:rsidRPr="00003121">
        <w:rPr>
          <w:highlight w:val="yellow"/>
        </w:rPr>
        <w:t xml:space="preserve"> short term, seasonal, and yearly time periods to mitigate the effects of the proposed emissions. Because woodstoves are only operated seasonally, offsets generated from their retirement arguably would not meet this requirement for an industrial source operating year round.</w:t>
      </w:r>
    </w:p>
    <w:p w:rsidR="00327739" w:rsidRDefault="00327739">
      <w:pPr>
        <w:pStyle w:val="CommentText"/>
      </w:pPr>
    </w:p>
    <w:p w:rsidR="00327739" w:rsidRDefault="00327739">
      <w:pPr>
        <w:pStyle w:val="CommentText"/>
      </w:pPr>
      <w:r>
        <w:t>Gfd reply – as discussed with RMT, rules need to be revised to specify offset ratio in div 204, so response needs to be revised for that. Maybe other minor tweaks needed here, but otherwise I think it’s good.</w:t>
      </w:r>
    </w:p>
  </w:comment>
  <w:comment w:id="10" w:author="jinahar" w:date="2014-11-12T07:48:00Z" w:initials="j">
    <w:p w:rsidR="00327739" w:rsidRPr="00D07F18" w:rsidRDefault="00327739" w:rsidP="00D07F18">
      <w:pPr>
        <w:pStyle w:val="CommentText"/>
      </w:pPr>
      <w:r>
        <w:rPr>
          <w:rStyle w:val="CommentReference"/>
        </w:rPr>
        <w:annotationRef/>
      </w:r>
      <w:r w:rsidRPr="00D07F18">
        <w:t>This comment was addressed in the 4&amp;5 responses</w:t>
      </w:r>
    </w:p>
    <w:p w:rsidR="00327739" w:rsidRPr="00D07F18" w:rsidRDefault="00327739" w:rsidP="00D07F18">
      <w:pPr>
        <w:pStyle w:val="CommentText"/>
      </w:pPr>
      <w:proofErr w:type="gramStart"/>
      <w:r w:rsidRPr="00D07F18">
        <w:t>gfd</w:t>
      </w:r>
      <w:proofErr w:type="gramEnd"/>
    </w:p>
    <w:p w:rsidR="00327739" w:rsidRPr="00D07F18" w:rsidRDefault="00327739" w:rsidP="00D07F18">
      <w:pPr>
        <w:pStyle w:val="CommentText"/>
      </w:pPr>
      <w:r w:rsidRPr="00D07F18">
        <w:t>The offset ratios chosen by DEQ are wholly insufficient to achieve the goals of the sustainment program. For sources choosing to demonstrate a Net Air Quality Benefit in a sustainment area, the offset ratio is only 0.1:1 and can drop as low as 0.05:1. The reduction that the sustainment program would offer is minimal. Given these extremely low requirements for offsets, it is entirely unclear whether reductions from the sustainment program would be able to achieve the goal of keeping an area under the NAAQS, let alone reducing emissions in an area violating the NAAQS enough to help the area get below dangerous levels. If DEQ insists on using the sustainment program, the DEQ should at least modify the offset ratios to a more modest level so that the program might actually have a chance of succeeding in stabilizing or reducing the ambient concentration of air pollutants.</w:t>
      </w:r>
    </w:p>
    <w:p w:rsidR="00327739" w:rsidRDefault="00327739">
      <w:pPr>
        <w:pStyle w:val="CommentText"/>
      </w:pPr>
    </w:p>
    <w:p w:rsidR="00327739" w:rsidRDefault="00327739">
      <w:pPr>
        <w:pStyle w:val="CommentText"/>
      </w:pPr>
      <w:r>
        <w:t>So do we want to repeat this or just direct them to the other response?</w:t>
      </w:r>
    </w:p>
  </w:comment>
  <w:comment w:id="11" w:author="Mark" w:date="2014-11-13T14:42:00Z" w:initials="M">
    <w:p w:rsidR="00327739" w:rsidRDefault="00327739">
      <w:pPr>
        <w:pStyle w:val="CommentText"/>
      </w:pPr>
      <w:r>
        <w:rPr>
          <w:rStyle w:val="CommentReference"/>
        </w:rPr>
        <w:annotationRef/>
      </w:r>
      <w:r>
        <w:t>Is this still true?</w:t>
      </w:r>
    </w:p>
  </w:comment>
  <w:comment w:id="12" w:author="Mark" w:date="2014-11-13T09:19:00Z" w:initials="M">
    <w:p w:rsidR="00327739" w:rsidRDefault="00327739">
      <w:pPr>
        <w:pStyle w:val="CommentText"/>
      </w:pPr>
      <w:r>
        <w:rPr>
          <w:rStyle w:val="CommentReference"/>
        </w:rPr>
        <w:annotationRef/>
      </w:r>
      <w:r>
        <w:t xml:space="preserve">Not just Intel, all </w:t>
      </w:r>
      <w:proofErr w:type="spellStart"/>
      <w:r>
        <w:t>souirces</w:t>
      </w:r>
      <w:proofErr w:type="spellEnd"/>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7E4BEF1" w15:done="0"/>
  <w15:commentEx w15:paraId="7D7E00C2" w15:done="0"/>
  <w15:commentEx w15:paraId="65F0112E" w15:done="0"/>
  <w15:commentEx w15:paraId="45CFF18B" w15:done="0"/>
  <w15:commentEx w15:paraId="369F7B22" w15:done="0"/>
  <w15:commentEx w15:paraId="219E9C6C" w15:done="0"/>
  <w15:commentEx w15:paraId="15733447" w15:done="0"/>
  <w15:commentEx w15:paraId="79C3813A" w15:done="0"/>
  <w15:commentEx w15:paraId="19F0E910" w15:done="0"/>
  <w15:commentEx w15:paraId="7FA93BA4" w15:done="0"/>
  <w15:commentEx w15:paraId="5328A35A" w15:done="0"/>
  <w15:commentEx w15:paraId="6FCFF842" w15:done="0"/>
  <w15:commentEx w15:paraId="1873E51B" w15:done="0"/>
  <w15:commentEx w15:paraId="3128EA4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7739" w:rsidRDefault="00327739">
      <w:r>
        <w:separator/>
      </w:r>
    </w:p>
  </w:endnote>
  <w:endnote w:type="continuationSeparator" w:id="0">
    <w:p w:rsidR="00327739" w:rsidRDefault="003277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HLEN N+ Melior">
    <w:altName w:val="Melior"/>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ヒラギノ角ゴ Pro W3">
    <w:charset w:val="00"/>
    <w:family w:val="roman"/>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7739" w:rsidRDefault="00327739">
      <w:r>
        <w:separator/>
      </w:r>
    </w:p>
  </w:footnote>
  <w:footnote w:type="continuationSeparator" w:id="0">
    <w:p w:rsidR="00327739" w:rsidRDefault="003277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739" w:rsidRPr="00294053" w:rsidRDefault="00327739" w:rsidP="008F20A9">
    <w:pPr>
      <w:tabs>
        <w:tab w:val="left" w:pos="-1440"/>
        <w:tab w:val="left" w:pos="-720"/>
      </w:tabs>
      <w:suppressAutoHyphens/>
      <w:rPr>
        <w:rStyle w:val="PageNumber"/>
      </w:rPr>
    </w:pPr>
    <w:r w:rsidRPr="00294053">
      <w:rPr>
        <w:rStyle w:val="PageNumber"/>
      </w:rPr>
      <w:t xml:space="preserve">Attachment </w:t>
    </w:r>
    <w:r>
      <w:rPr>
        <w:rStyle w:val="PageNumber"/>
      </w:rPr>
      <w:t>XX</w:t>
    </w:r>
  </w:p>
  <w:p w:rsidR="00327739" w:rsidRPr="00294053" w:rsidRDefault="00327739" w:rsidP="00FC5FD0">
    <w:pPr>
      <w:tabs>
        <w:tab w:val="left" w:pos="-1440"/>
        <w:tab w:val="left" w:pos="-720"/>
      </w:tabs>
      <w:suppressAutoHyphens/>
    </w:pPr>
    <w:r>
      <w:t>March XX-XX, 2015</w:t>
    </w:r>
    <w:r w:rsidRPr="00294053">
      <w:t xml:space="preserve"> EQC Meeting</w:t>
    </w:r>
  </w:p>
  <w:p w:rsidR="00327739" w:rsidRPr="00294053" w:rsidRDefault="00327739" w:rsidP="00FC5FD0">
    <w:pPr>
      <w:tabs>
        <w:tab w:val="left" w:pos="-1440"/>
        <w:tab w:val="left" w:pos="-720"/>
      </w:tabs>
      <w:suppressAutoHyphens/>
      <w:rPr>
        <w:rStyle w:val="PageNumber"/>
      </w:rPr>
    </w:pPr>
    <w:r w:rsidRPr="00294053">
      <w:t xml:space="preserve">Page </w:t>
    </w:r>
    <w:r w:rsidRPr="00294053">
      <w:rPr>
        <w:rStyle w:val="PageNumber"/>
      </w:rPr>
      <w:fldChar w:fldCharType="begin"/>
    </w:r>
    <w:r w:rsidRPr="00294053">
      <w:rPr>
        <w:rStyle w:val="PageNumber"/>
      </w:rPr>
      <w:instrText xml:space="preserve"> PAGE </w:instrText>
    </w:r>
    <w:r w:rsidRPr="00294053">
      <w:rPr>
        <w:rStyle w:val="PageNumber"/>
      </w:rPr>
      <w:fldChar w:fldCharType="separate"/>
    </w:r>
    <w:r w:rsidR="006451E1">
      <w:rPr>
        <w:rStyle w:val="PageNumber"/>
        <w:noProof/>
      </w:rPr>
      <w:t>23</w:t>
    </w:r>
    <w:r w:rsidRPr="00294053">
      <w:rPr>
        <w:rStyle w:val="PageNumber"/>
      </w:rPr>
      <w:fldChar w:fldCharType="end"/>
    </w:r>
    <w:r w:rsidRPr="00294053">
      <w:t xml:space="preserve"> of </w:t>
    </w:r>
    <w:r w:rsidRPr="00294053">
      <w:rPr>
        <w:rStyle w:val="PageNumber"/>
      </w:rPr>
      <w:fldChar w:fldCharType="begin"/>
    </w:r>
    <w:r w:rsidRPr="00294053">
      <w:rPr>
        <w:rStyle w:val="PageNumber"/>
      </w:rPr>
      <w:instrText xml:space="preserve"> NUMPAGES  </w:instrText>
    </w:r>
    <w:r w:rsidRPr="00294053">
      <w:rPr>
        <w:rStyle w:val="PageNumber"/>
      </w:rPr>
      <w:fldChar w:fldCharType="separate"/>
    </w:r>
    <w:r w:rsidR="006451E1">
      <w:rPr>
        <w:rStyle w:val="PageNumber"/>
        <w:noProof/>
      </w:rPr>
      <w:t>23</w:t>
    </w:r>
    <w:r w:rsidRPr="00294053">
      <w:rPr>
        <w:rStyle w:val="PageNumber"/>
      </w:rPr>
      <w:fldChar w:fldCharType="end"/>
    </w:r>
  </w:p>
  <w:p w:rsidR="00327739" w:rsidRPr="00D81356" w:rsidRDefault="0032773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739" w:rsidRPr="00294053" w:rsidRDefault="00327739" w:rsidP="008F20A9">
    <w:pPr>
      <w:tabs>
        <w:tab w:val="left" w:pos="-1440"/>
        <w:tab w:val="left" w:pos="-720"/>
      </w:tabs>
      <w:suppressAutoHyphens/>
      <w:rPr>
        <w:rStyle w:val="PageNumber"/>
      </w:rPr>
    </w:pPr>
    <w:r w:rsidRPr="00294053">
      <w:rPr>
        <w:rStyle w:val="PageNumber"/>
      </w:rPr>
      <w:t xml:space="preserve">Attachment </w:t>
    </w:r>
    <w:r>
      <w:rPr>
        <w:rStyle w:val="PageNumber"/>
      </w:rPr>
      <w:t>B</w:t>
    </w:r>
  </w:p>
  <w:p w:rsidR="00327739" w:rsidRPr="00294053" w:rsidRDefault="00327739" w:rsidP="00576CFD">
    <w:pPr>
      <w:tabs>
        <w:tab w:val="left" w:pos="-1440"/>
        <w:tab w:val="left" w:pos="-720"/>
      </w:tabs>
      <w:suppressAutoHyphens/>
    </w:pPr>
    <w:r>
      <w:t>March XX-XX, 2015</w:t>
    </w:r>
    <w:r w:rsidRPr="00294053">
      <w:t xml:space="preserve"> EQC Meeting</w:t>
    </w:r>
  </w:p>
  <w:p w:rsidR="00327739" w:rsidRPr="00294053" w:rsidRDefault="00327739" w:rsidP="00576CFD">
    <w:pPr>
      <w:tabs>
        <w:tab w:val="left" w:pos="-1440"/>
        <w:tab w:val="left" w:pos="-720"/>
      </w:tabs>
      <w:suppressAutoHyphens/>
      <w:rPr>
        <w:rStyle w:val="PageNumber"/>
      </w:rPr>
    </w:pPr>
    <w:r w:rsidRPr="00294053">
      <w:t xml:space="preserve">Page </w:t>
    </w:r>
    <w:r w:rsidRPr="00294053">
      <w:rPr>
        <w:rStyle w:val="PageNumber"/>
      </w:rPr>
      <w:fldChar w:fldCharType="begin"/>
    </w:r>
    <w:r w:rsidRPr="00294053">
      <w:rPr>
        <w:rStyle w:val="PageNumber"/>
      </w:rPr>
      <w:instrText xml:space="preserve"> PAGE </w:instrText>
    </w:r>
    <w:r w:rsidRPr="00294053">
      <w:rPr>
        <w:rStyle w:val="PageNumber"/>
      </w:rPr>
      <w:fldChar w:fldCharType="separate"/>
    </w:r>
    <w:r w:rsidR="006451E1">
      <w:rPr>
        <w:rStyle w:val="PageNumber"/>
        <w:noProof/>
      </w:rPr>
      <w:t>1</w:t>
    </w:r>
    <w:r w:rsidRPr="00294053">
      <w:rPr>
        <w:rStyle w:val="PageNumber"/>
      </w:rPr>
      <w:fldChar w:fldCharType="end"/>
    </w:r>
    <w:r w:rsidRPr="00294053">
      <w:t xml:space="preserve"> of </w:t>
    </w:r>
    <w:r w:rsidRPr="00294053">
      <w:rPr>
        <w:rStyle w:val="PageNumber"/>
      </w:rPr>
      <w:fldChar w:fldCharType="begin"/>
    </w:r>
    <w:r w:rsidRPr="00294053">
      <w:rPr>
        <w:rStyle w:val="PageNumber"/>
      </w:rPr>
      <w:instrText xml:space="preserve"> NUMPAGES  </w:instrText>
    </w:r>
    <w:r w:rsidRPr="00294053">
      <w:rPr>
        <w:rStyle w:val="PageNumber"/>
      </w:rPr>
      <w:fldChar w:fldCharType="separate"/>
    </w:r>
    <w:r w:rsidR="006451E1">
      <w:rPr>
        <w:rStyle w:val="PageNumber"/>
        <w:noProof/>
      </w:rPr>
      <w:t>23</w:t>
    </w:r>
    <w:r w:rsidRPr="00294053">
      <w:rPr>
        <w:rStyle w:val="PageNumber"/>
      </w:rPr>
      <w:fldChar w:fldCharType="end"/>
    </w:r>
  </w:p>
  <w:p w:rsidR="00327739" w:rsidRDefault="0032773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894EE875"/>
    <w:lvl w:ilvl="0">
      <w:start w:val="1"/>
      <w:numFmt w:val="decimal"/>
      <w:isLgl/>
      <w:suff w:val="nothing"/>
      <w:lvlText w:val="%1)"/>
      <w:lvlJc w:val="left"/>
      <w:pPr>
        <w:ind w:left="0" w:firstLine="260"/>
      </w:pPr>
      <w:rPr>
        <w:rFonts w:hint="default"/>
        <w:position w:val="0"/>
        <w:sz w:val="20"/>
      </w:rPr>
    </w:lvl>
    <w:lvl w:ilvl="1">
      <w:start w:val="3"/>
      <w:numFmt w:val="decimal"/>
      <w:isLgl/>
      <w:lvlText w:val="%2)"/>
      <w:lvlJc w:val="left"/>
      <w:pPr>
        <w:tabs>
          <w:tab w:val="num" w:pos="260"/>
        </w:tabs>
        <w:ind w:left="260" w:firstLine="720"/>
      </w:pPr>
      <w:rPr>
        <w:rFonts w:hint="default"/>
        <w:position w:val="0"/>
        <w:sz w:val="20"/>
      </w:rPr>
    </w:lvl>
    <w:lvl w:ilvl="2">
      <w:start w:val="1"/>
      <w:numFmt w:val="decimal"/>
      <w:isLgl/>
      <w:suff w:val="nothing"/>
      <w:lvlText w:val="%3)"/>
      <w:lvlJc w:val="left"/>
      <w:pPr>
        <w:ind w:left="0" w:firstLine="1700"/>
      </w:pPr>
      <w:rPr>
        <w:rFonts w:hint="default"/>
        <w:position w:val="0"/>
        <w:sz w:val="20"/>
      </w:rPr>
    </w:lvl>
    <w:lvl w:ilvl="3">
      <w:start w:val="1"/>
      <w:numFmt w:val="decimal"/>
      <w:isLgl/>
      <w:suff w:val="nothing"/>
      <w:lvlText w:val="%4)"/>
      <w:lvlJc w:val="left"/>
      <w:pPr>
        <w:ind w:left="0" w:firstLine="2420"/>
      </w:pPr>
      <w:rPr>
        <w:rFonts w:hint="default"/>
        <w:position w:val="0"/>
        <w:sz w:val="20"/>
      </w:rPr>
    </w:lvl>
    <w:lvl w:ilvl="4">
      <w:start w:val="1"/>
      <w:numFmt w:val="decimal"/>
      <w:isLgl/>
      <w:suff w:val="nothing"/>
      <w:lvlText w:val="%5)"/>
      <w:lvlJc w:val="left"/>
      <w:pPr>
        <w:ind w:left="0" w:firstLine="3140"/>
      </w:pPr>
      <w:rPr>
        <w:rFonts w:hint="default"/>
        <w:position w:val="0"/>
        <w:sz w:val="20"/>
      </w:rPr>
    </w:lvl>
    <w:lvl w:ilvl="5">
      <w:start w:val="1"/>
      <w:numFmt w:val="decimal"/>
      <w:isLgl/>
      <w:suff w:val="nothing"/>
      <w:lvlText w:val="%6)"/>
      <w:lvlJc w:val="left"/>
      <w:pPr>
        <w:ind w:left="0" w:firstLine="3860"/>
      </w:pPr>
      <w:rPr>
        <w:rFonts w:hint="default"/>
        <w:position w:val="0"/>
        <w:sz w:val="20"/>
      </w:rPr>
    </w:lvl>
    <w:lvl w:ilvl="6">
      <w:start w:val="1"/>
      <w:numFmt w:val="decimal"/>
      <w:isLgl/>
      <w:suff w:val="nothing"/>
      <w:lvlText w:val="%7)"/>
      <w:lvlJc w:val="left"/>
      <w:pPr>
        <w:ind w:left="0" w:firstLine="4580"/>
      </w:pPr>
      <w:rPr>
        <w:rFonts w:hint="default"/>
        <w:position w:val="0"/>
        <w:sz w:val="20"/>
      </w:rPr>
    </w:lvl>
    <w:lvl w:ilvl="7">
      <w:start w:val="1"/>
      <w:numFmt w:val="decimal"/>
      <w:isLgl/>
      <w:suff w:val="nothing"/>
      <w:lvlText w:val="%8)"/>
      <w:lvlJc w:val="left"/>
      <w:pPr>
        <w:ind w:left="0" w:firstLine="5300"/>
      </w:pPr>
      <w:rPr>
        <w:rFonts w:hint="default"/>
        <w:position w:val="0"/>
        <w:sz w:val="20"/>
      </w:rPr>
    </w:lvl>
    <w:lvl w:ilvl="8">
      <w:start w:val="1"/>
      <w:numFmt w:val="decimal"/>
      <w:isLgl/>
      <w:suff w:val="nothing"/>
      <w:lvlText w:val="%9)"/>
      <w:lvlJc w:val="left"/>
      <w:pPr>
        <w:ind w:left="0" w:firstLine="6020"/>
      </w:pPr>
      <w:rPr>
        <w:rFonts w:hint="default"/>
        <w:position w:val="0"/>
        <w:sz w:val="20"/>
      </w:rPr>
    </w:lvl>
  </w:abstractNum>
  <w:abstractNum w:abstractNumId="1">
    <w:nsid w:val="00920AE5"/>
    <w:multiLevelType w:val="hybridMultilevel"/>
    <w:tmpl w:val="49E44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205F08"/>
    <w:multiLevelType w:val="hybridMultilevel"/>
    <w:tmpl w:val="BCF0C0AA"/>
    <w:lvl w:ilvl="0" w:tplc="BB8C64A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92F0E79"/>
    <w:multiLevelType w:val="hybridMultilevel"/>
    <w:tmpl w:val="3BA0D2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9E8368C"/>
    <w:multiLevelType w:val="hybridMultilevel"/>
    <w:tmpl w:val="FE2ECC4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FB2481A"/>
    <w:multiLevelType w:val="hybridMultilevel"/>
    <w:tmpl w:val="9F121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BE69D5"/>
    <w:multiLevelType w:val="hybridMultilevel"/>
    <w:tmpl w:val="9D6CE0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5D12DED"/>
    <w:multiLevelType w:val="hybridMultilevel"/>
    <w:tmpl w:val="1D661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0B5C1E"/>
    <w:multiLevelType w:val="hybridMultilevel"/>
    <w:tmpl w:val="60202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895809"/>
    <w:multiLevelType w:val="hybridMultilevel"/>
    <w:tmpl w:val="2FBC8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FD3C7D"/>
    <w:multiLevelType w:val="hybridMultilevel"/>
    <w:tmpl w:val="6C36B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B358CC"/>
    <w:multiLevelType w:val="hybridMultilevel"/>
    <w:tmpl w:val="C316C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33200D"/>
    <w:multiLevelType w:val="hybridMultilevel"/>
    <w:tmpl w:val="470ABC0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7883DAE"/>
    <w:multiLevelType w:val="hybridMultilevel"/>
    <w:tmpl w:val="F3744458"/>
    <w:lvl w:ilvl="0" w:tplc="04090011">
      <w:start w:val="1"/>
      <w:numFmt w:val="decimal"/>
      <w:lvlText w:val="%1)"/>
      <w:lvlJc w:val="left"/>
      <w:pPr>
        <w:ind w:left="720" w:hanging="360"/>
      </w:pPr>
      <w:rPr>
        <w:rFont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E22C57"/>
    <w:multiLevelType w:val="hybridMultilevel"/>
    <w:tmpl w:val="682A7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5C5B91"/>
    <w:multiLevelType w:val="hybridMultilevel"/>
    <w:tmpl w:val="33D86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BD96AA0"/>
    <w:multiLevelType w:val="hybridMultilevel"/>
    <w:tmpl w:val="1CF8B546"/>
    <w:lvl w:ilvl="0" w:tplc="EC16CBCC">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2E7736BB"/>
    <w:multiLevelType w:val="hybridMultilevel"/>
    <w:tmpl w:val="8D32573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07B1CF0"/>
    <w:multiLevelType w:val="hybridMultilevel"/>
    <w:tmpl w:val="B16E4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18908AF"/>
    <w:multiLevelType w:val="hybridMultilevel"/>
    <w:tmpl w:val="599E87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55C4552"/>
    <w:multiLevelType w:val="hybridMultilevel"/>
    <w:tmpl w:val="310610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595608C"/>
    <w:multiLevelType w:val="hybridMultilevel"/>
    <w:tmpl w:val="5016E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8F95D37"/>
    <w:multiLevelType w:val="hybridMultilevel"/>
    <w:tmpl w:val="79CCEFB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A1D312D"/>
    <w:multiLevelType w:val="multilevel"/>
    <w:tmpl w:val="9C804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F5137B5"/>
    <w:multiLevelType w:val="hybridMultilevel"/>
    <w:tmpl w:val="C36A51F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08F7773"/>
    <w:multiLevelType w:val="hybridMultilevel"/>
    <w:tmpl w:val="8F04F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3D80A8F"/>
    <w:multiLevelType w:val="hybridMultilevel"/>
    <w:tmpl w:val="F092A65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6C66B8C"/>
    <w:multiLevelType w:val="hybridMultilevel"/>
    <w:tmpl w:val="FAD2D7B8"/>
    <w:lvl w:ilvl="0" w:tplc="04090017">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6D50C8D"/>
    <w:multiLevelType w:val="hybridMultilevel"/>
    <w:tmpl w:val="3FAADF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B0F54CA"/>
    <w:multiLevelType w:val="hybridMultilevel"/>
    <w:tmpl w:val="CA12989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4C9123B5"/>
    <w:multiLevelType w:val="multilevel"/>
    <w:tmpl w:val="20220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4D41328"/>
    <w:multiLevelType w:val="hybridMultilevel"/>
    <w:tmpl w:val="36EEC3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8405DB7"/>
    <w:multiLevelType w:val="hybridMultilevel"/>
    <w:tmpl w:val="F3522D8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584A4955"/>
    <w:multiLevelType w:val="hybridMultilevel"/>
    <w:tmpl w:val="27425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8D64257"/>
    <w:multiLevelType w:val="hybridMultilevel"/>
    <w:tmpl w:val="CE342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E3144AC"/>
    <w:multiLevelType w:val="hybridMultilevel"/>
    <w:tmpl w:val="7930B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0BF47DF"/>
    <w:multiLevelType w:val="hybridMultilevel"/>
    <w:tmpl w:val="F0F8D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3FA35B0"/>
    <w:multiLevelType w:val="hybridMultilevel"/>
    <w:tmpl w:val="A9304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6354C04"/>
    <w:multiLevelType w:val="hybridMultilevel"/>
    <w:tmpl w:val="D1FEB7C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66DA7B4D"/>
    <w:multiLevelType w:val="hybridMultilevel"/>
    <w:tmpl w:val="3D3C7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6FB02E2"/>
    <w:multiLevelType w:val="hybridMultilevel"/>
    <w:tmpl w:val="39225EA8"/>
    <w:lvl w:ilvl="0" w:tplc="04090001">
      <w:start w:val="1"/>
      <w:numFmt w:val="bullet"/>
      <w:lvlText w:val=""/>
      <w:lvlJc w:val="left"/>
      <w:pPr>
        <w:ind w:left="762" w:hanging="360"/>
      </w:pPr>
      <w:rPr>
        <w:rFonts w:ascii="Symbol" w:hAnsi="Symbol" w:hint="default"/>
      </w:rPr>
    </w:lvl>
    <w:lvl w:ilvl="1" w:tplc="04090003">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41">
    <w:nsid w:val="6C8B4C32"/>
    <w:multiLevelType w:val="hybridMultilevel"/>
    <w:tmpl w:val="A5E85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DDE1D4A"/>
    <w:multiLevelType w:val="hybridMultilevel"/>
    <w:tmpl w:val="BBA0A0E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6F3D5178"/>
    <w:multiLevelType w:val="multilevel"/>
    <w:tmpl w:val="4B1E3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2173858"/>
    <w:multiLevelType w:val="hybridMultilevel"/>
    <w:tmpl w:val="83327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61B2E77"/>
    <w:multiLevelType w:val="hybridMultilevel"/>
    <w:tmpl w:val="D85CEE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77820C37"/>
    <w:multiLevelType w:val="hybridMultilevel"/>
    <w:tmpl w:val="0CFEEE84"/>
    <w:lvl w:ilvl="0" w:tplc="F58823E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8E00366"/>
    <w:multiLevelType w:val="hybridMultilevel"/>
    <w:tmpl w:val="2B642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D5E4DAC"/>
    <w:multiLevelType w:val="hybridMultilevel"/>
    <w:tmpl w:val="7DAE11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7F482EF8"/>
    <w:multiLevelType w:val="hybridMultilevel"/>
    <w:tmpl w:val="65D28B5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0"/>
  </w:num>
  <w:num w:numId="3">
    <w:abstractNumId w:val="3"/>
  </w:num>
  <w:num w:numId="4">
    <w:abstractNumId w:val="43"/>
  </w:num>
  <w:num w:numId="5">
    <w:abstractNumId w:val="35"/>
  </w:num>
  <w:num w:numId="6">
    <w:abstractNumId w:val="9"/>
  </w:num>
  <w:num w:numId="7">
    <w:abstractNumId w:val="16"/>
  </w:num>
  <w:num w:numId="8">
    <w:abstractNumId w:val="18"/>
  </w:num>
  <w:num w:numId="9">
    <w:abstractNumId w:val="11"/>
  </w:num>
  <w:num w:numId="10">
    <w:abstractNumId w:val="20"/>
  </w:num>
  <w:num w:numId="11">
    <w:abstractNumId w:val="6"/>
  </w:num>
  <w:num w:numId="12">
    <w:abstractNumId w:val="36"/>
  </w:num>
  <w:num w:numId="13">
    <w:abstractNumId w:val="31"/>
  </w:num>
  <w:num w:numId="14">
    <w:abstractNumId w:val="28"/>
  </w:num>
  <w:num w:numId="15">
    <w:abstractNumId w:val="27"/>
  </w:num>
  <w:num w:numId="16">
    <w:abstractNumId w:val="2"/>
  </w:num>
  <w:num w:numId="17">
    <w:abstractNumId w:val="32"/>
  </w:num>
  <w:num w:numId="18">
    <w:abstractNumId w:val="42"/>
  </w:num>
  <w:num w:numId="19">
    <w:abstractNumId w:val="24"/>
  </w:num>
  <w:num w:numId="20">
    <w:abstractNumId w:val="49"/>
  </w:num>
  <w:num w:numId="21">
    <w:abstractNumId w:val="4"/>
  </w:num>
  <w:num w:numId="22">
    <w:abstractNumId w:val="22"/>
  </w:num>
  <w:num w:numId="23">
    <w:abstractNumId w:val="38"/>
  </w:num>
  <w:num w:numId="24">
    <w:abstractNumId w:val="29"/>
  </w:num>
  <w:num w:numId="25">
    <w:abstractNumId w:val="17"/>
  </w:num>
  <w:num w:numId="26">
    <w:abstractNumId w:val="12"/>
  </w:num>
  <w:num w:numId="27">
    <w:abstractNumId w:val="26"/>
  </w:num>
  <w:num w:numId="28">
    <w:abstractNumId w:val="19"/>
  </w:num>
  <w:num w:numId="29">
    <w:abstractNumId w:val="15"/>
  </w:num>
  <w:num w:numId="30">
    <w:abstractNumId w:val="21"/>
  </w:num>
  <w:num w:numId="31">
    <w:abstractNumId w:val="23"/>
  </w:num>
  <w:num w:numId="32">
    <w:abstractNumId w:val="48"/>
  </w:num>
  <w:num w:numId="33">
    <w:abstractNumId w:val="41"/>
  </w:num>
  <w:num w:numId="34">
    <w:abstractNumId w:val="30"/>
  </w:num>
  <w:num w:numId="35">
    <w:abstractNumId w:val="40"/>
  </w:num>
  <w:num w:numId="36">
    <w:abstractNumId w:val="44"/>
  </w:num>
  <w:num w:numId="37">
    <w:abstractNumId w:val="33"/>
  </w:num>
  <w:num w:numId="38">
    <w:abstractNumId w:val="47"/>
  </w:num>
  <w:num w:numId="39">
    <w:abstractNumId w:val="45"/>
  </w:num>
  <w:num w:numId="40">
    <w:abstractNumId w:val="1"/>
  </w:num>
  <w:num w:numId="41">
    <w:abstractNumId w:val="10"/>
  </w:num>
  <w:num w:numId="42">
    <w:abstractNumId w:val="39"/>
  </w:num>
  <w:num w:numId="43">
    <w:abstractNumId w:val="25"/>
  </w:num>
  <w:num w:numId="44">
    <w:abstractNumId w:val="46"/>
  </w:num>
  <w:num w:numId="45">
    <w:abstractNumId w:val="8"/>
  </w:num>
  <w:num w:numId="46">
    <w:abstractNumId w:val="34"/>
  </w:num>
  <w:num w:numId="47">
    <w:abstractNumId w:val="14"/>
  </w:num>
  <w:num w:numId="48">
    <w:abstractNumId w:val="7"/>
  </w:num>
  <w:num w:numId="49">
    <w:abstractNumId w:val="37"/>
  </w:num>
  <w:num w:numId="50">
    <w:abstractNumId w:val="5"/>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eorge">
    <w15:presenceInfo w15:providerId="None" w15:userId="Georg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rsids>
    <w:rsidRoot w:val="005472C1"/>
    <w:rsid w:val="00000260"/>
    <w:rsid w:val="000007C6"/>
    <w:rsid w:val="00000884"/>
    <w:rsid w:val="00000C63"/>
    <w:rsid w:val="00000D81"/>
    <w:rsid w:val="00001058"/>
    <w:rsid w:val="00001683"/>
    <w:rsid w:val="000016C0"/>
    <w:rsid w:val="00002BE8"/>
    <w:rsid w:val="00003121"/>
    <w:rsid w:val="000043B9"/>
    <w:rsid w:val="000043F8"/>
    <w:rsid w:val="00004DFE"/>
    <w:rsid w:val="00004EFC"/>
    <w:rsid w:val="000054E6"/>
    <w:rsid w:val="00005FD1"/>
    <w:rsid w:val="0000787A"/>
    <w:rsid w:val="00007DC1"/>
    <w:rsid w:val="00007EEF"/>
    <w:rsid w:val="00010046"/>
    <w:rsid w:val="000113D6"/>
    <w:rsid w:val="00011428"/>
    <w:rsid w:val="000116E8"/>
    <w:rsid w:val="00012636"/>
    <w:rsid w:val="00012675"/>
    <w:rsid w:val="000127CD"/>
    <w:rsid w:val="00013965"/>
    <w:rsid w:val="00013B00"/>
    <w:rsid w:val="000141B7"/>
    <w:rsid w:val="000145F1"/>
    <w:rsid w:val="00014613"/>
    <w:rsid w:val="000146D0"/>
    <w:rsid w:val="000148AF"/>
    <w:rsid w:val="00015EF0"/>
    <w:rsid w:val="00016197"/>
    <w:rsid w:val="00016527"/>
    <w:rsid w:val="000167C1"/>
    <w:rsid w:val="0001685A"/>
    <w:rsid w:val="00020982"/>
    <w:rsid w:val="00021702"/>
    <w:rsid w:val="00021D56"/>
    <w:rsid w:val="00021F00"/>
    <w:rsid w:val="000221E6"/>
    <w:rsid w:val="000224F9"/>
    <w:rsid w:val="000228D3"/>
    <w:rsid w:val="00022F1F"/>
    <w:rsid w:val="000231F0"/>
    <w:rsid w:val="00023372"/>
    <w:rsid w:val="00023A23"/>
    <w:rsid w:val="00023A91"/>
    <w:rsid w:val="000249F7"/>
    <w:rsid w:val="00025AD7"/>
    <w:rsid w:val="00025D38"/>
    <w:rsid w:val="00026F2E"/>
    <w:rsid w:val="00027503"/>
    <w:rsid w:val="000277FE"/>
    <w:rsid w:val="00027DF9"/>
    <w:rsid w:val="00027F3F"/>
    <w:rsid w:val="0003039F"/>
    <w:rsid w:val="000306D4"/>
    <w:rsid w:val="00030CA2"/>
    <w:rsid w:val="00030EE9"/>
    <w:rsid w:val="00031041"/>
    <w:rsid w:val="00031721"/>
    <w:rsid w:val="00031B76"/>
    <w:rsid w:val="00032153"/>
    <w:rsid w:val="00032727"/>
    <w:rsid w:val="000329C1"/>
    <w:rsid w:val="00032F4F"/>
    <w:rsid w:val="000332A5"/>
    <w:rsid w:val="0003346E"/>
    <w:rsid w:val="000334AD"/>
    <w:rsid w:val="000336CC"/>
    <w:rsid w:val="0003379B"/>
    <w:rsid w:val="00033C6A"/>
    <w:rsid w:val="00033F39"/>
    <w:rsid w:val="00034790"/>
    <w:rsid w:val="0003490C"/>
    <w:rsid w:val="0003517A"/>
    <w:rsid w:val="000351E6"/>
    <w:rsid w:val="00035DB1"/>
    <w:rsid w:val="00035FAB"/>
    <w:rsid w:val="00036FC7"/>
    <w:rsid w:val="00037D5D"/>
    <w:rsid w:val="00037E18"/>
    <w:rsid w:val="00040A77"/>
    <w:rsid w:val="000413AA"/>
    <w:rsid w:val="000415B2"/>
    <w:rsid w:val="000433C8"/>
    <w:rsid w:val="00043407"/>
    <w:rsid w:val="0004404B"/>
    <w:rsid w:val="00045054"/>
    <w:rsid w:val="00045795"/>
    <w:rsid w:val="00046252"/>
    <w:rsid w:val="000475A8"/>
    <w:rsid w:val="0005017B"/>
    <w:rsid w:val="00050EB4"/>
    <w:rsid w:val="000510EA"/>
    <w:rsid w:val="00051E80"/>
    <w:rsid w:val="000525D2"/>
    <w:rsid w:val="00053405"/>
    <w:rsid w:val="000537F4"/>
    <w:rsid w:val="00053916"/>
    <w:rsid w:val="000555D4"/>
    <w:rsid w:val="00055624"/>
    <w:rsid w:val="00055F6F"/>
    <w:rsid w:val="00055FE8"/>
    <w:rsid w:val="00056350"/>
    <w:rsid w:val="0006062D"/>
    <w:rsid w:val="00060A87"/>
    <w:rsid w:val="00061375"/>
    <w:rsid w:val="00061462"/>
    <w:rsid w:val="0006197B"/>
    <w:rsid w:val="000622B9"/>
    <w:rsid w:val="000626BD"/>
    <w:rsid w:val="00062930"/>
    <w:rsid w:val="000636B8"/>
    <w:rsid w:val="00064345"/>
    <w:rsid w:val="00065341"/>
    <w:rsid w:val="00065F92"/>
    <w:rsid w:val="00066506"/>
    <w:rsid w:val="00066813"/>
    <w:rsid w:val="000672D5"/>
    <w:rsid w:val="0006751F"/>
    <w:rsid w:val="0006764D"/>
    <w:rsid w:val="00071D8F"/>
    <w:rsid w:val="0007262A"/>
    <w:rsid w:val="0007371B"/>
    <w:rsid w:val="000747A1"/>
    <w:rsid w:val="000747AE"/>
    <w:rsid w:val="00074FDF"/>
    <w:rsid w:val="00075118"/>
    <w:rsid w:val="0007607B"/>
    <w:rsid w:val="00076541"/>
    <w:rsid w:val="0007654E"/>
    <w:rsid w:val="00077ECA"/>
    <w:rsid w:val="00077F3C"/>
    <w:rsid w:val="00080E49"/>
    <w:rsid w:val="000824DA"/>
    <w:rsid w:val="00083644"/>
    <w:rsid w:val="00083B14"/>
    <w:rsid w:val="000842BE"/>
    <w:rsid w:val="00084467"/>
    <w:rsid w:val="000856BE"/>
    <w:rsid w:val="0008686D"/>
    <w:rsid w:val="00086B60"/>
    <w:rsid w:val="0008713B"/>
    <w:rsid w:val="00087749"/>
    <w:rsid w:val="0008779B"/>
    <w:rsid w:val="00090F8A"/>
    <w:rsid w:val="0009155C"/>
    <w:rsid w:val="0009295C"/>
    <w:rsid w:val="00092AFC"/>
    <w:rsid w:val="00093816"/>
    <w:rsid w:val="00093EE7"/>
    <w:rsid w:val="000949AF"/>
    <w:rsid w:val="00094B0B"/>
    <w:rsid w:val="00094D4D"/>
    <w:rsid w:val="0009663E"/>
    <w:rsid w:val="00096C4E"/>
    <w:rsid w:val="00096CA5"/>
    <w:rsid w:val="00096EDC"/>
    <w:rsid w:val="0009729B"/>
    <w:rsid w:val="000973F8"/>
    <w:rsid w:val="00097977"/>
    <w:rsid w:val="00097EA3"/>
    <w:rsid w:val="00097EBB"/>
    <w:rsid w:val="000A0184"/>
    <w:rsid w:val="000A0C91"/>
    <w:rsid w:val="000A0E4F"/>
    <w:rsid w:val="000A354B"/>
    <w:rsid w:val="000A3FEA"/>
    <w:rsid w:val="000A488B"/>
    <w:rsid w:val="000A4CA3"/>
    <w:rsid w:val="000A5274"/>
    <w:rsid w:val="000A58AD"/>
    <w:rsid w:val="000A5B13"/>
    <w:rsid w:val="000A6C16"/>
    <w:rsid w:val="000A7A5B"/>
    <w:rsid w:val="000A7E37"/>
    <w:rsid w:val="000B06E0"/>
    <w:rsid w:val="000B07DB"/>
    <w:rsid w:val="000B0E8E"/>
    <w:rsid w:val="000B2533"/>
    <w:rsid w:val="000B2B02"/>
    <w:rsid w:val="000B2CDB"/>
    <w:rsid w:val="000B2F1C"/>
    <w:rsid w:val="000B339E"/>
    <w:rsid w:val="000B3536"/>
    <w:rsid w:val="000B355C"/>
    <w:rsid w:val="000B362D"/>
    <w:rsid w:val="000B4ED3"/>
    <w:rsid w:val="000B56B9"/>
    <w:rsid w:val="000B5FE9"/>
    <w:rsid w:val="000B6C65"/>
    <w:rsid w:val="000B703C"/>
    <w:rsid w:val="000B71A2"/>
    <w:rsid w:val="000B75AC"/>
    <w:rsid w:val="000B7D55"/>
    <w:rsid w:val="000C0507"/>
    <w:rsid w:val="000C058B"/>
    <w:rsid w:val="000C1386"/>
    <w:rsid w:val="000C1590"/>
    <w:rsid w:val="000C179D"/>
    <w:rsid w:val="000C19FD"/>
    <w:rsid w:val="000C2588"/>
    <w:rsid w:val="000C3EC1"/>
    <w:rsid w:val="000C4552"/>
    <w:rsid w:val="000C56E5"/>
    <w:rsid w:val="000C5AD7"/>
    <w:rsid w:val="000C5F1C"/>
    <w:rsid w:val="000C62B8"/>
    <w:rsid w:val="000C653F"/>
    <w:rsid w:val="000C6A01"/>
    <w:rsid w:val="000C6B1E"/>
    <w:rsid w:val="000C7160"/>
    <w:rsid w:val="000C7DB1"/>
    <w:rsid w:val="000D030B"/>
    <w:rsid w:val="000D0394"/>
    <w:rsid w:val="000D0BD7"/>
    <w:rsid w:val="000D2486"/>
    <w:rsid w:val="000D2BFB"/>
    <w:rsid w:val="000D3534"/>
    <w:rsid w:val="000D373A"/>
    <w:rsid w:val="000D40E1"/>
    <w:rsid w:val="000D4735"/>
    <w:rsid w:val="000D5EFC"/>
    <w:rsid w:val="000D6695"/>
    <w:rsid w:val="000D67CB"/>
    <w:rsid w:val="000D6C91"/>
    <w:rsid w:val="000D74E6"/>
    <w:rsid w:val="000E044F"/>
    <w:rsid w:val="000E0867"/>
    <w:rsid w:val="000E1E6C"/>
    <w:rsid w:val="000E26E6"/>
    <w:rsid w:val="000E2942"/>
    <w:rsid w:val="000E2BB1"/>
    <w:rsid w:val="000E2D6D"/>
    <w:rsid w:val="000E34ED"/>
    <w:rsid w:val="000E3620"/>
    <w:rsid w:val="000E456B"/>
    <w:rsid w:val="000E4E1F"/>
    <w:rsid w:val="000E5809"/>
    <w:rsid w:val="000E5814"/>
    <w:rsid w:val="000E5C5C"/>
    <w:rsid w:val="000E6287"/>
    <w:rsid w:val="000E6DD0"/>
    <w:rsid w:val="000E741A"/>
    <w:rsid w:val="000E7E5B"/>
    <w:rsid w:val="000F0A39"/>
    <w:rsid w:val="000F0B52"/>
    <w:rsid w:val="000F0D70"/>
    <w:rsid w:val="000F0FA8"/>
    <w:rsid w:val="000F1312"/>
    <w:rsid w:val="000F1AE9"/>
    <w:rsid w:val="000F2602"/>
    <w:rsid w:val="000F2FF6"/>
    <w:rsid w:val="000F35D9"/>
    <w:rsid w:val="000F372B"/>
    <w:rsid w:val="000F3C81"/>
    <w:rsid w:val="000F3F83"/>
    <w:rsid w:val="000F4842"/>
    <w:rsid w:val="000F5A19"/>
    <w:rsid w:val="000F6D93"/>
    <w:rsid w:val="000F74A5"/>
    <w:rsid w:val="00100190"/>
    <w:rsid w:val="0010042F"/>
    <w:rsid w:val="0010096B"/>
    <w:rsid w:val="0010183B"/>
    <w:rsid w:val="0010238A"/>
    <w:rsid w:val="00104340"/>
    <w:rsid w:val="001043C1"/>
    <w:rsid w:val="00105571"/>
    <w:rsid w:val="00105966"/>
    <w:rsid w:val="00105BF2"/>
    <w:rsid w:val="001075FE"/>
    <w:rsid w:val="00107F76"/>
    <w:rsid w:val="00110C44"/>
    <w:rsid w:val="00111F60"/>
    <w:rsid w:val="001123AE"/>
    <w:rsid w:val="00112631"/>
    <w:rsid w:val="001129E0"/>
    <w:rsid w:val="00112F2F"/>
    <w:rsid w:val="00113391"/>
    <w:rsid w:val="00114136"/>
    <w:rsid w:val="001142A6"/>
    <w:rsid w:val="00114C9E"/>
    <w:rsid w:val="0011548C"/>
    <w:rsid w:val="001157CE"/>
    <w:rsid w:val="00115A80"/>
    <w:rsid w:val="00115C4F"/>
    <w:rsid w:val="00115D31"/>
    <w:rsid w:val="00116A99"/>
    <w:rsid w:val="00117C1E"/>
    <w:rsid w:val="00120EF4"/>
    <w:rsid w:val="00122357"/>
    <w:rsid w:val="00122824"/>
    <w:rsid w:val="00122C65"/>
    <w:rsid w:val="001234E8"/>
    <w:rsid w:val="001248C2"/>
    <w:rsid w:val="00124DAD"/>
    <w:rsid w:val="0012520B"/>
    <w:rsid w:val="001259AE"/>
    <w:rsid w:val="00126936"/>
    <w:rsid w:val="001274B2"/>
    <w:rsid w:val="00127A7F"/>
    <w:rsid w:val="001302F9"/>
    <w:rsid w:val="00132B8E"/>
    <w:rsid w:val="001330E6"/>
    <w:rsid w:val="001331A2"/>
    <w:rsid w:val="00133B4C"/>
    <w:rsid w:val="00133D03"/>
    <w:rsid w:val="00133D8E"/>
    <w:rsid w:val="00134562"/>
    <w:rsid w:val="0013472F"/>
    <w:rsid w:val="00135117"/>
    <w:rsid w:val="001363B0"/>
    <w:rsid w:val="001370DC"/>
    <w:rsid w:val="00140006"/>
    <w:rsid w:val="0014046E"/>
    <w:rsid w:val="00140918"/>
    <w:rsid w:val="00142A11"/>
    <w:rsid w:val="0014385C"/>
    <w:rsid w:val="00143F24"/>
    <w:rsid w:val="0014499C"/>
    <w:rsid w:val="0014586B"/>
    <w:rsid w:val="00145C32"/>
    <w:rsid w:val="00145E80"/>
    <w:rsid w:val="001465B4"/>
    <w:rsid w:val="00146C16"/>
    <w:rsid w:val="00146C85"/>
    <w:rsid w:val="00150FB4"/>
    <w:rsid w:val="00151475"/>
    <w:rsid w:val="001525B2"/>
    <w:rsid w:val="001526CD"/>
    <w:rsid w:val="00152768"/>
    <w:rsid w:val="001531B2"/>
    <w:rsid w:val="001535CF"/>
    <w:rsid w:val="0015393E"/>
    <w:rsid w:val="00154B65"/>
    <w:rsid w:val="00154DFC"/>
    <w:rsid w:val="00154EE6"/>
    <w:rsid w:val="001553D9"/>
    <w:rsid w:val="00155627"/>
    <w:rsid w:val="0015579B"/>
    <w:rsid w:val="0015612C"/>
    <w:rsid w:val="0015618F"/>
    <w:rsid w:val="0015629A"/>
    <w:rsid w:val="00156389"/>
    <w:rsid w:val="00156632"/>
    <w:rsid w:val="001569E1"/>
    <w:rsid w:val="00156C55"/>
    <w:rsid w:val="00157565"/>
    <w:rsid w:val="00157D56"/>
    <w:rsid w:val="001600B4"/>
    <w:rsid w:val="001602C2"/>
    <w:rsid w:val="001610C5"/>
    <w:rsid w:val="00161D01"/>
    <w:rsid w:val="00162291"/>
    <w:rsid w:val="001623B8"/>
    <w:rsid w:val="001627C9"/>
    <w:rsid w:val="00162BDC"/>
    <w:rsid w:val="00162BF6"/>
    <w:rsid w:val="00162CCA"/>
    <w:rsid w:val="0016386B"/>
    <w:rsid w:val="00163CC6"/>
    <w:rsid w:val="00163E8B"/>
    <w:rsid w:val="001645C7"/>
    <w:rsid w:val="00164F6F"/>
    <w:rsid w:val="0016656B"/>
    <w:rsid w:val="001667DF"/>
    <w:rsid w:val="00166802"/>
    <w:rsid w:val="00166BA2"/>
    <w:rsid w:val="001671AE"/>
    <w:rsid w:val="00167780"/>
    <w:rsid w:val="00167847"/>
    <w:rsid w:val="00167A8A"/>
    <w:rsid w:val="00167F10"/>
    <w:rsid w:val="00170C7B"/>
    <w:rsid w:val="001710D9"/>
    <w:rsid w:val="00171EAC"/>
    <w:rsid w:val="00172757"/>
    <w:rsid w:val="001729AF"/>
    <w:rsid w:val="00172E50"/>
    <w:rsid w:val="00173146"/>
    <w:rsid w:val="00173510"/>
    <w:rsid w:val="00173DE5"/>
    <w:rsid w:val="001743DA"/>
    <w:rsid w:val="00175CD1"/>
    <w:rsid w:val="001762AF"/>
    <w:rsid w:val="00176879"/>
    <w:rsid w:val="001774CB"/>
    <w:rsid w:val="0017779F"/>
    <w:rsid w:val="00177A8B"/>
    <w:rsid w:val="00180968"/>
    <w:rsid w:val="00180A73"/>
    <w:rsid w:val="00180D96"/>
    <w:rsid w:val="00181560"/>
    <w:rsid w:val="001817DE"/>
    <w:rsid w:val="001818C4"/>
    <w:rsid w:val="001823F8"/>
    <w:rsid w:val="0018322C"/>
    <w:rsid w:val="00183CCE"/>
    <w:rsid w:val="00184E67"/>
    <w:rsid w:val="00185C41"/>
    <w:rsid w:val="0018712C"/>
    <w:rsid w:val="0018749C"/>
    <w:rsid w:val="0018753C"/>
    <w:rsid w:val="00187D82"/>
    <w:rsid w:val="00190397"/>
    <w:rsid w:val="001911B8"/>
    <w:rsid w:val="001918B4"/>
    <w:rsid w:val="00192139"/>
    <w:rsid w:val="001926EE"/>
    <w:rsid w:val="00193BF3"/>
    <w:rsid w:val="00193C52"/>
    <w:rsid w:val="00193D8D"/>
    <w:rsid w:val="00193EE6"/>
    <w:rsid w:val="00194890"/>
    <w:rsid w:val="00194BD2"/>
    <w:rsid w:val="00195024"/>
    <w:rsid w:val="00195038"/>
    <w:rsid w:val="00195365"/>
    <w:rsid w:val="0019637E"/>
    <w:rsid w:val="00197BFE"/>
    <w:rsid w:val="001A07F9"/>
    <w:rsid w:val="001A0A81"/>
    <w:rsid w:val="001A0CA6"/>
    <w:rsid w:val="001A1355"/>
    <w:rsid w:val="001A1464"/>
    <w:rsid w:val="001A171D"/>
    <w:rsid w:val="001A2874"/>
    <w:rsid w:val="001A292F"/>
    <w:rsid w:val="001A2DC6"/>
    <w:rsid w:val="001A3530"/>
    <w:rsid w:val="001A3B18"/>
    <w:rsid w:val="001A3BF8"/>
    <w:rsid w:val="001A4ACA"/>
    <w:rsid w:val="001A5E77"/>
    <w:rsid w:val="001A5F1A"/>
    <w:rsid w:val="001A61F0"/>
    <w:rsid w:val="001A70C2"/>
    <w:rsid w:val="001A77FC"/>
    <w:rsid w:val="001A7CA1"/>
    <w:rsid w:val="001B0123"/>
    <w:rsid w:val="001B06B4"/>
    <w:rsid w:val="001B076F"/>
    <w:rsid w:val="001B102D"/>
    <w:rsid w:val="001B19B9"/>
    <w:rsid w:val="001B19BA"/>
    <w:rsid w:val="001B1B83"/>
    <w:rsid w:val="001B2460"/>
    <w:rsid w:val="001B2B60"/>
    <w:rsid w:val="001B2FE6"/>
    <w:rsid w:val="001B36F2"/>
    <w:rsid w:val="001B37A0"/>
    <w:rsid w:val="001B4F39"/>
    <w:rsid w:val="001B54E2"/>
    <w:rsid w:val="001B56AA"/>
    <w:rsid w:val="001B5D54"/>
    <w:rsid w:val="001B5D84"/>
    <w:rsid w:val="001B62CE"/>
    <w:rsid w:val="001B74D4"/>
    <w:rsid w:val="001B7E48"/>
    <w:rsid w:val="001C0B68"/>
    <w:rsid w:val="001C0C8C"/>
    <w:rsid w:val="001C15EB"/>
    <w:rsid w:val="001C1EE8"/>
    <w:rsid w:val="001C25FC"/>
    <w:rsid w:val="001C2A33"/>
    <w:rsid w:val="001C2BF0"/>
    <w:rsid w:val="001C3029"/>
    <w:rsid w:val="001C334B"/>
    <w:rsid w:val="001C3A68"/>
    <w:rsid w:val="001C3B1B"/>
    <w:rsid w:val="001C3D6D"/>
    <w:rsid w:val="001C4251"/>
    <w:rsid w:val="001C4774"/>
    <w:rsid w:val="001C4B2F"/>
    <w:rsid w:val="001C4EF9"/>
    <w:rsid w:val="001C5C91"/>
    <w:rsid w:val="001C6BEE"/>
    <w:rsid w:val="001C7262"/>
    <w:rsid w:val="001C7B16"/>
    <w:rsid w:val="001C7ED1"/>
    <w:rsid w:val="001D06E8"/>
    <w:rsid w:val="001D0C0F"/>
    <w:rsid w:val="001D0DDE"/>
    <w:rsid w:val="001D10EC"/>
    <w:rsid w:val="001D119E"/>
    <w:rsid w:val="001D200F"/>
    <w:rsid w:val="001D245E"/>
    <w:rsid w:val="001D26DA"/>
    <w:rsid w:val="001D4444"/>
    <w:rsid w:val="001D454E"/>
    <w:rsid w:val="001D4AAD"/>
    <w:rsid w:val="001D5E25"/>
    <w:rsid w:val="001D64BD"/>
    <w:rsid w:val="001D6564"/>
    <w:rsid w:val="001D6F3A"/>
    <w:rsid w:val="001D70C3"/>
    <w:rsid w:val="001D7194"/>
    <w:rsid w:val="001D728A"/>
    <w:rsid w:val="001D7618"/>
    <w:rsid w:val="001D7B42"/>
    <w:rsid w:val="001D7C85"/>
    <w:rsid w:val="001E02D5"/>
    <w:rsid w:val="001E0531"/>
    <w:rsid w:val="001E070F"/>
    <w:rsid w:val="001E0FF3"/>
    <w:rsid w:val="001E139B"/>
    <w:rsid w:val="001E1E9F"/>
    <w:rsid w:val="001E2073"/>
    <w:rsid w:val="001E2F00"/>
    <w:rsid w:val="001E2FC6"/>
    <w:rsid w:val="001E31DD"/>
    <w:rsid w:val="001E38E7"/>
    <w:rsid w:val="001E39A9"/>
    <w:rsid w:val="001E39FF"/>
    <w:rsid w:val="001E4463"/>
    <w:rsid w:val="001E482D"/>
    <w:rsid w:val="001E4AE7"/>
    <w:rsid w:val="001E70E4"/>
    <w:rsid w:val="001E753C"/>
    <w:rsid w:val="001E7957"/>
    <w:rsid w:val="001E7C87"/>
    <w:rsid w:val="001F0131"/>
    <w:rsid w:val="001F0341"/>
    <w:rsid w:val="001F060C"/>
    <w:rsid w:val="001F0780"/>
    <w:rsid w:val="001F0B31"/>
    <w:rsid w:val="001F0FA5"/>
    <w:rsid w:val="001F1397"/>
    <w:rsid w:val="001F278E"/>
    <w:rsid w:val="001F287B"/>
    <w:rsid w:val="001F28AA"/>
    <w:rsid w:val="001F3757"/>
    <w:rsid w:val="001F3A9F"/>
    <w:rsid w:val="001F3C90"/>
    <w:rsid w:val="001F3DD2"/>
    <w:rsid w:val="001F495C"/>
    <w:rsid w:val="001F693C"/>
    <w:rsid w:val="001F6AA4"/>
    <w:rsid w:val="001F6AAA"/>
    <w:rsid w:val="001F6E84"/>
    <w:rsid w:val="001F7BA7"/>
    <w:rsid w:val="001F7BFA"/>
    <w:rsid w:val="002008B1"/>
    <w:rsid w:val="002011C1"/>
    <w:rsid w:val="00201B32"/>
    <w:rsid w:val="00201FC6"/>
    <w:rsid w:val="002022AE"/>
    <w:rsid w:val="00202DCA"/>
    <w:rsid w:val="0020419F"/>
    <w:rsid w:val="002052D3"/>
    <w:rsid w:val="002056C8"/>
    <w:rsid w:val="00205B45"/>
    <w:rsid w:val="00205BE3"/>
    <w:rsid w:val="00205C55"/>
    <w:rsid w:val="0020661C"/>
    <w:rsid w:val="002075AC"/>
    <w:rsid w:val="00207DB5"/>
    <w:rsid w:val="002101E1"/>
    <w:rsid w:val="0021062A"/>
    <w:rsid w:val="00210C40"/>
    <w:rsid w:val="0021144D"/>
    <w:rsid w:val="002114E2"/>
    <w:rsid w:val="002115A1"/>
    <w:rsid w:val="00211772"/>
    <w:rsid w:val="00211E81"/>
    <w:rsid w:val="00212636"/>
    <w:rsid w:val="00212B54"/>
    <w:rsid w:val="00213184"/>
    <w:rsid w:val="00214083"/>
    <w:rsid w:val="00214785"/>
    <w:rsid w:val="0021516C"/>
    <w:rsid w:val="002153C3"/>
    <w:rsid w:val="0021675C"/>
    <w:rsid w:val="00216CEA"/>
    <w:rsid w:val="00217129"/>
    <w:rsid w:val="00217300"/>
    <w:rsid w:val="00217419"/>
    <w:rsid w:val="002179B3"/>
    <w:rsid w:val="00217B54"/>
    <w:rsid w:val="00221613"/>
    <w:rsid w:val="00221701"/>
    <w:rsid w:val="0022210A"/>
    <w:rsid w:val="00222AF9"/>
    <w:rsid w:val="002230DA"/>
    <w:rsid w:val="00223207"/>
    <w:rsid w:val="00223A91"/>
    <w:rsid w:val="00223C09"/>
    <w:rsid w:val="00224010"/>
    <w:rsid w:val="00224A07"/>
    <w:rsid w:val="0022572B"/>
    <w:rsid w:val="00225BB6"/>
    <w:rsid w:val="00225D54"/>
    <w:rsid w:val="00226AC0"/>
    <w:rsid w:val="00227AD8"/>
    <w:rsid w:val="00227E02"/>
    <w:rsid w:val="002308BE"/>
    <w:rsid w:val="00231102"/>
    <w:rsid w:val="0023130C"/>
    <w:rsid w:val="00231353"/>
    <w:rsid w:val="00231C05"/>
    <w:rsid w:val="002348B8"/>
    <w:rsid w:val="00234EEF"/>
    <w:rsid w:val="00235F65"/>
    <w:rsid w:val="00236055"/>
    <w:rsid w:val="002367B7"/>
    <w:rsid w:val="002372A1"/>
    <w:rsid w:val="00237A7B"/>
    <w:rsid w:val="002400B6"/>
    <w:rsid w:val="00240EA2"/>
    <w:rsid w:val="002424BC"/>
    <w:rsid w:val="002437CC"/>
    <w:rsid w:val="00243C88"/>
    <w:rsid w:val="00243CA3"/>
    <w:rsid w:val="0024424F"/>
    <w:rsid w:val="00244829"/>
    <w:rsid w:val="0024494A"/>
    <w:rsid w:val="00244AAC"/>
    <w:rsid w:val="00244BDA"/>
    <w:rsid w:val="00245829"/>
    <w:rsid w:val="002459F7"/>
    <w:rsid w:val="00245FDE"/>
    <w:rsid w:val="002465ED"/>
    <w:rsid w:val="00246A2B"/>
    <w:rsid w:val="00246B59"/>
    <w:rsid w:val="00247618"/>
    <w:rsid w:val="0024767D"/>
    <w:rsid w:val="002479E1"/>
    <w:rsid w:val="00247C58"/>
    <w:rsid w:val="002502F1"/>
    <w:rsid w:val="00250E1A"/>
    <w:rsid w:val="00250EBD"/>
    <w:rsid w:val="00251906"/>
    <w:rsid w:val="00251CF8"/>
    <w:rsid w:val="00252F0C"/>
    <w:rsid w:val="00254333"/>
    <w:rsid w:val="002543C0"/>
    <w:rsid w:val="002551D7"/>
    <w:rsid w:val="00255965"/>
    <w:rsid w:val="00255984"/>
    <w:rsid w:val="00255B17"/>
    <w:rsid w:val="00255FEF"/>
    <w:rsid w:val="002568E0"/>
    <w:rsid w:val="00256F05"/>
    <w:rsid w:val="0025710A"/>
    <w:rsid w:val="002572CF"/>
    <w:rsid w:val="00257F93"/>
    <w:rsid w:val="00260063"/>
    <w:rsid w:val="002601FE"/>
    <w:rsid w:val="00260ACE"/>
    <w:rsid w:val="00260BBF"/>
    <w:rsid w:val="00261641"/>
    <w:rsid w:val="0026199C"/>
    <w:rsid w:val="00261C51"/>
    <w:rsid w:val="00262837"/>
    <w:rsid w:val="00263434"/>
    <w:rsid w:val="00263F10"/>
    <w:rsid w:val="0026401C"/>
    <w:rsid w:val="00265EEC"/>
    <w:rsid w:val="0026613B"/>
    <w:rsid w:val="00266685"/>
    <w:rsid w:val="0026671C"/>
    <w:rsid w:val="002678D8"/>
    <w:rsid w:val="002678F0"/>
    <w:rsid w:val="002701EE"/>
    <w:rsid w:val="002704D5"/>
    <w:rsid w:val="00271ABF"/>
    <w:rsid w:val="0027304D"/>
    <w:rsid w:val="00273C91"/>
    <w:rsid w:val="00274B66"/>
    <w:rsid w:val="0027552E"/>
    <w:rsid w:val="00275BCF"/>
    <w:rsid w:val="00277163"/>
    <w:rsid w:val="00277FA1"/>
    <w:rsid w:val="002801AE"/>
    <w:rsid w:val="00281341"/>
    <w:rsid w:val="002814D1"/>
    <w:rsid w:val="0028196A"/>
    <w:rsid w:val="00281A5E"/>
    <w:rsid w:val="002821D3"/>
    <w:rsid w:val="0028335E"/>
    <w:rsid w:val="002834FD"/>
    <w:rsid w:val="00283634"/>
    <w:rsid w:val="00283A7A"/>
    <w:rsid w:val="00283F90"/>
    <w:rsid w:val="00286873"/>
    <w:rsid w:val="002875CA"/>
    <w:rsid w:val="0028773B"/>
    <w:rsid w:val="0029009F"/>
    <w:rsid w:val="00290423"/>
    <w:rsid w:val="00290545"/>
    <w:rsid w:val="00290D52"/>
    <w:rsid w:val="00291E33"/>
    <w:rsid w:val="0029251B"/>
    <w:rsid w:val="002927A8"/>
    <w:rsid w:val="002934FA"/>
    <w:rsid w:val="00293C6D"/>
    <w:rsid w:val="0029438C"/>
    <w:rsid w:val="00295CBD"/>
    <w:rsid w:val="00295CBF"/>
    <w:rsid w:val="00296485"/>
    <w:rsid w:val="00297DB3"/>
    <w:rsid w:val="002A1071"/>
    <w:rsid w:val="002A1C57"/>
    <w:rsid w:val="002A1E60"/>
    <w:rsid w:val="002A2596"/>
    <w:rsid w:val="002A37F8"/>
    <w:rsid w:val="002A3B35"/>
    <w:rsid w:val="002A41F2"/>
    <w:rsid w:val="002A45A0"/>
    <w:rsid w:val="002A48D3"/>
    <w:rsid w:val="002A67D7"/>
    <w:rsid w:val="002A68CD"/>
    <w:rsid w:val="002A6E2F"/>
    <w:rsid w:val="002A7E91"/>
    <w:rsid w:val="002B0745"/>
    <w:rsid w:val="002B0E96"/>
    <w:rsid w:val="002B1958"/>
    <w:rsid w:val="002B1FFD"/>
    <w:rsid w:val="002B2107"/>
    <w:rsid w:val="002B2188"/>
    <w:rsid w:val="002B2A47"/>
    <w:rsid w:val="002B2F92"/>
    <w:rsid w:val="002B3394"/>
    <w:rsid w:val="002B3493"/>
    <w:rsid w:val="002B478D"/>
    <w:rsid w:val="002B498F"/>
    <w:rsid w:val="002B572B"/>
    <w:rsid w:val="002B6354"/>
    <w:rsid w:val="002B659D"/>
    <w:rsid w:val="002C04BE"/>
    <w:rsid w:val="002C126B"/>
    <w:rsid w:val="002C1A7B"/>
    <w:rsid w:val="002C1B9B"/>
    <w:rsid w:val="002C1E01"/>
    <w:rsid w:val="002C261B"/>
    <w:rsid w:val="002C28B9"/>
    <w:rsid w:val="002C3332"/>
    <w:rsid w:val="002C4229"/>
    <w:rsid w:val="002C4A9B"/>
    <w:rsid w:val="002C58F9"/>
    <w:rsid w:val="002C5DBD"/>
    <w:rsid w:val="002C6833"/>
    <w:rsid w:val="002C6AF7"/>
    <w:rsid w:val="002C70EA"/>
    <w:rsid w:val="002C7540"/>
    <w:rsid w:val="002C7920"/>
    <w:rsid w:val="002D0003"/>
    <w:rsid w:val="002D05E9"/>
    <w:rsid w:val="002D0FE2"/>
    <w:rsid w:val="002D2520"/>
    <w:rsid w:val="002D25E6"/>
    <w:rsid w:val="002D34A4"/>
    <w:rsid w:val="002D431D"/>
    <w:rsid w:val="002D4336"/>
    <w:rsid w:val="002D45F3"/>
    <w:rsid w:val="002D4A61"/>
    <w:rsid w:val="002D4FAA"/>
    <w:rsid w:val="002D6498"/>
    <w:rsid w:val="002D657E"/>
    <w:rsid w:val="002D67F8"/>
    <w:rsid w:val="002D6B5B"/>
    <w:rsid w:val="002D6C97"/>
    <w:rsid w:val="002D6EE5"/>
    <w:rsid w:val="002D7638"/>
    <w:rsid w:val="002E185A"/>
    <w:rsid w:val="002E19D8"/>
    <w:rsid w:val="002E1CD5"/>
    <w:rsid w:val="002E1ECA"/>
    <w:rsid w:val="002E231B"/>
    <w:rsid w:val="002E244C"/>
    <w:rsid w:val="002E3AAA"/>
    <w:rsid w:val="002E3CEA"/>
    <w:rsid w:val="002E4346"/>
    <w:rsid w:val="002E59CD"/>
    <w:rsid w:val="002E5C29"/>
    <w:rsid w:val="002E67D8"/>
    <w:rsid w:val="002E6855"/>
    <w:rsid w:val="002E69DA"/>
    <w:rsid w:val="002E6FFB"/>
    <w:rsid w:val="002E7762"/>
    <w:rsid w:val="002E7B6B"/>
    <w:rsid w:val="002F0111"/>
    <w:rsid w:val="002F02F4"/>
    <w:rsid w:val="002F0609"/>
    <w:rsid w:val="002F0612"/>
    <w:rsid w:val="002F0A53"/>
    <w:rsid w:val="002F11C0"/>
    <w:rsid w:val="002F2472"/>
    <w:rsid w:val="002F2510"/>
    <w:rsid w:val="002F39B4"/>
    <w:rsid w:val="002F419F"/>
    <w:rsid w:val="002F4D82"/>
    <w:rsid w:val="002F554A"/>
    <w:rsid w:val="002F7A6D"/>
    <w:rsid w:val="002F7EEC"/>
    <w:rsid w:val="0030007F"/>
    <w:rsid w:val="00300130"/>
    <w:rsid w:val="00300413"/>
    <w:rsid w:val="0030068C"/>
    <w:rsid w:val="00301165"/>
    <w:rsid w:val="00301494"/>
    <w:rsid w:val="00301615"/>
    <w:rsid w:val="003025EE"/>
    <w:rsid w:val="0030286D"/>
    <w:rsid w:val="00302949"/>
    <w:rsid w:val="0030306E"/>
    <w:rsid w:val="0030422A"/>
    <w:rsid w:val="00304460"/>
    <w:rsid w:val="00306A6C"/>
    <w:rsid w:val="00307C8B"/>
    <w:rsid w:val="00307F2E"/>
    <w:rsid w:val="0031027E"/>
    <w:rsid w:val="003103C4"/>
    <w:rsid w:val="00311127"/>
    <w:rsid w:val="00311282"/>
    <w:rsid w:val="003120E2"/>
    <w:rsid w:val="003121E7"/>
    <w:rsid w:val="003123C3"/>
    <w:rsid w:val="003139E7"/>
    <w:rsid w:val="00313A3A"/>
    <w:rsid w:val="003149C5"/>
    <w:rsid w:val="003150A3"/>
    <w:rsid w:val="00316BFF"/>
    <w:rsid w:val="00316EF8"/>
    <w:rsid w:val="00320C2A"/>
    <w:rsid w:val="003214D4"/>
    <w:rsid w:val="00321836"/>
    <w:rsid w:val="003218AA"/>
    <w:rsid w:val="00321C58"/>
    <w:rsid w:val="003221E0"/>
    <w:rsid w:val="003227D1"/>
    <w:rsid w:val="00322F73"/>
    <w:rsid w:val="003234EC"/>
    <w:rsid w:val="003244AE"/>
    <w:rsid w:val="003244BA"/>
    <w:rsid w:val="00324832"/>
    <w:rsid w:val="00324A8E"/>
    <w:rsid w:val="00324C79"/>
    <w:rsid w:val="00324E4B"/>
    <w:rsid w:val="00325F0A"/>
    <w:rsid w:val="00326612"/>
    <w:rsid w:val="00326948"/>
    <w:rsid w:val="00326B6B"/>
    <w:rsid w:val="00327134"/>
    <w:rsid w:val="00327739"/>
    <w:rsid w:val="00330151"/>
    <w:rsid w:val="003306E4"/>
    <w:rsid w:val="00330E73"/>
    <w:rsid w:val="00331809"/>
    <w:rsid w:val="00331863"/>
    <w:rsid w:val="003322BB"/>
    <w:rsid w:val="003327D2"/>
    <w:rsid w:val="00332F4E"/>
    <w:rsid w:val="003336EE"/>
    <w:rsid w:val="00334383"/>
    <w:rsid w:val="00335024"/>
    <w:rsid w:val="0033529E"/>
    <w:rsid w:val="003352A1"/>
    <w:rsid w:val="003353E0"/>
    <w:rsid w:val="0033548C"/>
    <w:rsid w:val="0033798D"/>
    <w:rsid w:val="00340124"/>
    <w:rsid w:val="003401DE"/>
    <w:rsid w:val="00340FAC"/>
    <w:rsid w:val="00340FD1"/>
    <w:rsid w:val="00341B3C"/>
    <w:rsid w:val="00341F4B"/>
    <w:rsid w:val="00344727"/>
    <w:rsid w:val="00344C77"/>
    <w:rsid w:val="00346E68"/>
    <w:rsid w:val="003471D3"/>
    <w:rsid w:val="00347646"/>
    <w:rsid w:val="00347A72"/>
    <w:rsid w:val="00347DAB"/>
    <w:rsid w:val="003506AC"/>
    <w:rsid w:val="00350B85"/>
    <w:rsid w:val="00351F8C"/>
    <w:rsid w:val="003526C4"/>
    <w:rsid w:val="00352882"/>
    <w:rsid w:val="00352943"/>
    <w:rsid w:val="003529B8"/>
    <w:rsid w:val="00352ED5"/>
    <w:rsid w:val="00353084"/>
    <w:rsid w:val="00353569"/>
    <w:rsid w:val="003542C7"/>
    <w:rsid w:val="003565F5"/>
    <w:rsid w:val="0035690B"/>
    <w:rsid w:val="0035770A"/>
    <w:rsid w:val="003579C6"/>
    <w:rsid w:val="00357F71"/>
    <w:rsid w:val="00361055"/>
    <w:rsid w:val="003611B6"/>
    <w:rsid w:val="0036165F"/>
    <w:rsid w:val="0036230B"/>
    <w:rsid w:val="003624FC"/>
    <w:rsid w:val="003629E2"/>
    <w:rsid w:val="00362AB5"/>
    <w:rsid w:val="00363491"/>
    <w:rsid w:val="00363C26"/>
    <w:rsid w:val="00363E4C"/>
    <w:rsid w:val="003645BE"/>
    <w:rsid w:val="003646F2"/>
    <w:rsid w:val="00365067"/>
    <w:rsid w:val="00365B62"/>
    <w:rsid w:val="00365DB3"/>
    <w:rsid w:val="00366414"/>
    <w:rsid w:val="00366475"/>
    <w:rsid w:val="00367273"/>
    <w:rsid w:val="003673DB"/>
    <w:rsid w:val="00370537"/>
    <w:rsid w:val="00370CA1"/>
    <w:rsid w:val="00371278"/>
    <w:rsid w:val="00371796"/>
    <w:rsid w:val="0037192E"/>
    <w:rsid w:val="00371DB8"/>
    <w:rsid w:val="0037221D"/>
    <w:rsid w:val="00372243"/>
    <w:rsid w:val="0037267C"/>
    <w:rsid w:val="00372B50"/>
    <w:rsid w:val="003736A3"/>
    <w:rsid w:val="00373A16"/>
    <w:rsid w:val="00375016"/>
    <w:rsid w:val="00375407"/>
    <w:rsid w:val="00375BE0"/>
    <w:rsid w:val="00376AA5"/>
    <w:rsid w:val="00376EAF"/>
    <w:rsid w:val="003771A9"/>
    <w:rsid w:val="00377303"/>
    <w:rsid w:val="003778CA"/>
    <w:rsid w:val="00377AE6"/>
    <w:rsid w:val="0038050D"/>
    <w:rsid w:val="00380A80"/>
    <w:rsid w:val="00380AF0"/>
    <w:rsid w:val="00381946"/>
    <w:rsid w:val="00382BE7"/>
    <w:rsid w:val="00382E6C"/>
    <w:rsid w:val="0038313D"/>
    <w:rsid w:val="003831D2"/>
    <w:rsid w:val="003834FE"/>
    <w:rsid w:val="00384725"/>
    <w:rsid w:val="00384811"/>
    <w:rsid w:val="00384E53"/>
    <w:rsid w:val="00385242"/>
    <w:rsid w:val="003858A0"/>
    <w:rsid w:val="00385AF6"/>
    <w:rsid w:val="00385C0F"/>
    <w:rsid w:val="003865DB"/>
    <w:rsid w:val="00386D5D"/>
    <w:rsid w:val="00386F1F"/>
    <w:rsid w:val="0038738B"/>
    <w:rsid w:val="00387794"/>
    <w:rsid w:val="00387C04"/>
    <w:rsid w:val="003907B7"/>
    <w:rsid w:val="00390B37"/>
    <w:rsid w:val="00390B85"/>
    <w:rsid w:val="00391976"/>
    <w:rsid w:val="00391984"/>
    <w:rsid w:val="003919FF"/>
    <w:rsid w:val="00391BE4"/>
    <w:rsid w:val="00391C46"/>
    <w:rsid w:val="003928D1"/>
    <w:rsid w:val="00392E99"/>
    <w:rsid w:val="00393256"/>
    <w:rsid w:val="0039343E"/>
    <w:rsid w:val="00393906"/>
    <w:rsid w:val="003951B3"/>
    <w:rsid w:val="00396FDA"/>
    <w:rsid w:val="00397442"/>
    <w:rsid w:val="00397BA2"/>
    <w:rsid w:val="00397DCF"/>
    <w:rsid w:val="003A0145"/>
    <w:rsid w:val="003A02AC"/>
    <w:rsid w:val="003A07D3"/>
    <w:rsid w:val="003A07F5"/>
    <w:rsid w:val="003A0A87"/>
    <w:rsid w:val="003A0ADA"/>
    <w:rsid w:val="003A0ED6"/>
    <w:rsid w:val="003A0F03"/>
    <w:rsid w:val="003A12D7"/>
    <w:rsid w:val="003A141F"/>
    <w:rsid w:val="003A14E4"/>
    <w:rsid w:val="003A25F1"/>
    <w:rsid w:val="003A39DB"/>
    <w:rsid w:val="003A43EC"/>
    <w:rsid w:val="003A5083"/>
    <w:rsid w:val="003A54D4"/>
    <w:rsid w:val="003A562A"/>
    <w:rsid w:val="003A5E79"/>
    <w:rsid w:val="003A640D"/>
    <w:rsid w:val="003A7219"/>
    <w:rsid w:val="003A7239"/>
    <w:rsid w:val="003B08EC"/>
    <w:rsid w:val="003B0914"/>
    <w:rsid w:val="003B0D65"/>
    <w:rsid w:val="003B16DF"/>
    <w:rsid w:val="003B198E"/>
    <w:rsid w:val="003B29FD"/>
    <w:rsid w:val="003B300A"/>
    <w:rsid w:val="003B49F5"/>
    <w:rsid w:val="003B4C75"/>
    <w:rsid w:val="003B534B"/>
    <w:rsid w:val="003B561F"/>
    <w:rsid w:val="003B5927"/>
    <w:rsid w:val="003B64DD"/>
    <w:rsid w:val="003B6A21"/>
    <w:rsid w:val="003B6E8F"/>
    <w:rsid w:val="003B6FBB"/>
    <w:rsid w:val="003B7CE7"/>
    <w:rsid w:val="003C173B"/>
    <w:rsid w:val="003C1987"/>
    <w:rsid w:val="003C1D7E"/>
    <w:rsid w:val="003C2340"/>
    <w:rsid w:val="003C2CE9"/>
    <w:rsid w:val="003C3A2F"/>
    <w:rsid w:val="003C3C11"/>
    <w:rsid w:val="003C3C99"/>
    <w:rsid w:val="003C3DCE"/>
    <w:rsid w:val="003C4242"/>
    <w:rsid w:val="003C4269"/>
    <w:rsid w:val="003C50A1"/>
    <w:rsid w:val="003C528F"/>
    <w:rsid w:val="003C643F"/>
    <w:rsid w:val="003C6649"/>
    <w:rsid w:val="003C66BD"/>
    <w:rsid w:val="003C6BD5"/>
    <w:rsid w:val="003C73FC"/>
    <w:rsid w:val="003C7662"/>
    <w:rsid w:val="003C779A"/>
    <w:rsid w:val="003C7A05"/>
    <w:rsid w:val="003D0797"/>
    <w:rsid w:val="003D09EF"/>
    <w:rsid w:val="003D0F25"/>
    <w:rsid w:val="003D1DD2"/>
    <w:rsid w:val="003D1E29"/>
    <w:rsid w:val="003D316B"/>
    <w:rsid w:val="003D378D"/>
    <w:rsid w:val="003D3800"/>
    <w:rsid w:val="003D409E"/>
    <w:rsid w:val="003D428E"/>
    <w:rsid w:val="003D5C6D"/>
    <w:rsid w:val="003D6945"/>
    <w:rsid w:val="003D6A2F"/>
    <w:rsid w:val="003D7FD2"/>
    <w:rsid w:val="003E0CB3"/>
    <w:rsid w:val="003E1F9F"/>
    <w:rsid w:val="003E227B"/>
    <w:rsid w:val="003E2D22"/>
    <w:rsid w:val="003E37B4"/>
    <w:rsid w:val="003E3DAF"/>
    <w:rsid w:val="003E44E4"/>
    <w:rsid w:val="003E479D"/>
    <w:rsid w:val="003E4841"/>
    <w:rsid w:val="003E4AD4"/>
    <w:rsid w:val="003E5F6B"/>
    <w:rsid w:val="003E61F8"/>
    <w:rsid w:val="003E6984"/>
    <w:rsid w:val="003E6C28"/>
    <w:rsid w:val="003E6F50"/>
    <w:rsid w:val="003E7E4D"/>
    <w:rsid w:val="003F01A1"/>
    <w:rsid w:val="003F0A2E"/>
    <w:rsid w:val="003F1110"/>
    <w:rsid w:val="003F15EE"/>
    <w:rsid w:val="003F1C2C"/>
    <w:rsid w:val="003F1D1C"/>
    <w:rsid w:val="003F21A8"/>
    <w:rsid w:val="003F419D"/>
    <w:rsid w:val="003F48D1"/>
    <w:rsid w:val="003F4E00"/>
    <w:rsid w:val="003F4F34"/>
    <w:rsid w:val="003F503E"/>
    <w:rsid w:val="003F5464"/>
    <w:rsid w:val="003F55C1"/>
    <w:rsid w:val="003F6A45"/>
    <w:rsid w:val="003F6EC3"/>
    <w:rsid w:val="003F7EF6"/>
    <w:rsid w:val="00401666"/>
    <w:rsid w:val="00401DCA"/>
    <w:rsid w:val="004024D4"/>
    <w:rsid w:val="0040253E"/>
    <w:rsid w:val="00402E12"/>
    <w:rsid w:val="00403368"/>
    <w:rsid w:val="00403D46"/>
    <w:rsid w:val="004048B0"/>
    <w:rsid w:val="00404AF6"/>
    <w:rsid w:val="00405A5A"/>
    <w:rsid w:val="00405DAE"/>
    <w:rsid w:val="004063B5"/>
    <w:rsid w:val="00406F82"/>
    <w:rsid w:val="00407559"/>
    <w:rsid w:val="00407915"/>
    <w:rsid w:val="00410E34"/>
    <w:rsid w:val="0041110C"/>
    <w:rsid w:val="0041122D"/>
    <w:rsid w:val="00411528"/>
    <w:rsid w:val="00411EBE"/>
    <w:rsid w:val="00412956"/>
    <w:rsid w:val="00413848"/>
    <w:rsid w:val="00414903"/>
    <w:rsid w:val="00414998"/>
    <w:rsid w:val="00414AF5"/>
    <w:rsid w:val="00414D57"/>
    <w:rsid w:val="00414F4A"/>
    <w:rsid w:val="004158AE"/>
    <w:rsid w:val="004161D3"/>
    <w:rsid w:val="00420BB9"/>
    <w:rsid w:val="00420E14"/>
    <w:rsid w:val="00421683"/>
    <w:rsid w:val="00421A80"/>
    <w:rsid w:val="00422D79"/>
    <w:rsid w:val="00423C3A"/>
    <w:rsid w:val="004255D8"/>
    <w:rsid w:val="0042565D"/>
    <w:rsid w:val="004262FB"/>
    <w:rsid w:val="00426B96"/>
    <w:rsid w:val="00427FEA"/>
    <w:rsid w:val="00430236"/>
    <w:rsid w:val="00430578"/>
    <w:rsid w:val="004309C8"/>
    <w:rsid w:val="004328EB"/>
    <w:rsid w:val="00432CBF"/>
    <w:rsid w:val="004336F1"/>
    <w:rsid w:val="00433EED"/>
    <w:rsid w:val="004343C3"/>
    <w:rsid w:val="00434558"/>
    <w:rsid w:val="00434EBE"/>
    <w:rsid w:val="00435592"/>
    <w:rsid w:val="0043628C"/>
    <w:rsid w:val="00436979"/>
    <w:rsid w:val="00437953"/>
    <w:rsid w:val="00437B7B"/>
    <w:rsid w:val="0044018D"/>
    <w:rsid w:val="00441C2D"/>
    <w:rsid w:val="00442362"/>
    <w:rsid w:val="00442493"/>
    <w:rsid w:val="00442731"/>
    <w:rsid w:val="004428C5"/>
    <w:rsid w:val="00442C45"/>
    <w:rsid w:val="004430AB"/>
    <w:rsid w:val="00443465"/>
    <w:rsid w:val="0044354B"/>
    <w:rsid w:val="0044395D"/>
    <w:rsid w:val="0044400A"/>
    <w:rsid w:val="004440E1"/>
    <w:rsid w:val="004441F4"/>
    <w:rsid w:val="0044441F"/>
    <w:rsid w:val="00444513"/>
    <w:rsid w:val="00444760"/>
    <w:rsid w:val="00444F07"/>
    <w:rsid w:val="004450AA"/>
    <w:rsid w:val="004453B3"/>
    <w:rsid w:val="00446211"/>
    <w:rsid w:val="00446968"/>
    <w:rsid w:val="0044743C"/>
    <w:rsid w:val="00447EF3"/>
    <w:rsid w:val="00450003"/>
    <w:rsid w:val="0045084D"/>
    <w:rsid w:val="00450C85"/>
    <w:rsid w:val="00451754"/>
    <w:rsid w:val="004517A5"/>
    <w:rsid w:val="00452C6C"/>
    <w:rsid w:val="00452E4C"/>
    <w:rsid w:val="004531D2"/>
    <w:rsid w:val="004532A2"/>
    <w:rsid w:val="00453476"/>
    <w:rsid w:val="0045457D"/>
    <w:rsid w:val="004554A3"/>
    <w:rsid w:val="00455763"/>
    <w:rsid w:val="00455C31"/>
    <w:rsid w:val="00455CB0"/>
    <w:rsid w:val="00455E86"/>
    <w:rsid w:val="0045627A"/>
    <w:rsid w:val="00456362"/>
    <w:rsid w:val="004574D5"/>
    <w:rsid w:val="0045763D"/>
    <w:rsid w:val="00457EE6"/>
    <w:rsid w:val="0046085D"/>
    <w:rsid w:val="00461CD5"/>
    <w:rsid w:val="00462070"/>
    <w:rsid w:val="0046234F"/>
    <w:rsid w:val="00463927"/>
    <w:rsid w:val="0046397C"/>
    <w:rsid w:val="004640C3"/>
    <w:rsid w:val="00464179"/>
    <w:rsid w:val="00464413"/>
    <w:rsid w:val="0046461B"/>
    <w:rsid w:val="00464CFB"/>
    <w:rsid w:val="004650FE"/>
    <w:rsid w:val="00465666"/>
    <w:rsid w:val="004665B8"/>
    <w:rsid w:val="004672FE"/>
    <w:rsid w:val="00467324"/>
    <w:rsid w:val="00470569"/>
    <w:rsid w:val="00470F49"/>
    <w:rsid w:val="0047228C"/>
    <w:rsid w:val="00472EF3"/>
    <w:rsid w:val="004737DC"/>
    <w:rsid w:val="00473A34"/>
    <w:rsid w:val="00473BB1"/>
    <w:rsid w:val="00473E91"/>
    <w:rsid w:val="00474C09"/>
    <w:rsid w:val="00474E86"/>
    <w:rsid w:val="0047512E"/>
    <w:rsid w:val="00476222"/>
    <w:rsid w:val="00476390"/>
    <w:rsid w:val="00476A38"/>
    <w:rsid w:val="0047796F"/>
    <w:rsid w:val="004779DC"/>
    <w:rsid w:val="00477D5D"/>
    <w:rsid w:val="00480169"/>
    <w:rsid w:val="004802D5"/>
    <w:rsid w:val="00480432"/>
    <w:rsid w:val="00480721"/>
    <w:rsid w:val="004811B7"/>
    <w:rsid w:val="0048228E"/>
    <w:rsid w:val="004825D9"/>
    <w:rsid w:val="004830E3"/>
    <w:rsid w:val="0048314F"/>
    <w:rsid w:val="004836A3"/>
    <w:rsid w:val="00483F6B"/>
    <w:rsid w:val="004840C3"/>
    <w:rsid w:val="00485373"/>
    <w:rsid w:val="00485D32"/>
    <w:rsid w:val="00486300"/>
    <w:rsid w:val="00486A65"/>
    <w:rsid w:val="00486B3A"/>
    <w:rsid w:val="00486B92"/>
    <w:rsid w:val="00487506"/>
    <w:rsid w:val="00487C2E"/>
    <w:rsid w:val="00490532"/>
    <w:rsid w:val="00490A8D"/>
    <w:rsid w:val="00490AE2"/>
    <w:rsid w:val="00491C9B"/>
    <w:rsid w:val="00491D34"/>
    <w:rsid w:val="00491EF9"/>
    <w:rsid w:val="004920C4"/>
    <w:rsid w:val="00492BF2"/>
    <w:rsid w:val="00493E60"/>
    <w:rsid w:val="00493FF9"/>
    <w:rsid w:val="0049461E"/>
    <w:rsid w:val="004953B5"/>
    <w:rsid w:val="004955E9"/>
    <w:rsid w:val="00495B00"/>
    <w:rsid w:val="00496308"/>
    <w:rsid w:val="004967AD"/>
    <w:rsid w:val="0049681C"/>
    <w:rsid w:val="00497531"/>
    <w:rsid w:val="00497629"/>
    <w:rsid w:val="00497894"/>
    <w:rsid w:val="00497D42"/>
    <w:rsid w:val="004A00B8"/>
    <w:rsid w:val="004A08B3"/>
    <w:rsid w:val="004A0EA4"/>
    <w:rsid w:val="004A1D75"/>
    <w:rsid w:val="004A236A"/>
    <w:rsid w:val="004A330E"/>
    <w:rsid w:val="004A3B2E"/>
    <w:rsid w:val="004A4157"/>
    <w:rsid w:val="004A45C9"/>
    <w:rsid w:val="004A4BE1"/>
    <w:rsid w:val="004A55ED"/>
    <w:rsid w:val="004A65F4"/>
    <w:rsid w:val="004A68F4"/>
    <w:rsid w:val="004A70B3"/>
    <w:rsid w:val="004A73AC"/>
    <w:rsid w:val="004B04DB"/>
    <w:rsid w:val="004B0C1D"/>
    <w:rsid w:val="004B10A8"/>
    <w:rsid w:val="004B1272"/>
    <w:rsid w:val="004B4755"/>
    <w:rsid w:val="004B4A47"/>
    <w:rsid w:val="004B4DAF"/>
    <w:rsid w:val="004B53C1"/>
    <w:rsid w:val="004B5433"/>
    <w:rsid w:val="004B5471"/>
    <w:rsid w:val="004B65D5"/>
    <w:rsid w:val="004B66E9"/>
    <w:rsid w:val="004B6B9C"/>
    <w:rsid w:val="004C094E"/>
    <w:rsid w:val="004C2878"/>
    <w:rsid w:val="004C292A"/>
    <w:rsid w:val="004C2FE9"/>
    <w:rsid w:val="004C3BD3"/>
    <w:rsid w:val="004C46C0"/>
    <w:rsid w:val="004C5185"/>
    <w:rsid w:val="004C52A4"/>
    <w:rsid w:val="004C5CF8"/>
    <w:rsid w:val="004C75FE"/>
    <w:rsid w:val="004C7C82"/>
    <w:rsid w:val="004D0094"/>
    <w:rsid w:val="004D01BC"/>
    <w:rsid w:val="004D087A"/>
    <w:rsid w:val="004D0E64"/>
    <w:rsid w:val="004D0FC4"/>
    <w:rsid w:val="004D1C13"/>
    <w:rsid w:val="004D1CA4"/>
    <w:rsid w:val="004D1DDD"/>
    <w:rsid w:val="004D2023"/>
    <w:rsid w:val="004D2A5F"/>
    <w:rsid w:val="004D2D92"/>
    <w:rsid w:val="004D33C9"/>
    <w:rsid w:val="004D4916"/>
    <w:rsid w:val="004D4932"/>
    <w:rsid w:val="004D57FA"/>
    <w:rsid w:val="004D5A17"/>
    <w:rsid w:val="004D66FB"/>
    <w:rsid w:val="004D6821"/>
    <w:rsid w:val="004D7E4B"/>
    <w:rsid w:val="004E068D"/>
    <w:rsid w:val="004E158A"/>
    <w:rsid w:val="004E1C1A"/>
    <w:rsid w:val="004E3116"/>
    <w:rsid w:val="004E380B"/>
    <w:rsid w:val="004E3A6C"/>
    <w:rsid w:val="004E4104"/>
    <w:rsid w:val="004E42F0"/>
    <w:rsid w:val="004E4518"/>
    <w:rsid w:val="004E45E5"/>
    <w:rsid w:val="004E5E8F"/>
    <w:rsid w:val="004E6915"/>
    <w:rsid w:val="004E6F6F"/>
    <w:rsid w:val="004E760B"/>
    <w:rsid w:val="004E7FD8"/>
    <w:rsid w:val="004F02F9"/>
    <w:rsid w:val="004F0D7F"/>
    <w:rsid w:val="004F0F9D"/>
    <w:rsid w:val="004F11AF"/>
    <w:rsid w:val="004F1531"/>
    <w:rsid w:val="004F166B"/>
    <w:rsid w:val="004F1C92"/>
    <w:rsid w:val="004F263C"/>
    <w:rsid w:val="004F2FBD"/>
    <w:rsid w:val="004F3BDF"/>
    <w:rsid w:val="004F4514"/>
    <w:rsid w:val="004F5F30"/>
    <w:rsid w:val="004F64B8"/>
    <w:rsid w:val="004F716D"/>
    <w:rsid w:val="004F72E3"/>
    <w:rsid w:val="004F7C06"/>
    <w:rsid w:val="00501ADF"/>
    <w:rsid w:val="005021F0"/>
    <w:rsid w:val="00502259"/>
    <w:rsid w:val="00502F11"/>
    <w:rsid w:val="0050360D"/>
    <w:rsid w:val="00503878"/>
    <w:rsid w:val="00503CAB"/>
    <w:rsid w:val="005040D3"/>
    <w:rsid w:val="0050441C"/>
    <w:rsid w:val="00504544"/>
    <w:rsid w:val="00504EA1"/>
    <w:rsid w:val="00505760"/>
    <w:rsid w:val="005066F5"/>
    <w:rsid w:val="00506820"/>
    <w:rsid w:val="0050682E"/>
    <w:rsid w:val="00506DA1"/>
    <w:rsid w:val="0050762F"/>
    <w:rsid w:val="005108CB"/>
    <w:rsid w:val="00510C42"/>
    <w:rsid w:val="00511199"/>
    <w:rsid w:val="005115B1"/>
    <w:rsid w:val="005115F6"/>
    <w:rsid w:val="00511B83"/>
    <w:rsid w:val="005132EA"/>
    <w:rsid w:val="0051358B"/>
    <w:rsid w:val="005138FC"/>
    <w:rsid w:val="0051452D"/>
    <w:rsid w:val="00514621"/>
    <w:rsid w:val="005147D4"/>
    <w:rsid w:val="005148A4"/>
    <w:rsid w:val="00514A04"/>
    <w:rsid w:val="00514E5C"/>
    <w:rsid w:val="00515061"/>
    <w:rsid w:val="00515811"/>
    <w:rsid w:val="00515F0A"/>
    <w:rsid w:val="00516242"/>
    <w:rsid w:val="00516A03"/>
    <w:rsid w:val="00517229"/>
    <w:rsid w:val="0051777B"/>
    <w:rsid w:val="00517FCD"/>
    <w:rsid w:val="00520472"/>
    <w:rsid w:val="005209E1"/>
    <w:rsid w:val="00520A18"/>
    <w:rsid w:val="00521708"/>
    <w:rsid w:val="00521879"/>
    <w:rsid w:val="00521895"/>
    <w:rsid w:val="00521E4E"/>
    <w:rsid w:val="0052243B"/>
    <w:rsid w:val="005225EE"/>
    <w:rsid w:val="005230CE"/>
    <w:rsid w:val="00523680"/>
    <w:rsid w:val="00524958"/>
    <w:rsid w:val="00524AB3"/>
    <w:rsid w:val="00524AD7"/>
    <w:rsid w:val="00524E82"/>
    <w:rsid w:val="00525CB4"/>
    <w:rsid w:val="00525EF8"/>
    <w:rsid w:val="0052696C"/>
    <w:rsid w:val="00526D58"/>
    <w:rsid w:val="00527AD5"/>
    <w:rsid w:val="00527F03"/>
    <w:rsid w:val="00530425"/>
    <w:rsid w:val="00530774"/>
    <w:rsid w:val="005307CC"/>
    <w:rsid w:val="005308F7"/>
    <w:rsid w:val="0053117D"/>
    <w:rsid w:val="005313BD"/>
    <w:rsid w:val="005317CA"/>
    <w:rsid w:val="0053193E"/>
    <w:rsid w:val="00531CCE"/>
    <w:rsid w:val="00532478"/>
    <w:rsid w:val="00532988"/>
    <w:rsid w:val="00532B91"/>
    <w:rsid w:val="00534316"/>
    <w:rsid w:val="0053463F"/>
    <w:rsid w:val="005349DC"/>
    <w:rsid w:val="00535097"/>
    <w:rsid w:val="005351D5"/>
    <w:rsid w:val="00536B7D"/>
    <w:rsid w:val="00537EFE"/>
    <w:rsid w:val="00540778"/>
    <w:rsid w:val="00540D19"/>
    <w:rsid w:val="00540F67"/>
    <w:rsid w:val="0054170C"/>
    <w:rsid w:val="00542408"/>
    <w:rsid w:val="0054255F"/>
    <w:rsid w:val="0054256B"/>
    <w:rsid w:val="005427D7"/>
    <w:rsid w:val="00542B2C"/>
    <w:rsid w:val="00542B32"/>
    <w:rsid w:val="00544316"/>
    <w:rsid w:val="00545917"/>
    <w:rsid w:val="00545BB8"/>
    <w:rsid w:val="00546143"/>
    <w:rsid w:val="005464C3"/>
    <w:rsid w:val="0054660A"/>
    <w:rsid w:val="00546EBD"/>
    <w:rsid w:val="0054729D"/>
    <w:rsid w:val="005472C1"/>
    <w:rsid w:val="005479AC"/>
    <w:rsid w:val="00547C9D"/>
    <w:rsid w:val="005517C6"/>
    <w:rsid w:val="00551806"/>
    <w:rsid w:val="00551A86"/>
    <w:rsid w:val="00551F23"/>
    <w:rsid w:val="00552019"/>
    <w:rsid w:val="00552938"/>
    <w:rsid w:val="00553EA5"/>
    <w:rsid w:val="00554209"/>
    <w:rsid w:val="00556B81"/>
    <w:rsid w:val="0055775E"/>
    <w:rsid w:val="00557882"/>
    <w:rsid w:val="005607E6"/>
    <w:rsid w:val="00560899"/>
    <w:rsid w:val="00560971"/>
    <w:rsid w:val="00560F29"/>
    <w:rsid w:val="0056155E"/>
    <w:rsid w:val="005626BE"/>
    <w:rsid w:val="00562F5C"/>
    <w:rsid w:val="005634B9"/>
    <w:rsid w:val="00563A7E"/>
    <w:rsid w:val="005642D8"/>
    <w:rsid w:val="005647DA"/>
    <w:rsid w:val="005657BB"/>
    <w:rsid w:val="00566154"/>
    <w:rsid w:val="00566373"/>
    <w:rsid w:val="00566802"/>
    <w:rsid w:val="00566AEC"/>
    <w:rsid w:val="00566C8D"/>
    <w:rsid w:val="00567D8A"/>
    <w:rsid w:val="00570918"/>
    <w:rsid w:val="005709CE"/>
    <w:rsid w:val="00571275"/>
    <w:rsid w:val="0057398C"/>
    <w:rsid w:val="00573A78"/>
    <w:rsid w:val="005747AD"/>
    <w:rsid w:val="005747D5"/>
    <w:rsid w:val="005748E2"/>
    <w:rsid w:val="0057527D"/>
    <w:rsid w:val="005758FB"/>
    <w:rsid w:val="00575CD2"/>
    <w:rsid w:val="00576663"/>
    <w:rsid w:val="00576708"/>
    <w:rsid w:val="00576CFD"/>
    <w:rsid w:val="00577123"/>
    <w:rsid w:val="0057747B"/>
    <w:rsid w:val="005776C0"/>
    <w:rsid w:val="00577878"/>
    <w:rsid w:val="00581227"/>
    <w:rsid w:val="005816C5"/>
    <w:rsid w:val="005818FB"/>
    <w:rsid w:val="0058191F"/>
    <w:rsid w:val="00581D7B"/>
    <w:rsid w:val="00581FDE"/>
    <w:rsid w:val="005825DD"/>
    <w:rsid w:val="00582C8F"/>
    <w:rsid w:val="0058392F"/>
    <w:rsid w:val="00583C48"/>
    <w:rsid w:val="0058512D"/>
    <w:rsid w:val="005856BA"/>
    <w:rsid w:val="00586307"/>
    <w:rsid w:val="00586A48"/>
    <w:rsid w:val="00586B02"/>
    <w:rsid w:val="00587FF6"/>
    <w:rsid w:val="005912C1"/>
    <w:rsid w:val="005917D5"/>
    <w:rsid w:val="00591DD1"/>
    <w:rsid w:val="00592005"/>
    <w:rsid w:val="005926F8"/>
    <w:rsid w:val="00593265"/>
    <w:rsid w:val="00593D7B"/>
    <w:rsid w:val="0059405F"/>
    <w:rsid w:val="00594117"/>
    <w:rsid w:val="0059461E"/>
    <w:rsid w:val="005947C1"/>
    <w:rsid w:val="00595415"/>
    <w:rsid w:val="00595AD7"/>
    <w:rsid w:val="00596123"/>
    <w:rsid w:val="00596337"/>
    <w:rsid w:val="00596FFC"/>
    <w:rsid w:val="00597CC0"/>
    <w:rsid w:val="005A01E3"/>
    <w:rsid w:val="005A0E86"/>
    <w:rsid w:val="005A493E"/>
    <w:rsid w:val="005A4F45"/>
    <w:rsid w:val="005A4FC1"/>
    <w:rsid w:val="005A52D5"/>
    <w:rsid w:val="005A56C0"/>
    <w:rsid w:val="005A5F26"/>
    <w:rsid w:val="005A6BF1"/>
    <w:rsid w:val="005A7536"/>
    <w:rsid w:val="005B13FF"/>
    <w:rsid w:val="005B1C00"/>
    <w:rsid w:val="005B1CD4"/>
    <w:rsid w:val="005B1F35"/>
    <w:rsid w:val="005B2853"/>
    <w:rsid w:val="005B3318"/>
    <w:rsid w:val="005B3349"/>
    <w:rsid w:val="005B3714"/>
    <w:rsid w:val="005B3B17"/>
    <w:rsid w:val="005B4596"/>
    <w:rsid w:val="005B6304"/>
    <w:rsid w:val="005B6B7E"/>
    <w:rsid w:val="005B6FBE"/>
    <w:rsid w:val="005B75D4"/>
    <w:rsid w:val="005B7889"/>
    <w:rsid w:val="005B7C98"/>
    <w:rsid w:val="005C0190"/>
    <w:rsid w:val="005C0467"/>
    <w:rsid w:val="005C1438"/>
    <w:rsid w:val="005C1A6D"/>
    <w:rsid w:val="005C2394"/>
    <w:rsid w:val="005C2B33"/>
    <w:rsid w:val="005C3DE9"/>
    <w:rsid w:val="005C43E7"/>
    <w:rsid w:val="005C4926"/>
    <w:rsid w:val="005C548F"/>
    <w:rsid w:val="005C5841"/>
    <w:rsid w:val="005C5B85"/>
    <w:rsid w:val="005C5B8D"/>
    <w:rsid w:val="005C5DD4"/>
    <w:rsid w:val="005C6136"/>
    <w:rsid w:val="005C64C2"/>
    <w:rsid w:val="005C67BD"/>
    <w:rsid w:val="005C7A0F"/>
    <w:rsid w:val="005D0536"/>
    <w:rsid w:val="005D064B"/>
    <w:rsid w:val="005D13EC"/>
    <w:rsid w:val="005D17F1"/>
    <w:rsid w:val="005D1D1C"/>
    <w:rsid w:val="005D1FC9"/>
    <w:rsid w:val="005D285F"/>
    <w:rsid w:val="005D2924"/>
    <w:rsid w:val="005D2E95"/>
    <w:rsid w:val="005D44C0"/>
    <w:rsid w:val="005D4B4C"/>
    <w:rsid w:val="005D6113"/>
    <w:rsid w:val="005D69F4"/>
    <w:rsid w:val="005D6FC5"/>
    <w:rsid w:val="005D70A5"/>
    <w:rsid w:val="005D76CF"/>
    <w:rsid w:val="005D7862"/>
    <w:rsid w:val="005D7D54"/>
    <w:rsid w:val="005D7F4B"/>
    <w:rsid w:val="005E1232"/>
    <w:rsid w:val="005E18BC"/>
    <w:rsid w:val="005E1CDC"/>
    <w:rsid w:val="005E1E6A"/>
    <w:rsid w:val="005E26A1"/>
    <w:rsid w:val="005E355C"/>
    <w:rsid w:val="005E5E5A"/>
    <w:rsid w:val="005E6351"/>
    <w:rsid w:val="005E6758"/>
    <w:rsid w:val="005E69C3"/>
    <w:rsid w:val="005F02AC"/>
    <w:rsid w:val="005F07F2"/>
    <w:rsid w:val="005F0CCA"/>
    <w:rsid w:val="005F27AE"/>
    <w:rsid w:val="005F2E04"/>
    <w:rsid w:val="005F2FF9"/>
    <w:rsid w:val="005F3189"/>
    <w:rsid w:val="005F3777"/>
    <w:rsid w:val="005F387B"/>
    <w:rsid w:val="005F433C"/>
    <w:rsid w:val="005F4893"/>
    <w:rsid w:val="005F4AAA"/>
    <w:rsid w:val="005F63DE"/>
    <w:rsid w:val="005F6F7A"/>
    <w:rsid w:val="005F7027"/>
    <w:rsid w:val="005F7908"/>
    <w:rsid w:val="005F7C3A"/>
    <w:rsid w:val="005F7DC2"/>
    <w:rsid w:val="00601094"/>
    <w:rsid w:val="00602095"/>
    <w:rsid w:val="00602179"/>
    <w:rsid w:val="0060219D"/>
    <w:rsid w:val="006023E3"/>
    <w:rsid w:val="006026B4"/>
    <w:rsid w:val="00602B44"/>
    <w:rsid w:val="00602B7D"/>
    <w:rsid w:val="00602D63"/>
    <w:rsid w:val="00602F61"/>
    <w:rsid w:val="006030B4"/>
    <w:rsid w:val="006036A3"/>
    <w:rsid w:val="00603984"/>
    <w:rsid w:val="006039AF"/>
    <w:rsid w:val="00603E78"/>
    <w:rsid w:val="0060442F"/>
    <w:rsid w:val="006044FD"/>
    <w:rsid w:val="00604D52"/>
    <w:rsid w:val="00605502"/>
    <w:rsid w:val="00605A54"/>
    <w:rsid w:val="00606541"/>
    <w:rsid w:val="006100A2"/>
    <w:rsid w:val="00610534"/>
    <w:rsid w:val="0061095B"/>
    <w:rsid w:val="00610E04"/>
    <w:rsid w:val="00610FD1"/>
    <w:rsid w:val="0061114B"/>
    <w:rsid w:val="006119C1"/>
    <w:rsid w:val="00611E39"/>
    <w:rsid w:val="006121E3"/>
    <w:rsid w:val="00612A79"/>
    <w:rsid w:val="0061322A"/>
    <w:rsid w:val="006136B0"/>
    <w:rsid w:val="006139A7"/>
    <w:rsid w:val="006139D9"/>
    <w:rsid w:val="00613B28"/>
    <w:rsid w:val="00613E14"/>
    <w:rsid w:val="00614079"/>
    <w:rsid w:val="00615339"/>
    <w:rsid w:val="00615675"/>
    <w:rsid w:val="00616048"/>
    <w:rsid w:val="0061649D"/>
    <w:rsid w:val="00616663"/>
    <w:rsid w:val="006170AE"/>
    <w:rsid w:val="006173FF"/>
    <w:rsid w:val="00617D2E"/>
    <w:rsid w:val="00620566"/>
    <w:rsid w:val="006222FD"/>
    <w:rsid w:val="00622A90"/>
    <w:rsid w:val="00623B37"/>
    <w:rsid w:val="00624009"/>
    <w:rsid w:val="00625F49"/>
    <w:rsid w:val="006262EB"/>
    <w:rsid w:val="00626487"/>
    <w:rsid w:val="00627CEE"/>
    <w:rsid w:val="00630AF1"/>
    <w:rsid w:val="006312F7"/>
    <w:rsid w:val="006314EA"/>
    <w:rsid w:val="00631779"/>
    <w:rsid w:val="00631FEB"/>
    <w:rsid w:val="006322C0"/>
    <w:rsid w:val="00634A7F"/>
    <w:rsid w:val="00634E01"/>
    <w:rsid w:val="00635A6C"/>
    <w:rsid w:val="0063746C"/>
    <w:rsid w:val="00637875"/>
    <w:rsid w:val="00637E85"/>
    <w:rsid w:val="00641591"/>
    <w:rsid w:val="00641771"/>
    <w:rsid w:val="0064190D"/>
    <w:rsid w:val="00641975"/>
    <w:rsid w:val="00641BFC"/>
    <w:rsid w:val="00642981"/>
    <w:rsid w:val="00642DD4"/>
    <w:rsid w:val="006439BE"/>
    <w:rsid w:val="0064466D"/>
    <w:rsid w:val="0064468B"/>
    <w:rsid w:val="006451E1"/>
    <w:rsid w:val="00646281"/>
    <w:rsid w:val="00646F11"/>
    <w:rsid w:val="00646FBE"/>
    <w:rsid w:val="0064764B"/>
    <w:rsid w:val="00647952"/>
    <w:rsid w:val="006501C3"/>
    <w:rsid w:val="00650A45"/>
    <w:rsid w:val="0065116D"/>
    <w:rsid w:val="00651873"/>
    <w:rsid w:val="00652855"/>
    <w:rsid w:val="00652B97"/>
    <w:rsid w:val="00654C83"/>
    <w:rsid w:val="00654CB3"/>
    <w:rsid w:val="00655907"/>
    <w:rsid w:val="00656547"/>
    <w:rsid w:val="006568D0"/>
    <w:rsid w:val="00656A2F"/>
    <w:rsid w:val="006576F1"/>
    <w:rsid w:val="006577D3"/>
    <w:rsid w:val="00660C13"/>
    <w:rsid w:val="0066199D"/>
    <w:rsid w:val="00661F9E"/>
    <w:rsid w:val="00662D03"/>
    <w:rsid w:val="006649C1"/>
    <w:rsid w:val="00664D70"/>
    <w:rsid w:val="00664E24"/>
    <w:rsid w:val="00664FF4"/>
    <w:rsid w:val="0066618E"/>
    <w:rsid w:val="00666529"/>
    <w:rsid w:val="00666738"/>
    <w:rsid w:val="006668D2"/>
    <w:rsid w:val="006672C3"/>
    <w:rsid w:val="00670B2F"/>
    <w:rsid w:val="00670C85"/>
    <w:rsid w:val="006711C9"/>
    <w:rsid w:val="00671209"/>
    <w:rsid w:val="00671AF7"/>
    <w:rsid w:val="00671C63"/>
    <w:rsid w:val="00672F9B"/>
    <w:rsid w:val="006730BF"/>
    <w:rsid w:val="00673D2C"/>
    <w:rsid w:val="00674133"/>
    <w:rsid w:val="006748D6"/>
    <w:rsid w:val="00680049"/>
    <w:rsid w:val="00680762"/>
    <w:rsid w:val="00680F0C"/>
    <w:rsid w:val="006824A5"/>
    <w:rsid w:val="006829BE"/>
    <w:rsid w:val="00682F32"/>
    <w:rsid w:val="006847C7"/>
    <w:rsid w:val="00684871"/>
    <w:rsid w:val="00684ABE"/>
    <w:rsid w:val="006860D7"/>
    <w:rsid w:val="00687030"/>
    <w:rsid w:val="00687200"/>
    <w:rsid w:val="006875ED"/>
    <w:rsid w:val="00687A2B"/>
    <w:rsid w:val="00687C2D"/>
    <w:rsid w:val="00687CA3"/>
    <w:rsid w:val="006903F4"/>
    <w:rsid w:val="00691666"/>
    <w:rsid w:val="006921B0"/>
    <w:rsid w:val="006929B5"/>
    <w:rsid w:val="00692A1E"/>
    <w:rsid w:val="00692FC3"/>
    <w:rsid w:val="00693169"/>
    <w:rsid w:val="00693413"/>
    <w:rsid w:val="006939DC"/>
    <w:rsid w:val="00693F0C"/>
    <w:rsid w:val="0069401A"/>
    <w:rsid w:val="00694225"/>
    <w:rsid w:val="00694C86"/>
    <w:rsid w:val="00695141"/>
    <w:rsid w:val="00696179"/>
    <w:rsid w:val="00696DBF"/>
    <w:rsid w:val="00697911"/>
    <w:rsid w:val="00697B26"/>
    <w:rsid w:val="006A0072"/>
    <w:rsid w:val="006A011C"/>
    <w:rsid w:val="006A0679"/>
    <w:rsid w:val="006A0748"/>
    <w:rsid w:val="006A0774"/>
    <w:rsid w:val="006A085D"/>
    <w:rsid w:val="006A1176"/>
    <w:rsid w:val="006A2289"/>
    <w:rsid w:val="006A2A22"/>
    <w:rsid w:val="006A2FF0"/>
    <w:rsid w:val="006A4427"/>
    <w:rsid w:val="006A5753"/>
    <w:rsid w:val="006A5BAE"/>
    <w:rsid w:val="006A7686"/>
    <w:rsid w:val="006A7736"/>
    <w:rsid w:val="006A7850"/>
    <w:rsid w:val="006A7BC3"/>
    <w:rsid w:val="006B0549"/>
    <w:rsid w:val="006B0A0C"/>
    <w:rsid w:val="006B0FF9"/>
    <w:rsid w:val="006B1299"/>
    <w:rsid w:val="006B1617"/>
    <w:rsid w:val="006B1765"/>
    <w:rsid w:val="006B20A0"/>
    <w:rsid w:val="006B251A"/>
    <w:rsid w:val="006B31DF"/>
    <w:rsid w:val="006B3A28"/>
    <w:rsid w:val="006B4992"/>
    <w:rsid w:val="006B4B26"/>
    <w:rsid w:val="006B671D"/>
    <w:rsid w:val="006B6799"/>
    <w:rsid w:val="006B6C6E"/>
    <w:rsid w:val="006C01C5"/>
    <w:rsid w:val="006C03FB"/>
    <w:rsid w:val="006C05D3"/>
    <w:rsid w:val="006C0761"/>
    <w:rsid w:val="006C0E99"/>
    <w:rsid w:val="006C0EDC"/>
    <w:rsid w:val="006C182C"/>
    <w:rsid w:val="006C2949"/>
    <w:rsid w:val="006C2FE5"/>
    <w:rsid w:val="006C38A8"/>
    <w:rsid w:val="006C4A8E"/>
    <w:rsid w:val="006C4BDC"/>
    <w:rsid w:val="006C5028"/>
    <w:rsid w:val="006C52AE"/>
    <w:rsid w:val="006C5409"/>
    <w:rsid w:val="006C5412"/>
    <w:rsid w:val="006C5A28"/>
    <w:rsid w:val="006C6128"/>
    <w:rsid w:val="006C78A9"/>
    <w:rsid w:val="006C78F0"/>
    <w:rsid w:val="006C7E61"/>
    <w:rsid w:val="006C7F05"/>
    <w:rsid w:val="006D1370"/>
    <w:rsid w:val="006D23D4"/>
    <w:rsid w:val="006D26B4"/>
    <w:rsid w:val="006D2A9B"/>
    <w:rsid w:val="006D2C91"/>
    <w:rsid w:val="006D43A8"/>
    <w:rsid w:val="006D4677"/>
    <w:rsid w:val="006D47DC"/>
    <w:rsid w:val="006D47F7"/>
    <w:rsid w:val="006D4A5D"/>
    <w:rsid w:val="006D4DBD"/>
    <w:rsid w:val="006D539E"/>
    <w:rsid w:val="006D5EBD"/>
    <w:rsid w:val="006D7500"/>
    <w:rsid w:val="006D7609"/>
    <w:rsid w:val="006E02A4"/>
    <w:rsid w:val="006E053A"/>
    <w:rsid w:val="006E0886"/>
    <w:rsid w:val="006E151C"/>
    <w:rsid w:val="006E2906"/>
    <w:rsid w:val="006E2A14"/>
    <w:rsid w:val="006E2E0C"/>
    <w:rsid w:val="006E366F"/>
    <w:rsid w:val="006E4065"/>
    <w:rsid w:val="006E4BBF"/>
    <w:rsid w:val="006E5418"/>
    <w:rsid w:val="006E55FB"/>
    <w:rsid w:val="006E57F1"/>
    <w:rsid w:val="006E5C4F"/>
    <w:rsid w:val="006E628C"/>
    <w:rsid w:val="006E660E"/>
    <w:rsid w:val="006E696C"/>
    <w:rsid w:val="006E7076"/>
    <w:rsid w:val="006E7915"/>
    <w:rsid w:val="006F13C7"/>
    <w:rsid w:val="006F2421"/>
    <w:rsid w:val="006F3C7D"/>
    <w:rsid w:val="006F47E4"/>
    <w:rsid w:val="006F4E40"/>
    <w:rsid w:val="006F5A1D"/>
    <w:rsid w:val="006F68E9"/>
    <w:rsid w:val="006F6DD6"/>
    <w:rsid w:val="006F72FB"/>
    <w:rsid w:val="006F7394"/>
    <w:rsid w:val="006F74F1"/>
    <w:rsid w:val="006F7678"/>
    <w:rsid w:val="00700465"/>
    <w:rsid w:val="0070059D"/>
    <w:rsid w:val="007013DF"/>
    <w:rsid w:val="00701699"/>
    <w:rsid w:val="007020EF"/>
    <w:rsid w:val="00702129"/>
    <w:rsid w:val="00702151"/>
    <w:rsid w:val="00702E77"/>
    <w:rsid w:val="00703A92"/>
    <w:rsid w:val="00703F9D"/>
    <w:rsid w:val="0070479E"/>
    <w:rsid w:val="00704A81"/>
    <w:rsid w:val="00705058"/>
    <w:rsid w:val="00705107"/>
    <w:rsid w:val="0070563A"/>
    <w:rsid w:val="007057A9"/>
    <w:rsid w:val="0070590F"/>
    <w:rsid w:val="00706827"/>
    <w:rsid w:val="00706A1E"/>
    <w:rsid w:val="00706B2B"/>
    <w:rsid w:val="00706BE2"/>
    <w:rsid w:val="00706CAE"/>
    <w:rsid w:val="00706D29"/>
    <w:rsid w:val="00707C20"/>
    <w:rsid w:val="007104E1"/>
    <w:rsid w:val="0071053D"/>
    <w:rsid w:val="00710B46"/>
    <w:rsid w:val="00710BC6"/>
    <w:rsid w:val="007110F3"/>
    <w:rsid w:val="0071240C"/>
    <w:rsid w:val="00712583"/>
    <w:rsid w:val="00712992"/>
    <w:rsid w:val="00712F73"/>
    <w:rsid w:val="00714450"/>
    <w:rsid w:val="00714E8B"/>
    <w:rsid w:val="00715170"/>
    <w:rsid w:val="007152E2"/>
    <w:rsid w:val="00715647"/>
    <w:rsid w:val="00715CFE"/>
    <w:rsid w:val="0071605A"/>
    <w:rsid w:val="007162F4"/>
    <w:rsid w:val="0071639E"/>
    <w:rsid w:val="007165DF"/>
    <w:rsid w:val="00716B4E"/>
    <w:rsid w:val="0072029F"/>
    <w:rsid w:val="007206B4"/>
    <w:rsid w:val="00720CD9"/>
    <w:rsid w:val="00720E51"/>
    <w:rsid w:val="00721B6C"/>
    <w:rsid w:val="00721EC1"/>
    <w:rsid w:val="00722185"/>
    <w:rsid w:val="007224A1"/>
    <w:rsid w:val="00722A4E"/>
    <w:rsid w:val="00722AB1"/>
    <w:rsid w:val="00722C61"/>
    <w:rsid w:val="00722EA0"/>
    <w:rsid w:val="00723C40"/>
    <w:rsid w:val="00725F1C"/>
    <w:rsid w:val="007263D0"/>
    <w:rsid w:val="00726B14"/>
    <w:rsid w:val="00726B53"/>
    <w:rsid w:val="00730A60"/>
    <w:rsid w:val="00730D99"/>
    <w:rsid w:val="00731006"/>
    <w:rsid w:val="00731ABC"/>
    <w:rsid w:val="00731C8C"/>
    <w:rsid w:val="007328B0"/>
    <w:rsid w:val="0073332B"/>
    <w:rsid w:val="00733B81"/>
    <w:rsid w:val="00733F50"/>
    <w:rsid w:val="0073471C"/>
    <w:rsid w:val="007350D3"/>
    <w:rsid w:val="007353F7"/>
    <w:rsid w:val="0073584E"/>
    <w:rsid w:val="0073684F"/>
    <w:rsid w:val="00736BFD"/>
    <w:rsid w:val="00737DCE"/>
    <w:rsid w:val="00737E38"/>
    <w:rsid w:val="007409C9"/>
    <w:rsid w:val="007410FE"/>
    <w:rsid w:val="007417EF"/>
    <w:rsid w:val="007426BB"/>
    <w:rsid w:val="00742FB8"/>
    <w:rsid w:val="00743099"/>
    <w:rsid w:val="007441C5"/>
    <w:rsid w:val="00744F0A"/>
    <w:rsid w:val="00744FB4"/>
    <w:rsid w:val="00745408"/>
    <w:rsid w:val="00745431"/>
    <w:rsid w:val="00745533"/>
    <w:rsid w:val="00745C4A"/>
    <w:rsid w:val="007462DD"/>
    <w:rsid w:val="007469F0"/>
    <w:rsid w:val="00746A0A"/>
    <w:rsid w:val="00746AE7"/>
    <w:rsid w:val="007472A7"/>
    <w:rsid w:val="007479E6"/>
    <w:rsid w:val="0075027A"/>
    <w:rsid w:val="0075143C"/>
    <w:rsid w:val="00752819"/>
    <w:rsid w:val="00752DD4"/>
    <w:rsid w:val="007534F7"/>
    <w:rsid w:val="00753B4F"/>
    <w:rsid w:val="00755AEB"/>
    <w:rsid w:val="00755D23"/>
    <w:rsid w:val="00755FA8"/>
    <w:rsid w:val="0075672C"/>
    <w:rsid w:val="00756CA3"/>
    <w:rsid w:val="00756CB7"/>
    <w:rsid w:val="0075780B"/>
    <w:rsid w:val="00757AA3"/>
    <w:rsid w:val="00757C34"/>
    <w:rsid w:val="007603F0"/>
    <w:rsid w:val="00760782"/>
    <w:rsid w:val="00760A52"/>
    <w:rsid w:val="00760B7E"/>
    <w:rsid w:val="0076102B"/>
    <w:rsid w:val="00761AE2"/>
    <w:rsid w:val="00762013"/>
    <w:rsid w:val="00762872"/>
    <w:rsid w:val="00762A95"/>
    <w:rsid w:val="00762B41"/>
    <w:rsid w:val="00762FCF"/>
    <w:rsid w:val="00763318"/>
    <w:rsid w:val="0076458A"/>
    <w:rsid w:val="00765130"/>
    <w:rsid w:val="007655E2"/>
    <w:rsid w:val="00765BF1"/>
    <w:rsid w:val="00765E07"/>
    <w:rsid w:val="00766337"/>
    <w:rsid w:val="007669BA"/>
    <w:rsid w:val="00767471"/>
    <w:rsid w:val="00770BEF"/>
    <w:rsid w:val="00771146"/>
    <w:rsid w:val="00771CBF"/>
    <w:rsid w:val="00771E18"/>
    <w:rsid w:val="00772732"/>
    <w:rsid w:val="00772B3E"/>
    <w:rsid w:val="00773639"/>
    <w:rsid w:val="00773B36"/>
    <w:rsid w:val="00775696"/>
    <w:rsid w:val="00775870"/>
    <w:rsid w:val="00775CBF"/>
    <w:rsid w:val="0077603D"/>
    <w:rsid w:val="007764BB"/>
    <w:rsid w:val="00776BDE"/>
    <w:rsid w:val="0077728E"/>
    <w:rsid w:val="00777813"/>
    <w:rsid w:val="00777FE6"/>
    <w:rsid w:val="007804DE"/>
    <w:rsid w:val="0078098C"/>
    <w:rsid w:val="00780E04"/>
    <w:rsid w:val="00781511"/>
    <w:rsid w:val="00781C55"/>
    <w:rsid w:val="00781F8F"/>
    <w:rsid w:val="007824F9"/>
    <w:rsid w:val="00782727"/>
    <w:rsid w:val="007862B6"/>
    <w:rsid w:val="00787976"/>
    <w:rsid w:val="0079008F"/>
    <w:rsid w:val="007901D8"/>
    <w:rsid w:val="00790778"/>
    <w:rsid w:val="00791301"/>
    <w:rsid w:val="00791613"/>
    <w:rsid w:val="00791D57"/>
    <w:rsid w:val="00791DBE"/>
    <w:rsid w:val="007920F1"/>
    <w:rsid w:val="00792C31"/>
    <w:rsid w:val="00793DBF"/>
    <w:rsid w:val="00793F4C"/>
    <w:rsid w:val="007941C5"/>
    <w:rsid w:val="007945F6"/>
    <w:rsid w:val="00794627"/>
    <w:rsid w:val="00796188"/>
    <w:rsid w:val="007977D0"/>
    <w:rsid w:val="007978A6"/>
    <w:rsid w:val="00797A80"/>
    <w:rsid w:val="00797F73"/>
    <w:rsid w:val="007A0163"/>
    <w:rsid w:val="007A049C"/>
    <w:rsid w:val="007A184A"/>
    <w:rsid w:val="007A29FA"/>
    <w:rsid w:val="007A2AAA"/>
    <w:rsid w:val="007A2EE9"/>
    <w:rsid w:val="007A2F6B"/>
    <w:rsid w:val="007A331E"/>
    <w:rsid w:val="007A3530"/>
    <w:rsid w:val="007A4230"/>
    <w:rsid w:val="007A4BD3"/>
    <w:rsid w:val="007A5756"/>
    <w:rsid w:val="007A5A2B"/>
    <w:rsid w:val="007A667E"/>
    <w:rsid w:val="007A731C"/>
    <w:rsid w:val="007A7378"/>
    <w:rsid w:val="007A75AB"/>
    <w:rsid w:val="007A7817"/>
    <w:rsid w:val="007A7B71"/>
    <w:rsid w:val="007B00A7"/>
    <w:rsid w:val="007B04FE"/>
    <w:rsid w:val="007B09E8"/>
    <w:rsid w:val="007B0A8E"/>
    <w:rsid w:val="007B18A4"/>
    <w:rsid w:val="007B1E35"/>
    <w:rsid w:val="007B23ED"/>
    <w:rsid w:val="007B2B5A"/>
    <w:rsid w:val="007B3576"/>
    <w:rsid w:val="007B3B7F"/>
    <w:rsid w:val="007B44E6"/>
    <w:rsid w:val="007B4D85"/>
    <w:rsid w:val="007B5CDC"/>
    <w:rsid w:val="007B61E9"/>
    <w:rsid w:val="007B662E"/>
    <w:rsid w:val="007B7EE5"/>
    <w:rsid w:val="007C0660"/>
    <w:rsid w:val="007C0A47"/>
    <w:rsid w:val="007C102C"/>
    <w:rsid w:val="007C15D4"/>
    <w:rsid w:val="007C19C6"/>
    <w:rsid w:val="007C25E0"/>
    <w:rsid w:val="007C268F"/>
    <w:rsid w:val="007C273B"/>
    <w:rsid w:val="007C3216"/>
    <w:rsid w:val="007C41EA"/>
    <w:rsid w:val="007C429F"/>
    <w:rsid w:val="007C54BF"/>
    <w:rsid w:val="007C64AF"/>
    <w:rsid w:val="007C6EEC"/>
    <w:rsid w:val="007C7054"/>
    <w:rsid w:val="007C7416"/>
    <w:rsid w:val="007C7F68"/>
    <w:rsid w:val="007D0F11"/>
    <w:rsid w:val="007D12AD"/>
    <w:rsid w:val="007D134C"/>
    <w:rsid w:val="007D1430"/>
    <w:rsid w:val="007D18B7"/>
    <w:rsid w:val="007D22A7"/>
    <w:rsid w:val="007D2A64"/>
    <w:rsid w:val="007D3306"/>
    <w:rsid w:val="007D3796"/>
    <w:rsid w:val="007D42D5"/>
    <w:rsid w:val="007D4942"/>
    <w:rsid w:val="007D4C9B"/>
    <w:rsid w:val="007D5024"/>
    <w:rsid w:val="007D5684"/>
    <w:rsid w:val="007D7CAF"/>
    <w:rsid w:val="007E0800"/>
    <w:rsid w:val="007E0CB7"/>
    <w:rsid w:val="007E1362"/>
    <w:rsid w:val="007E31AB"/>
    <w:rsid w:val="007E35EA"/>
    <w:rsid w:val="007E3603"/>
    <w:rsid w:val="007E46F3"/>
    <w:rsid w:val="007E51C4"/>
    <w:rsid w:val="007E5234"/>
    <w:rsid w:val="007E527F"/>
    <w:rsid w:val="007E531B"/>
    <w:rsid w:val="007E5DBB"/>
    <w:rsid w:val="007E62A2"/>
    <w:rsid w:val="007E62D4"/>
    <w:rsid w:val="007E6FD2"/>
    <w:rsid w:val="007E70DB"/>
    <w:rsid w:val="007E7672"/>
    <w:rsid w:val="007E7CB3"/>
    <w:rsid w:val="007E7D8A"/>
    <w:rsid w:val="007F0696"/>
    <w:rsid w:val="007F0F47"/>
    <w:rsid w:val="007F117E"/>
    <w:rsid w:val="007F2EDE"/>
    <w:rsid w:val="007F365A"/>
    <w:rsid w:val="007F3874"/>
    <w:rsid w:val="007F39A8"/>
    <w:rsid w:val="007F3E5D"/>
    <w:rsid w:val="007F5093"/>
    <w:rsid w:val="007F6359"/>
    <w:rsid w:val="007F66DF"/>
    <w:rsid w:val="007F6B11"/>
    <w:rsid w:val="007F6CCD"/>
    <w:rsid w:val="007F7884"/>
    <w:rsid w:val="00800ADF"/>
    <w:rsid w:val="00800D9F"/>
    <w:rsid w:val="008012A9"/>
    <w:rsid w:val="0080166E"/>
    <w:rsid w:val="00801974"/>
    <w:rsid w:val="00801A92"/>
    <w:rsid w:val="00802424"/>
    <w:rsid w:val="00803543"/>
    <w:rsid w:val="00803D81"/>
    <w:rsid w:val="0080413B"/>
    <w:rsid w:val="00804D5C"/>
    <w:rsid w:val="00804FCC"/>
    <w:rsid w:val="00804FF5"/>
    <w:rsid w:val="00805304"/>
    <w:rsid w:val="00806280"/>
    <w:rsid w:val="008069DF"/>
    <w:rsid w:val="0080706C"/>
    <w:rsid w:val="0080767A"/>
    <w:rsid w:val="00810461"/>
    <w:rsid w:val="008113A0"/>
    <w:rsid w:val="0081199B"/>
    <w:rsid w:val="0081241B"/>
    <w:rsid w:val="008125F1"/>
    <w:rsid w:val="00812CDA"/>
    <w:rsid w:val="008146F8"/>
    <w:rsid w:val="00814FA2"/>
    <w:rsid w:val="008154C3"/>
    <w:rsid w:val="00816B16"/>
    <w:rsid w:val="008174E6"/>
    <w:rsid w:val="00817EBA"/>
    <w:rsid w:val="00820591"/>
    <w:rsid w:val="008216C9"/>
    <w:rsid w:val="00821B66"/>
    <w:rsid w:val="00823B4A"/>
    <w:rsid w:val="00823BDE"/>
    <w:rsid w:val="00824369"/>
    <w:rsid w:val="008246F8"/>
    <w:rsid w:val="00824D9F"/>
    <w:rsid w:val="008261E6"/>
    <w:rsid w:val="00826456"/>
    <w:rsid w:val="0082793C"/>
    <w:rsid w:val="00827A17"/>
    <w:rsid w:val="00827ACA"/>
    <w:rsid w:val="00827C56"/>
    <w:rsid w:val="00827FF0"/>
    <w:rsid w:val="00830884"/>
    <w:rsid w:val="00830893"/>
    <w:rsid w:val="008331DE"/>
    <w:rsid w:val="00833329"/>
    <w:rsid w:val="008333F0"/>
    <w:rsid w:val="00833FC7"/>
    <w:rsid w:val="0083435A"/>
    <w:rsid w:val="008343C9"/>
    <w:rsid w:val="00834D2B"/>
    <w:rsid w:val="00834FC1"/>
    <w:rsid w:val="00835146"/>
    <w:rsid w:val="0083588E"/>
    <w:rsid w:val="00835990"/>
    <w:rsid w:val="00836338"/>
    <w:rsid w:val="00836539"/>
    <w:rsid w:val="00836806"/>
    <w:rsid w:val="00837990"/>
    <w:rsid w:val="00837AD8"/>
    <w:rsid w:val="00837B97"/>
    <w:rsid w:val="00837F8D"/>
    <w:rsid w:val="00841ADB"/>
    <w:rsid w:val="00841DDC"/>
    <w:rsid w:val="00841E05"/>
    <w:rsid w:val="00842127"/>
    <w:rsid w:val="00842502"/>
    <w:rsid w:val="00842813"/>
    <w:rsid w:val="00842D67"/>
    <w:rsid w:val="00842FE2"/>
    <w:rsid w:val="008431F0"/>
    <w:rsid w:val="0084339B"/>
    <w:rsid w:val="0084376F"/>
    <w:rsid w:val="00844772"/>
    <w:rsid w:val="008449D8"/>
    <w:rsid w:val="008463EE"/>
    <w:rsid w:val="008463FC"/>
    <w:rsid w:val="00846AC1"/>
    <w:rsid w:val="008472BC"/>
    <w:rsid w:val="00847EDC"/>
    <w:rsid w:val="00850061"/>
    <w:rsid w:val="008511D3"/>
    <w:rsid w:val="008515BE"/>
    <w:rsid w:val="0085254C"/>
    <w:rsid w:val="00852F0C"/>
    <w:rsid w:val="00853582"/>
    <w:rsid w:val="008536B5"/>
    <w:rsid w:val="00853C22"/>
    <w:rsid w:val="00854EFD"/>
    <w:rsid w:val="00854F79"/>
    <w:rsid w:val="00855F57"/>
    <w:rsid w:val="00856461"/>
    <w:rsid w:val="008564F6"/>
    <w:rsid w:val="008568DD"/>
    <w:rsid w:val="00857350"/>
    <w:rsid w:val="008578C6"/>
    <w:rsid w:val="00857F1C"/>
    <w:rsid w:val="00860083"/>
    <w:rsid w:val="00860FF4"/>
    <w:rsid w:val="008616F1"/>
    <w:rsid w:val="00861BC5"/>
    <w:rsid w:val="00862627"/>
    <w:rsid w:val="00862C86"/>
    <w:rsid w:val="00863BDD"/>
    <w:rsid w:val="00864F95"/>
    <w:rsid w:val="008658C6"/>
    <w:rsid w:val="00865A08"/>
    <w:rsid w:val="008660D2"/>
    <w:rsid w:val="00866BF8"/>
    <w:rsid w:val="00870E93"/>
    <w:rsid w:val="008719A2"/>
    <w:rsid w:val="008720B1"/>
    <w:rsid w:val="00873482"/>
    <w:rsid w:val="00873BEE"/>
    <w:rsid w:val="00873BF1"/>
    <w:rsid w:val="00873C08"/>
    <w:rsid w:val="00874049"/>
    <w:rsid w:val="0087427D"/>
    <w:rsid w:val="00874C95"/>
    <w:rsid w:val="00875028"/>
    <w:rsid w:val="0087533E"/>
    <w:rsid w:val="0087550E"/>
    <w:rsid w:val="00875E7E"/>
    <w:rsid w:val="00877654"/>
    <w:rsid w:val="00880924"/>
    <w:rsid w:val="00880D9D"/>
    <w:rsid w:val="00882EE7"/>
    <w:rsid w:val="008836A9"/>
    <w:rsid w:val="00883B43"/>
    <w:rsid w:val="00884293"/>
    <w:rsid w:val="008847D4"/>
    <w:rsid w:val="008853D4"/>
    <w:rsid w:val="008854F4"/>
    <w:rsid w:val="00885FBD"/>
    <w:rsid w:val="008861CB"/>
    <w:rsid w:val="00886E1E"/>
    <w:rsid w:val="00887100"/>
    <w:rsid w:val="00890E10"/>
    <w:rsid w:val="008911FB"/>
    <w:rsid w:val="00891991"/>
    <w:rsid w:val="0089248D"/>
    <w:rsid w:val="00892EB8"/>
    <w:rsid w:val="00893B94"/>
    <w:rsid w:val="00894737"/>
    <w:rsid w:val="00894E75"/>
    <w:rsid w:val="00894F3B"/>
    <w:rsid w:val="00894FC7"/>
    <w:rsid w:val="0089735B"/>
    <w:rsid w:val="008A0072"/>
    <w:rsid w:val="008A1F3E"/>
    <w:rsid w:val="008A2658"/>
    <w:rsid w:val="008A3444"/>
    <w:rsid w:val="008A3DFB"/>
    <w:rsid w:val="008A45C8"/>
    <w:rsid w:val="008A524B"/>
    <w:rsid w:val="008A57B7"/>
    <w:rsid w:val="008A58E0"/>
    <w:rsid w:val="008A5A77"/>
    <w:rsid w:val="008A5BCE"/>
    <w:rsid w:val="008A70C3"/>
    <w:rsid w:val="008A727B"/>
    <w:rsid w:val="008A7CFD"/>
    <w:rsid w:val="008B07FF"/>
    <w:rsid w:val="008B0BBB"/>
    <w:rsid w:val="008B0D77"/>
    <w:rsid w:val="008B2119"/>
    <w:rsid w:val="008B2587"/>
    <w:rsid w:val="008B315F"/>
    <w:rsid w:val="008B34C4"/>
    <w:rsid w:val="008B3532"/>
    <w:rsid w:val="008B3652"/>
    <w:rsid w:val="008B3BE1"/>
    <w:rsid w:val="008B3FF4"/>
    <w:rsid w:val="008B537A"/>
    <w:rsid w:val="008B5880"/>
    <w:rsid w:val="008B5F55"/>
    <w:rsid w:val="008B6085"/>
    <w:rsid w:val="008B6BB0"/>
    <w:rsid w:val="008B6E82"/>
    <w:rsid w:val="008B78D9"/>
    <w:rsid w:val="008B7B4C"/>
    <w:rsid w:val="008B7D17"/>
    <w:rsid w:val="008B7FAC"/>
    <w:rsid w:val="008C03ED"/>
    <w:rsid w:val="008C0EB0"/>
    <w:rsid w:val="008C12A4"/>
    <w:rsid w:val="008C1B70"/>
    <w:rsid w:val="008C1E04"/>
    <w:rsid w:val="008C2346"/>
    <w:rsid w:val="008C2786"/>
    <w:rsid w:val="008C40AF"/>
    <w:rsid w:val="008C4CEE"/>
    <w:rsid w:val="008C5AE1"/>
    <w:rsid w:val="008C6FD1"/>
    <w:rsid w:val="008C77F7"/>
    <w:rsid w:val="008D0A5D"/>
    <w:rsid w:val="008D2F9C"/>
    <w:rsid w:val="008D3050"/>
    <w:rsid w:val="008D487D"/>
    <w:rsid w:val="008D538C"/>
    <w:rsid w:val="008D5632"/>
    <w:rsid w:val="008D56AC"/>
    <w:rsid w:val="008D62CA"/>
    <w:rsid w:val="008D6C82"/>
    <w:rsid w:val="008D741F"/>
    <w:rsid w:val="008D7A69"/>
    <w:rsid w:val="008E0813"/>
    <w:rsid w:val="008E08C8"/>
    <w:rsid w:val="008E0D59"/>
    <w:rsid w:val="008E14CA"/>
    <w:rsid w:val="008E208A"/>
    <w:rsid w:val="008E26D6"/>
    <w:rsid w:val="008E2B29"/>
    <w:rsid w:val="008E3EB0"/>
    <w:rsid w:val="008E4871"/>
    <w:rsid w:val="008E48C8"/>
    <w:rsid w:val="008E518D"/>
    <w:rsid w:val="008E52B2"/>
    <w:rsid w:val="008E5532"/>
    <w:rsid w:val="008E5742"/>
    <w:rsid w:val="008E5C57"/>
    <w:rsid w:val="008E5E6E"/>
    <w:rsid w:val="008E66F8"/>
    <w:rsid w:val="008E6D8A"/>
    <w:rsid w:val="008E721A"/>
    <w:rsid w:val="008E7264"/>
    <w:rsid w:val="008E7DB2"/>
    <w:rsid w:val="008F01CB"/>
    <w:rsid w:val="008F0875"/>
    <w:rsid w:val="008F1566"/>
    <w:rsid w:val="008F1703"/>
    <w:rsid w:val="008F1863"/>
    <w:rsid w:val="008F20A9"/>
    <w:rsid w:val="008F2206"/>
    <w:rsid w:val="008F2DDE"/>
    <w:rsid w:val="008F3346"/>
    <w:rsid w:val="008F353E"/>
    <w:rsid w:val="008F3C9C"/>
    <w:rsid w:val="008F42F9"/>
    <w:rsid w:val="008F4749"/>
    <w:rsid w:val="008F4F00"/>
    <w:rsid w:val="008F5C2C"/>
    <w:rsid w:val="008F6C41"/>
    <w:rsid w:val="008F718B"/>
    <w:rsid w:val="008F77FB"/>
    <w:rsid w:val="008F79B7"/>
    <w:rsid w:val="00900CB8"/>
    <w:rsid w:val="0090126E"/>
    <w:rsid w:val="00902489"/>
    <w:rsid w:val="0090263D"/>
    <w:rsid w:val="0090297B"/>
    <w:rsid w:val="00902AA1"/>
    <w:rsid w:val="00903133"/>
    <w:rsid w:val="009040DF"/>
    <w:rsid w:val="009043DD"/>
    <w:rsid w:val="0090453B"/>
    <w:rsid w:val="0090492C"/>
    <w:rsid w:val="00904A5E"/>
    <w:rsid w:val="0090594D"/>
    <w:rsid w:val="00905E9D"/>
    <w:rsid w:val="00906656"/>
    <w:rsid w:val="009071FB"/>
    <w:rsid w:val="00907AED"/>
    <w:rsid w:val="009101D5"/>
    <w:rsid w:val="00910294"/>
    <w:rsid w:val="00910F1C"/>
    <w:rsid w:val="00911DEC"/>
    <w:rsid w:val="00912176"/>
    <w:rsid w:val="009127D5"/>
    <w:rsid w:val="0091315E"/>
    <w:rsid w:val="009144FD"/>
    <w:rsid w:val="009147AC"/>
    <w:rsid w:val="00914971"/>
    <w:rsid w:val="009155A3"/>
    <w:rsid w:val="0092056A"/>
    <w:rsid w:val="009220F7"/>
    <w:rsid w:val="00923A7B"/>
    <w:rsid w:val="0092413C"/>
    <w:rsid w:val="00924584"/>
    <w:rsid w:val="00925072"/>
    <w:rsid w:val="00926120"/>
    <w:rsid w:val="00926A46"/>
    <w:rsid w:val="009270A0"/>
    <w:rsid w:val="009275E8"/>
    <w:rsid w:val="00927DE3"/>
    <w:rsid w:val="00927EA9"/>
    <w:rsid w:val="0093079C"/>
    <w:rsid w:val="0093095C"/>
    <w:rsid w:val="00930A10"/>
    <w:rsid w:val="009312C0"/>
    <w:rsid w:val="00931B3D"/>
    <w:rsid w:val="00931F01"/>
    <w:rsid w:val="00932AA9"/>
    <w:rsid w:val="00932FA2"/>
    <w:rsid w:val="0093305E"/>
    <w:rsid w:val="009332D9"/>
    <w:rsid w:val="00934341"/>
    <w:rsid w:val="00935E25"/>
    <w:rsid w:val="009363E7"/>
    <w:rsid w:val="00936F5F"/>
    <w:rsid w:val="00937108"/>
    <w:rsid w:val="00940BB8"/>
    <w:rsid w:val="00941C98"/>
    <w:rsid w:val="009425C5"/>
    <w:rsid w:val="009430A3"/>
    <w:rsid w:val="00943198"/>
    <w:rsid w:val="00943C75"/>
    <w:rsid w:val="00943ECF"/>
    <w:rsid w:val="00945764"/>
    <w:rsid w:val="00945836"/>
    <w:rsid w:val="009467C7"/>
    <w:rsid w:val="00946A64"/>
    <w:rsid w:val="00946DCE"/>
    <w:rsid w:val="009505BF"/>
    <w:rsid w:val="0095094C"/>
    <w:rsid w:val="00951350"/>
    <w:rsid w:val="00952E1F"/>
    <w:rsid w:val="009534B5"/>
    <w:rsid w:val="00953B1D"/>
    <w:rsid w:val="009547D9"/>
    <w:rsid w:val="00954E52"/>
    <w:rsid w:val="00955497"/>
    <w:rsid w:val="0095562E"/>
    <w:rsid w:val="0095567F"/>
    <w:rsid w:val="0095585C"/>
    <w:rsid w:val="0095669F"/>
    <w:rsid w:val="00956E64"/>
    <w:rsid w:val="00956FDA"/>
    <w:rsid w:val="0095728F"/>
    <w:rsid w:val="0095729E"/>
    <w:rsid w:val="0095755D"/>
    <w:rsid w:val="00957647"/>
    <w:rsid w:val="00957A8C"/>
    <w:rsid w:val="00957F3C"/>
    <w:rsid w:val="00960219"/>
    <w:rsid w:val="009602D2"/>
    <w:rsid w:val="00960440"/>
    <w:rsid w:val="00960979"/>
    <w:rsid w:val="00960D34"/>
    <w:rsid w:val="00960E28"/>
    <w:rsid w:val="009624FA"/>
    <w:rsid w:val="009633ED"/>
    <w:rsid w:val="00963736"/>
    <w:rsid w:val="00963B2B"/>
    <w:rsid w:val="009645CD"/>
    <w:rsid w:val="00964721"/>
    <w:rsid w:val="009654B3"/>
    <w:rsid w:val="0096560C"/>
    <w:rsid w:val="00965AF3"/>
    <w:rsid w:val="00965DEE"/>
    <w:rsid w:val="00965FFE"/>
    <w:rsid w:val="009661B5"/>
    <w:rsid w:val="0096629F"/>
    <w:rsid w:val="00967287"/>
    <w:rsid w:val="00972219"/>
    <w:rsid w:val="009727BC"/>
    <w:rsid w:val="00972E34"/>
    <w:rsid w:val="009736D9"/>
    <w:rsid w:val="00974817"/>
    <w:rsid w:val="0097482E"/>
    <w:rsid w:val="00974B95"/>
    <w:rsid w:val="009750E9"/>
    <w:rsid w:val="00975815"/>
    <w:rsid w:val="00975D33"/>
    <w:rsid w:val="0097646B"/>
    <w:rsid w:val="0097656F"/>
    <w:rsid w:val="009766D3"/>
    <w:rsid w:val="009771C6"/>
    <w:rsid w:val="00977F51"/>
    <w:rsid w:val="00980102"/>
    <w:rsid w:val="00980E93"/>
    <w:rsid w:val="0098148E"/>
    <w:rsid w:val="00981E79"/>
    <w:rsid w:val="0098235D"/>
    <w:rsid w:val="00982894"/>
    <w:rsid w:val="00982A96"/>
    <w:rsid w:val="00982C23"/>
    <w:rsid w:val="009832F7"/>
    <w:rsid w:val="00983A48"/>
    <w:rsid w:val="0098402C"/>
    <w:rsid w:val="0098505D"/>
    <w:rsid w:val="0098542A"/>
    <w:rsid w:val="0098589A"/>
    <w:rsid w:val="0098653E"/>
    <w:rsid w:val="00986A85"/>
    <w:rsid w:val="00986FE0"/>
    <w:rsid w:val="0098709C"/>
    <w:rsid w:val="00987442"/>
    <w:rsid w:val="00987E86"/>
    <w:rsid w:val="00990235"/>
    <w:rsid w:val="009902B6"/>
    <w:rsid w:val="00990955"/>
    <w:rsid w:val="0099131E"/>
    <w:rsid w:val="0099194E"/>
    <w:rsid w:val="00991A76"/>
    <w:rsid w:val="009922EE"/>
    <w:rsid w:val="00992DD2"/>
    <w:rsid w:val="00993795"/>
    <w:rsid w:val="00993A2A"/>
    <w:rsid w:val="00994168"/>
    <w:rsid w:val="0099486D"/>
    <w:rsid w:val="00994B60"/>
    <w:rsid w:val="00995248"/>
    <w:rsid w:val="009958ED"/>
    <w:rsid w:val="00996BE2"/>
    <w:rsid w:val="009A0944"/>
    <w:rsid w:val="009A0D69"/>
    <w:rsid w:val="009A195C"/>
    <w:rsid w:val="009A19CA"/>
    <w:rsid w:val="009A1F4C"/>
    <w:rsid w:val="009A243E"/>
    <w:rsid w:val="009A2590"/>
    <w:rsid w:val="009A26E0"/>
    <w:rsid w:val="009A2C55"/>
    <w:rsid w:val="009A2D39"/>
    <w:rsid w:val="009A360E"/>
    <w:rsid w:val="009A3798"/>
    <w:rsid w:val="009A39F1"/>
    <w:rsid w:val="009A4BCD"/>
    <w:rsid w:val="009A543A"/>
    <w:rsid w:val="009A54B2"/>
    <w:rsid w:val="009A55BE"/>
    <w:rsid w:val="009A5A24"/>
    <w:rsid w:val="009A5AA5"/>
    <w:rsid w:val="009A682F"/>
    <w:rsid w:val="009A7A05"/>
    <w:rsid w:val="009B001B"/>
    <w:rsid w:val="009B09B1"/>
    <w:rsid w:val="009B0E04"/>
    <w:rsid w:val="009B1625"/>
    <w:rsid w:val="009B179B"/>
    <w:rsid w:val="009B1841"/>
    <w:rsid w:val="009B1AE2"/>
    <w:rsid w:val="009B2092"/>
    <w:rsid w:val="009B2484"/>
    <w:rsid w:val="009B31C9"/>
    <w:rsid w:val="009B39BC"/>
    <w:rsid w:val="009B4270"/>
    <w:rsid w:val="009B4601"/>
    <w:rsid w:val="009B4EA5"/>
    <w:rsid w:val="009B5B1D"/>
    <w:rsid w:val="009B5BFB"/>
    <w:rsid w:val="009B5E9D"/>
    <w:rsid w:val="009B6331"/>
    <w:rsid w:val="009B66FD"/>
    <w:rsid w:val="009B682E"/>
    <w:rsid w:val="009C027E"/>
    <w:rsid w:val="009C02E9"/>
    <w:rsid w:val="009C03B8"/>
    <w:rsid w:val="009C0682"/>
    <w:rsid w:val="009C1012"/>
    <w:rsid w:val="009C12C0"/>
    <w:rsid w:val="009C1CDC"/>
    <w:rsid w:val="009C3416"/>
    <w:rsid w:val="009C3957"/>
    <w:rsid w:val="009C4E9B"/>
    <w:rsid w:val="009C4EB0"/>
    <w:rsid w:val="009C5FBA"/>
    <w:rsid w:val="009C6A7B"/>
    <w:rsid w:val="009C74A0"/>
    <w:rsid w:val="009C7801"/>
    <w:rsid w:val="009C7EDB"/>
    <w:rsid w:val="009D18AC"/>
    <w:rsid w:val="009D1D51"/>
    <w:rsid w:val="009D1F91"/>
    <w:rsid w:val="009D27B7"/>
    <w:rsid w:val="009D2B04"/>
    <w:rsid w:val="009D361E"/>
    <w:rsid w:val="009D3667"/>
    <w:rsid w:val="009D3C71"/>
    <w:rsid w:val="009D3CD6"/>
    <w:rsid w:val="009D4AB9"/>
    <w:rsid w:val="009D55BE"/>
    <w:rsid w:val="009D5AD9"/>
    <w:rsid w:val="009D5BCE"/>
    <w:rsid w:val="009D5F42"/>
    <w:rsid w:val="009D6025"/>
    <w:rsid w:val="009D6242"/>
    <w:rsid w:val="009D6393"/>
    <w:rsid w:val="009D64EB"/>
    <w:rsid w:val="009D6556"/>
    <w:rsid w:val="009D69BE"/>
    <w:rsid w:val="009D6AD9"/>
    <w:rsid w:val="009D6D98"/>
    <w:rsid w:val="009E049E"/>
    <w:rsid w:val="009E0568"/>
    <w:rsid w:val="009E05BC"/>
    <w:rsid w:val="009E0761"/>
    <w:rsid w:val="009E1217"/>
    <w:rsid w:val="009E1321"/>
    <w:rsid w:val="009E199B"/>
    <w:rsid w:val="009E2259"/>
    <w:rsid w:val="009E269E"/>
    <w:rsid w:val="009E26E6"/>
    <w:rsid w:val="009E3120"/>
    <w:rsid w:val="009E4935"/>
    <w:rsid w:val="009E4A69"/>
    <w:rsid w:val="009E4E5F"/>
    <w:rsid w:val="009E5D0B"/>
    <w:rsid w:val="009E5D7F"/>
    <w:rsid w:val="009E695D"/>
    <w:rsid w:val="009E7529"/>
    <w:rsid w:val="009E7CE8"/>
    <w:rsid w:val="009E7FB2"/>
    <w:rsid w:val="009F0281"/>
    <w:rsid w:val="009F02AD"/>
    <w:rsid w:val="009F059F"/>
    <w:rsid w:val="009F0B1C"/>
    <w:rsid w:val="009F0C2B"/>
    <w:rsid w:val="009F138B"/>
    <w:rsid w:val="009F1448"/>
    <w:rsid w:val="009F1B90"/>
    <w:rsid w:val="009F1FA2"/>
    <w:rsid w:val="009F216E"/>
    <w:rsid w:val="009F24B5"/>
    <w:rsid w:val="009F34CF"/>
    <w:rsid w:val="009F3A63"/>
    <w:rsid w:val="009F3C08"/>
    <w:rsid w:val="009F3FC6"/>
    <w:rsid w:val="009F4148"/>
    <w:rsid w:val="009F52D3"/>
    <w:rsid w:val="009F54BD"/>
    <w:rsid w:val="009F54CB"/>
    <w:rsid w:val="009F5FC0"/>
    <w:rsid w:val="009F6807"/>
    <w:rsid w:val="00A0012F"/>
    <w:rsid w:val="00A0049B"/>
    <w:rsid w:val="00A006B1"/>
    <w:rsid w:val="00A00D06"/>
    <w:rsid w:val="00A01DCD"/>
    <w:rsid w:val="00A020A9"/>
    <w:rsid w:val="00A02541"/>
    <w:rsid w:val="00A0352B"/>
    <w:rsid w:val="00A03861"/>
    <w:rsid w:val="00A0465D"/>
    <w:rsid w:val="00A04D17"/>
    <w:rsid w:val="00A04EFF"/>
    <w:rsid w:val="00A051FD"/>
    <w:rsid w:val="00A05684"/>
    <w:rsid w:val="00A05CE3"/>
    <w:rsid w:val="00A06329"/>
    <w:rsid w:val="00A06C91"/>
    <w:rsid w:val="00A0767C"/>
    <w:rsid w:val="00A07FC6"/>
    <w:rsid w:val="00A1047A"/>
    <w:rsid w:val="00A1077A"/>
    <w:rsid w:val="00A1078C"/>
    <w:rsid w:val="00A10967"/>
    <w:rsid w:val="00A11156"/>
    <w:rsid w:val="00A125C1"/>
    <w:rsid w:val="00A1374A"/>
    <w:rsid w:val="00A13B79"/>
    <w:rsid w:val="00A147F8"/>
    <w:rsid w:val="00A155F1"/>
    <w:rsid w:val="00A15B56"/>
    <w:rsid w:val="00A17073"/>
    <w:rsid w:val="00A201AA"/>
    <w:rsid w:val="00A20D8D"/>
    <w:rsid w:val="00A21C65"/>
    <w:rsid w:val="00A21FDB"/>
    <w:rsid w:val="00A224B4"/>
    <w:rsid w:val="00A22FFE"/>
    <w:rsid w:val="00A2328E"/>
    <w:rsid w:val="00A233B2"/>
    <w:rsid w:val="00A235AF"/>
    <w:rsid w:val="00A23BBA"/>
    <w:rsid w:val="00A24A8E"/>
    <w:rsid w:val="00A24BD2"/>
    <w:rsid w:val="00A24CCF"/>
    <w:rsid w:val="00A24E85"/>
    <w:rsid w:val="00A2562E"/>
    <w:rsid w:val="00A2590A"/>
    <w:rsid w:val="00A25D77"/>
    <w:rsid w:val="00A26109"/>
    <w:rsid w:val="00A261DF"/>
    <w:rsid w:val="00A269F4"/>
    <w:rsid w:val="00A2706F"/>
    <w:rsid w:val="00A274C8"/>
    <w:rsid w:val="00A278D4"/>
    <w:rsid w:val="00A27B8A"/>
    <w:rsid w:val="00A27E60"/>
    <w:rsid w:val="00A31820"/>
    <w:rsid w:val="00A31903"/>
    <w:rsid w:val="00A32488"/>
    <w:rsid w:val="00A325B6"/>
    <w:rsid w:val="00A32DCA"/>
    <w:rsid w:val="00A33126"/>
    <w:rsid w:val="00A33DE4"/>
    <w:rsid w:val="00A341F8"/>
    <w:rsid w:val="00A34575"/>
    <w:rsid w:val="00A34B27"/>
    <w:rsid w:val="00A355DB"/>
    <w:rsid w:val="00A35A49"/>
    <w:rsid w:val="00A36228"/>
    <w:rsid w:val="00A369F1"/>
    <w:rsid w:val="00A36A37"/>
    <w:rsid w:val="00A36CB2"/>
    <w:rsid w:val="00A37776"/>
    <w:rsid w:val="00A377F2"/>
    <w:rsid w:val="00A37B27"/>
    <w:rsid w:val="00A42D9A"/>
    <w:rsid w:val="00A42FF7"/>
    <w:rsid w:val="00A43B01"/>
    <w:rsid w:val="00A45311"/>
    <w:rsid w:val="00A45E31"/>
    <w:rsid w:val="00A47403"/>
    <w:rsid w:val="00A47CE3"/>
    <w:rsid w:val="00A501A0"/>
    <w:rsid w:val="00A513B8"/>
    <w:rsid w:val="00A51727"/>
    <w:rsid w:val="00A517C2"/>
    <w:rsid w:val="00A52C9D"/>
    <w:rsid w:val="00A53286"/>
    <w:rsid w:val="00A53965"/>
    <w:rsid w:val="00A53A6E"/>
    <w:rsid w:val="00A53D0B"/>
    <w:rsid w:val="00A552F9"/>
    <w:rsid w:val="00A55453"/>
    <w:rsid w:val="00A554FF"/>
    <w:rsid w:val="00A564FE"/>
    <w:rsid w:val="00A5651D"/>
    <w:rsid w:val="00A5657F"/>
    <w:rsid w:val="00A56918"/>
    <w:rsid w:val="00A57FD8"/>
    <w:rsid w:val="00A612C9"/>
    <w:rsid w:val="00A61403"/>
    <w:rsid w:val="00A61805"/>
    <w:rsid w:val="00A61883"/>
    <w:rsid w:val="00A61CB7"/>
    <w:rsid w:val="00A61E95"/>
    <w:rsid w:val="00A62014"/>
    <w:rsid w:val="00A624D5"/>
    <w:rsid w:val="00A626BF"/>
    <w:rsid w:val="00A627B4"/>
    <w:rsid w:val="00A62D39"/>
    <w:rsid w:val="00A631EE"/>
    <w:rsid w:val="00A63213"/>
    <w:rsid w:val="00A63439"/>
    <w:rsid w:val="00A63994"/>
    <w:rsid w:val="00A63C73"/>
    <w:rsid w:val="00A63F03"/>
    <w:rsid w:val="00A64B14"/>
    <w:rsid w:val="00A65982"/>
    <w:rsid w:val="00A66C31"/>
    <w:rsid w:val="00A6716F"/>
    <w:rsid w:val="00A67B1B"/>
    <w:rsid w:val="00A67E42"/>
    <w:rsid w:val="00A70A03"/>
    <w:rsid w:val="00A70C83"/>
    <w:rsid w:val="00A71074"/>
    <w:rsid w:val="00A7180B"/>
    <w:rsid w:val="00A73BF2"/>
    <w:rsid w:val="00A7422A"/>
    <w:rsid w:val="00A744F0"/>
    <w:rsid w:val="00A7455D"/>
    <w:rsid w:val="00A746AB"/>
    <w:rsid w:val="00A747A6"/>
    <w:rsid w:val="00A74C4B"/>
    <w:rsid w:val="00A74F12"/>
    <w:rsid w:val="00A75A5F"/>
    <w:rsid w:val="00A76214"/>
    <w:rsid w:val="00A768E9"/>
    <w:rsid w:val="00A7715D"/>
    <w:rsid w:val="00A773D8"/>
    <w:rsid w:val="00A774D2"/>
    <w:rsid w:val="00A7754C"/>
    <w:rsid w:val="00A80736"/>
    <w:rsid w:val="00A816A7"/>
    <w:rsid w:val="00A8217D"/>
    <w:rsid w:val="00A82381"/>
    <w:rsid w:val="00A82D7F"/>
    <w:rsid w:val="00A83E40"/>
    <w:rsid w:val="00A83F18"/>
    <w:rsid w:val="00A84FC3"/>
    <w:rsid w:val="00A852F0"/>
    <w:rsid w:val="00A8533C"/>
    <w:rsid w:val="00A86085"/>
    <w:rsid w:val="00A863D8"/>
    <w:rsid w:val="00A86B56"/>
    <w:rsid w:val="00A87368"/>
    <w:rsid w:val="00A879CB"/>
    <w:rsid w:val="00A87AB0"/>
    <w:rsid w:val="00A90160"/>
    <w:rsid w:val="00A90A53"/>
    <w:rsid w:val="00A90B17"/>
    <w:rsid w:val="00A91D0F"/>
    <w:rsid w:val="00A91F9F"/>
    <w:rsid w:val="00A92372"/>
    <w:rsid w:val="00A92779"/>
    <w:rsid w:val="00A9277C"/>
    <w:rsid w:val="00A945FE"/>
    <w:rsid w:val="00A946B1"/>
    <w:rsid w:val="00A948C0"/>
    <w:rsid w:val="00A95D3E"/>
    <w:rsid w:val="00A96B11"/>
    <w:rsid w:val="00A978F0"/>
    <w:rsid w:val="00A97E54"/>
    <w:rsid w:val="00A97F99"/>
    <w:rsid w:val="00AA0894"/>
    <w:rsid w:val="00AA0A6F"/>
    <w:rsid w:val="00AA0FF3"/>
    <w:rsid w:val="00AA129A"/>
    <w:rsid w:val="00AA157D"/>
    <w:rsid w:val="00AA16F1"/>
    <w:rsid w:val="00AA1768"/>
    <w:rsid w:val="00AA2446"/>
    <w:rsid w:val="00AA2A85"/>
    <w:rsid w:val="00AA347C"/>
    <w:rsid w:val="00AA4CDD"/>
    <w:rsid w:val="00AA5C3A"/>
    <w:rsid w:val="00AA64A2"/>
    <w:rsid w:val="00AA74D0"/>
    <w:rsid w:val="00AA79E6"/>
    <w:rsid w:val="00AB0AAD"/>
    <w:rsid w:val="00AB0B38"/>
    <w:rsid w:val="00AB0DEE"/>
    <w:rsid w:val="00AB1EFA"/>
    <w:rsid w:val="00AB2603"/>
    <w:rsid w:val="00AB2F6D"/>
    <w:rsid w:val="00AB44C7"/>
    <w:rsid w:val="00AB5679"/>
    <w:rsid w:val="00AB6D15"/>
    <w:rsid w:val="00AB6F2F"/>
    <w:rsid w:val="00AB753B"/>
    <w:rsid w:val="00AB78C9"/>
    <w:rsid w:val="00AB7C44"/>
    <w:rsid w:val="00AB7CA8"/>
    <w:rsid w:val="00AC10AE"/>
    <w:rsid w:val="00AC1DC5"/>
    <w:rsid w:val="00AC2540"/>
    <w:rsid w:val="00AC25FF"/>
    <w:rsid w:val="00AC2A78"/>
    <w:rsid w:val="00AC3C32"/>
    <w:rsid w:val="00AC3C86"/>
    <w:rsid w:val="00AC4F2B"/>
    <w:rsid w:val="00AC60C2"/>
    <w:rsid w:val="00AC6B3B"/>
    <w:rsid w:val="00AC739A"/>
    <w:rsid w:val="00AC7B83"/>
    <w:rsid w:val="00AD0ABF"/>
    <w:rsid w:val="00AD11AF"/>
    <w:rsid w:val="00AD12C1"/>
    <w:rsid w:val="00AD1314"/>
    <w:rsid w:val="00AD1ACA"/>
    <w:rsid w:val="00AD295D"/>
    <w:rsid w:val="00AD3544"/>
    <w:rsid w:val="00AD3585"/>
    <w:rsid w:val="00AD3671"/>
    <w:rsid w:val="00AD413D"/>
    <w:rsid w:val="00AD49FA"/>
    <w:rsid w:val="00AD5397"/>
    <w:rsid w:val="00AD5E99"/>
    <w:rsid w:val="00AD5FE6"/>
    <w:rsid w:val="00AD72A4"/>
    <w:rsid w:val="00AD7424"/>
    <w:rsid w:val="00AD7855"/>
    <w:rsid w:val="00AD7B83"/>
    <w:rsid w:val="00AE035C"/>
    <w:rsid w:val="00AE0743"/>
    <w:rsid w:val="00AE127E"/>
    <w:rsid w:val="00AE1564"/>
    <w:rsid w:val="00AE16BB"/>
    <w:rsid w:val="00AE3170"/>
    <w:rsid w:val="00AE3A7E"/>
    <w:rsid w:val="00AE3F57"/>
    <w:rsid w:val="00AE4971"/>
    <w:rsid w:val="00AE52F3"/>
    <w:rsid w:val="00AE6062"/>
    <w:rsid w:val="00AE6B79"/>
    <w:rsid w:val="00AE7692"/>
    <w:rsid w:val="00AE7750"/>
    <w:rsid w:val="00AE7C8B"/>
    <w:rsid w:val="00AE7E66"/>
    <w:rsid w:val="00AF0648"/>
    <w:rsid w:val="00AF10D0"/>
    <w:rsid w:val="00AF129A"/>
    <w:rsid w:val="00AF2581"/>
    <w:rsid w:val="00AF274E"/>
    <w:rsid w:val="00AF2AC1"/>
    <w:rsid w:val="00AF35EA"/>
    <w:rsid w:val="00AF3774"/>
    <w:rsid w:val="00AF3B45"/>
    <w:rsid w:val="00AF3B63"/>
    <w:rsid w:val="00AF61C5"/>
    <w:rsid w:val="00AF641A"/>
    <w:rsid w:val="00AF659A"/>
    <w:rsid w:val="00AF6760"/>
    <w:rsid w:val="00AF719B"/>
    <w:rsid w:val="00AF7813"/>
    <w:rsid w:val="00AF7BC9"/>
    <w:rsid w:val="00AF7CF6"/>
    <w:rsid w:val="00B001FB"/>
    <w:rsid w:val="00B00426"/>
    <w:rsid w:val="00B0047C"/>
    <w:rsid w:val="00B0094D"/>
    <w:rsid w:val="00B00E1B"/>
    <w:rsid w:val="00B00FAA"/>
    <w:rsid w:val="00B012AC"/>
    <w:rsid w:val="00B01741"/>
    <w:rsid w:val="00B017AC"/>
    <w:rsid w:val="00B01F11"/>
    <w:rsid w:val="00B02BF5"/>
    <w:rsid w:val="00B02EA7"/>
    <w:rsid w:val="00B031AE"/>
    <w:rsid w:val="00B033C6"/>
    <w:rsid w:val="00B0525F"/>
    <w:rsid w:val="00B065D2"/>
    <w:rsid w:val="00B06663"/>
    <w:rsid w:val="00B06A94"/>
    <w:rsid w:val="00B06E39"/>
    <w:rsid w:val="00B070FC"/>
    <w:rsid w:val="00B10703"/>
    <w:rsid w:val="00B10E25"/>
    <w:rsid w:val="00B111CC"/>
    <w:rsid w:val="00B113AF"/>
    <w:rsid w:val="00B118B9"/>
    <w:rsid w:val="00B119CC"/>
    <w:rsid w:val="00B11A4D"/>
    <w:rsid w:val="00B11C1E"/>
    <w:rsid w:val="00B11CC1"/>
    <w:rsid w:val="00B124DA"/>
    <w:rsid w:val="00B1255B"/>
    <w:rsid w:val="00B12CD3"/>
    <w:rsid w:val="00B13A7E"/>
    <w:rsid w:val="00B13A80"/>
    <w:rsid w:val="00B1415C"/>
    <w:rsid w:val="00B14540"/>
    <w:rsid w:val="00B1457C"/>
    <w:rsid w:val="00B1547F"/>
    <w:rsid w:val="00B15EFD"/>
    <w:rsid w:val="00B16278"/>
    <w:rsid w:val="00B16378"/>
    <w:rsid w:val="00B169B8"/>
    <w:rsid w:val="00B16AAA"/>
    <w:rsid w:val="00B16C98"/>
    <w:rsid w:val="00B17295"/>
    <w:rsid w:val="00B17AD3"/>
    <w:rsid w:val="00B17BFE"/>
    <w:rsid w:val="00B17F98"/>
    <w:rsid w:val="00B22875"/>
    <w:rsid w:val="00B22C2A"/>
    <w:rsid w:val="00B236E3"/>
    <w:rsid w:val="00B2392D"/>
    <w:rsid w:val="00B242F6"/>
    <w:rsid w:val="00B25057"/>
    <w:rsid w:val="00B25A93"/>
    <w:rsid w:val="00B2797B"/>
    <w:rsid w:val="00B3041F"/>
    <w:rsid w:val="00B304DC"/>
    <w:rsid w:val="00B30CB8"/>
    <w:rsid w:val="00B31277"/>
    <w:rsid w:val="00B3135D"/>
    <w:rsid w:val="00B313E3"/>
    <w:rsid w:val="00B3157E"/>
    <w:rsid w:val="00B320A9"/>
    <w:rsid w:val="00B3226C"/>
    <w:rsid w:val="00B32CBB"/>
    <w:rsid w:val="00B332BD"/>
    <w:rsid w:val="00B35568"/>
    <w:rsid w:val="00B3570D"/>
    <w:rsid w:val="00B3598D"/>
    <w:rsid w:val="00B36956"/>
    <w:rsid w:val="00B36BEF"/>
    <w:rsid w:val="00B36F87"/>
    <w:rsid w:val="00B374EB"/>
    <w:rsid w:val="00B37998"/>
    <w:rsid w:val="00B37B25"/>
    <w:rsid w:val="00B40194"/>
    <w:rsid w:val="00B404A0"/>
    <w:rsid w:val="00B40BC3"/>
    <w:rsid w:val="00B411AF"/>
    <w:rsid w:val="00B42F5F"/>
    <w:rsid w:val="00B43FEC"/>
    <w:rsid w:val="00B44538"/>
    <w:rsid w:val="00B447FE"/>
    <w:rsid w:val="00B44817"/>
    <w:rsid w:val="00B454AB"/>
    <w:rsid w:val="00B458C1"/>
    <w:rsid w:val="00B45CDB"/>
    <w:rsid w:val="00B46015"/>
    <w:rsid w:val="00B461BB"/>
    <w:rsid w:val="00B46703"/>
    <w:rsid w:val="00B46B46"/>
    <w:rsid w:val="00B46BC2"/>
    <w:rsid w:val="00B46C5C"/>
    <w:rsid w:val="00B46EBE"/>
    <w:rsid w:val="00B471B7"/>
    <w:rsid w:val="00B51791"/>
    <w:rsid w:val="00B519CF"/>
    <w:rsid w:val="00B53020"/>
    <w:rsid w:val="00B53AF4"/>
    <w:rsid w:val="00B542A0"/>
    <w:rsid w:val="00B562A2"/>
    <w:rsid w:val="00B564C1"/>
    <w:rsid w:val="00B568B8"/>
    <w:rsid w:val="00B60142"/>
    <w:rsid w:val="00B6015E"/>
    <w:rsid w:val="00B6106E"/>
    <w:rsid w:val="00B61870"/>
    <w:rsid w:val="00B6248C"/>
    <w:rsid w:val="00B627BB"/>
    <w:rsid w:val="00B6298A"/>
    <w:rsid w:val="00B62F9B"/>
    <w:rsid w:val="00B62FC6"/>
    <w:rsid w:val="00B63D8C"/>
    <w:rsid w:val="00B6436A"/>
    <w:rsid w:val="00B64D91"/>
    <w:rsid w:val="00B6556C"/>
    <w:rsid w:val="00B661A9"/>
    <w:rsid w:val="00B66334"/>
    <w:rsid w:val="00B6719A"/>
    <w:rsid w:val="00B67A75"/>
    <w:rsid w:val="00B70107"/>
    <w:rsid w:val="00B70FFB"/>
    <w:rsid w:val="00B71321"/>
    <w:rsid w:val="00B719F9"/>
    <w:rsid w:val="00B7265B"/>
    <w:rsid w:val="00B72D24"/>
    <w:rsid w:val="00B72FE3"/>
    <w:rsid w:val="00B733CA"/>
    <w:rsid w:val="00B734E0"/>
    <w:rsid w:val="00B73B8C"/>
    <w:rsid w:val="00B73FA0"/>
    <w:rsid w:val="00B741C7"/>
    <w:rsid w:val="00B746A4"/>
    <w:rsid w:val="00B7492C"/>
    <w:rsid w:val="00B74E19"/>
    <w:rsid w:val="00B75A54"/>
    <w:rsid w:val="00B75F1A"/>
    <w:rsid w:val="00B776D5"/>
    <w:rsid w:val="00B80403"/>
    <w:rsid w:val="00B827CC"/>
    <w:rsid w:val="00B8284B"/>
    <w:rsid w:val="00B8426F"/>
    <w:rsid w:val="00B84521"/>
    <w:rsid w:val="00B84790"/>
    <w:rsid w:val="00B847DB"/>
    <w:rsid w:val="00B85405"/>
    <w:rsid w:val="00B855E9"/>
    <w:rsid w:val="00B856F4"/>
    <w:rsid w:val="00B86D2E"/>
    <w:rsid w:val="00B86F3B"/>
    <w:rsid w:val="00B875AA"/>
    <w:rsid w:val="00B87757"/>
    <w:rsid w:val="00B87EE3"/>
    <w:rsid w:val="00B901DA"/>
    <w:rsid w:val="00B90896"/>
    <w:rsid w:val="00B913CD"/>
    <w:rsid w:val="00B91780"/>
    <w:rsid w:val="00B9190B"/>
    <w:rsid w:val="00B91B9C"/>
    <w:rsid w:val="00B91C6B"/>
    <w:rsid w:val="00B91FB8"/>
    <w:rsid w:val="00B929FE"/>
    <w:rsid w:val="00B938B7"/>
    <w:rsid w:val="00B94AFC"/>
    <w:rsid w:val="00B94E20"/>
    <w:rsid w:val="00B9578A"/>
    <w:rsid w:val="00B95A3F"/>
    <w:rsid w:val="00B96315"/>
    <w:rsid w:val="00BA02DF"/>
    <w:rsid w:val="00BA0403"/>
    <w:rsid w:val="00BA0420"/>
    <w:rsid w:val="00BA0C02"/>
    <w:rsid w:val="00BA0F73"/>
    <w:rsid w:val="00BA0FD0"/>
    <w:rsid w:val="00BA2256"/>
    <w:rsid w:val="00BA39F6"/>
    <w:rsid w:val="00BA3C87"/>
    <w:rsid w:val="00BA66DF"/>
    <w:rsid w:val="00BA6E44"/>
    <w:rsid w:val="00BA7870"/>
    <w:rsid w:val="00BB0BB1"/>
    <w:rsid w:val="00BB0FDB"/>
    <w:rsid w:val="00BB1B84"/>
    <w:rsid w:val="00BB1C2C"/>
    <w:rsid w:val="00BB1EE7"/>
    <w:rsid w:val="00BB347F"/>
    <w:rsid w:val="00BB34B8"/>
    <w:rsid w:val="00BB4097"/>
    <w:rsid w:val="00BB5E8D"/>
    <w:rsid w:val="00BB668E"/>
    <w:rsid w:val="00BB6768"/>
    <w:rsid w:val="00BB6B15"/>
    <w:rsid w:val="00BB6DF1"/>
    <w:rsid w:val="00BB6F6C"/>
    <w:rsid w:val="00BB72CC"/>
    <w:rsid w:val="00BB73FD"/>
    <w:rsid w:val="00BB7C16"/>
    <w:rsid w:val="00BC02D4"/>
    <w:rsid w:val="00BC0BA4"/>
    <w:rsid w:val="00BC0E29"/>
    <w:rsid w:val="00BC1A9C"/>
    <w:rsid w:val="00BC219A"/>
    <w:rsid w:val="00BC2472"/>
    <w:rsid w:val="00BC28B3"/>
    <w:rsid w:val="00BC2C99"/>
    <w:rsid w:val="00BC3BC3"/>
    <w:rsid w:val="00BC48DA"/>
    <w:rsid w:val="00BC4B99"/>
    <w:rsid w:val="00BC4C58"/>
    <w:rsid w:val="00BC5425"/>
    <w:rsid w:val="00BC5998"/>
    <w:rsid w:val="00BC637B"/>
    <w:rsid w:val="00BC6866"/>
    <w:rsid w:val="00BC7862"/>
    <w:rsid w:val="00BC7D0E"/>
    <w:rsid w:val="00BD0466"/>
    <w:rsid w:val="00BD0650"/>
    <w:rsid w:val="00BD09BA"/>
    <w:rsid w:val="00BD0ECC"/>
    <w:rsid w:val="00BD0ECD"/>
    <w:rsid w:val="00BD2AF7"/>
    <w:rsid w:val="00BD3336"/>
    <w:rsid w:val="00BD3DD6"/>
    <w:rsid w:val="00BD3FE5"/>
    <w:rsid w:val="00BD4B55"/>
    <w:rsid w:val="00BD5526"/>
    <w:rsid w:val="00BD59E2"/>
    <w:rsid w:val="00BD5BD3"/>
    <w:rsid w:val="00BD5C1C"/>
    <w:rsid w:val="00BD609A"/>
    <w:rsid w:val="00BD679B"/>
    <w:rsid w:val="00BD768A"/>
    <w:rsid w:val="00BD7AE1"/>
    <w:rsid w:val="00BD7E44"/>
    <w:rsid w:val="00BD7E89"/>
    <w:rsid w:val="00BE0184"/>
    <w:rsid w:val="00BE05ED"/>
    <w:rsid w:val="00BE06DC"/>
    <w:rsid w:val="00BE0CE5"/>
    <w:rsid w:val="00BE155B"/>
    <w:rsid w:val="00BE3637"/>
    <w:rsid w:val="00BE4CE5"/>
    <w:rsid w:val="00BE4DC0"/>
    <w:rsid w:val="00BE51B7"/>
    <w:rsid w:val="00BE5456"/>
    <w:rsid w:val="00BE5625"/>
    <w:rsid w:val="00BE59EB"/>
    <w:rsid w:val="00BE5C2E"/>
    <w:rsid w:val="00BE6122"/>
    <w:rsid w:val="00BE63D9"/>
    <w:rsid w:val="00BE6B60"/>
    <w:rsid w:val="00BE6DD2"/>
    <w:rsid w:val="00BE6EE7"/>
    <w:rsid w:val="00BE6FB2"/>
    <w:rsid w:val="00BE7162"/>
    <w:rsid w:val="00BE721C"/>
    <w:rsid w:val="00BE73D8"/>
    <w:rsid w:val="00BE75BA"/>
    <w:rsid w:val="00BF0737"/>
    <w:rsid w:val="00BF17D0"/>
    <w:rsid w:val="00BF1CC2"/>
    <w:rsid w:val="00BF23BF"/>
    <w:rsid w:val="00BF3F42"/>
    <w:rsid w:val="00BF42BF"/>
    <w:rsid w:val="00BF45D2"/>
    <w:rsid w:val="00BF4640"/>
    <w:rsid w:val="00BF4BEC"/>
    <w:rsid w:val="00BF4F6B"/>
    <w:rsid w:val="00BF5449"/>
    <w:rsid w:val="00BF544A"/>
    <w:rsid w:val="00BF5B93"/>
    <w:rsid w:val="00BF68BE"/>
    <w:rsid w:val="00BF6D46"/>
    <w:rsid w:val="00BF6DF2"/>
    <w:rsid w:val="00BF71BA"/>
    <w:rsid w:val="00BF751A"/>
    <w:rsid w:val="00BF79AE"/>
    <w:rsid w:val="00BF7AA6"/>
    <w:rsid w:val="00BF7C2C"/>
    <w:rsid w:val="00C00717"/>
    <w:rsid w:val="00C01C76"/>
    <w:rsid w:val="00C03613"/>
    <w:rsid w:val="00C03901"/>
    <w:rsid w:val="00C056A9"/>
    <w:rsid w:val="00C056D6"/>
    <w:rsid w:val="00C06046"/>
    <w:rsid w:val="00C060F1"/>
    <w:rsid w:val="00C06811"/>
    <w:rsid w:val="00C07388"/>
    <w:rsid w:val="00C10345"/>
    <w:rsid w:val="00C10D85"/>
    <w:rsid w:val="00C10D8E"/>
    <w:rsid w:val="00C10EA0"/>
    <w:rsid w:val="00C11FBF"/>
    <w:rsid w:val="00C12210"/>
    <w:rsid w:val="00C12BDE"/>
    <w:rsid w:val="00C14C30"/>
    <w:rsid w:val="00C14D4D"/>
    <w:rsid w:val="00C14E33"/>
    <w:rsid w:val="00C17E15"/>
    <w:rsid w:val="00C20638"/>
    <w:rsid w:val="00C20AC4"/>
    <w:rsid w:val="00C21085"/>
    <w:rsid w:val="00C236DC"/>
    <w:rsid w:val="00C24EE1"/>
    <w:rsid w:val="00C257EA"/>
    <w:rsid w:val="00C25B8A"/>
    <w:rsid w:val="00C264AC"/>
    <w:rsid w:val="00C26991"/>
    <w:rsid w:val="00C276CE"/>
    <w:rsid w:val="00C27854"/>
    <w:rsid w:val="00C27B1A"/>
    <w:rsid w:val="00C30013"/>
    <w:rsid w:val="00C31625"/>
    <w:rsid w:val="00C31F84"/>
    <w:rsid w:val="00C3283A"/>
    <w:rsid w:val="00C32FDB"/>
    <w:rsid w:val="00C33366"/>
    <w:rsid w:val="00C33B0F"/>
    <w:rsid w:val="00C34058"/>
    <w:rsid w:val="00C34338"/>
    <w:rsid w:val="00C34387"/>
    <w:rsid w:val="00C34655"/>
    <w:rsid w:val="00C34758"/>
    <w:rsid w:val="00C350C7"/>
    <w:rsid w:val="00C35179"/>
    <w:rsid w:val="00C354BC"/>
    <w:rsid w:val="00C357D4"/>
    <w:rsid w:val="00C361B0"/>
    <w:rsid w:val="00C367AE"/>
    <w:rsid w:val="00C36EB2"/>
    <w:rsid w:val="00C36F09"/>
    <w:rsid w:val="00C372B1"/>
    <w:rsid w:val="00C40437"/>
    <w:rsid w:val="00C40837"/>
    <w:rsid w:val="00C40ABF"/>
    <w:rsid w:val="00C41AF0"/>
    <w:rsid w:val="00C41C34"/>
    <w:rsid w:val="00C41FCB"/>
    <w:rsid w:val="00C4323A"/>
    <w:rsid w:val="00C43EC2"/>
    <w:rsid w:val="00C44185"/>
    <w:rsid w:val="00C447EF"/>
    <w:rsid w:val="00C449DA"/>
    <w:rsid w:val="00C45327"/>
    <w:rsid w:val="00C454F1"/>
    <w:rsid w:val="00C4576B"/>
    <w:rsid w:val="00C459A0"/>
    <w:rsid w:val="00C470F6"/>
    <w:rsid w:val="00C472BA"/>
    <w:rsid w:val="00C47913"/>
    <w:rsid w:val="00C47BEB"/>
    <w:rsid w:val="00C47D91"/>
    <w:rsid w:val="00C50FCB"/>
    <w:rsid w:val="00C51384"/>
    <w:rsid w:val="00C5157A"/>
    <w:rsid w:val="00C518C6"/>
    <w:rsid w:val="00C52017"/>
    <w:rsid w:val="00C520E8"/>
    <w:rsid w:val="00C52178"/>
    <w:rsid w:val="00C52A6F"/>
    <w:rsid w:val="00C53196"/>
    <w:rsid w:val="00C535B8"/>
    <w:rsid w:val="00C54A1E"/>
    <w:rsid w:val="00C5627A"/>
    <w:rsid w:val="00C57037"/>
    <w:rsid w:val="00C57309"/>
    <w:rsid w:val="00C60190"/>
    <w:rsid w:val="00C60633"/>
    <w:rsid w:val="00C60858"/>
    <w:rsid w:val="00C6114D"/>
    <w:rsid w:val="00C61791"/>
    <w:rsid w:val="00C62B6C"/>
    <w:rsid w:val="00C6342C"/>
    <w:rsid w:val="00C6363A"/>
    <w:rsid w:val="00C6456B"/>
    <w:rsid w:val="00C645C3"/>
    <w:rsid w:val="00C64C46"/>
    <w:rsid w:val="00C650C9"/>
    <w:rsid w:val="00C65E49"/>
    <w:rsid w:val="00C6628E"/>
    <w:rsid w:val="00C666EC"/>
    <w:rsid w:val="00C66D0D"/>
    <w:rsid w:val="00C67AEC"/>
    <w:rsid w:val="00C67EA0"/>
    <w:rsid w:val="00C70329"/>
    <w:rsid w:val="00C7040A"/>
    <w:rsid w:val="00C7143F"/>
    <w:rsid w:val="00C72CE2"/>
    <w:rsid w:val="00C7403F"/>
    <w:rsid w:val="00C7522D"/>
    <w:rsid w:val="00C756D1"/>
    <w:rsid w:val="00C759C9"/>
    <w:rsid w:val="00C75AA1"/>
    <w:rsid w:val="00C75E77"/>
    <w:rsid w:val="00C7676F"/>
    <w:rsid w:val="00C77962"/>
    <w:rsid w:val="00C80584"/>
    <w:rsid w:val="00C809E2"/>
    <w:rsid w:val="00C825A2"/>
    <w:rsid w:val="00C8289C"/>
    <w:rsid w:val="00C83CA4"/>
    <w:rsid w:val="00C84485"/>
    <w:rsid w:val="00C84964"/>
    <w:rsid w:val="00C84AF8"/>
    <w:rsid w:val="00C856B3"/>
    <w:rsid w:val="00C858D5"/>
    <w:rsid w:val="00C86DB5"/>
    <w:rsid w:val="00C90193"/>
    <w:rsid w:val="00C9026A"/>
    <w:rsid w:val="00C903E5"/>
    <w:rsid w:val="00C907AA"/>
    <w:rsid w:val="00C91C76"/>
    <w:rsid w:val="00C91F2A"/>
    <w:rsid w:val="00C93114"/>
    <w:rsid w:val="00C932AD"/>
    <w:rsid w:val="00C939B9"/>
    <w:rsid w:val="00C9416B"/>
    <w:rsid w:val="00C95740"/>
    <w:rsid w:val="00C9580C"/>
    <w:rsid w:val="00C963F3"/>
    <w:rsid w:val="00C97E13"/>
    <w:rsid w:val="00CA15FF"/>
    <w:rsid w:val="00CA1D04"/>
    <w:rsid w:val="00CA2A13"/>
    <w:rsid w:val="00CA47CC"/>
    <w:rsid w:val="00CA4990"/>
    <w:rsid w:val="00CA4B53"/>
    <w:rsid w:val="00CA4D9B"/>
    <w:rsid w:val="00CA5914"/>
    <w:rsid w:val="00CA5C2A"/>
    <w:rsid w:val="00CA627E"/>
    <w:rsid w:val="00CA62C4"/>
    <w:rsid w:val="00CA77E4"/>
    <w:rsid w:val="00CB0042"/>
    <w:rsid w:val="00CB0E6E"/>
    <w:rsid w:val="00CB1B72"/>
    <w:rsid w:val="00CB220E"/>
    <w:rsid w:val="00CB3FAA"/>
    <w:rsid w:val="00CB5F65"/>
    <w:rsid w:val="00CB650F"/>
    <w:rsid w:val="00CB6746"/>
    <w:rsid w:val="00CB6AFB"/>
    <w:rsid w:val="00CB6FA9"/>
    <w:rsid w:val="00CB6FEE"/>
    <w:rsid w:val="00CB7152"/>
    <w:rsid w:val="00CB7302"/>
    <w:rsid w:val="00CC06DB"/>
    <w:rsid w:val="00CC0BE2"/>
    <w:rsid w:val="00CC0FB8"/>
    <w:rsid w:val="00CC1324"/>
    <w:rsid w:val="00CC17DA"/>
    <w:rsid w:val="00CC1960"/>
    <w:rsid w:val="00CC2F01"/>
    <w:rsid w:val="00CC2FF0"/>
    <w:rsid w:val="00CC3A6D"/>
    <w:rsid w:val="00CC3B14"/>
    <w:rsid w:val="00CC3E1B"/>
    <w:rsid w:val="00CC3EB9"/>
    <w:rsid w:val="00CC450F"/>
    <w:rsid w:val="00CC459E"/>
    <w:rsid w:val="00CC4BBF"/>
    <w:rsid w:val="00CC51EE"/>
    <w:rsid w:val="00CC534A"/>
    <w:rsid w:val="00CC6D0A"/>
    <w:rsid w:val="00CD0961"/>
    <w:rsid w:val="00CD0B13"/>
    <w:rsid w:val="00CD19AF"/>
    <w:rsid w:val="00CD1B0F"/>
    <w:rsid w:val="00CD2369"/>
    <w:rsid w:val="00CD2B8F"/>
    <w:rsid w:val="00CD2DB9"/>
    <w:rsid w:val="00CD3086"/>
    <w:rsid w:val="00CD3645"/>
    <w:rsid w:val="00CD4256"/>
    <w:rsid w:val="00CD5596"/>
    <w:rsid w:val="00CD5915"/>
    <w:rsid w:val="00CD5BAC"/>
    <w:rsid w:val="00CD6B00"/>
    <w:rsid w:val="00CD7F79"/>
    <w:rsid w:val="00CE0E3F"/>
    <w:rsid w:val="00CE1CA4"/>
    <w:rsid w:val="00CE20D4"/>
    <w:rsid w:val="00CE24D7"/>
    <w:rsid w:val="00CE27D7"/>
    <w:rsid w:val="00CE2A99"/>
    <w:rsid w:val="00CE38DE"/>
    <w:rsid w:val="00CE3A93"/>
    <w:rsid w:val="00CE4179"/>
    <w:rsid w:val="00CE430D"/>
    <w:rsid w:val="00CE4577"/>
    <w:rsid w:val="00CE4851"/>
    <w:rsid w:val="00CE4F5A"/>
    <w:rsid w:val="00CE575C"/>
    <w:rsid w:val="00CE5AA2"/>
    <w:rsid w:val="00CE5DA2"/>
    <w:rsid w:val="00CE6CCE"/>
    <w:rsid w:val="00CE7125"/>
    <w:rsid w:val="00CE7E4E"/>
    <w:rsid w:val="00CF04B2"/>
    <w:rsid w:val="00CF07AE"/>
    <w:rsid w:val="00CF124B"/>
    <w:rsid w:val="00CF156D"/>
    <w:rsid w:val="00CF16AA"/>
    <w:rsid w:val="00CF16BF"/>
    <w:rsid w:val="00CF16C7"/>
    <w:rsid w:val="00CF1BE5"/>
    <w:rsid w:val="00CF1CB4"/>
    <w:rsid w:val="00CF1F4D"/>
    <w:rsid w:val="00CF2894"/>
    <w:rsid w:val="00CF2ED8"/>
    <w:rsid w:val="00CF341A"/>
    <w:rsid w:val="00CF3B9F"/>
    <w:rsid w:val="00CF3C38"/>
    <w:rsid w:val="00CF49C2"/>
    <w:rsid w:val="00CF543E"/>
    <w:rsid w:val="00CF5571"/>
    <w:rsid w:val="00CF5836"/>
    <w:rsid w:val="00CF58CA"/>
    <w:rsid w:val="00CF5DD9"/>
    <w:rsid w:val="00CF664D"/>
    <w:rsid w:val="00CF6AD9"/>
    <w:rsid w:val="00CF7526"/>
    <w:rsid w:val="00CF7664"/>
    <w:rsid w:val="00CF7800"/>
    <w:rsid w:val="00CF7A5A"/>
    <w:rsid w:val="00D002AE"/>
    <w:rsid w:val="00D00573"/>
    <w:rsid w:val="00D008EA"/>
    <w:rsid w:val="00D013A6"/>
    <w:rsid w:val="00D01D7F"/>
    <w:rsid w:val="00D0271B"/>
    <w:rsid w:val="00D02ACC"/>
    <w:rsid w:val="00D02C93"/>
    <w:rsid w:val="00D02D96"/>
    <w:rsid w:val="00D035BF"/>
    <w:rsid w:val="00D036C1"/>
    <w:rsid w:val="00D03EE8"/>
    <w:rsid w:val="00D04891"/>
    <w:rsid w:val="00D04B00"/>
    <w:rsid w:val="00D054D2"/>
    <w:rsid w:val="00D07B99"/>
    <w:rsid w:val="00D07F18"/>
    <w:rsid w:val="00D07F68"/>
    <w:rsid w:val="00D114D4"/>
    <w:rsid w:val="00D11F22"/>
    <w:rsid w:val="00D12DE4"/>
    <w:rsid w:val="00D13363"/>
    <w:rsid w:val="00D13697"/>
    <w:rsid w:val="00D139EF"/>
    <w:rsid w:val="00D13A41"/>
    <w:rsid w:val="00D1426A"/>
    <w:rsid w:val="00D14734"/>
    <w:rsid w:val="00D14A5B"/>
    <w:rsid w:val="00D15AD3"/>
    <w:rsid w:val="00D15F1F"/>
    <w:rsid w:val="00D1655C"/>
    <w:rsid w:val="00D16C58"/>
    <w:rsid w:val="00D16D48"/>
    <w:rsid w:val="00D16EAD"/>
    <w:rsid w:val="00D17645"/>
    <w:rsid w:val="00D17AA3"/>
    <w:rsid w:val="00D17C2F"/>
    <w:rsid w:val="00D17DA3"/>
    <w:rsid w:val="00D20B23"/>
    <w:rsid w:val="00D20DA9"/>
    <w:rsid w:val="00D2148F"/>
    <w:rsid w:val="00D21576"/>
    <w:rsid w:val="00D2191B"/>
    <w:rsid w:val="00D21C42"/>
    <w:rsid w:val="00D21CE3"/>
    <w:rsid w:val="00D22631"/>
    <w:rsid w:val="00D2283A"/>
    <w:rsid w:val="00D22EF1"/>
    <w:rsid w:val="00D23801"/>
    <w:rsid w:val="00D24FC5"/>
    <w:rsid w:val="00D25513"/>
    <w:rsid w:val="00D255DB"/>
    <w:rsid w:val="00D25CDD"/>
    <w:rsid w:val="00D25E5C"/>
    <w:rsid w:val="00D2672C"/>
    <w:rsid w:val="00D26E8B"/>
    <w:rsid w:val="00D2741A"/>
    <w:rsid w:val="00D3023B"/>
    <w:rsid w:val="00D305FE"/>
    <w:rsid w:val="00D30621"/>
    <w:rsid w:val="00D30853"/>
    <w:rsid w:val="00D30BB4"/>
    <w:rsid w:val="00D30E50"/>
    <w:rsid w:val="00D314CF"/>
    <w:rsid w:val="00D31753"/>
    <w:rsid w:val="00D319E4"/>
    <w:rsid w:val="00D31BF3"/>
    <w:rsid w:val="00D32693"/>
    <w:rsid w:val="00D326E3"/>
    <w:rsid w:val="00D3392D"/>
    <w:rsid w:val="00D33D2A"/>
    <w:rsid w:val="00D33D9C"/>
    <w:rsid w:val="00D33F31"/>
    <w:rsid w:val="00D35336"/>
    <w:rsid w:val="00D362AF"/>
    <w:rsid w:val="00D36354"/>
    <w:rsid w:val="00D36416"/>
    <w:rsid w:val="00D371A4"/>
    <w:rsid w:val="00D3772C"/>
    <w:rsid w:val="00D37D06"/>
    <w:rsid w:val="00D40D0B"/>
    <w:rsid w:val="00D4151D"/>
    <w:rsid w:val="00D42035"/>
    <w:rsid w:val="00D431B8"/>
    <w:rsid w:val="00D4454F"/>
    <w:rsid w:val="00D447AA"/>
    <w:rsid w:val="00D44F7A"/>
    <w:rsid w:val="00D45046"/>
    <w:rsid w:val="00D451AE"/>
    <w:rsid w:val="00D47073"/>
    <w:rsid w:val="00D476FF"/>
    <w:rsid w:val="00D47B2A"/>
    <w:rsid w:val="00D501F1"/>
    <w:rsid w:val="00D50796"/>
    <w:rsid w:val="00D507EC"/>
    <w:rsid w:val="00D52B12"/>
    <w:rsid w:val="00D531D1"/>
    <w:rsid w:val="00D53C7B"/>
    <w:rsid w:val="00D5411B"/>
    <w:rsid w:val="00D54583"/>
    <w:rsid w:val="00D54D27"/>
    <w:rsid w:val="00D55F8C"/>
    <w:rsid w:val="00D60C0B"/>
    <w:rsid w:val="00D60D5D"/>
    <w:rsid w:val="00D60F1D"/>
    <w:rsid w:val="00D6239C"/>
    <w:rsid w:val="00D6241A"/>
    <w:rsid w:val="00D627DE"/>
    <w:rsid w:val="00D630FF"/>
    <w:rsid w:val="00D6316A"/>
    <w:rsid w:val="00D6371F"/>
    <w:rsid w:val="00D639E3"/>
    <w:rsid w:val="00D64352"/>
    <w:rsid w:val="00D6435C"/>
    <w:rsid w:val="00D64538"/>
    <w:rsid w:val="00D64F39"/>
    <w:rsid w:val="00D6500A"/>
    <w:rsid w:val="00D657BE"/>
    <w:rsid w:val="00D66BB9"/>
    <w:rsid w:val="00D67021"/>
    <w:rsid w:val="00D671B7"/>
    <w:rsid w:val="00D67498"/>
    <w:rsid w:val="00D67AFA"/>
    <w:rsid w:val="00D67F2C"/>
    <w:rsid w:val="00D702A2"/>
    <w:rsid w:val="00D70964"/>
    <w:rsid w:val="00D70EFC"/>
    <w:rsid w:val="00D71F46"/>
    <w:rsid w:val="00D732BA"/>
    <w:rsid w:val="00D74D40"/>
    <w:rsid w:val="00D7546A"/>
    <w:rsid w:val="00D75927"/>
    <w:rsid w:val="00D76526"/>
    <w:rsid w:val="00D76703"/>
    <w:rsid w:val="00D777FF"/>
    <w:rsid w:val="00D8010A"/>
    <w:rsid w:val="00D801B6"/>
    <w:rsid w:val="00D8071D"/>
    <w:rsid w:val="00D80754"/>
    <w:rsid w:val="00D80D35"/>
    <w:rsid w:val="00D81356"/>
    <w:rsid w:val="00D8158B"/>
    <w:rsid w:val="00D81D64"/>
    <w:rsid w:val="00D81F71"/>
    <w:rsid w:val="00D8275E"/>
    <w:rsid w:val="00D83019"/>
    <w:rsid w:val="00D8395B"/>
    <w:rsid w:val="00D83A2C"/>
    <w:rsid w:val="00D849B8"/>
    <w:rsid w:val="00D84E6A"/>
    <w:rsid w:val="00D84F01"/>
    <w:rsid w:val="00D862E3"/>
    <w:rsid w:val="00D864BF"/>
    <w:rsid w:val="00D8694E"/>
    <w:rsid w:val="00D87593"/>
    <w:rsid w:val="00D87E86"/>
    <w:rsid w:val="00D87FD1"/>
    <w:rsid w:val="00D90FB6"/>
    <w:rsid w:val="00D91720"/>
    <w:rsid w:val="00D926C2"/>
    <w:rsid w:val="00D92A4B"/>
    <w:rsid w:val="00D92D6E"/>
    <w:rsid w:val="00D93A05"/>
    <w:rsid w:val="00D94153"/>
    <w:rsid w:val="00D94676"/>
    <w:rsid w:val="00D94FE0"/>
    <w:rsid w:val="00D95657"/>
    <w:rsid w:val="00D95A97"/>
    <w:rsid w:val="00D95F22"/>
    <w:rsid w:val="00D9603E"/>
    <w:rsid w:val="00D971C0"/>
    <w:rsid w:val="00D9754D"/>
    <w:rsid w:val="00D9760B"/>
    <w:rsid w:val="00D978D8"/>
    <w:rsid w:val="00D97F7F"/>
    <w:rsid w:val="00DA1525"/>
    <w:rsid w:val="00DA15C7"/>
    <w:rsid w:val="00DA1A53"/>
    <w:rsid w:val="00DA1BA2"/>
    <w:rsid w:val="00DA2517"/>
    <w:rsid w:val="00DA3242"/>
    <w:rsid w:val="00DA32C4"/>
    <w:rsid w:val="00DA3374"/>
    <w:rsid w:val="00DA36AB"/>
    <w:rsid w:val="00DA4240"/>
    <w:rsid w:val="00DA4D19"/>
    <w:rsid w:val="00DA5032"/>
    <w:rsid w:val="00DA62B7"/>
    <w:rsid w:val="00DA66D4"/>
    <w:rsid w:val="00DA6CC4"/>
    <w:rsid w:val="00DA6ECF"/>
    <w:rsid w:val="00DA78EF"/>
    <w:rsid w:val="00DA7BA4"/>
    <w:rsid w:val="00DA7F52"/>
    <w:rsid w:val="00DB0095"/>
    <w:rsid w:val="00DB10F3"/>
    <w:rsid w:val="00DB18A3"/>
    <w:rsid w:val="00DB2119"/>
    <w:rsid w:val="00DB2549"/>
    <w:rsid w:val="00DB25F7"/>
    <w:rsid w:val="00DB2851"/>
    <w:rsid w:val="00DB3444"/>
    <w:rsid w:val="00DB36A6"/>
    <w:rsid w:val="00DB36B8"/>
    <w:rsid w:val="00DB4981"/>
    <w:rsid w:val="00DB4C03"/>
    <w:rsid w:val="00DB6481"/>
    <w:rsid w:val="00DB66CF"/>
    <w:rsid w:val="00DB6912"/>
    <w:rsid w:val="00DB70ED"/>
    <w:rsid w:val="00DC06F4"/>
    <w:rsid w:val="00DC0874"/>
    <w:rsid w:val="00DC1016"/>
    <w:rsid w:val="00DC18FB"/>
    <w:rsid w:val="00DC1B14"/>
    <w:rsid w:val="00DC1BFA"/>
    <w:rsid w:val="00DC2766"/>
    <w:rsid w:val="00DC2B7C"/>
    <w:rsid w:val="00DC385F"/>
    <w:rsid w:val="00DC3DE0"/>
    <w:rsid w:val="00DC6533"/>
    <w:rsid w:val="00DC6E2E"/>
    <w:rsid w:val="00DD0CAA"/>
    <w:rsid w:val="00DD1911"/>
    <w:rsid w:val="00DD2F6F"/>
    <w:rsid w:val="00DD33AD"/>
    <w:rsid w:val="00DD34CC"/>
    <w:rsid w:val="00DD36F0"/>
    <w:rsid w:val="00DD3A92"/>
    <w:rsid w:val="00DD4CF2"/>
    <w:rsid w:val="00DD5612"/>
    <w:rsid w:val="00DD5EC3"/>
    <w:rsid w:val="00DD604A"/>
    <w:rsid w:val="00DD6323"/>
    <w:rsid w:val="00DD63C0"/>
    <w:rsid w:val="00DD6B64"/>
    <w:rsid w:val="00DD7255"/>
    <w:rsid w:val="00DD7379"/>
    <w:rsid w:val="00DE01A4"/>
    <w:rsid w:val="00DE0205"/>
    <w:rsid w:val="00DE0499"/>
    <w:rsid w:val="00DE1045"/>
    <w:rsid w:val="00DE1570"/>
    <w:rsid w:val="00DE23BF"/>
    <w:rsid w:val="00DE23FC"/>
    <w:rsid w:val="00DE2E06"/>
    <w:rsid w:val="00DE4076"/>
    <w:rsid w:val="00DE42D0"/>
    <w:rsid w:val="00DE491D"/>
    <w:rsid w:val="00DE5D29"/>
    <w:rsid w:val="00DE6092"/>
    <w:rsid w:val="00DE61F2"/>
    <w:rsid w:val="00DF0004"/>
    <w:rsid w:val="00DF0009"/>
    <w:rsid w:val="00DF0036"/>
    <w:rsid w:val="00DF0893"/>
    <w:rsid w:val="00DF0956"/>
    <w:rsid w:val="00DF0E77"/>
    <w:rsid w:val="00DF0ECC"/>
    <w:rsid w:val="00DF1066"/>
    <w:rsid w:val="00DF1C1D"/>
    <w:rsid w:val="00DF1D81"/>
    <w:rsid w:val="00DF2613"/>
    <w:rsid w:val="00DF3968"/>
    <w:rsid w:val="00DF40CF"/>
    <w:rsid w:val="00DF4A67"/>
    <w:rsid w:val="00DF5FE0"/>
    <w:rsid w:val="00DF60CA"/>
    <w:rsid w:val="00DF66F6"/>
    <w:rsid w:val="00DF7122"/>
    <w:rsid w:val="00DF7222"/>
    <w:rsid w:val="00DF75C9"/>
    <w:rsid w:val="00DF75D5"/>
    <w:rsid w:val="00DF7749"/>
    <w:rsid w:val="00DF7C94"/>
    <w:rsid w:val="00DF7D21"/>
    <w:rsid w:val="00DF7E84"/>
    <w:rsid w:val="00DF7EB1"/>
    <w:rsid w:val="00DF7F86"/>
    <w:rsid w:val="00E00484"/>
    <w:rsid w:val="00E013F5"/>
    <w:rsid w:val="00E014CD"/>
    <w:rsid w:val="00E01847"/>
    <w:rsid w:val="00E01DFF"/>
    <w:rsid w:val="00E02335"/>
    <w:rsid w:val="00E024DE"/>
    <w:rsid w:val="00E025E8"/>
    <w:rsid w:val="00E02AE6"/>
    <w:rsid w:val="00E02F78"/>
    <w:rsid w:val="00E02FCC"/>
    <w:rsid w:val="00E0339D"/>
    <w:rsid w:val="00E036FA"/>
    <w:rsid w:val="00E03E52"/>
    <w:rsid w:val="00E04CF8"/>
    <w:rsid w:val="00E04EAD"/>
    <w:rsid w:val="00E059F6"/>
    <w:rsid w:val="00E05E1B"/>
    <w:rsid w:val="00E06887"/>
    <w:rsid w:val="00E06A29"/>
    <w:rsid w:val="00E06CC2"/>
    <w:rsid w:val="00E06E48"/>
    <w:rsid w:val="00E06EAD"/>
    <w:rsid w:val="00E072B5"/>
    <w:rsid w:val="00E1109A"/>
    <w:rsid w:val="00E115BB"/>
    <w:rsid w:val="00E11F45"/>
    <w:rsid w:val="00E12715"/>
    <w:rsid w:val="00E132FC"/>
    <w:rsid w:val="00E13DBE"/>
    <w:rsid w:val="00E141FD"/>
    <w:rsid w:val="00E1483E"/>
    <w:rsid w:val="00E15182"/>
    <w:rsid w:val="00E15974"/>
    <w:rsid w:val="00E15EAC"/>
    <w:rsid w:val="00E16BE3"/>
    <w:rsid w:val="00E16D79"/>
    <w:rsid w:val="00E17CCC"/>
    <w:rsid w:val="00E17F38"/>
    <w:rsid w:val="00E203D0"/>
    <w:rsid w:val="00E208C6"/>
    <w:rsid w:val="00E223E5"/>
    <w:rsid w:val="00E2283A"/>
    <w:rsid w:val="00E230CD"/>
    <w:rsid w:val="00E26348"/>
    <w:rsid w:val="00E2789C"/>
    <w:rsid w:val="00E27954"/>
    <w:rsid w:val="00E27D28"/>
    <w:rsid w:val="00E30246"/>
    <w:rsid w:val="00E30C70"/>
    <w:rsid w:val="00E30FF0"/>
    <w:rsid w:val="00E31A2D"/>
    <w:rsid w:val="00E31BEC"/>
    <w:rsid w:val="00E31E5F"/>
    <w:rsid w:val="00E331A9"/>
    <w:rsid w:val="00E33230"/>
    <w:rsid w:val="00E33740"/>
    <w:rsid w:val="00E34008"/>
    <w:rsid w:val="00E34100"/>
    <w:rsid w:val="00E34479"/>
    <w:rsid w:val="00E34607"/>
    <w:rsid w:val="00E34C74"/>
    <w:rsid w:val="00E34E36"/>
    <w:rsid w:val="00E34E65"/>
    <w:rsid w:val="00E35F6A"/>
    <w:rsid w:val="00E37B44"/>
    <w:rsid w:val="00E40129"/>
    <w:rsid w:val="00E40F62"/>
    <w:rsid w:val="00E41EED"/>
    <w:rsid w:val="00E42209"/>
    <w:rsid w:val="00E425DD"/>
    <w:rsid w:val="00E42BB4"/>
    <w:rsid w:val="00E433F8"/>
    <w:rsid w:val="00E43894"/>
    <w:rsid w:val="00E43EE9"/>
    <w:rsid w:val="00E440CE"/>
    <w:rsid w:val="00E4512F"/>
    <w:rsid w:val="00E4536C"/>
    <w:rsid w:val="00E45BA1"/>
    <w:rsid w:val="00E46394"/>
    <w:rsid w:val="00E46AA3"/>
    <w:rsid w:val="00E46D4B"/>
    <w:rsid w:val="00E46FF7"/>
    <w:rsid w:val="00E477F2"/>
    <w:rsid w:val="00E47D61"/>
    <w:rsid w:val="00E47F0D"/>
    <w:rsid w:val="00E50A67"/>
    <w:rsid w:val="00E52C41"/>
    <w:rsid w:val="00E5314D"/>
    <w:rsid w:val="00E53E51"/>
    <w:rsid w:val="00E551C0"/>
    <w:rsid w:val="00E56FA7"/>
    <w:rsid w:val="00E57B90"/>
    <w:rsid w:val="00E57F86"/>
    <w:rsid w:val="00E6013F"/>
    <w:rsid w:val="00E60DBA"/>
    <w:rsid w:val="00E60FC7"/>
    <w:rsid w:val="00E61FC7"/>
    <w:rsid w:val="00E62B27"/>
    <w:rsid w:val="00E62C47"/>
    <w:rsid w:val="00E62FB6"/>
    <w:rsid w:val="00E642E5"/>
    <w:rsid w:val="00E650C9"/>
    <w:rsid w:val="00E65B33"/>
    <w:rsid w:val="00E6640F"/>
    <w:rsid w:val="00E66B92"/>
    <w:rsid w:val="00E67018"/>
    <w:rsid w:val="00E670A5"/>
    <w:rsid w:val="00E67795"/>
    <w:rsid w:val="00E67A1E"/>
    <w:rsid w:val="00E67D61"/>
    <w:rsid w:val="00E7078C"/>
    <w:rsid w:val="00E70B3E"/>
    <w:rsid w:val="00E70E17"/>
    <w:rsid w:val="00E70F47"/>
    <w:rsid w:val="00E718D3"/>
    <w:rsid w:val="00E71CDE"/>
    <w:rsid w:val="00E72C13"/>
    <w:rsid w:val="00E73465"/>
    <w:rsid w:val="00E737FE"/>
    <w:rsid w:val="00E73ACD"/>
    <w:rsid w:val="00E73BCB"/>
    <w:rsid w:val="00E7473C"/>
    <w:rsid w:val="00E75780"/>
    <w:rsid w:val="00E759FC"/>
    <w:rsid w:val="00E76293"/>
    <w:rsid w:val="00E765A0"/>
    <w:rsid w:val="00E77344"/>
    <w:rsid w:val="00E77DA1"/>
    <w:rsid w:val="00E77DE5"/>
    <w:rsid w:val="00E8059B"/>
    <w:rsid w:val="00E807E1"/>
    <w:rsid w:val="00E80D30"/>
    <w:rsid w:val="00E80FB7"/>
    <w:rsid w:val="00E8128F"/>
    <w:rsid w:val="00E81ECC"/>
    <w:rsid w:val="00E82026"/>
    <w:rsid w:val="00E82298"/>
    <w:rsid w:val="00E829D3"/>
    <w:rsid w:val="00E82B6D"/>
    <w:rsid w:val="00E83237"/>
    <w:rsid w:val="00E83A15"/>
    <w:rsid w:val="00E84052"/>
    <w:rsid w:val="00E847C1"/>
    <w:rsid w:val="00E84D07"/>
    <w:rsid w:val="00E855FD"/>
    <w:rsid w:val="00E86543"/>
    <w:rsid w:val="00E8693A"/>
    <w:rsid w:val="00E87805"/>
    <w:rsid w:val="00E87AC5"/>
    <w:rsid w:val="00E90605"/>
    <w:rsid w:val="00E90ADF"/>
    <w:rsid w:val="00E90CE9"/>
    <w:rsid w:val="00E90DEF"/>
    <w:rsid w:val="00E92133"/>
    <w:rsid w:val="00E93FB3"/>
    <w:rsid w:val="00E94387"/>
    <w:rsid w:val="00E9613D"/>
    <w:rsid w:val="00E9619A"/>
    <w:rsid w:val="00E96821"/>
    <w:rsid w:val="00E96CB3"/>
    <w:rsid w:val="00E96CDD"/>
    <w:rsid w:val="00E97654"/>
    <w:rsid w:val="00EA07D7"/>
    <w:rsid w:val="00EA19D5"/>
    <w:rsid w:val="00EA1A7E"/>
    <w:rsid w:val="00EA2AC0"/>
    <w:rsid w:val="00EA3FB5"/>
    <w:rsid w:val="00EA42D9"/>
    <w:rsid w:val="00EA531C"/>
    <w:rsid w:val="00EA54B3"/>
    <w:rsid w:val="00EA5D8C"/>
    <w:rsid w:val="00EA609F"/>
    <w:rsid w:val="00EA6335"/>
    <w:rsid w:val="00EA7268"/>
    <w:rsid w:val="00EA727E"/>
    <w:rsid w:val="00EA7366"/>
    <w:rsid w:val="00EA7556"/>
    <w:rsid w:val="00EA79B7"/>
    <w:rsid w:val="00EB0367"/>
    <w:rsid w:val="00EB05D0"/>
    <w:rsid w:val="00EB0973"/>
    <w:rsid w:val="00EB0A5F"/>
    <w:rsid w:val="00EB170D"/>
    <w:rsid w:val="00EB2BA4"/>
    <w:rsid w:val="00EB2CB2"/>
    <w:rsid w:val="00EB2DC6"/>
    <w:rsid w:val="00EB311E"/>
    <w:rsid w:val="00EB3AFF"/>
    <w:rsid w:val="00EB3C6A"/>
    <w:rsid w:val="00EB3D0B"/>
    <w:rsid w:val="00EB6F49"/>
    <w:rsid w:val="00EB7114"/>
    <w:rsid w:val="00EB71F2"/>
    <w:rsid w:val="00EC0996"/>
    <w:rsid w:val="00EC1288"/>
    <w:rsid w:val="00EC2693"/>
    <w:rsid w:val="00EC3B14"/>
    <w:rsid w:val="00EC4FAF"/>
    <w:rsid w:val="00EC5CA3"/>
    <w:rsid w:val="00EC6F8C"/>
    <w:rsid w:val="00EC7751"/>
    <w:rsid w:val="00EC7FAD"/>
    <w:rsid w:val="00ED05EA"/>
    <w:rsid w:val="00ED05ED"/>
    <w:rsid w:val="00ED08D7"/>
    <w:rsid w:val="00ED0E43"/>
    <w:rsid w:val="00ED143D"/>
    <w:rsid w:val="00ED2110"/>
    <w:rsid w:val="00ED2950"/>
    <w:rsid w:val="00ED2CE1"/>
    <w:rsid w:val="00ED349F"/>
    <w:rsid w:val="00ED37ED"/>
    <w:rsid w:val="00ED3B5F"/>
    <w:rsid w:val="00ED4170"/>
    <w:rsid w:val="00ED46E6"/>
    <w:rsid w:val="00ED5DDA"/>
    <w:rsid w:val="00ED695E"/>
    <w:rsid w:val="00ED6EA3"/>
    <w:rsid w:val="00ED740B"/>
    <w:rsid w:val="00ED7B8C"/>
    <w:rsid w:val="00ED7D10"/>
    <w:rsid w:val="00EE0178"/>
    <w:rsid w:val="00EE04CB"/>
    <w:rsid w:val="00EE0BFF"/>
    <w:rsid w:val="00EE0F58"/>
    <w:rsid w:val="00EE106C"/>
    <w:rsid w:val="00EE1F13"/>
    <w:rsid w:val="00EE2134"/>
    <w:rsid w:val="00EE21C3"/>
    <w:rsid w:val="00EE225E"/>
    <w:rsid w:val="00EE22ED"/>
    <w:rsid w:val="00EE2786"/>
    <w:rsid w:val="00EE306A"/>
    <w:rsid w:val="00EE30AC"/>
    <w:rsid w:val="00EE3367"/>
    <w:rsid w:val="00EE3B4E"/>
    <w:rsid w:val="00EE4813"/>
    <w:rsid w:val="00EE48D3"/>
    <w:rsid w:val="00EE4AC1"/>
    <w:rsid w:val="00EE4E26"/>
    <w:rsid w:val="00EE52B0"/>
    <w:rsid w:val="00EE5655"/>
    <w:rsid w:val="00EE5CCF"/>
    <w:rsid w:val="00EE6AEE"/>
    <w:rsid w:val="00EE6D4B"/>
    <w:rsid w:val="00EE7AFC"/>
    <w:rsid w:val="00EF039D"/>
    <w:rsid w:val="00EF08FB"/>
    <w:rsid w:val="00EF0D41"/>
    <w:rsid w:val="00EF1513"/>
    <w:rsid w:val="00EF16F8"/>
    <w:rsid w:val="00EF1EB1"/>
    <w:rsid w:val="00EF21E0"/>
    <w:rsid w:val="00EF2367"/>
    <w:rsid w:val="00EF26D8"/>
    <w:rsid w:val="00EF2EFF"/>
    <w:rsid w:val="00EF3615"/>
    <w:rsid w:val="00EF41B2"/>
    <w:rsid w:val="00EF46FC"/>
    <w:rsid w:val="00EF4FD3"/>
    <w:rsid w:val="00EF553C"/>
    <w:rsid w:val="00EF5AE9"/>
    <w:rsid w:val="00EF64E6"/>
    <w:rsid w:val="00EF6743"/>
    <w:rsid w:val="00EF6813"/>
    <w:rsid w:val="00EF6C64"/>
    <w:rsid w:val="00EF6F8B"/>
    <w:rsid w:val="00EF715A"/>
    <w:rsid w:val="00EF753D"/>
    <w:rsid w:val="00EF7719"/>
    <w:rsid w:val="00EF78B7"/>
    <w:rsid w:val="00EF79C7"/>
    <w:rsid w:val="00F00945"/>
    <w:rsid w:val="00F00AC0"/>
    <w:rsid w:val="00F00D30"/>
    <w:rsid w:val="00F019D8"/>
    <w:rsid w:val="00F04CED"/>
    <w:rsid w:val="00F04E55"/>
    <w:rsid w:val="00F04FA1"/>
    <w:rsid w:val="00F05491"/>
    <w:rsid w:val="00F05743"/>
    <w:rsid w:val="00F0589E"/>
    <w:rsid w:val="00F06408"/>
    <w:rsid w:val="00F07D1E"/>
    <w:rsid w:val="00F105CA"/>
    <w:rsid w:val="00F10AA5"/>
    <w:rsid w:val="00F1130E"/>
    <w:rsid w:val="00F1206F"/>
    <w:rsid w:val="00F1228F"/>
    <w:rsid w:val="00F12645"/>
    <w:rsid w:val="00F126C5"/>
    <w:rsid w:val="00F126F1"/>
    <w:rsid w:val="00F12B92"/>
    <w:rsid w:val="00F13228"/>
    <w:rsid w:val="00F137E9"/>
    <w:rsid w:val="00F13D29"/>
    <w:rsid w:val="00F1443E"/>
    <w:rsid w:val="00F14D97"/>
    <w:rsid w:val="00F14EFA"/>
    <w:rsid w:val="00F154FB"/>
    <w:rsid w:val="00F166E6"/>
    <w:rsid w:val="00F168FE"/>
    <w:rsid w:val="00F16F7A"/>
    <w:rsid w:val="00F17EB9"/>
    <w:rsid w:val="00F20600"/>
    <w:rsid w:val="00F20873"/>
    <w:rsid w:val="00F20EC9"/>
    <w:rsid w:val="00F2154E"/>
    <w:rsid w:val="00F22023"/>
    <w:rsid w:val="00F224A6"/>
    <w:rsid w:val="00F2367A"/>
    <w:rsid w:val="00F24A4B"/>
    <w:rsid w:val="00F24B41"/>
    <w:rsid w:val="00F24BB9"/>
    <w:rsid w:val="00F2610B"/>
    <w:rsid w:val="00F26AC2"/>
    <w:rsid w:val="00F27803"/>
    <w:rsid w:val="00F30FB3"/>
    <w:rsid w:val="00F312DD"/>
    <w:rsid w:val="00F3157C"/>
    <w:rsid w:val="00F31777"/>
    <w:rsid w:val="00F329EC"/>
    <w:rsid w:val="00F32A49"/>
    <w:rsid w:val="00F32E8F"/>
    <w:rsid w:val="00F33329"/>
    <w:rsid w:val="00F33AA3"/>
    <w:rsid w:val="00F33B12"/>
    <w:rsid w:val="00F342A7"/>
    <w:rsid w:val="00F348E9"/>
    <w:rsid w:val="00F34B49"/>
    <w:rsid w:val="00F34CE6"/>
    <w:rsid w:val="00F35E50"/>
    <w:rsid w:val="00F360D7"/>
    <w:rsid w:val="00F36B74"/>
    <w:rsid w:val="00F40D4E"/>
    <w:rsid w:val="00F40DE8"/>
    <w:rsid w:val="00F41671"/>
    <w:rsid w:val="00F41F85"/>
    <w:rsid w:val="00F428DE"/>
    <w:rsid w:val="00F43122"/>
    <w:rsid w:val="00F43153"/>
    <w:rsid w:val="00F43A27"/>
    <w:rsid w:val="00F43A41"/>
    <w:rsid w:val="00F44CF4"/>
    <w:rsid w:val="00F44F65"/>
    <w:rsid w:val="00F45DFE"/>
    <w:rsid w:val="00F46B30"/>
    <w:rsid w:val="00F50196"/>
    <w:rsid w:val="00F506AB"/>
    <w:rsid w:val="00F50A5B"/>
    <w:rsid w:val="00F51667"/>
    <w:rsid w:val="00F51C4B"/>
    <w:rsid w:val="00F53131"/>
    <w:rsid w:val="00F5339D"/>
    <w:rsid w:val="00F534BD"/>
    <w:rsid w:val="00F55245"/>
    <w:rsid w:val="00F556ED"/>
    <w:rsid w:val="00F56A6C"/>
    <w:rsid w:val="00F572A1"/>
    <w:rsid w:val="00F57F23"/>
    <w:rsid w:val="00F60853"/>
    <w:rsid w:val="00F60944"/>
    <w:rsid w:val="00F61253"/>
    <w:rsid w:val="00F61ADB"/>
    <w:rsid w:val="00F627BA"/>
    <w:rsid w:val="00F628C8"/>
    <w:rsid w:val="00F62B4C"/>
    <w:rsid w:val="00F62C88"/>
    <w:rsid w:val="00F636F7"/>
    <w:rsid w:val="00F63749"/>
    <w:rsid w:val="00F64915"/>
    <w:rsid w:val="00F6590A"/>
    <w:rsid w:val="00F659BB"/>
    <w:rsid w:val="00F65DB9"/>
    <w:rsid w:val="00F65F4D"/>
    <w:rsid w:val="00F66194"/>
    <w:rsid w:val="00F66CEB"/>
    <w:rsid w:val="00F673F6"/>
    <w:rsid w:val="00F701D7"/>
    <w:rsid w:val="00F70433"/>
    <w:rsid w:val="00F708C9"/>
    <w:rsid w:val="00F71055"/>
    <w:rsid w:val="00F71F4C"/>
    <w:rsid w:val="00F72349"/>
    <w:rsid w:val="00F72F3B"/>
    <w:rsid w:val="00F73A7E"/>
    <w:rsid w:val="00F73B24"/>
    <w:rsid w:val="00F744F6"/>
    <w:rsid w:val="00F748B1"/>
    <w:rsid w:val="00F75FB9"/>
    <w:rsid w:val="00F76E19"/>
    <w:rsid w:val="00F774A0"/>
    <w:rsid w:val="00F77629"/>
    <w:rsid w:val="00F8025A"/>
    <w:rsid w:val="00F806E4"/>
    <w:rsid w:val="00F8106A"/>
    <w:rsid w:val="00F81139"/>
    <w:rsid w:val="00F819FF"/>
    <w:rsid w:val="00F82667"/>
    <w:rsid w:val="00F82B36"/>
    <w:rsid w:val="00F844B2"/>
    <w:rsid w:val="00F84947"/>
    <w:rsid w:val="00F8521F"/>
    <w:rsid w:val="00F858E2"/>
    <w:rsid w:val="00F866B3"/>
    <w:rsid w:val="00F867BA"/>
    <w:rsid w:val="00F870C7"/>
    <w:rsid w:val="00F90343"/>
    <w:rsid w:val="00F90545"/>
    <w:rsid w:val="00F9100D"/>
    <w:rsid w:val="00F910D7"/>
    <w:rsid w:val="00F920AF"/>
    <w:rsid w:val="00F939F8"/>
    <w:rsid w:val="00F93E38"/>
    <w:rsid w:val="00F940EB"/>
    <w:rsid w:val="00F943FC"/>
    <w:rsid w:val="00F943FD"/>
    <w:rsid w:val="00F9535F"/>
    <w:rsid w:val="00F954DD"/>
    <w:rsid w:val="00F956B5"/>
    <w:rsid w:val="00F95A6E"/>
    <w:rsid w:val="00F95F04"/>
    <w:rsid w:val="00F96442"/>
    <w:rsid w:val="00F967F0"/>
    <w:rsid w:val="00F970E0"/>
    <w:rsid w:val="00F97716"/>
    <w:rsid w:val="00FA010B"/>
    <w:rsid w:val="00FA12B8"/>
    <w:rsid w:val="00FA1D08"/>
    <w:rsid w:val="00FA3C90"/>
    <w:rsid w:val="00FA3FEB"/>
    <w:rsid w:val="00FA440D"/>
    <w:rsid w:val="00FA5A63"/>
    <w:rsid w:val="00FA6F65"/>
    <w:rsid w:val="00FA702F"/>
    <w:rsid w:val="00FA7BA1"/>
    <w:rsid w:val="00FB05F4"/>
    <w:rsid w:val="00FB0C89"/>
    <w:rsid w:val="00FB115F"/>
    <w:rsid w:val="00FB3A9D"/>
    <w:rsid w:val="00FB3CBD"/>
    <w:rsid w:val="00FB42F9"/>
    <w:rsid w:val="00FB44E0"/>
    <w:rsid w:val="00FB4ADD"/>
    <w:rsid w:val="00FB53F5"/>
    <w:rsid w:val="00FB57D9"/>
    <w:rsid w:val="00FB6090"/>
    <w:rsid w:val="00FB6239"/>
    <w:rsid w:val="00FB6886"/>
    <w:rsid w:val="00FB6D48"/>
    <w:rsid w:val="00FB6E74"/>
    <w:rsid w:val="00FB71F6"/>
    <w:rsid w:val="00FB7357"/>
    <w:rsid w:val="00FB78AB"/>
    <w:rsid w:val="00FC04EC"/>
    <w:rsid w:val="00FC1420"/>
    <w:rsid w:val="00FC1C55"/>
    <w:rsid w:val="00FC2AE2"/>
    <w:rsid w:val="00FC2CBD"/>
    <w:rsid w:val="00FC4088"/>
    <w:rsid w:val="00FC4450"/>
    <w:rsid w:val="00FC44F9"/>
    <w:rsid w:val="00FC4BB1"/>
    <w:rsid w:val="00FC5270"/>
    <w:rsid w:val="00FC5FD0"/>
    <w:rsid w:val="00FC6369"/>
    <w:rsid w:val="00FC654F"/>
    <w:rsid w:val="00FC68CA"/>
    <w:rsid w:val="00FC6C31"/>
    <w:rsid w:val="00FC7312"/>
    <w:rsid w:val="00FC7539"/>
    <w:rsid w:val="00FC7584"/>
    <w:rsid w:val="00FD084E"/>
    <w:rsid w:val="00FD10AA"/>
    <w:rsid w:val="00FD1819"/>
    <w:rsid w:val="00FD2488"/>
    <w:rsid w:val="00FD251E"/>
    <w:rsid w:val="00FD2D66"/>
    <w:rsid w:val="00FD2DA7"/>
    <w:rsid w:val="00FD2FA6"/>
    <w:rsid w:val="00FD36BD"/>
    <w:rsid w:val="00FD40AD"/>
    <w:rsid w:val="00FD438E"/>
    <w:rsid w:val="00FD76DF"/>
    <w:rsid w:val="00FE01C3"/>
    <w:rsid w:val="00FE0F3C"/>
    <w:rsid w:val="00FE17F6"/>
    <w:rsid w:val="00FE2157"/>
    <w:rsid w:val="00FE2880"/>
    <w:rsid w:val="00FE3700"/>
    <w:rsid w:val="00FE3815"/>
    <w:rsid w:val="00FE3974"/>
    <w:rsid w:val="00FE3E4C"/>
    <w:rsid w:val="00FE3EB9"/>
    <w:rsid w:val="00FE4A5C"/>
    <w:rsid w:val="00FE4A76"/>
    <w:rsid w:val="00FE4BFE"/>
    <w:rsid w:val="00FE5288"/>
    <w:rsid w:val="00FE54DD"/>
    <w:rsid w:val="00FE5E49"/>
    <w:rsid w:val="00FE5FF8"/>
    <w:rsid w:val="00FE664B"/>
    <w:rsid w:val="00FE6E7B"/>
    <w:rsid w:val="00FE7A68"/>
    <w:rsid w:val="00FE7BBF"/>
    <w:rsid w:val="00FF19CB"/>
    <w:rsid w:val="00FF1B4A"/>
    <w:rsid w:val="00FF3506"/>
    <w:rsid w:val="00FF48E9"/>
    <w:rsid w:val="00FF492B"/>
    <w:rsid w:val="00FF4D7D"/>
    <w:rsid w:val="00FF6325"/>
    <w:rsid w:val="00FF78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BE0"/>
    <w:rPr>
      <w:sz w:val="24"/>
      <w:szCs w:val="24"/>
    </w:rPr>
  </w:style>
  <w:style w:type="paragraph" w:styleId="Heading1">
    <w:name w:val="heading 1"/>
    <w:basedOn w:val="Normal"/>
    <w:next w:val="Normal"/>
    <w:qFormat/>
    <w:rsid w:val="000D5EF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6170A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qFormat/>
    <w:rsid w:val="000D5EFC"/>
    <w:pPr>
      <w:spacing w:before="240" w:after="60"/>
      <w:outlineLvl w:val="4"/>
    </w:pPr>
    <w:rPr>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2">
    <w:name w:val="Table Grid 2"/>
    <w:basedOn w:val="TableNormal"/>
    <w:rsid w:val="005472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FootnoteText">
    <w:name w:val="footnote text"/>
    <w:basedOn w:val="Normal"/>
    <w:link w:val="FootnoteTextChar"/>
    <w:rsid w:val="002B478D"/>
    <w:rPr>
      <w:sz w:val="20"/>
      <w:szCs w:val="20"/>
    </w:rPr>
  </w:style>
  <w:style w:type="paragraph" w:customStyle="1" w:styleId="arial">
    <w:name w:val="arial"/>
    <w:basedOn w:val="Normal"/>
    <w:rsid w:val="002B478D"/>
    <w:rPr>
      <w:sz w:val="22"/>
      <w:szCs w:val="22"/>
    </w:rPr>
  </w:style>
  <w:style w:type="paragraph" w:styleId="BalloonText">
    <w:name w:val="Balloon Text"/>
    <w:basedOn w:val="Normal"/>
    <w:semiHidden/>
    <w:rsid w:val="00375BE0"/>
    <w:rPr>
      <w:rFonts w:ascii="Tahoma" w:hAnsi="Tahoma" w:cs="Tahoma"/>
      <w:sz w:val="16"/>
      <w:szCs w:val="16"/>
    </w:rPr>
  </w:style>
  <w:style w:type="character" w:customStyle="1" w:styleId="evdictionarytext1">
    <w:name w:val="evdictionarytext1"/>
    <w:basedOn w:val="DefaultParagraphFont"/>
    <w:rsid w:val="003831D2"/>
    <w:rPr>
      <w:rFonts w:ascii="Arial" w:hAnsi="Arial" w:cs="Arial" w:hint="default"/>
      <w:b w:val="0"/>
      <w:bCs w:val="0"/>
      <w:color w:val="000000"/>
      <w:sz w:val="20"/>
      <w:szCs w:val="20"/>
    </w:rPr>
  </w:style>
  <w:style w:type="paragraph" w:styleId="BlockText">
    <w:name w:val="Block Text"/>
    <w:basedOn w:val="Normal"/>
    <w:rsid w:val="000D5EFC"/>
    <w:rPr>
      <w:szCs w:val="20"/>
    </w:rPr>
  </w:style>
  <w:style w:type="paragraph" w:customStyle="1" w:styleId="DEQTITLE">
    <w:name w:val="(DEQ)TITLE"/>
    <w:basedOn w:val="Normal"/>
    <w:rsid w:val="000D5EFC"/>
    <w:rPr>
      <w:rFonts w:ascii="Arial" w:eastAsia="Times" w:hAnsi="Arial"/>
      <w:b/>
      <w:sz w:val="60"/>
      <w:szCs w:val="20"/>
    </w:rPr>
  </w:style>
  <w:style w:type="paragraph" w:customStyle="1" w:styleId="DEQTEXTforFACTSHEET">
    <w:name w:val="(DEQ)TEXT for FACT SHEET"/>
    <w:basedOn w:val="Normal"/>
    <w:link w:val="DEQTEXTforFACTSHEETChar"/>
    <w:rsid w:val="00745431"/>
    <w:rPr>
      <w:rFonts w:eastAsia="Times"/>
      <w:sz w:val="20"/>
      <w:szCs w:val="20"/>
    </w:rPr>
  </w:style>
  <w:style w:type="paragraph" w:styleId="Header">
    <w:name w:val="header"/>
    <w:basedOn w:val="Normal"/>
    <w:rsid w:val="00BD0ECD"/>
    <w:pPr>
      <w:tabs>
        <w:tab w:val="center" w:pos="4320"/>
        <w:tab w:val="right" w:pos="8640"/>
      </w:tabs>
    </w:pPr>
  </w:style>
  <w:style w:type="paragraph" w:styleId="Footer">
    <w:name w:val="footer"/>
    <w:basedOn w:val="Normal"/>
    <w:rsid w:val="00BD0ECD"/>
    <w:pPr>
      <w:tabs>
        <w:tab w:val="center" w:pos="4320"/>
        <w:tab w:val="right" w:pos="8640"/>
      </w:tabs>
    </w:pPr>
  </w:style>
  <w:style w:type="character" w:styleId="PageNumber">
    <w:name w:val="page number"/>
    <w:basedOn w:val="DefaultParagraphFont"/>
    <w:rsid w:val="00BD0ECD"/>
  </w:style>
  <w:style w:type="character" w:styleId="Hyperlink">
    <w:name w:val="Hyperlink"/>
    <w:basedOn w:val="DefaultParagraphFont"/>
    <w:rsid w:val="00EE225E"/>
    <w:rPr>
      <w:rFonts w:ascii="Arial" w:hAnsi="Arial" w:cs="Arial" w:hint="default"/>
      <w:color w:val="0000FF"/>
      <w:u w:val="single"/>
    </w:rPr>
  </w:style>
  <w:style w:type="character" w:styleId="CommentReference">
    <w:name w:val="annotation reference"/>
    <w:basedOn w:val="DefaultParagraphFont"/>
    <w:uiPriority w:val="99"/>
    <w:semiHidden/>
    <w:rsid w:val="002A3B35"/>
    <w:rPr>
      <w:sz w:val="16"/>
      <w:szCs w:val="16"/>
    </w:rPr>
  </w:style>
  <w:style w:type="paragraph" w:styleId="CommentText">
    <w:name w:val="annotation text"/>
    <w:basedOn w:val="Normal"/>
    <w:link w:val="CommentTextChar"/>
    <w:uiPriority w:val="99"/>
    <w:rsid w:val="002A3B35"/>
    <w:rPr>
      <w:sz w:val="20"/>
      <w:szCs w:val="20"/>
    </w:rPr>
  </w:style>
  <w:style w:type="paragraph" w:styleId="CommentSubject">
    <w:name w:val="annotation subject"/>
    <w:basedOn w:val="CommentText"/>
    <w:next w:val="CommentText"/>
    <w:semiHidden/>
    <w:rsid w:val="002A3B35"/>
    <w:rPr>
      <w:b/>
      <w:bCs/>
    </w:rPr>
  </w:style>
  <w:style w:type="character" w:styleId="Strong">
    <w:name w:val="Strong"/>
    <w:basedOn w:val="DefaultParagraphFont"/>
    <w:uiPriority w:val="22"/>
    <w:qFormat/>
    <w:rsid w:val="00CE1CA4"/>
    <w:rPr>
      <w:b/>
      <w:bCs/>
    </w:rPr>
  </w:style>
  <w:style w:type="paragraph" w:styleId="NormalWeb">
    <w:name w:val="Normal (Web)"/>
    <w:basedOn w:val="Normal"/>
    <w:uiPriority w:val="99"/>
    <w:rsid w:val="00BE0184"/>
    <w:pPr>
      <w:spacing w:before="100" w:beforeAutospacing="1" w:after="100" w:afterAutospacing="1"/>
    </w:pPr>
  </w:style>
  <w:style w:type="character" w:customStyle="1" w:styleId="articletitle">
    <w:name w:val="articletitle"/>
    <w:basedOn w:val="DefaultParagraphFont"/>
    <w:rsid w:val="00743099"/>
  </w:style>
  <w:style w:type="paragraph" w:customStyle="1" w:styleId="Default">
    <w:name w:val="Default"/>
    <w:rsid w:val="00DD7379"/>
    <w:pPr>
      <w:autoSpaceDE w:val="0"/>
      <w:autoSpaceDN w:val="0"/>
      <w:adjustRightInd w:val="0"/>
    </w:pPr>
    <w:rPr>
      <w:color w:val="000000"/>
      <w:sz w:val="24"/>
      <w:szCs w:val="24"/>
    </w:rPr>
  </w:style>
  <w:style w:type="paragraph" w:styleId="ListParagraph">
    <w:name w:val="List Paragraph"/>
    <w:basedOn w:val="Normal"/>
    <w:uiPriority w:val="34"/>
    <w:qFormat/>
    <w:rsid w:val="005F3189"/>
    <w:pPr>
      <w:ind w:left="720"/>
      <w:contextualSpacing/>
    </w:pPr>
  </w:style>
  <w:style w:type="paragraph" w:styleId="Revision">
    <w:name w:val="Revision"/>
    <w:hidden/>
    <w:uiPriority w:val="99"/>
    <w:semiHidden/>
    <w:rsid w:val="003D09EF"/>
    <w:rPr>
      <w:sz w:val="24"/>
      <w:szCs w:val="24"/>
    </w:rPr>
  </w:style>
  <w:style w:type="character" w:styleId="Emphasis">
    <w:name w:val="Emphasis"/>
    <w:basedOn w:val="DefaultParagraphFont"/>
    <w:uiPriority w:val="20"/>
    <w:qFormat/>
    <w:rsid w:val="00D671B7"/>
    <w:rPr>
      <w:i/>
      <w:iCs/>
    </w:rPr>
  </w:style>
  <w:style w:type="paragraph" w:styleId="BodyText">
    <w:name w:val="Body Text"/>
    <w:basedOn w:val="Normal"/>
    <w:link w:val="BodyTextChar"/>
    <w:rsid w:val="00167F10"/>
    <w:pPr>
      <w:spacing w:after="120"/>
      <w:ind w:firstLine="720"/>
    </w:pPr>
  </w:style>
  <w:style w:type="character" w:customStyle="1" w:styleId="BodyTextChar">
    <w:name w:val="Body Text Char"/>
    <w:basedOn w:val="DefaultParagraphFont"/>
    <w:link w:val="BodyText"/>
    <w:rsid w:val="00167F10"/>
    <w:rPr>
      <w:sz w:val="24"/>
      <w:szCs w:val="24"/>
    </w:rPr>
  </w:style>
  <w:style w:type="character" w:customStyle="1" w:styleId="DEQTEXTforFACTSHEETChar">
    <w:name w:val="(DEQ)TEXT for FACT SHEET Char"/>
    <w:basedOn w:val="DefaultParagraphFont"/>
    <w:link w:val="DEQTEXTforFACTSHEET"/>
    <w:uiPriority w:val="99"/>
    <w:rsid w:val="00DA3374"/>
    <w:rPr>
      <w:rFonts w:eastAsia="Times"/>
    </w:rPr>
  </w:style>
  <w:style w:type="paragraph" w:customStyle="1" w:styleId="default0">
    <w:name w:val="default"/>
    <w:basedOn w:val="Normal"/>
    <w:uiPriority w:val="99"/>
    <w:semiHidden/>
    <w:rsid w:val="00E8693A"/>
    <w:pPr>
      <w:autoSpaceDE w:val="0"/>
      <w:autoSpaceDN w:val="0"/>
    </w:pPr>
    <w:rPr>
      <w:rFonts w:eastAsiaTheme="minorHAnsi"/>
      <w:color w:val="000000"/>
    </w:rPr>
  </w:style>
  <w:style w:type="paragraph" w:styleId="Subtitle">
    <w:name w:val="Subtitle"/>
    <w:basedOn w:val="Normal"/>
    <w:next w:val="Normal"/>
    <w:link w:val="SubtitleChar"/>
    <w:uiPriority w:val="11"/>
    <w:qFormat/>
    <w:rsid w:val="000D2BFB"/>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0D2BFB"/>
    <w:rPr>
      <w:rFonts w:asciiTheme="majorHAnsi" w:eastAsiaTheme="majorEastAsia" w:hAnsiTheme="majorHAnsi" w:cstheme="majorBidi"/>
      <w:i/>
      <w:iCs/>
      <w:color w:val="4F81BD" w:themeColor="accent1"/>
      <w:spacing w:val="15"/>
      <w:sz w:val="24"/>
      <w:szCs w:val="24"/>
    </w:rPr>
  </w:style>
  <w:style w:type="paragraph" w:customStyle="1" w:styleId="CM6">
    <w:name w:val="CM6"/>
    <w:basedOn w:val="Default"/>
    <w:next w:val="Default"/>
    <w:uiPriority w:val="99"/>
    <w:rsid w:val="009D5AD9"/>
    <w:pPr>
      <w:spacing w:line="193" w:lineRule="atLeast"/>
    </w:pPr>
    <w:rPr>
      <w:rFonts w:ascii="HHLEN N+ Melior" w:hAnsi="HHLEN N+ Melior"/>
      <w:color w:val="auto"/>
    </w:rPr>
  </w:style>
  <w:style w:type="paragraph" w:styleId="PlainText">
    <w:name w:val="Plain Text"/>
    <w:basedOn w:val="Normal"/>
    <w:link w:val="PlainTextChar"/>
    <w:uiPriority w:val="99"/>
    <w:unhideWhenUsed/>
    <w:rsid w:val="00A2590A"/>
    <w:rPr>
      <w:rFonts w:ascii="Consolas" w:eastAsia="Calibri" w:hAnsi="Consolas"/>
      <w:sz w:val="21"/>
      <w:szCs w:val="21"/>
    </w:rPr>
  </w:style>
  <w:style w:type="character" w:customStyle="1" w:styleId="PlainTextChar">
    <w:name w:val="Plain Text Char"/>
    <w:basedOn w:val="DefaultParagraphFont"/>
    <w:link w:val="PlainText"/>
    <w:uiPriority w:val="99"/>
    <w:rsid w:val="00A2590A"/>
    <w:rPr>
      <w:rFonts w:ascii="Consolas" w:eastAsia="Calibri" w:hAnsi="Consolas"/>
      <w:sz w:val="21"/>
      <w:szCs w:val="21"/>
    </w:rPr>
  </w:style>
  <w:style w:type="table" w:styleId="TableGrid">
    <w:name w:val="Table Grid"/>
    <w:basedOn w:val="TableNormal"/>
    <w:uiPriority w:val="59"/>
    <w:rsid w:val="005C5B8D"/>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unhideWhenUsed/>
    <w:rsid w:val="00A67E42"/>
    <w:rPr>
      <w:vertAlign w:val="superscript"/>
    </w:rPr>
  </w:style>
  <w:style w:type="character" w:customStyle="1" w:styleId="Heading2Char">
    <w:name w:val="Heading 2 Char"/>
    <w:basedOn w:val="DefaultParagraphFont"/>
    <w:link w:val="Heading2"/>
    <w:uiPriority w:val="9"/>
    <w:semiHidden/>
    <w:rsid w:val="006170AE"/>
    <w:rPr>
      <w:rFonts w:asciiTheme="majorHAnsi" w:eastAsiaTheme="majorEastAsia" w:hAnsiTheme="majorHAnsi" w:cstheme="majorBidi"/>
      <w:b/>
      <w:bCs/>
      <w:color w:val="4F81BD" w:themeColor="accent1"/>
      <w:sz w:val="26"/>
      <w:szCs w:val="26"/>
    </w:rPr>
  </w:style>
  <w:style w:type="paragraph" w:customStyle="1" w:styleId="CM1">
    <w:name w:val="CM1"/>
    <w:basedOn w:val="Default"/>
    <w:next w:val="Default"/>
    <w:uiPriority w:val="99"/>
    <w:rsid w:val="00FC68CA"/>
    <w:pPr>
      <w:spacing w:line="231" w:lineRule="atLeast"/>
    </w:pPr>
    <w:rPr>
      <w:rFonts w:ascii="Arial" w:hAnsi="Arial" w:cs="Arial"/>
      <w:color w:val="auto"/>
    </w:rPr>
  </w:style>
  <w:style w:type="paragraph" w:customStyle="1" w:styleId="CM11">
    <w:name w:val="CM11"/>
    <w:basedOn w:val="Default"/>
    <w:next w:val="Default"/>
    <w:uiPriority w:val="99"/>
    <w:rsid w:val="00FC68CA"/>
    <w:rPr>
      <w:rFonts w:ascii="Arial" w:hAnsi="Arial" w:cs="Arial"/>
      <w:color w:val="auto"/>
    </w:rPr>
  </w:style>
  <w:style w:type="paragraph" w:customStyle="1" w:styleId="CM5">
    <w:name w:val="CM5"/>
    <w:basedOn w:val="Default"/>
    <w:next w:val="Default"/>
    <w:uiPriority w:val="99"/>
    <w:rsid w:val="00FC68CA"/>
    <w:pPr>
      <w:spacing w:line="276" w:lineRule="atLeast"/>
    </w:pPr>
    <w:rPr>
      <w:rFonts w:ascii="Arial" w:hAnsi="Arial" w:cs="Arial"/>
      <w:color w:val="auto"/>
    </w:rPr>
  </w:style>
  <w:style w:type="paragraph" w:customStyle="1" w:styleId="CM13">
    <w:name w:val="CM13"/>
    <w:basedOn w:val="Default"/>
    <w:next w:val="Default"/>
    <w:uiPriority w:val="99"/>
    <w:rsid w:val="00FC68CA"/>
    <w:rPr>
      <w:rFonts w:ascii="Arial" w:hAnsi="Arial" w:cs="Arial"/>
      <w:color w:val="auto"/>
    </w:rPr>
  </w:style>
  <w:style w:type="paragraph" w:customStyle="1" w:styleId="CM10">
    <w:name w:val="CM10"/>
    <w:basedOn w:val="Default"/>
    <w:next w:val="Default"/>
    <w:uiPriority w:val="99"/>
    <w:rsid w:val="00FC68CA"/>
    <w:pPr>
      <w:spacing w:line="276" w:lineRule="atLeast"/>
    </w:pPr>
    <w:rPr>
      <w:rFonts w:ascii="Arial" w:hAnsi="Arial" w:cs="Arial"/>
      <w:color w:val="auto"/>
    </w:rPr>
  </w:style>
  <w:style w:type="paragraph" w:customStyle="1" w:styleId="CM14">
    <w:name w:val="CM14"/>
    <w:basedOn w:val="Default"/>
    <w:next w:val="Default"/>
    <w:uiPriority w:val="99"/>
    <w:rsid w:val="00FC68CA"/>
    <w:rPr>
      <w:rFonts w:ascii="Arial" w:hAnsi="Arial" w:cs="Arial"/>
      <w:color w:val="auto"/>
    </w:rPr>
  </w:style>
  <w:style w:type="paragraph" w:customStyle="1" w:styleId="CM15">
    <w:name w:val="CM15"/>
    <w:basedOn w:val="Default"/>
    <w:next w:val="Default"/>
    <w:uiPriority w:val="99"/>
    <w:rsid w:val="00FC68CA"/>
    <w:rPr>
      <w:rFonts w:ascii="Arial" w:hAnsi="Arial" w:cs="Arial"/>
      <w:color w:val="auto"/>
    </w:rPr>
  </w:style>
  <w:style w:type="paragraph" w:customStyle="1" w:styleId="ColorfulList-Accent11">
    <w:name w:val="Colorful List - Accent 11"/>
    <w:rsid w:val="00F8521F"/>
    <w:pPr>
      <w:ind w:left="720"/>
    </w:pPr>
    <w:rPr>
      <w:rFonts w:eastAsia="ヒラギノ角ゴ Pro W3"/>
      <w:color w:val="000000"/>
      <w:sz w:val="24"/>
    </w:rPr>
  </w:style>
  <w:style w:type="character" w:customStyle="1" w:styleId="FootnoteReference1">
    <w:name w:val="Footnote Reference1"/>
    <w:rsid w:val="00F8521F"/>
    <w:rPr>
      <w:color w:val="000000"/>
      <w:sz w:val="20"/>
      <w:vertAlign w:val="superscript"/>
    </w:rPr>
  </w:style>
  <w:style w:type="paragraph" w:customStyle="1" w:styleId="FootnoteText1">
    <w:name w:val="Footnote Text1"/>
    <w:rsid w:val="00F8521F"/>
    <w:rPr>
      <w:rFonts w:eastAsia="ヒラギノ角ゴ Pro W3"/>
      <w:color w:val="000000"/>
    </w:rPr>
  </w:style>
  <w:style w:type="character" w:customStyle="1" w:styleId="FootnoteTextChar">
    <w:name w:val="Footnote Text Char"/>
    <w:basedOn w:val="DefaultParagraphFont"/>
    <w:link w:val="FootnoteText"/>
    <w:rsid w:val="00F8521F"/>
  </w:style>
  <w:style w:type="paragraph" w:customStyle="1" w:styleId="Style2">
    <w:name w:val="Style2"/>
    <w:basedOn w:val="Normal"/>
    <w:uiPriority w:val="99"/>
    <w:rsid w:val="00D3023B"/>
    <w:pPr>
      <w:widowControl w:val="0"/>
      <w:autoSpaceDE w:val="0"/>
      <w:autoSpaceDN w:val="0"/>
      <w:adjustRightInd w:val="0"/>
      <w:spacing w:line="277" w:lineRule="exact"/>
    </w:pPr>
    <w:rPr>
      <w:rFonts w:ascii="Arial Unicode MS" w:eastAsia="Arial Unicode MS" w:hAnsiTheme="minorHAnsi" w:cs="Arial Unicode MS"/>
    </w:rPr>
  </w:style>
  <w:style w:type="character" w:customStyle="1" w:styleId="FontStyle15">
    <w:name w:val="Font Style15"/>
    <w:basedOn w:val="DefaultParagraphFont"/>
    <w:uiPriority w:val="99"/>
    <w:rsid w:val="00D3023B"/>
    <w:rPr>
      <w:rFonts w:ascii="Times New Roman" w:hAnsi="Times New Roman" w:cs="Times New Roman"/>
      <w:color w:val="000000"/>
      <w:sz w:val="22"/>
      <w:szCs w:val="22"/>
    </w:rPr>
  </w:style>
  <w:style w:type="paragraph" w:customStyle="1" w:styleId="Style3">
    <w:name w:val="Style3"/>
    <w:basedOn w:val="Normal"/>
    <w:uiPriority w:val="99"/>
    <w:rsid w:val="00D3023B"/>
    <w:pPr>
      <w:widowControl w:val="0"/>
      <w:autoSpaceDE w:val="0"/>
      <w:autoSpaceDN w:val="0"/>
      <w:adjustRightInd w:val="0"/>
    </w:pPr>
    <w:rPr>
      <w:rFonts w:ascii="Arial" w:eastAsiaTheme="minorEastAsia" w:hAnsi="Arial" w:cs="Arial"/>
    </w:rPr>
  </w:style>
  <w:style w:type="paragraph" w:customStyle="1" w:styleId="Style6">
    <w:name w:val="Style6"/>
    <w:basedOn w:val="Normal"/>
    <w:uiPriority w:val="99"/>
    <w:rsid w:val="00D3023B"/>
    <w:pPr>
      <w:widowControl w:val="0"/>
      <w:autoSpaceDE w:val="0"/>
      <w:autoSpaceDN w:val="0"/>
      <w:adjustRightInd w:val="0"/>
      <w:spacing w:line="274" w:lineRule="exact"/>
    </w:pPr>
    <w:rPr>
      <w:rFonts w:ascii="Arial" w:eastAsiaTheme="minorEastAsia" w:hAnsi="Arial" w:cs="Arial"/>
    </w:rPr>
  </w:style>
  <w:style w:type="character" w:customStyle="1" w:styleId="FontStyle14">
    <w:name w:val="Font Style14"/>
    <w:basedOn w:val="DefaultParagraphFont"/>
    <w:uiPriority w:val="99"/>
    <w:rsid w:val="00D3023B"/>
    <w:rPr>
      <w:rFonts w:ascii="Arial" w:hAnsi="Arial" w:cs="Arial"/>
      <w:color w:val="000000"/>
      <w:sz w:val="22"/>
      <w:szCs w:val="22"/>
    </w:rPr>
  </w:style>
  <w:style w:type="character" w:customStyle="1" w:styleId="FontStyle16">
    <w:name w:val="Font Style16"/>
    <w:basedOn w:val="DefaultParagraphFont"/>
    <w:uiPriority w:val="99"/>
    <w:rsid w:val="00D3023B"/>
    <w:rPr>
      <w:rFonts w:ascii="Arial" w:hAnsi="Arial" w:cs="Arial"/>
      <w:color w:val="000000"/>
      <w:sz w:val="16"/>
      <w:szCs w:val="16"/>
    </w:rPr>
  </w:style>
  <w:style w:type="character" w:customStyle="1" w:styleId="FontStyle18">
    <w:name w:val="Font Style18"/>
    <w:basedOn w:val="DefaultParagraphFont"/>
    <w:uiPriority w:val="99"/>
    <w:rsid w:val="003F6EC3"/>
    <w:rPr>
      <w:rFonts w:ascii="Candara" w:hAnsi="Candara" w:cs="Candara"/>
      <w:b/>
      <w:bCs/>
      <w:color w:val="000000"/>
      <w:sz w:val="22"/>
      <w:szCs w:val="22"/>
    </w:rPr>
  </w:style>
  <w:style w:type="character" w:customStyle="1" w:styleId="FontStyle19">
    <w:name w:val="Font Style19"/>
    <w:basedOn w:val="DefaultParagraphFont"/>
    <w:uiPriority w:val="99"/>
    <w:rsid w:val="003F6EC3"/>
    <w:rPr>
      <w:rFonts w:ascii="Tahoma" w:hAnsi="Tahoma" w:cs="Tahoma"/>
      <w:b/>
      <w:bCs/>
      <w:color w:val="000000"/>
      <w:sz w:val="14"/>
      <w:szCs w:val="14"/>
    </w:rPr>
  </w:style>
  <w:style w:type="paragraph" w:customStyle="1" w:styleId="Style5">
    <w:name w:val="Style5"/>
    <w:basedOn w:val="Normal"/>
    <w:uiPriority w:val="99"/>
    <w:rsid w:val="00AD5FE6"/>
    <w:pPr>
      <w:widowControl w:val="0"/>
      <w:autoSpaceDE w:val="0"/>
      <w:autoSpaceDN w:val="0"/>
      <w:adjustRightInd w:val="0"/>
      <w:spacing w:line="275" w:lineRule="exact"/>
    </w:pPr>
    <w:rPr>
      <w:rFonts w:ascii="Arial" w:eastAsiaTheme="minorEastAsia" w:hAnsi="Arial" w:cs="Arial"/>
    </w:rPr>
  </w:style>
  <w:style w:type="paragraph" w:customStyle="1" w:styleId="Style7">
    <w:name w:val="Style7"/>
    <w:basedOn w:val="Normal"/>
    <w:uiPriority w:val="99"/>
    <w:rsid w:val="00AD5FE6"/>
    <w:pPr>
      <w:widowControl w:val="0"/>
      <w:autoSpaceDE w:val="0"/>
      <w:autoSpaceDN w:val="0"/>
      <w:adjustRightInd w:val="0"/>
      <w:spacing w:line="278" w:lineRule="exact"/>
      <w:jc w:val="both"/>
    </w:pPr>
    <w:rPr>
      <w:rFonts w:ascii="Arial" w:eastAsiaTheme="minorEastAsia" w:hAnsi="Arial" w:cs="Arial"/>
    </w:rPr>
  </w:style>
  <w:style w:type="character" w:customStyle="1" w:styleId="FontStyle21">
    <w:name w:val="Font Style21"/>
    <w:basedOn w:val="DefaultParagraphFont"/>
    <w:uiPriority w:val="99"/>
    <w:rsid w:val="00AD5FE6"/>
    <w:rPr>
      <w:rFonts w:ascii="Arial" w:hAnsi="Arial" w:cs="Arial"/>
      <w:color w:val="000000"/>
      <w:sz w:val="24"/>
      <w:szCs w:val="24"/>
    </w:rPr>
  </w:style>
  <w:style w:type="paragraph" w:customStyle="1" w:styleId="Style9">
    <w:name w:val="Style9"/>
    <w:basedOn w:val="Normal"/>
    <w:uiPriority w:val="99"/>
    <w:rsid w:val="00491D34"/>
    <w:pPr>
      <w:widowControl w:val="0"/>
      <w:autoSpaceDE w:val="0"/>
      <w:autoSpaceDN w:val="0"/>
      <w:adjustRightInd w:val="0"/>
      <w:spacing w:line="317" w:lineRule="exact"/>
      <w:jc w:val="both"/>
    </w:pPr>
    <w:rPr>
      <w:rFonts w:eastAsiaTheme="minorEastAsia"/>
    </w:rPr>
  </w:style>
  <w:style w:type="character" w:customStyle="1" w:styleId="FontStyle17">
    <w:name w:val="Font Style17"/>
    <w:basedOn w:val="DefaultParagraphFont"/>
    <w:uiPriority w:val="99"/>
    <w:rsid w:val="00491D34"/>
    <w:rPr>
      <w:rFonts w:ascii="Times New Roman" w:hAnsi="Times New Roman" w:cs="Times New Roman"/>
      <w:color w:val="000000"/>
      <w:sz w:val="20"/>
      <w:szCs w:val="20"/>
    </w:rPr>
  </w:style>
  <w:style w:type="paragraph" w:customStyle="1" w:styleId="Style4">
    <w:name w:val="Style4"/>
    <w:basedOn w:val="Normal"/>
    <w:uiPriority w:val="99"/>
    <w:rsid w:val="00491D34"/>
    <w:pPr>
      <w:widowControl w:val="0"/>
      <w:autoSpaceDE w:val="0"/>
      <w:autoSpaceDN w:val="0"/>
      <w:adjustRightInd w:val="0"/>
      <w:spacing w:line="271" w:lineRule="exact"/>
    </w:pPr>
    <w:rPr>
      <w:rFonts w:ascii="Calibri" w:eastAsiaTheme="minorEastAsia" w:hAnsi="Calibri" w:cstheme="minorBidi"/>
    </w:rPr>
  </w:style>
  <w:style w:type="character" w:customStyle="1" w:styleId="FontStyle13">
    <w:name w:val="Font Style13"/>
    <w:basedOn w:val="DefaultParagraphFont"/>
    <w:uiPriority w:val="99"/>
    <w:rsid w:val="00491D34"/>
    <w:rPr>
      <w:rFonts w:ascii="Calibri" w:hAnsi="Calibri" w:cs="Calibri"/>
      <w:color w:val="000000"/>
      <w:sz w:val="22"/>
      <w:szCs w:val="22"/>
    </w:rPr>
  </w:style>
  <w:style w:type="character" w:customStyle="1" w:styleId="googqs-tidbit-0">
    <w:name w:val="goog_qs-tidbit-0"/>
    <w:basedOn w:val="DefaultParagraphFont"/>
    <w:rsid w:val="004C7C82"/>
  </w:style>
  <w:style w:type="character" w:customStyle="1" w:styleId="googqs-tidbit-1">
    <w:name w:val="goog_qs-tidbit-1"/>
    <w:basedOn w:val="DefaultParagraphFont"/>
    <w:rsid w:val="004C7C82"/>
  </w:style>
  <w:style w:type="character" w:customStyle="1" w:styleId="googqs-tidbit-2">
    <w:name w:val="goog_qs-tidbit-2"/>
    <w:basedOn w:val="DefaultParagraphFont"/>
    <w:rsid w:val="004C7C82"/>
  </w:style>
  <w:style w:type="character" w:customStyle="1" w:styleId="googqs-tidbit-3">
    <w:name w:val="goog_qs-tidbit-3"/>
    <w:basedOn w:val="DefaultParagraphFont"/>
    <w:rsid w:val="004C7C82"/>
  </w:style>
  <w:style w:type="character" w:styleId="SubtleEmphasis">
    <w:name w:val="Subtle Emphasis"/>
    <w:basedOn w:val="DefaultParagraphFont"/>
    <w:uiPriority w:val="19"/>
    <w:qFormat/>
    <w:rsid w:val="00C6363A"/>
    <w:rPr>
      <w:i/>
      <w:iCs/>
      <w:color w:val="808080" w:themeColor="text1" w:themeTint="7F"/>
    </w:rPr>
  </w:style>
  <w:style w:type="character" w:customStyle="1" w:styleId="CommentTextChar">
    <w:name w:val="Comment Text Char"/>
    <w:basedOn w:val="DefaultParagraphFont"/>
    <w:link w:val="CommentText"/>
    <w:uiPriority w:val="99"/>
    <w:rsid w:val="00E53E51"/>
  </w:style>
  <w:style w:type="paragraph" w:styleId="BodyTextIndent">
    <w:name w:val="Body Text Indent"/>
    <w:basedOn w:val="Normal"/>
    <w:link w:val="BodyTextIndentChar"/>
    <w:uiPriority w:val="99"/>
    <w:semiHidden/>
    <w:unhideWhenUsed/>
    <w:rsid w:val="00F31777"/>
    <w:pPr>
      <w:spacing w:after="120"/>
      <w:ind w:left="360"/>
    </w:pPr>
  </w:style>
  <w:style w:type="character" w:customStyle="1" w:styleId="BodyTextIndentChar">
    <w:name w:val="Body Text Indent Char"/>
    <w:basedOn w:val="DefaultParagraphFont"/>
    <w:link w:val="BodyTextIndent"/>
    <w:uiPriority w:val="99"/>
    <w:semiHidden/>
    <w:rsid w:val="00F3177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38191">
      <w:bodyDiv w:val="1"/>
      <w:marLeft w:val="0"/>
      <w:marRight w:val="0"/>
      <w:marTop w:val="0"/>
      <w:marBottom w:val="0"/>
      <w:divBdr>
        <w:top w:val="none" w:sz="0" w:space="0" w:color="auto"/>
        <w:left w:val="none" w:sz="0" w:space="0" w:color="auto"/>
        <w:bottom w:val="none" w:sz="0" w:space="0" w:color="auto"/>
        <w:right w:val="none" w:sz="0" w:space="0" w:color="auto"/>
      </w:divBdr>
    </w:div>
    <w:div w:id="35549108">
      <w:bodyDiv w:val="1"/>
      <w:marLeft w:val="0"/>
      <w:marRight w:val="0"/>
      <w:marTop w:val="0"/>
      <w:marBottom w:val="0"/>
      <w:divBdr>
        <w:top w:val="none" w:sz="0" w:space="0" w:color="auto"/>
        <w:left w:val="none" w:sz="0" w:space="0" w:color="auto"/>
        <w:bottom w:val="none" w:sz="0" w:space="0" w:color="auto"/>
        <w:right w:val="none" w:sz="0" w:space="0" w:color="auto"/>
      </w:divBdr>
      <w:divsChild>
        <w:div w:id="1646854187">
          <w:marLeft w:val="0"/>
          <w:marRight w:val="0"/>
          <w:marTop w:val="0"/>
          <w:marBottom w:val="0"/>
          <w:divBdr>
            <w:top w:val="none" w:sz="0" w:space="0" w:color="auto"/>
            <w:left w:val="none" w:sz="0" w:space="0" w:color="auto"/>
            <w:bottom w:val="none" w:sz="0" w:space="0" w:color="auto"/>
            <w:right w:val="none" w:sz="0" w:space="0" w:color="auto"/>
          </w:divBdr>
          <w:divsChild>
            <w:div w:id="296885556">
              <w:marLeft w:val="0"/>
              <w:marRight w:val="0"/>
              <w:marTop w:val="0"/>
              <w:marBottom w:val="0"/>
              <w:divBdr>
                <w:top w:val="none" w:sz="0" w:space="0" w:color="auto"/>
                <w:left w:val="none" w:sz="0" w:space="0" w:color="auto"/>
                <w:bottom w:val="none" w:sz="0" w:space="0" w:color="auto"/>
                <w:right w:val="none" w:sz="0" w:space="0" w:color="auto"/>
              </w:divBdr>
              <w:divsChild>
                <w:div w:id="841969148">
                  <w:marLeft w:val="0"/>
                  <w:marRight w:val="0"/>
                  <w:marTop w:val="0"/>
                  <w:marBottom w:val="0"/>
                  <w:divBdr>
                    <w:top w:val="none" w:sz="0" w:space="0" w:color="auto"/>
                    <w:left w:val="none" w:sz="0" w:space="0" w:color="auto"/>
                    <w:bottom w:val="none" w:sz="0" w:space="0" w:color="auto"/>
                    <w:right w:val="none" w:sz="0" w:space="0" w:color="auto"/>
                  </w:divBdr>
                  <w:divsChild>
                    <w:div w:id="166797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93213">
      <w:bodyDiv w:val="1"/>
      <w:marLeft w:val="0"/>
      <w:marRight w:val="0"/>
      <w:marTop w:val="0"/>
      <w:marBottom w:val="0"/>
      <w:divBdr>
        <w:top w:val="none" w:sz="0" w:space="0" w:color="auto"/>
        <w:left w:val="none" w:sz="0" w:space="0" w:color="auto"/>
        <w:bottom w:val="none" w:sz="0" w:space="0" w:color="auto"/>
        <w:right w:val="none" w:sz="0" w:space="0" w:color="auto"/>
      </w:divBdr>
    </w:div>
    <w:div w:id="80417729">
      <w:bodyDiv w:val="1"/>
      <w:marLeft w:val="0"/>
      <w:marRight w:val="0"/>
      <w:marTop w:val="0"/>
      <w:marBottom w:val="0"/>
      <w:divBdr>
        <w:top w:val="none" w:sz="0" w:space="0" w:color="auto"/>
        <w:left w:val="none" w:sz="0" w:space="0" w:color="auto"/>
        <w:bottom w:val="none" w:sz="0" w:space="0" w:color="auto"/>
        <w:right w:val="none" w:sz="0" w:space="0" w:color="auto"/>
      </w:divBdr>
    </w:div>
    <w:div w:id="92674394">
      <w:bodyDiv w:val="1"/>
      <w:marLeft w:val="0"/>
      <w:marRight w:val="0"/>
      <w:marTop w:val="0"/>
      <w:marBottom w:val="0"/>
      <w:divBdr>
        <w:top w:val="none" w:sz="0" w:space="0" w:color="auto"/>
        <w:left w:val="none" w:sz="0" w:space="0" w:color="auto"/>
        <w:bottom w:val="none" w:sz="0" w:space="0" w:color="auto"/>
        <w:right w:val="none" w:sz="0" w:space="0" w:color="auto"/>
      </w:divBdr>
    </w:div>
    <w:div w:id="103547102">
      <w:bodyDiv w:val="1"/>
      <w:marLeft w:val="0"/>
      <w:marRight w:val="0"/>
      <w:marTop w:val="0"/>
      <w:marBottom w:val="0"/>
      <w:divBdr>
        <w:top w:val="none" w:sz="0" w:space="0" w:color="auto"/>
        <w:left w:val="none" w:sz="0" w:space="0" w:color="auto"/>
        <w:bottom w:val="none" w:sz="0" w:space="0" w:color="auto"/>
        <w:right w:val="none" w:sz="0" w:space="0" w:color="auto"/>
      </w:divBdr>
    </w:div>
    <w:div w:id="105279156">
      <w:bodyDiv w:val="1"/>
      <w:marLeft w:val="0"/>
      <w:marRight w:val="0"/>
      <w:marTop w:val="0"/>
      <w:marBottom w:val="0"/>
      <w:divBdr>
        <w:top w:val="none" w:sz="0" w:space="0" w:color="auto"/>
        <w:left w:val="none" w:sz="0" w:space="0" w:color="auto"/>
        <w:bottom w:val="none" w:sz="0" w:space="0" w:color="auto"/>
        <w:right w:val="none" w:sz="0" w:space="0" w:color="auto"/>
      </w:divBdr>
    </w:div>
    <w:div w:id="118886323">
      <w:bodyDiv w:val="1"/>
      <w:marLeft w:val="0"/>
      <w:marRight w:val="0"/>
      <w:marTop w:val="0"/>
      <w:marBottom w:val="0"/>
      <w:divBdr>
        <w:top w:val="none" w:sz="0" w:space="0" w:color="auto"/>
        <w:left w:val="none" w:sz="0" w:space="0" w:color="auto"/>
        <w:bottom w:val="none" w:sz="0" w:space="0" w:color="auto"/>
        <w:right w:val="none" w:sz="0" w:space="0" w:color="auto"/>
      </w:divBdr>
    </w:div>
    <w:div w:id="143746425">
      <w:bodyDiv w:val="1"/>
      <w:marLeft w:val="0"/>
      <w:marRight w:val="0"/>
      <w:marTop w:val="0"/>
      <w:marBottom w:val="0"/>
      <w:divBdr>
        <w:top w:val="none" w:sz="0" w:space="0" w:color="auto"/>
        <w:left w:val="none" w:sz="0" w:space="0" w:color="auto"/>
        <w:bottom w:val="none" w:sz="0" w:space="0" w:color="auto"/>
        <w:right w:val="none" w:sz="0" w:space="0" w:color="auto"/>
      </w:divBdr>
    </w:div>
    <w:div w:id="147867177">
      <w:bodyDiv w:val="1"/>
      <w:marLeft w:val="0"/>
      <w:marRight w:val="0"/>
      <w:marTop w:val="0"/>
      <w:marBottom w:val="0"/>
      <w:divBdr>
        <w:top w:val="none" w:sz="0" w:space="0" w:color="auto"/>
        <w:left w:val="none" w:sz="0" w:space="0" w:color="auto"/>
        <w:bottom w:val="none" w:sz="0" w:space="0" w:color="auto"/>
        <w:right w:val="none" w:sz="0" w:space="0" w:color="auto"/>
      </w:divBdr>
    </w:div>
    <w:div w:id="163521961">
      <w:bodyDiv w:val="1"/>
      <w:marLeft w:val="0"/>
      <w:marRight w:val="0"/>
      <w:marTop w:val="0"/>
      <w:marBottom w:val="0"/>
      <w:divBdr>
        <w:top w:val="none" w:sz="0" w:space="0" w:color="auto"/>
        <w:left w:val="none" w:sz="0" w:space="0" w:color="auto"/>
        <w:bottom w:val="none" w:sz="0" w:space="0" w:color="auto"/>
        <w:right w:val="none" w:sz="0" w:space="0" w:color="auto"/>
      </w:divBdr>
    </w:div>
    <w:div w:id="179124010">
      <w:bodyDiv w:val="1"/>
      <w:marLeft w:val="0"/>
      <w:marRight w:val="0"/>
      <w:marTop w:val="0"/>
      <w:marBottom w:val="0"/>
      <w:divBdr>
        <w:top w:val="none" w:sz="0" w:space="0" w:color="auto"/>
        <w:left w:val="none" w:sz="0" w:space="0" w:color="auto"/>
        <w:bottom w:val="none" w:sz="0" w:space="0" w:color="auto"/>
        <w:right w:val="none" w:sz="0" w:space="0" w:color="auto"/>
      </w:divBdr>
    </w:div>
    <w:div w:id="181549255">
      <w:bodyDiv w:val="1"/>
      <w:marLeft w:val="0"/>
      <w:marRight w:val="0"/>
      <w:marTop w:val="0"/>
      <w:marBottom w:val="0"/>
      <w:divBdr>
        <w:top w:val="none" w:sz="0" w:space="0" w:color="auto"/>
        <w:left w:val="none" w:sz="0" w:space="0" w:color="auto"/>
        <w:bottom w:val="none" w:sz="0" w:space="0" w:color="auto"/>
        <w:right w:val="none" w:sz="0" w:space="0" w:color="auto"/>
      </w:divBdr>
    </w:div>
    <w:div w:id="185414573">
      <w:bodyDiv w:val="1"/>
      <w:marLeft w:val="0"/>
      <w:marRight w:val="0"/>
      <w:marTop w:val="0"/>
      <w:marBottom w:val="0"/>
      <w:divBdr>
        <w:top w:val="none" w:sz="0" w:space="0" w:color="auto"/>
        <w:left w:val="none" w:sz="0" w:space="0" w:color="auto"/>
        <w:bottom w:val="none" w:sz="0" w:space="0" w:color="auto"/>
        <w:right w:val="none" w:sz="0" w:space="0" w:color="auto"/>
      </w:divBdr>
    </w:div>
    <w:div w:id="194314950">
      <w:bodyDiv w:val="1"/>
      <w:marLeft w:val="0"/>
      <w:marRight w:val="0"/>
      <w:marTop w:val="0"/>
      <w:marBottom w:val="0"/>
      <w:divBdr>
        <w:top w:val="none" w:sz="0" w:space="0" w:color="auto"/>
        <w:left w:val="none" w:sz="0" w:space="0" w:color="auto"/>
        <w:bottom w:val="none" w:sz="0" w:space="0" w:color="auto"/>
        <w:right w:val="none" w:sz="0" w:space="0" w:color="auto"/>
      </w:divBdr>
    </w:div>
    <w:div w:id="214632885">
      <w:bodyDiv w:val="1"/>
      <w:marLeft w:val="0"/>
      <w:marRight w:val="0"/>
      <w:marTop w:val="0"/>
      <w:marBottom w:val="0"/>
      <w:divBdr>
        <w:top w:val="none" w:sz="0" w:space="0" w:color="auto"/>
        <w:left w:val="none" w:sz="0" w:space="0" w:color="auto"/>
        <w:bottom w:val="none" w:sz="0" w:space="0" w:color="auto"/>
        <w:right w:val="none" w:sz="0" w:space="0" w:color="auto"/>
      </w:divBdr>
    </w:div>
    <w:div w:id="225802098">
      <w:bodyDiv w:val="1"/>
      <w:marLeft w:val="0"/>
      <w:marRight w:val="0"/>
      <w:marTop w:val="0"/>
      <w:marBottom w:val="0"/>
      <w:divBdr>
        <w:top w:val="none" w:sz="0" w:space="0" w:color="auto"/>
        <w:left w:val="none" w:sz="0" w:space="0" w:color="auto"/>
        <w:bottom w:val="none" w:sz="0" w:space="0" w:color="auto"/>
        <w:right w:val="none" w:sz="0" w:space="0" w:color="auto"/>
      </w:divBdr>
    </w:div>
    <w:div w:id="240453520">
      <w:bodyDiv w:val="1"/>
      <w:marLeft w:val="0"/>
      <w:marRight w:val="0"/>
      <w:marTop w:val="0"/>
      <w:marBottom w:val="0"/>
      <w:divBdr>
        <w:top w:val="none" w:sz="0" w:space="0" w:color="auto"/>
        <w:left w:val="none" w:sz="0" w:space="0" w:color="auto"/>
        <w:bottom w:val="none" w:sz="0" w:space="0" w:color="auto"/>
        <w:right w:val="none" w:sz="0" w:space="0" w:color="auto"/>
      </w:divBdr>
      <w:divsChild>
        <w:div w:id="1018388240">
          <w:marLeft w:val="0"/>
          <w:marRight w:val="0"/>
          <w:marTop w:val="0"/>
          <w:marBottom w:val="0"/>
          <w:divBdr>
            <w:top w:val="none" w:sz="0" w:space="0" w:color="auto"/>
            <w:left w:val="none" w:sz="0" w:space="0" w:color="auto"/>
            <w:bottom w:val="none" w:sz="0" w:space="0" w:color="auto"/>
            <w:right w:val="none" w:sz="0" w:space="0" w:color="auto"/>
          </w:divBdr>
          <w:divsChild>
            <w:div w:id="581960986">
              <w:marLeft w:val="0"/>
              <w:marRight w:val="0"/>
              <w:marTop w:val="0"/>
              <w:marBottom w:val="0"/>
              <w:divBdr>
                <w:top w:val="none" w:sz="0" w:space="0" w:color="auto"/>
                <w:left w:val="none" w:sz="0" w:space="0" w:color="auto"/>
                <w:bottom w:val="none" w:sz="0" w:space="0" w:color="auto"/>
                <w:right w:val="none" w:sz="0" w:space="0" w:color="auto"/>
              </w:divBdr>
              <w:divsChild>
                <w:div w:id="854416465">
                  <w:marLeft w:val="0"/>
                  <w:marRight w:val="0"/>
                  <w:marTop w:val="0"/>
                  <w:marBottom w:val="0"/>
                  <w:divBdr>
                    <w:top w:val="none" w:sz="0" w:space="0" w:color="auto"/>
                    <w:left w:val="none" w:sz="0" w:space="0" w:color="auto"/>
                    <w:bottom w:val="none" w:sz="0" w:space="0" w:color="auto"/>
                    <w:right w:val="none" w:sz="0" w:space="0" w:color="auto"/>
                  </w:divBdr>
                  <w:divsChild>
                    <w:div w:id="2020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930713">
      <w:bodyDiv w:val="1"/>
      <w:marLeft w:val="0"/>
      <w:marRight w:val="0"/>
      <w:marTop w:val="0"/>
      <w:marBottom w:val="0"/>
      <w:divBdr>
        <w:top w:val="none" w:sz="0" w:space="0" w:color="auto"/>
        <w:left w:val="none" w:sz="0" w:space="0" w:color="auto"/>
        <w:bottom w:val="none" w:sz="0" w:space="0" w:color="auto"/>
        <w:right w:val="none" w:sz="0" w:space="0" w:color="auto"/>
      </w:divBdr>
    </w:div>
    <w:div w:id="327288827">
      <w:bodyDiv w:val="1"/>
      <w:marLeft w:val="0"/>
      <w:marRight w:val="0"/>
      <w:marTop w:val="0"/>
      <w:marBottom w:val="0"/>
      <w:divBdr>
        <w:top w:val="none" w:sz="0" w:space="0" w:color="auto"/>
        <w:left w:val="none" w:sz="0" w:space="0" w:color="auto"/>
        <w:bottom w:val="none" w:sz="0" w:space="0" w:color="auto"/>
        <w:right w:val="none" w:sz="0" w:space="0" w:color="auto"/>
      </w:divBdr>
      <w:divsChild>
        <w:div w:id="29720459">
          <w:marLeft w:val="0"/>
          <w:marRight w:val="0"/>
          <w:marTop w:val="0"/>
          <w:marBottom w:val="0"/>
          <w:divBdr>
            <w:top w:val="none" w:sz="0" w:space="0" w:color="auto"/>
            <w:left w:val="none" w:sz="0" w:space="0" w:color="auto"/>
            <w:bottom w:val="none" w:sz="0" w:space="0" w:color="auto"/>
            <w:right w:val="none" w:sz="0" w:space="0" w:color="auto"/>
          </w:divBdr>
          <w:divsChild>
            <w:div w:id="496967599">
              <w:marLeft w:val="0"/>
              <w:marRight w:val="0"/>
              <w:marTop w:val="0"/>
              <w:marBottom w:val="0"/>
              <w:divBdr>
                <w:top w:val="none" w:sz="0" w:space="0" w:color="auto"/>
                <w:left w:val="none" w:sz="0" w:space="0" w:color="auto"/>
                <w:bottom w:val="none" w:sz="0" w:space="0" w:color="auto"/>
                <w:right w:val="none" w:sz="0" w:space="0" w:color="auto"/>
              </w:divBdr>
            </w:div>
            <w:div w:id="1042512152">
              <w:marLeft w:val="0"/>
              <w:marRight w:val="0"/>
              <w:marTop w:val="0"/>
              <w:marBottom w:val="0"/>
              <w:divBdr>
                <w:top w:val="none" w:sz="0" w:space="0" w:color="auto"/>
                <w:left w:val="none" w:sz="0" w:space="0" w:color="auto"/>
                <w:bottom w:val="none" w:sz="0" w:space="0" w:color="auto"/>
                <w:right w:val="none" w:sz="0" w:space="0" w:color="auto"/>
              </w:divBdr>
            </w:div>
            <w:div w:id="1190876964">
              <w:marLeft w:val="0"/>
              <w:marRight w:val="0"/>
              <w:marTop w:val="0"/>
              <w:marBottom w:val="0"/>
              <w:divBdr>
                <w:top w:val="none" w:sz="0" w:space="0" w:color="auto"/>
                <w:left w:val="none" w:sz="0" w:space="0" w:color="auto"/>
                <w:bottom w:val="none" w:sz="0" w:space="0" w:color="auto"/>
                <w:right w:val="none" w:sz="0" w:space="0" w:color="auto"/>
              </w:divBdr>
            </w:div>
            <w:div w:id="206694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7604">
      <w:bodyDiv w:val="1"/>
      <w:marLeft w:val="0"/>
      <w:marRight w:val="0"/>
      <w:marTop w:val="0"/>
      <w:marBottom w:val="0"/>
      <w:divBdr>
        <w:top w:val="none" w:sz="0" w:space="0" w:color="auto"/>
        <w:left w:val="none" w:sz="0" w:space="0" w:color="auto"/>
        <w:bottom w:val="none" w:sz="0" w:space="0" w:color="auto"/>
        <w:right w:val="none" w:sz="0" w:space="0" w:color="auto"/>
      </w:divBdr>
    </w:div>
    <w:div w:id="378168116">
      <w:bodyDiv w:val="1"/>
      <w:marLeft w:val="0"/>
      <w:marRight w:val="0"/>
      <w:marTop w:val="0"/>
      <w:marBottom w:val="0"/>
      <w:divBdr>
        <w:top w:val="none" w:sz="0" w:space="0" w:color="auto"/>
        <w:left w:val="none" w:sz="0" w:space="0" w:color="auto"/>
        <w:bottom w:val="none" w:sz="0" w:space="0" w:color="auto"/>
        <w:right w:val="none" w:sz="0" w:space="0" w:color="auto"/>
      </w:divBdr>
    </w:div>
    <w:div w:id="421491164">
      <w:bodyDiv w:val="1"/>
      <w:marLeft w:val="0"/>
      <w:marRight w:val="0"/>
      <w:marTop w:val="0"/>
      <w:marBottom w:val="0"/>
      <w:divBdr>
        <w:top w:val="none" w:sz="0" w:space="0" w:color="auto"/>
        <w:left w:val="none" w:sz="0" w:space="0" w:color="auto"/>
        <w:bottom w:val="none" w:sz="0" w:space="0" w:color="auto"/>
        <w:right w:val="none" w:sz="0" w:space="0" w:color="auto"/>
      </w:divBdr>
    </w:div>
    <w:div w:id="488059519">
      <w:bodyDiv w:val="1"/>
      <w:marLeft w:val="0"/>
      <w:marRight w:val="0"/>
      <w:marTop w:val="0"/>
      <w:marBottom w:val="0"/>
      <w:divBdr>
        <w:top w:val="none" w:sz="0" w:space="0" w:color="auto"/>
        <w:left w:val="none" w:sz="0" w:space="0" w:color="auto"/>
        <w:bottom w:val="none" w:sz="0" w:space="0" w:color="auto"/>
        <w:right w:val="none" w:sz="0" w:space="0" w:color="auto"/>
      </w:divBdr>
    </w:div>
    <w:div w:id="512839370">
      <w:bodyDiv w:val="1"/>
      <w:marLeft w:val="0"/>
      <w:marRight w:val="0"/>
      <w:marTop w:val="0"/>
      <w:marBottom w:val="0"/>
      <w:divBdr>
        <w:top w:val="none" w:sz="0" w:space="0" w:color="auto"/>
        <w:left w:val="none" w:sz="0" w:space="0" w:color="auto"/>
        <w:bottom w:val="none" w:sz="0" w:space="0" w:color="auto"/>
        <w:right w:val="none" w:sz="0" w:space="0" w:color="auto"/>
      </w:divBdr>
    </w:div>
    <w:div w:id="521867375">
      <w:bodyDiv w:val="1"/>
      <w:marLeft w:val="0"/>
      <w:marRight w:val="0"/>
      <w:marTop w:val="0"/>
      <w:marBottom w:val="0"/>
      <w:divBdr>
        <w:top w:val="none" w:sz="0" w:space="0" w:color="auto"/>
        <w:left w:val="none" w:sz="0" w:space="0" w:color="auto"/>
        <w:bottom w:val="none" w:sz="0" w:space="0" w:color="auto"/>
        <w:right w:val="none" w:sz="0" w:space="0" w:color="auto"/>
      </w:divBdr>
      <w:divsChild>
        <w:div w:id="668826013">
          <w:marLeft w:val="0"/>
          <w:marRight w:val="0"/>
          <w:marTop w:val="0"/>
          <w:marBottom w:val="0"/>
          <w:divBdr>
            <w:top w:val="none" w:sz="0" w:space="0" w:color="auto"/>
            <w:left w:val="none" w:sz="0" w:space="0" w:color="auto"/>
            <w:bottom w:val="none" w:sz="0" w:space="0" w:color="auto"/>
            <w:right w:val="none" w:sz="0" w:space="0" w:color="auto"/>
          </w:divBdr>
          <w:divsChild>
            <w:div w:id="910503346">
              <w:marLeft w:val="0"/>
              <w:marRight w:val="0"/>
              <w:marTop w:val="0"/>
              <w:marBottom w:val="0"/>
              <w:divBdr>
                <w:top w:val="none" w:sz="0" w:space="0" w:color="auto"/>
                <w:left w:val="none" w:sz="0" w:space="0" w:color="auto"/>
                <w:bottom w:val="none" w:sz="0" w:space="0" w:color="auto"/>
                <w:right w:val="none" w:sz="0" w:space="0" w:color="auto"/>
              </w:divBdr>
              <w:divsChild>
                <w:div w:id="1656716298">
                  <w:marLeft w:val="0"/>
                  <w:marRight w:val="0"/>
                  <w:marTop w:val="0"/>
                  <w:marBottom w:val="0"/>
                  <w:divBdr>
                    <w:top w:val="none" w:sz="0" w:space="0" w:color="auto"/>
                    <w:left w:val="none" w:sz="0" w:space="0" w:color="auto"/>
                    <w:bottom w:val="none" w:sz="0" w:space="0" w:color="auto"/>
                    <w:right w:val="none" w:sz="0" w:space="0" w:color="auto"/>
                  </w:divBdr>
                  <w:divsChild>
                    <w:div w:id="45706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033694">
      <w:bodyDiv w:val="1"/>
      <w:marLeft w:val="0"/>
      <w:marRight w:val="0"/>
      <w:marTop w:val="0"/>
      <w:marBottom w:val="0"/>
      <w:divBdr>
        <w:top w:val="none" w:sz="0" w:space="0" w:color="auto"/>
        <w:left w:val="none" w:sz="0" w:space="0" w:color="auto"/>
        <w:bottom w:val="none" w:sz="0" w:space="0" w:color="auto"/>
        <w:right w:val="none" w:sz="0" w:space="0" w:color="auto"/>
      </w:divBdr>
    </w:div>
    <w:div w:id="537820689">
      <w:bodyDiv w:val="1"/>
      <w:marLeft w:val="0"/>
      <w:marRight w:val="0"/>
      <w:marTop w:val="0"/>
      <w:marBottom w:val="0"/>
      <w:divBdr>
        <w:top w:val="none" w:sz="0" w:space="0" w:color="auto"/>
        <w:left w:val="none" w:sz="0" w:space="0" w:color="auto"/>
        <w:bottom w:val="none" w:sz="0" w:space="0" w:color="auto"/>
        <w:right w:val="none" w:sz="0" w:space="0" w:color="auto"/>
      </w:divBdr>
    </w:div>
    <w:div w:id="539973121">
      <w:bodyDiv w:val="1"/>
      <w:marLeft w:val="0"/>
      <w:marRight w:val="0"/>
      <w:marTop w:val="0"/>
      <w:marBottom w:val="0"/>
      <w:divBdr>
        <w:top w:val="none" w:sz="0" w:space="0" w:color="auto"/>
        <w:left w:val="none" w:sz="0" w:space="0" w:color="auto"/>
        <w:bottom w:val="none" w:sz="0" w:space="0" w:color="auto"/>
        <w:right w:val="none" w:sz="0" w:space="0" w:color="auto"/>
      </w:divBdr>
      <w:divsChild>
        <w:div w:id="873230421">
          <w:marLeft w:val="0"/>
          <w:marRight w:val="0"/>
          <w:marTop w:val="0"/>
          <w:marBottom w:val="0"/>
          <w:divBdr>
            <w:top w:val="none" w:sz="0" w:space="0" w:color="auto"/>
            <w:left w:val="none" w:sz="0" w:space="0" w:color="auto"/>
            <w:bottom w:val="none" w:sz="0" w:space="0" w:color="auto"/>
            <w:right w:val="none" w:sz="0" w:space="0" w:color="auto"/>
          </w:divBdr>
          <w:divsChild>
            <w:div w:id="451831139">
              <w:marLeft w:val="0"/>
              <w:marRight w:val="0"/>
              <w:marTop w:val="0"/>
              <w:marBottom w:val="0"/>
              <w:divBdr>
                <w:top w:val="none" w:sz="0" w:space="0" w:color="auto"/>
                <w:left w:val="none" w:sz="0" w:space="0" w:color="auto"/>
                <w:bottom w:val="none" w:sz="0" w:space="0" w:color="auto"/>
                <w:right w:val="none" w:sz="0" w:space="0" w:color="auto"/>
              </w:divBdr>
              <w:divsChild>
                <w:div w:id="71889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396242">
      <w:bodyDiv w:val="1"/>
      <w:marLeft w:val="0"/>
      <w:marRight w:val="0"/>
      <w:marTop w:val="0"/>
      <w:marBottom w:val="0"/>
      <w:divBdr>
        <w:top w:val="none" w:sz="0" w:space="0" w:color="auto"/>
        <w:left w:val="none" w:sz="0" w:space="0" w:color="auto"/>
        <w:bottom w:val="none" w:sz="0" w:space="0" w:color="auto"/>
        <w:right w:val="none" w:sz="0" w:space="0" w:color="auto"/>
      </w:divBdr>
    </w:div>
    <w:div w:id="581136713">
      <w:bodyDiv w:val="1"/>
      <w:marLeft w:val="0"/>
      <w:marRight w:val="0"/>
      <w:marTop w:val="0"/>
      <w:marBottom w:val="0"/>
      <w:divBdr>
        <w:top w:val="none" w:sz="0" w:space="0" w:color="auto"/>
        <w:left w:val="none" w:sz="0" w:space="0" w:color="auto"/>
        <w:bottom w:val="none" w:sz="0" w:space="0" w:color="auto"/>
        <w:right w:val="none" w:sz="0" w:space="0" w:color="auto"/>
      </w:divBdr>
    </w:div>
    <w:div w:id="584151370">
      <w:bodyDiv w:val="1"/>
      <w:marLeft w:val="0"/>
      <w:marRight w:val="0"/>
      <w:marTop w:val="0"/>
      <w:marBottom w:val="0"/>
      <w:divBdr>
        <w:top w:val="none" w:sz="0" w:space="0" w:color="auto"/>
        <w:left w:val="none" w:sz="0" w:space="0" w:color="auto"/>
        <w:bottom w:val="none" w:sz="0" w:space="0" w:color="auto"/>
        <w:right w:val="none" w:sz="0" w:space="0" w:color="auto"/>
      </w:divBdr>
    </w:div>
    <w:div w:id="591476473">
      <w:bodyDiv w:val="1"/>
      <w:marLeft w:val="0"/>
      <w:marRight w:val="0"/>
      <w:marTop w:val="0"/>
      <w:marBottom w:val="0"/>
      <w:divBdr>
        <w:top w:val="none" w:sz="0" w:space="0" w:color="auto"/>
        <w:left w:val="none" w:sz="0" w:space="0" w:color="auto"/>
        <w:bottom w:val="none" w:sz="0" w:space="0" w:color="auto"/>
        <w:right w:val="none" w:sz="0" w:space="0" w:color="auto"/>
      </w:divBdr>
    </w:div>
    <w:div w:id="664892999">
      <w:bodyDiv w:val="1"/>
      <w:marLeft w:val="0"/>
      <w:marRight w:val="0"/>
      <w:marTop w:val="0"/>
      <w:marBottom w:val="0"/>
      <w:divBdr>
        <w:top w:val="none" w:sz="0" w:space="0" w:color="auto"/>
        <w:left w:val="none" w:sz="0" w:space="0" w:color="auto"/>
        <w:bottom w:val="none" w:sz="0" w:space="0" w:color="auto"/>
        <w:right w:val="none" w:sz="0" w:space="0" w:color="auto"/>
      </w:divBdr>
    </w:div>
    <w:div w:id="666322504">
      <w:bodyDiv w:val="1"/>
      <w:marLeft w:val="0"/>
      <w:marRight w:val="0"/>
      <w:marTop w:val="0"/>
      <w:marBottom w:val="0"/>
      <w:divBdr>
        <w:top w:val="none" w:sz="0" w:space="0" w:color="auto"/>
        <w:left w:val="none" w:sz="0" w:space="0" w:color="auto"/>
        <w:bottom w:val="none" w:sz="0" w:space="0" w:color="auto"/>
        <w:right w:val="none" w:sz="0" w:space="0" w:color="auto"/>
      </w:divBdr>
    </w:div>
    <w:div w:id="675425700">
      <w:bodyDiv w:val="1"/>
      <w:marLeft w:val="0"/>
      <w:marRight w:val="0"/>
      <w:marTop w:val="0"/>
      <w:marBottom w:val="0"/>
      <w:divBdr>
        <w:top w:val="none" w:sz="0" w:space="0" w:color="auto"/>
        <w:left w:val="none" w:sz="0" w:space="0" w:color="auto"/>
        <w:bottom w:val="none" w:sz="0" w:space="0" w:color="auto"/>
        <w:right w:val="none" w:sz="0" w:space="0" w:color="auto"/>
      </w:divBdr>
    </w:div>
    <w:div w:id="678435758">
      <w:bodyDiv w:val="1"/>
      <w:marLeft w:val="0"/>
      <w:marRight w:val="0"/>
      <w:marTop w:val="0"/>
      <w:marBottom w:val="0"/>
      <w:divBdr>
        <w:top w:val="none" w:sz="0" w:space="0" w:color="auto"/>
        <w:left w:val="none" w:sz="0" w:space="0" w:color="auto"/>
        <w:bottom w:val="none" w:sz="0" w:space="0" w:color="auto"/>
        <w:right w:val="none" w:sz="0" w:space="0" w:color="auto"/>
      </w:divBdr>
    </w:div>
    <w:div w:id="794718374">
      <w:bodyDiv w:val="1"/>
      <w:marLeft w:val="0"/>
      <w:marRight w:val="0"/>
      <w:marTop w:val="0"/>
      <w:marBottom w:val="0"/>
      <w:divBdr>
        <w:top w:val="none" w:sz="0" w:space="0" w:color="auto"/>
        <w:left w:val="none" w:sz="0" w:space="0" w:color="auto"/>
        <w:bottom w:val="none" w:sz="0" w:space="0" w:color="auto"/>
        <w:right w:val="none" w:sz="0" w:space="0" w:color="auto"/>
      </w:divBdr>
    </w:div>
    <w:div w:id="795097663">
      <w:bodyDiv w:val="1"/>
      <w:marLeft w:val="0"/>
      <w:marRight w:val="0"/>
      <w:marTop w:val="0"/>
      <w:marBottom w:val="0"/>
      <w:divBdr>
        <w:top w:val="none" w:sz="0" w:space="0" w:color="auto"/>
        <w:left w:val="none" w:sz="0" w:space="0" w:color="auto"/>
        <w:bottom w:val="none" w:sz="0" w:space="0" w:color="auto"/>
        <w:right w:val="none" w:sz="0" w:space="0" w:color="auto"/>
      </w:divBdr>
    </w:div>
    <w:div w:id="808742215">
      <w:bodyDiv w:val="1"/>
      <w:marLeft w:val="0"/>
      <w:marRight w:val="0"/>
      <w:marTop w:val="0"/>
      <w:marBottom w:val="0"/>
      <w:divBdr>
        <w:top w:val="none" w:sz="0" w:space="0" w:color="auto"/>
        <w:left w:val="none" w:sz="0" w:space="0" w:color="auto"/>
        <w:bottom w:val="none" w:sz="0" w:space="0" w:color="auto"/>
        <w:right w:val="none" w:sz="0" w:space="0" w:color="auto"/>
      </w:divBdr>
    </w:div>
    <w:div w:id="811826308">
      <w:bodyDiv w:val="1"/>
      <w:marLeft w:val="0"/>
      <w:marRight w:val="0"/>
      <w:marTop w:val="0"/>
      <w:marBottom w:val="0"/>
      <w:divBdr>
        <w:top w:val="none" w:sz="0" w:space="0" w:color="auto"/>
        <w:left w:val="none" w:sz="0" w:space="0" w:color="auto"/>
        <w:bottom w:val="none" w:sz="0" w:space="0" w:color="auto"/>
        <w:right w:val="none" w:sz="0" w:space="0" w:color="auto"/>
      </w:divBdr>
    </w:div>
    <w:div w:id="823931149">
      <w:bodyDiv w:val="1"/>
      <w:marLeft w:val="0"/>
      <w:marRight w:val="0"/>
      <w:marTop w:val="0"/>
      <w:marBottom w:val="0"/>
      <w:divBdr>
        <w:top w:val="none" w:sz="0" w:space="0" w:color="auto"/>
        <w:left w:val="none" w:sz="0" w:space="0" w:color="auto"/>
        <w:bottom w:val="none" w:sz="0" w:space="0" w:color="auto"/>
        <w:right w:val="none" w:sz="0" w:space="0" w:color="auto"/>
      </w:divBdr>
    </w:div>
    <w:div w:id="839734161">
      <w:bodyDiv w:val="1"/>
      <w:marLeft w:val="0"/>
      <w:marRight w:val="0"/>
      <w:marTop w:val="0"/>
      <w:marBottom w:val="0"/>
      <w:divBdr>
        <w:top w:val="none" w:sz="0" w:space="0" w:color="auto"/>
        <w:left w:val="none" w:sz="0" w:space="0" w:color="auto"/>
        <w:bottom w:val="none" w:sz="0" w:space="0" w:color="auto"/>
        <w:right w:val="none" w:sz="0" w:space="0" w:color="auto"/>
      </w:divBdr>
    </w:div>
    <w:div w:id="842161353">
      <w:bodyDiv w:val="1"/>
      <w:marLeft w:val="0"/>
      <w:marRight w:val="0"/>
      <w:marTop w:val="0"/>
      <w:marBottom w:val="0"/>
      <w:divBdr>
        <w:top w:val="none" w:sz="0" w:space="0" w:color="auto"/>
        <w:left w:val="none" w:sz="0" w:space="0" w:color="auto"/>
        <w:bottom w:val="none" w:sz="0" w:space="0" w:color="auto"/>
        <w:right w:val="none" w:sz="0" w:space="0" w:color="auto"/>
      </w:divBdr>
    </w:div>
    <w:div w:id="852040065">
      <w:bodyDiv w:val="1"/>
      <w:marLeft w:val="0"/>
      <w:marRight w:val="0"/>
      <w:marTop w:val="0"/>
      <w:marBottom w:val="0"/>
      <w:divBdr>
        <w:top w:val="none" w:sz="0" w:space="0" w:color="auto"/>
        <w:left w:val="none" w:sz="0" w:space="0" w:color="auto"/>
        <w:bottom w:val="none" w:sz="0" w:space="0" w:color="auto"/>
        <w:right w:val="none" w:sz="0" w:space="0" w:color="auto"/>
      </w:divBdr>
    </w:div>
    <w:div w:id="883559138">
      <w:bodyDiv w:val="1"/>
      <w:marLeft w:val="0"/>
      <w:marRight w:val="0"/>
      <w:marTop w:val="0"/>
      <w:marBottom w:val="0"/>
      <w:divBdr>
        <w:top w:val="none" w:sz="0" w:space="0" w:color="auto"/>
        <w:left w:val="none" w:sz="0" w:space="0" w:color="auto"/>
        <w:bottom w:val="none" w:sz="0" w:space="0" w:color="auto"/>
        <w:right w:val="none" w:sz="0" w:space="0" w:color="auto"/>
      </w:divBdr>
    </w:div>
    <w:div w:id="883713763">
      <w:bodyDiv w:val="1"/>
      <w:marLeft w:val="0"/>
      <w:marRight w:val="0"/>
      <w:marTop w:val="0"/>
      <w:marBottom w:val="0"/>
      <w:divBdr>
        <w:top w:val="none" w:sz="0" w:space="0" w:color="auto"/>
        <w:left w:val="none" w:sz="0" w:space="0" w:color="auto"/>
        <w:bottom w:val="none" w:sz="0" w:space="0" w:color="auto"/>
        <w:right w:val="none" w:sz="0" w:space="0" w:color="auto"/>
      </w:divBdr>
    </w:div>
    <w:div w:id="912279284">
      <w:bodyDiv w:val="1"/>
      <w:marLeft w:val="0"/>
      <w:marRight w:val="0"/>
      <w:marTop w:val="0"/>
      <w:marBottom w:val="0"/>
      <w:divBdr>
        <w:top w:val="none" w:sz="0" w:space="0" w:color="auto"/>
        <w:left w:val="none" w:sz="0" w:space="0" w:color="auto"/>
        <w:bottom w:val="none" w:sz="0" w:space="0" w:color="auto"/>
        <w:right w:val="none" w:sz="0" w:space="0" w:color="auto"/>
      </w:divBdr>
    </w:div>
    <w:div w:id="923412258">
      <w:bodyDiv w:val="1"/>
      <w:marLeft w:val="0"/>
      <w:marRight w:val="0"/>
      <w:marTop w:val="0"/>
      <w:marBottom w:val="0"/>
      <w:divBdr>
        <w:top w:val="none" w:sz="0" w:space="0" w:color="auto"/>
        <w:left w:val="none" w:sz="0" w:space="0" w:color="auto"/>
        <w:bottom w:val="none" w:sz="0" w:space="0" w:color="auto"/>
        <w:right w:val="none" w:sz="0" w:space="0" w:color="auto"/>
      </w:divBdr>
      <w:divsChild>
        <w:div w:id="1833598032">
          <w:marLeft w:val="0"/>
          <w:marRight w:val="0"/>
          <w:marTop w:val="0"/>
          <w:marBottom w:val="0"/>
          <w:divBdr>
            <w:top w:val="none" w:sz="0" w:space="0" w:color="auto"/>
            <w:left w:val="none" w:sz="0" w:space="0" w:color="auto"/>
            <w:bottom w:val="none" w:sz="0" w:space="0" w:color="auto"/>
            <w:right w:val="none" w:sz="0" w:space="0" w:color="auto"/>
          </w:divBdr>
          <w:divsChild>
            <w:div w:id="191069209">
              <w:marLeft w:val="0"/>
              <w:marRight w:val="0"/>
              <w:marTop w:val="0"/>
              <w:marBottom w:val="0"/>
              <w:divBdr>
                <w:top w:val="none" w:sz="0" w:space="0" w:color="auto"/>
                <w:left w:val="none" w:sz="0" w:space="0" w:color="auto"/>
                <w:bottom w:val="none" w:sz="0" w:space="0" w:color="auto"/>
                <w:right w:val="none" w:sz="0" w:space="0" w:color="auto"/>
              </w:divBdr>
            </w:div>
            <w:div w:id="192572744">
              <w:marLeft w:val="0"/>
              <w:marRight w:val="0"/>
              <w:marTop w:val="0"/>
              <w:marBottom w:val="0"/>
              <w:divBdr>
                <w:top w:val="none" w:sz="0" w:space="0" w:color="auto"/>
                <w:left w:val="none" w:sz="0" w:space="0" w:color="auto"/>
                <w:bottom w:val="none" w:sz="0" w:space="0" w:color="auto"/>
                <w:right w:val="none" w:sz="0" w:space="0" w:color="auto"/>
              </w:divBdr>
            </w:div>
            <w:div w:id="740250443">
              <w:marLeft w:val="0"/>
              <w:marRight w:val="0"/>
              <w:marTop w:val="0"/>
              <w:marBottom w:val="0"/>
              <w:divBdr>
                <w:top w:val="none" w:sz="0" w:space="0" w:color="auto"/>
                <w:left w:val="none" w:sz="0" w:space="0" w:color="auto"/>
                <w:bottom w:val="none" w:sz="0" w:space="0" w:color="auto"/>
                <w:right w:val="none" w:sz="0" w:space="0" w:color="auto"/>
              </w:divBdr>
            </w:div>
            <w:div w:id="93502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137526">
      <w:bodyDiv w:val="1"/>
      <w:marLeft w:val="0"/>
      <w:marRight w:val="0"/>
      <w:marTop w:val="0"/>
      <w:marBottom w:val="0"/>
      <w:divBdr>
        <w:top w:val="none" w:sz="0" w:space="0" w:color="auto"/>
        <w:left w:val="none" w:sz="0" w:space="0" w:color="auto"/>
        <w:bottom w:val="none" w:sz="0" w:space="0" w:color="auto"/>
        <w:right w:val="none" w:sz="0" w:space="0" w:color="auto"/>
      </w:divBdr>
    </w:div>
    <w:div w:id="951786245">
      <w:bodyDiv w:val="1"/>
      <w:marLeft w:val="0"/>
      <w:marRight w:val="0"/>
      <w:marTop w:val="0"/>
      <w:marBottom w:val="0"/>
      <w:divBdr>
        <w:top w:val="none" w:sz="0" w:space="0" w:color="auto"/>
        <w:left w:val="none" w:sz="0" w:space="0" w:color="auto"/>
        <w:bottom w:val="none" w:sz="0" w:space="0" w:color="auto"/>
        <w:right w:val="none" w:sz="0" w:space="0" w:color="auto"/>
      </w:divBdr>
      <w:divsChild>
        <w:div w:id="736128383">
          <w:blockQuote w:val="1"/>
          <w:marLeft w:val="75"/>
          <w:marRight w:val="0"/>
          <w:marTop w:val="100"/>
          <w:marBottom w:val="100"/>
          <w:divBdr>
            <w:top w:val="none" w:sz="0" w:space="0" w:color="auto"/>
            <w:left w:val="single" w:sz="12" w:space="4" w:color="008000"/>
            <w:bottom w:val="none" w:sz="0" w:space="0" w:color="auto"/>
            <w:right w:val="none" w:sz="0" w:space="0" w:color="auto"/>
          </w:divBdr>
          <w:divsChild>
            <w:div w:id="128419304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396559432">
                  <w:marLeft w:val="0"/>
                  <w:marRight w:val="0"/>
                  <w:marTop w:val="0"/>
                  <w:marBottom w:val="0"/>
                  <w:divBdr>
                    <w:top w:val="none" w:sz="0" w:space="0" w:color="auto"/>
                    <w:left w:val="none" w:sz="0" w:space="0" w:color="auto"/>
                    <w:bottom w:val="none" w:sz="0" w:space="0" w:color="auto"/>
                    <w:right w:val="none" w:sz="0" w:space="0" w:color="auto"/>
                  </w:divBdr>
                </w:div>
                <w:div w:id="511527519">
                  <w:marLeft w:val="0"/>
                  <w:marRight w:val="0"/>
                  <w:marTop w:val="0"/>
                  <w:marBottom w:val="0"/>
                  <w:divBdr>
                    <w:top w:val="none" w:sz="0" w:space="0" w:color="auto"/>
                    <w:left w:val="none" w:sz="0" w:space="0" w:color="auto"/>
                    <w:bottom w:val="none" w:sz="0" w:space="0" w:color="auto"/>
                    <w:right w:val="none" w:sz="0" w:space="0" w:color="auto"/>
                  </w:divBdr>
                </w:div>
                <w:div w:id="133807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031895">
      <w:bodyDiv w:val="1"/>
      <w:marLeft w:val="0"/>
      <w:marRight w:val="0"/>
      <w:marTop w:val="0"/>
      <w:marBottom w:val="0"/>
      <w:divBdr>
        <w:top w:val="none" w:sz="0" w:space="0" w:color="auto"/>
        <w:left w:val="none" w:sz="0" w:space="0" w:color="auto"/>
        <w:bottom w:val="none" w:sz="0" w:space="0" w:color="auto"/>
        <w:right w:val="none" w:sz="0" w:space="0" w:color="auto"/>
      </w:divBdr>
    </w:div>
    <w:div w:id="980235534">
      <w:bodyDiv w:val="1"/>
      <w:marLeft w:val="0"/>
      <w:marRight w:val="0"/>
      <w:marTop w:val="0"/>
      <w:marBottom w:val="0"/>
      <w:divBdr>
        <w:top w:val="none" w:sz="0" w:space="0" w:color="auto"/>
        <w:left w:val="none" w:sz="0" w:space="0" w:color="auto"/>
        <w:bottom w:val="none" w:sz="0" w:space="0" w:color="auto"/>
        <w:right w:val="none" w:sz="0" w:space="0" w:color="auto"/>
      </w:divBdr>
    </w:div>
    <w:div w:id="984315796">
      <w:bodyDiv w:val="1"/>
      <w:marLeft w:val="0"/>
      <w:marRight w:val="0"/>
      <w:marTop w:val="0"/>
      <w:marBottom w:val="0"/>
      <w:divBdr>
        <w:top w:val="none" w:sz="0" w:space="0" w:color="auto"/>
        <w:left w:val="none" w:sz="0" w:space="0" w:color="auto"/>
        <w:bottom w:val="none" w:sz="0" w:space="0" w:color="auto"/>
        <w:right w:val="none" w:sz="0" w:space="0" w:color="auto"/>
      </w:divBdr>
    </w:div>
    <w:div w:id="994843990">
      <w:bodyDiv w:val="1"/>
      <w:marLeft w:val="0"/>
      <w:marRight w:val="0"/>
      <w:marTop w:val="0"/>
      <w:marBottom w:val="0"/>
      <w:divBdr>
        <w:top w:val="none" w:sz="0" w:space="0" w:color="auto"/>
        <w:left w:val="none" w:sz="0" w:space="0" w:color="auto"/>
        <w:bottom w:val="none" w:sz="0" w:space="0" w:color="auto"/>
        <w:right w:val="none" w:sz="0" w:space="0" w:color="auto"/>
      </w:divBdr>
    </w:div>
    <w:div w:id="1013916483">
      <w:bodyDiv w:val="1"/>
      <w:marLeft w:val="0"/>
      <w:marRight w:val="0"/>
      <w:marTop w:val="0"/>
      <w:marBottom w:val="0"/>
      <w:divBdr>
        <w:top w:val="none" w:sz="0" w:space="0" w:color="auto"/>
        <w:left w:val="none" w:sz="0" w:space="0" w:color="auto"/>
        <w:bottom w:val="none" w:sz="0" w:space="0" w:color="auto"/>
        <w:right w:val="none" w:sz="0" w:space="0" w:color="auto"/>
      </w:divBdr>
    </w:div>
    <w:div w:id="1014301692">
      <w:bodyDiv w:val="1"/>
      <w:marLeft w:val="0"/>
      <w:marRight w:val="0"/>
      <w:marTop w:val="0"/>
      <w:marBottom w:val="0"/>
      <w:divBdr>
        <w:top w:val="none" w:sz="0" w:space="0" w:color="auto"/>
        <w:left w:val="none" w:sz="0" w:space="0" w:color="auto"/>
        <w:bottom w:val="none" w:sz="0" w:space="0" w:color="auto"/>
        <w:right w:val="none" w:sz="0" w:space="0" w:color="auto"/>
      </w:divBdr>
      <w:divsChild>
        <w:div w:id="1353648700">
          <w:marLeft w:val="0"/>
          <w:marRight w:val="0"/>
          <w:marTop w:val="0"/>
          <w:marBottom w:val="0"/>
          <w:divBdr>
            <w:top w:val="none" w:sz="0" w:space="0" w:color="auto"/>
            <w:left w:val="none" w:sz="0" w:space="0" w:color="auto"/>
            <w:bottom w:val="none" w:sz="0" w:space="0" w:color="auto"/>
            <w:right w:val="none" w:sz="0" w:space="0" w:color="auto"/>
          </w:divBdr>
        </w:div>
      </w:divsChild>
    </w:div>
    <w:div w:id="1049308007">
      <w:bodyDiv w:val="1"/>
      <w:marLeft w:val="0"/>
      <w:marRight w:val="0"/>
      <w:marTop w:val="0"/>
      <w:marBottom w:val="0"/>
      <w:divBdr>
        <w:top w:val="none" w:sz="0" w:space="0" w:color="auto"/>
        <w:left w:val="none" w:sz="0" w:space="0" w:color="auto"/>
        <w:bottom w:val="none" w:sz="0" w:space="0" w:color="auto"/>
        <w:right w:val="none" w:sz="0" w:space="0" w:color="auto"/>
      </w:divBdr>
    </w:div>
    <w:div w:id="1063336170">
      <w:bodyDiv w:val="1"/>
      <w:marLeft w:val="0"/>
      <w:marRight w:val="0"/>
      <w:marTop w:val="0"/>
      <w:marBottom w:val="0"/>
      <w:divBdr>
        <w:top w:val="none" w:sz="0" w:space="0" w:color="auto"/>
        <w:left w:val="none" w:sz="0" w:space="0" w:color="auto"/>
        <w:bottom w:val="none" w:sz="0" w:space="0" w:color="auto"/>
        <w:right w:val="none" w:sz="0" w:space="0" w:color="auto"/>
      </w:divBdr>
    </w:div>
    <w:div w:id="1094328041">
      <w:bodyDiv w:val="1"/>
      <w:marLeft w:val="0"/>
      <w:marRight w:val="0"/>
      <w:marTop w:val="0"/>
      <w:marBottom w:val="0"/>
      <w:divBdr>
        <w:top w:val="none" w:sz="0" w:space="0" w:color="auto"/>
        <w:left w:val="none" w:sz="0" w:space="0" w:color="auto"/>
        <w:bottom w:val="none" w:sz="0" w:space="0" w:color="auto"/>
        <w:right w:val="none" w:sz="0" w:space="0" w:color="auto"/>
      </w:divBdr>
    </w:div>
    <w:div w:id="1102066471">
      <w:bodyDiv w:val="1"/>
      <w:marLeft w:val="0"/>
      <w:marRight w:val="0"/>
      <w:marTop w:val="0"/>
      <w:marBottom w:val="0"/>
      <w:divBdr>
        <w:top w:val="none" w:sz="0" w:space="0" w:color="auto"/>
        <w:left w:val="none" w:sz="0" w:space="0" w:color="auto"/>
        <w:bottom w:val="none" w:sz="0" w:space="0" w:color="auto"/>
        <w:right w:val="none" w:sz="0" w:space="0" w:color="auto"/>
      </w:divBdr>
    </w:div>
    <w:div w:id="1107391260">
      <w:bodyDiv w:val="1"/>
      <w:marLeft w:val="0"/>
      <w:marRight w:val="0"/>
      <w:marTop w:val="0"/>
      <w:marBottom w:val="0"/>
      <w:divBdr>
        <w:top w:val="none" w:sz="0" w:space="0" w:color="auto"/>
        <w:left w:val="none" w:sz="0" w:space="0" w:color="auto"/>
        <w:bottom w:val="none" w:sz="0" w:space="0" w:color="auto"/>
        <w:right w:val="none" w:sz="0" w:space="0" w:color="auto"/>
      </w:divBdr>
    </w:div>
    <w:div w:id="1131245703">
      <w:bodyDiv w:val="1"/>
      <w:marLeft w:val="0"/>
      <w:marRight w:val="0"/>
      <w:marTop w:val="0"/>
      <w:marBottom w:val="0"/>
      <w:divBdr>
        <w:top w:val="none" w:sz="0" w:space="0" w:color="auto"/>
        <w:left w:val="none" w:sz="0" w:space="0" w:color="auto"/>
        <w:bottom w:val="none" w:sz="0" w:space="0" w:color="auto"/>
        <w:right w:val="none" w:sz="0" w:space="0" w:color="auto"/>
      </w:divBdr>
    </w:div>
    <w:div w:id="1160846025">
      <w:bodyDiv w:val="1"/>
      <w:marLeft w:val="0"/>
      <w:marRight w:val="0"/>
      <w:marTop w:val="0"/>
      <w:marBottom w:val="0"/>
      <w:divBdr>
        <w:top w:val="none" w:sz="0" w:space="0" w:color="auto"/>
        <w:left w:val="none" w:sz="0" w:space="0" w:color="auto"/>
        <w:bottom w:val="none" w:sz="0" w:space="0" w:color="auto"/>
        <w:right w:val="none" w:sz="0" w:space="0" w:color="auto"/>
      </w:divBdr>
      <w:divsChild>
        <w:div w:id="511841453">
          <w:marLeft w:val="0"/>
          <w:marRight w:val="0"/>
          <w:marTop w:val="0"/>
          <w:marBottom w:val="0"/>
          <w:divBdr>
            <w:top w:val="none" w:sz="0" w:space="0" w:color="auto"/>
            <w:left w:val="none" w:sz="0" w:space="0" w:color="auto"/>
            <w:bottom w:val="none" w:sz="0" w:space="0" w:color="auto"/>
            <w:right w:val="none" w:sz="0" w:space="0" w:color="auto"/>
          </w:divBdr>
        </w:div>
      </w:divsChild>
    </w:div>
    <w:div w:id="1202984643">
      <w:bodyDiv w:val="1"/>
      <w:marLeft w:val="0"/>
      <w:marRight w:val="0"/>
      <w:marTop w:val="0"/>
      <w:marBottom w:val="0"/>
      <w:divBdr>
        <w:top w:val="none" w:sz="0" w:space="0" w:color="auto"/>
        <w:left w:val="none" w:sz="0" w:space="0" w:color="auto"/>
        <w:bottom w:val="none" w:sz="0" w:space="0" w:color="auto"/>
        <w:right w:val="none" w:sz="0" w:space="0" w:color="auto"/>
      </w:divBdr>
    </w:div>
    <w:div w:id="1212576035">
      <w:bodyDiv w:val="1"/>
      <w:marLeft w:val="0"/>
      <w:marRight w:val="0"/>
      <w:marTop w:val="0"/>
      <w:marBottom w:val="0"/>
      <w:divBdr>
        <w:top w:val="none" w:sz="0" w:space="0" w:color="auto"/>
        <w:left w:val="none" w:sz="0" w:space="0" w:color="auto"/>
        <w:bottom w:val="none" w:sz="0" w:space="0" w:color="auto"/>
        <w:right w:val="none" w:sz="0" w:space="0" w:color="auto"/>
      </w:divBdr>
    </w:div>
    <w:div w:id="1238830682">
      <w:bodyDiv w:val="1"/>
      <w:marLeft w:val="0"/>
      <w:marRight w:val="0"/>
      <w:marTop w:val="0"/>
      <w:marBottom w:val="0"/>
      <w:divBdr>
        <w:top w:val="none" w:sz="0" w:space="0" w:color="auto"/>
        <w:left w:val="none" w:sz="0" w:space="0" w:color="auto"/>
        <w:bottom w:val="none" w:sz="0" w:space="0" w:color="auto"/>
        <w:right w:val="none" w:sz="0" w:space="0" w:color="auto"/>
      </w:divBdr>
    </w:div>
    <w:div w:id="1245145279">
      <w:bodyDiv w:val="1"/>
      <w:marLeft w:val="0"/>
      <w:marRight w:val="0"/>
      <w:marTop w:val="0"/>
      <w:marBottom w:val="0"/>
      <w:divBdr>
        <w:top w:val="none" w:sz="0" w:space="0" w:color="auto"/>
        <w:left w:val="none" w:sz="0" w:space="0" w:color="auto"/>
        <w:bottom w:val="none" w:sz="0" w:space="0" w:color="auto"/>
        <w:right w:val="none" w:sz="0" w:space="0" w:color="auto"/>
      </w:divBdr>
    </w:div>
    <w:div w:id="1262450721">
      <w:bodyDiv w:val="1"/>
      <w:marLeft w:val="0"/>
      <w:marRight w:val="0"/>
      <w:marTop w:val="0"/>
      <w:marBottom w:val="0"/>
      <w:divBdr>
        <w:top w:val="none" w:sz="0" w:space="0" w:color="auto"/>
        <w:left w:val="none" w:sz="0" w:space="0" w:color="auto"/>
        <w:bottom w:val="none" w:sz="0" w:space="0" w:color="auto"/>
        <w:right w:val="none" w:sz="0" w:space="0" w:color="auto"/>
      </w:divBdr>
    </w:div>
    <w:div w:id="1291210968">
      <w:bodyDiv w:val="1"/>
      <w:marLeft w:val="0"/>
      <w:marRight w:val="0"/>
      <w:marTop w:val="0"/>
      <w:marBottom w:val="0"/>
      <w:divBdr>
        <w:top w:val="none" w:sz="0" w:space="0" w:color="auto"/>
        <w:left w:val="none" w:sz="0" w:space="0" w:color="auto"/>
        <w:bottom w:val="none" w:sz="0" w:space="0" w:color="auto"/>
        <w:right w:val="none" w:sz="0" w:space="0" w:color="auto"/>
      </w:divBdr>
      <w:divsChild>
        <w:div w:id="669602033">
          <w:marLeft w:val="0"/>
          <w:marRight w:val="0"/>
          <w:marTop w:val="0"/>
          <w:marBottom w:val="0"/>
          <w:divBdr>
            <w:top w:val="none" w:sz="0" w:space="0" w:color="auto"/>
            <w:left w:val="none" w:sz="0" w:space="0" w:color="auto"/>
            <w:bottom w:val="none" w:sz="0" w:space="0" w:color="auto"/>
            <w:right w:val="none" w:sz="0" w:space="0" w:color="auto"/>
          </w:divBdr>
          <w:divsChild>
            <w:div w:id="1300648780">
              <w:marLeft w:val="0"/>
              <w:marRight w:val="0"/>
              <w:marTop w:val="0"/>
              <w:marBottom w:val="0"/>
              <w:divBdr>
                <w:top w:val="none" w:sz="0" w:space="0" w:color="auto"/>
                <w:left w:val="none" w:sz="0" w:space="0" w:color="auto"/>
                <w:bottom w:val="none" w:sz="0" w:space="0" w:color="auto"/>
                <w:right w:val="none" w:sz="0" w:space="0" w:color="auto"/>
              </w:divBdr>
              <w:divsChild>
                <w:div w:id="1562211662">
                  <w:marLeft w:val="0"/>
                  <w:marRight w:val="0"/>
                  <w:marTop w:val="0"/>
                  <w:marBottom w:val="0"/>
                  <w:divBdr>
                    <w:top w:val="none" w:sz="0" w:space="0" w:color="auto"/>
                    <w:left w:val="none" w:sz="0" w:space="0" w:color="auto"/>
                    <w:bottom w:val="none" w:sz="0" w:space="0" w:color="auto"/>
                    <w:right w:val="none" w:sz="0" w:space="0" w:color="auto"/>
                  </w:divBdr>
                  <w:divsChild>
                    <w:div w:id="84235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468345">
      <w:bodyDiv w:val="1"/>
      <w:marLeft w:val="0"/>
      <w:marRight w:val="0"/>
      <w:marTop w:val="0"/>
      <w:marBottom w:val="0"/>
      <w:divBdr>
        <w:top w:val="none" w:sz="0" w:space="0" w:color="auto"/>
        <w:left w:val="none" w:sz="0" w:space="0" w:color="auto"/>
        <w:bottom w:val="none" w:sz="0" w:space="0" w:color="auto"/>
        <w:right w:val="none" w:sz="0" w:space="0" w:color="auto"/>
      </w:divBdr>
    </w:div>
    <w:div w:id="1324238040">
      <w:bodyDiv w:val="1"/>
      <w:marLeft w:val="0"/>
      <w:marRight w:val="0"/>
      <w:marTop w:val="0"/>
      <w:marBottom w:val="0"/>
      <w:divBdr>
        <w:top w:val="none" w:sz="0" w:space="0" w:color="auto"/>
        <w:left w:val="none" w:sz="0" w:space="0" w:color="auto"/>
        <w:bottom w:val="none" w:sz="0" w:space="0" w:color="auto"/>
        <w:right w:val="none" w:sz="0" w:space="0" w:color="auto"/>
      </w:divBdr>
    </w:div>
    <w:div w:id="1325084309">
      <w:bodyDiv w:val="1"/>
      <w:marLeft w:val="0"/>
      <w:marRight w:val="0"/>
      <w:marTop w:val="0"/>
      <w:marBottom w:val="0"/>
      <w:divBdr>
        <w:top w:val="none" w:sz="0" w:space="0" w:color="auto"/>
        <w:left w:val="none" w:sz="0" w:space="0" w:color="auto"/>
        <w:bottom w:val="none" w:sz="0" w:space="0" w:color="auto"/>
        <w:right w:val="none" w:sz="0" w:space="0" w:color="auto"/>
      </w:divBdr>
    </w:div>
    <w:div w:id="1362122404">
      <w:bodyDiv w:val="1"/>
      <w:marLeft w:val="0"/>
      <w:marRight w:val="0"/>
      <w:marTop w:val="0"/>
      <w:marBottom w:val="0"/>
      <w:divBdr>
        <w:top w:val="none" w:sz="0" w:space="0" w:color="auto"/>
        <w:left w:val="none" w:sz="0" w:space="0" w:color="auto"/>
        <w:bottom w:val="none" w:sz="0" w:space="0" w:color="auto"/>
        <w:right w:val="none" w:sz="0" w:space="0" w:color="auto"/>
      </w:divBdr>
    </w:div>
    <w:div w:id="1366565530">
      <w:bodyDiv w:val="1"/>
      <w:marLeft w:val="0"/>
      <w:marRight w:val="0"/>
      <w:marTop w:val="0"/>
      <w:marBottom w:val="0"/>
      <w:divBdr>
        <w:top w:val="none" w:sz="0" w:space="0" w:color="auto"/>
        <w:left w:val="none" w:sz="0" w:space="0" w:color="auto"/>
        <w:bottom w:val="none" w:sz="0" w:space="0" w:color="auto"/>
        <w:right w:val="none" w:sz="0" w:space="0" w:color="auto"/>
      </w:divBdr>
    </w:div>
    <w:div w:id="1392341957">
      <w:bodyDiv w:val="1"/>
      <w:marLeft w:val="0"/>
      <w:marRight w:val="0"/>
      <w:marTop w:val="0"/>
      <w:marBottom w:val="0"/>
      <w:divBdr>
        <w:top w:val="none" w:sz="0" w:space="0" w:color="auto"/>
        <w:left w:val="none" w:sz="0" w:space="0" w:color="auto"/>
        <w:bottom w:val="none" w:sz="0" w:space="0" w:color="auto"/>
        <w:right w:val="none" w:sz="0" w:space="0" w:color="auto"/>
      </w:divBdr>
    </w:div>
    <w:div w:id="1401363497">
      <w:bodyDiv w:val="1"/>
      <w:marLeft w:val="0"/>
      <w:marRight w:val="0"/>
      <w:marTop w:val="0"/>
      <w:marBottom w:val="0"/>
      <w:divBdr>
        <w:top w:val="none" w:sz="0" w:space="0" w:color="auto"/>
        <w:left w:val="none" w:sz="0" w:space="0" w:color="auto"/>
        <w:bottom w:val="none" w:sz="0" w:space="0" w:color="auto"/>
        <w:right w:val="none" w:sz="0" w:space="0" w:color="auto"/>
      </w:divBdr>
    </w:div>
    <w:div w:id="1433239130">
      <w:bodyDiv w:val="1"/>
      <w:marLeft w:val="0"/>
      <w:marRight w:val="0"/>
      <w:marTop w:val="0"/>
      <w:marBottom w:val="0"/>
      <w:divBdr>
        <w:top w:val="none" w:sz="0" w:space="0" w:color="auto"/>
        <w:left w:val="none" w:sz="0" w:space="0" w:color="auto"/>
        <w:bottom w:val="none" w:sz="0" w:space="0" w:color="auto"/>
        <w:right w:val="none" w:sz="0" w:space="0" w:color="auto"/>
      </w:divBdr>
    </w:div>
    <w:div w:id="1449198926">
      <w:bodyDiv w:val="1"/>
      <w:marLeft w:val="0"/>
      <w:marRight w:val="0"/>
      <w:marTop w:val="0"/>
      <w:marBottom w:val="0"/>
      <w:divBdr>
        <w:top w:val="none" w:sz="0" w:space="0" w:color="auto"/>
        <w:left w:val="none" w:sz="0" w:space="0" w:color="auto"/>
        <w:bottom w:val="none" w:sz="0" w:space="0" w:color="auto"/>
        <w:right w:val="none" w:sz="0" w:space="0" w:color="auto"/>
      </w:divBdr>
    </w:div>
    <w:div w:id="1458989893">
      <w:bodyDiv w:val="1"/>
      <w:marLeft w:val="0"/>
      <w:marRight w:val="0"/>
      <w:marTop w:val="0"/>
      <w:marBottom w:val="0"/>
      <w:divBdr>
        <w:top w:val="none" w:sz="0" w:space="0" w:color="auto"/>
        <w:left w:val="none" w:sz="0" w:space="0" w:color="auto"/>
        <w:bottom w:val="none" w:sz="0" w:space="0" w:color="auto"/>
        <w:right w:val="none" w:sz="0" w:space="0" w:color="auto"/>
      </w:divBdr>
      <w:divsChild>
        <w:div w:id="1739088868">
          <w:marLeft w:val="0"/>
          <w:marRight w:val="0"/>
          <w:marTop w:val="0"/>
          <w:marBottom w:val="0"/>
          <w:divBdr>
            <w:top w:val="none" w:sz="0" w:space="0" w:color="auto"/>
            <w:left w:val="none" w:sz="0" w:space="0" w:color="auto"/>
            <w:bottom w:val="none" w:sz="0" w:space="0" w:color="auto"/>
            <w:right w:val="none" w:sz="0" w:space="0" w:color="auto"/>
          </w:divBdr>
          <w:divsChild>
            <w:div w:id="90198855">
              <w:marLeft w:val="0"/>
              <w:marRight w:val="0"/>
              <w:marTop w:val="0"/>
              <w:marBottom w:val="0"/>
              <w:divBdr>
                <w:top w:val="none" w:sz="0" w:space="0" w:color="auto"/>
                <w:left w:val="none" w:sz="0" w:space="0" w:color="auto"/>
                <w:bottom w:val="none" w:sz="0" w:space="0" w:color="auto"/>
                <w:right w:val="none" w:sz="0" w:space="0" w:color="auto"/>
              </w:divBdr>
              <w:divsChild>
                <w:div w:id="681513849">
                  <w:marLeft w:val="0"/>
                  <w:marRight w:val="0"/>
                  <w:marTop w:val="0"/>
                  <w:marBottom w:val="0"/>
                  <w:divBdr>
                    <w:top w:val="none" w:sz="0" w:space="0" w:color="auto"/>
                    <w:left w:val="none" w:sz="0" w:space="0" w:color="auto"/>
                    <w:bottom w:val="none" w:sz="0" w:space="0" w:color="auto"/>
                    <w:right w:val="none" w:sz="0" w:space="0" w:color="auto"/>
                  </w:divBdr>
                  <w:divsChild>
                    <w:div w:id="170336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487645">
      <w:bodyDiv w:val="1"/>
      <w:marLeft w:val="0"/>
      <w:marRight w:val="5"/>
      <w:marTop w:val="0"/>
      <w:marBottom w:val="461"/>
      <w:divBdr>
        <w:top w:val="none" w:sz="0" w:space="0" w:color="auto"/>
        <w:left w:val="none" w:sz="0" w:space="0" w:color="auto"/>
        <w:bottom w:val="none" w:sz="0" w:space="0" w:color="auto"/>
        <w:right w:val="none" w:sz="0" w:space="0" w:color="auto"/>
      </w:divBdr>
      <w:divsChild>
        <w:div w:id="1843817131">
          <w:marLeft w:val="1740"/>
          <w:marRight w:val="0"/>
          <w:marTop w:val="346"/>
          <w:marBottom w:val="230"/>
          <w:divBdr>
            <w:top w:val="none" w:sz="0" w:space="0" w:color="auto"/>
            <w:left w:val="none" w:sz="0" w:space="0" w:color="auto"/>
            <w:bottom w:val="none" w:sz="0" w:space="0" w:color="auto"/>
            <w:right w:val="none" w:sz="0" w:space="0" w:color="auto"/>
          </w:divBdr>
          <w:divsChild>
            <w:div w:id="199513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81745">
      <w:bodyDiv w:val="1"/>
      <w:marLeft w:val="0"/>
      <w:marRight w:val="0"/>
      <w:marTop w:val="0"/>
      <w:marBottom w:val="0"/>
      <w:divBdr>
        <w:top w:val="none" w:sz="0" w:space="0" w:color="auto"/>
        <w:left w:val="none" w:sz="0" w:space="0" w:color="auto"/>
        <w:bottom w:val="none" w:sz="0" w:space="0" w:color="auto"/>
        <w:right w:val="none" w:sz="0" w:space="0" w:color="auto"/>
      </w:divBdr>
    </w:div>
    <w:div w:id="1521045683">
      <w:bodyDiv w:val="1"/>
      <w:marLeft w:val="0"/>
      <w:marRight w:val="0"/>
      <w:marTop w:val="0"/>
      <w:marBottom w:val="0"/>
      <w:divBdr>
        <w:top w:val="none" w:sz="0" w:space="0" w:color="auto"/>
        <w:left w:val="none" w:sz="0" w:space="0" w:color="auto"/>
        <w:bottom w:val="none" w:sz="0" w:space="0" w:color="auto"/>
        <w:right w:val="none" w:sz="0" w:space="0" w:color="auto"/>
      </w:divBdr>
    </w:div>
    <w:div w:id="1534345871">
      <w:bodyDiv w:val="1"/>
      <w:marLeft w:val="0"/>
      <w:marRight w:val="0"/>
      <w:marTop w:val="0"/>
      <w:marBottom w:val="0"/>
      <w:divBdr>
        <w:top w:val="none" w:sz="0" w:space="0" w:color="auto"/>
        <w:left w:val="none" w:sz="0" w:space="0" w:color="auto"/>
        <w:bottom w:val="none" w:sz="0" w:space="0" w:color="auto"/>
        <w:right w:val="none" w:sz="0" w:space="0" w:color="auto"/>
      </w:divBdr>
    </w:div>
    <w:div w:id="1540821513">
      <w:bodyDiv w:val="1"/>
      <w:marLeft w:val="0"/>
      <w:marRight w:val="0"/>
      <w:marTop w:val="0"/>
      <w:marBottom w:val="0"/>
      <w:divBdr>
        <w:top w:val="none" w:sz="0" w:space="0" w:color="auto"/>
        <w:left w:val="none" w:sz="0" w:space="0" w:color="auto"/>
        <w:bottom w:val="none" w:sz="0" w:space="0" w:color="auto"/>
        <w:right w:val="none" w:sz="0" w:space="0" w:color="auto"/>
      </w:divBdr>
      <w:divsChild>
        <w:div w:id="332606916">
          <w:marLeft w:val="0"/>
          <w:marRight w:val="0"/>
          <w:marTop w:val="0"/>
          <w:marBottom w:val="0"/>
          <w:divBdr>
            <w:top w:val="none" w:sz="0" w:space="0" w:color="auto"/>
            <w:left w:val="none" w:sz="0" w:space="0" w:color="auto"/>
            <w:bottom w:val="none" w:sz="0" w:space="0" w:color="auto"/>
            <w:right w:val="none" w:sz="0" w:space="0" w:color="auto"/>
          </w:divBdr>
        </w:div>
      </w:divsChild>
    </w:div>
    <w:div w:id="1541630881">
      <w:bodyDiv w:val="1"/>
      <w:marLeft w:val="0"/>
      <w:marRight w:val="0"/>
      <w:marTop w:val="0"/>
      <w:marBottom w:val="0"/>
      <w:divBdr>
        <w:top w:val="none" w:sz="0" w:space="0" w:color="auto"/>
        <w:left w:val="none" w:sz="0" w:space="0" w:color="auto"/>
        <w:bottom w:val="none" w:sz="0" w:space="0" w:color="auto"/>
        <w:right w:val="none" w:sz="0" w:space="0" w:color="auto"/>
      </w:divBdr>
    </w:div>
    <w:div w:id="1560432750">
      <w:bodyDiv w:val="1"/>
      <w:marLeft w:val="0"/>
      <w:marRight w:val="0"/>
      <w:marTop w:val="0"/>
      <w:marBottom w:val="0"/>
      <w:divBdr>
        <w:top w:val="none" w:sz="0" w:space="0" w:color="auto"/>
        <w:left w:val="none" w:sz="0" w:space="0" w:color="auto"/>
        <w:bottom w:val="none" w:sz="0" w:space="0" w:color="auto"/>
        <w:right w:val="none" w:sz="0" w:space="0" w:color="auto"/>
      </w:divBdr>
    </w:div>
    <w:div w:id="1569733044">
      <w:bodyDiv w:val="1"/>
      <w:marLeft w:val="0"/>
      <w:marRight w:val="0"/>
      <w:marTop w:val="0"/>
      <w:marBottom w:val="0"/>
      <w:divBdr>
        <w:top w:val="none" w:sz="0" w:space="0" w:color="auto"/>
        <w:left w:val="none" w:sz="0" w:space="0" w:color="auto"/>
        <w:bottom w:val="none" w:sz="0" w:space="0" w:color="auto"/>
        <w:right w:val="none" w:sz="0" w:space="0" w:color="auto"/>
      </w:divBdr>
      <w:divsChild>
        <w:div w:id="1659646939">
          <w:marLeft w:val="0"/>
          <w:marRight w:val="0"/>
          <w:marTop w:val="0"/>
          <w:marBottom w:val="0"/>
          <w:divBdr>
            <w:top w:val="none" w:sz="0" w:space="0" w:color="auto"/>
            <w:left w:val="none" w:sz="0" w:space="0" w:color="auto"/>
            <w:bottom w:val="none" w:sz="0" w:space="0" w:color="auto"/>
            <w:right w:val="none" w:sz="0" w:space="0" w:color="auto"/>
          </w:divBdr>
        </w:div>
        <w:div w:id="1665166570">
          <w:marLeft w:val="0"/>
          <w:marRight w:val="0"/>
          <w:marTop w:val="0"/>
          <w:marBottom w:val="0"/>
          <w:divBdr>
            <w:top w:val="none" w:sz="0" w:space="0" w:color="auto"/>
            <w:left w:val="none" w:sz="0" w:space="0" w:color="auto"/>
            <w:bottom w:val="none" w:sz="0" w:space="0" w:color="auto"/>
            <w:right w:val="none" w:sz="0" w:space="0" w:color="auto"/>
          </w:divBdr>
        </w:div>
        <w:div w:id="2129666880">
          <w:marLeft w:val="0"/>
          <w:marRight w:val="0"/>
          <w:marTop w:val="0"/>
          <w:marBottom w:val="0"/>
          <w:divBdr>
            <w:top w:val="none" w:sz="0" w:space="0" w:color="auto"/>
            <w:left w:val="none" w:sz="0" w:space="0" w:color="auto"/>
            <w:bottom w:val="none" w:sz="0" w:space="0" w:color="auto"/>
            <w:right w:val="none" w:sz="0" w:space="0" w:color="auto"/>
          </w:divBdr>
        </w:div>
      </w:divsChild>
    </w:div>
    <w:div w:id="1570992692">
      <w:bodyDiv w:val="1"/>
      <w:marLeft w:val="0"/>
      <w:marRight w:val="0"/>
      <w:marTop w:val="0"/>
      <w:marBottom w:val="0"/>
      <w:divBdr>
        <w:top w:val="none" w:sz="0" w:space="0" w:color="auto"/>
        <w:left w:val="none" w:sz="0" w:space="0" w:color="auto"/>
        <w:bottom w:val="none" w:sz="0" w:space="0" w:color="auto"/>
        <w:right w:val="none" w:sz="0" w:space="0" w:color="auto"/>
      </w:divBdr>
    </w:div>
    <w:div w:id="1571620386">
      <w:bodyDiv w:val="1"/>
      <w:marLeft w:val="0"/>
      <w:marRight w:val="0"/>
      <w:marTop w:val="0"/>
      <w:marBottom w:val="0"/>
      <w:divBdr>
        <w:top w:val="none" w:sz="0" w:space="0" w:color="auto"/>
        <w:left w:val="none" w:sz="0" w:space="0" w:color="auto"/>
        <w:bottom w:val="none" w:sz="0" w:space="0" w:color="auto"/>
        <w:right w:val="none" w:sz="0" w:space="0" w:color="auto"/>
      </w:divBdr>
    </w:div>
    <w:div w:id="1625962231">
      <w:bodyDiv w:val="1"/>
      <w:marLeft w:val="0"/>
      <w:marRight w:val="0"/>
      <w:marTop w:val="0"/>
      <w:marBottom w:val="0"/>
      <w:divBdr>
        <w:top w:val="none" w:sz="0" w:space="0" w:color="auto"/>
        <w:left w:val="none" w:sz="0" w:space="0" w:color="auto"/>
        <w:bottom w:val="none" w:sz="0" w:space="0" w:color="auto"/>
        <w:right w:val="none" w:sz="0" w:space="0" w:color="auto"/>
      </w:divBdr>
    </w:div>
    <w:div w:id="1645741250">
      <w:bodyDiv w:val="1"/>
      <w:marLeft w:val="0"/>
      <w:marRight w:val="0"/>
      <w:marTop w:val="0"/>
      <w:marBottom w:val="0"/>
      <w:divBdr>
        <w:top w:val="none" w:sz="0" w:space="0" w:color="auto"/>
        <w:left w:val="none" w:sz="0" w:space="0" w:color="auto"/>
        <w:bottom w:val="none" w:sz="0" w:space="0" w:color="auto"/>
        <w:right w:val="none" w:sz="0" w:space="0" w:color="auto"/>
      </w:divBdr>
    </w:div>
    <w:div w:id="1662192625">
      <w:bodyDiv w:val="1"/>
      <w:marLeft w:val="0"/>
      <w:marRight w:val="0"/>
      <w:marTop w:val="0"/>
      <w:marBottom w:val="0"/>
      <w:divBdr>
        <w:top w:val="none" w:sz="0" w:space="0" w:color="auto"/>
        <w:left w:val="none" w:sz="0" w:space="0" w:color="auto"/>
        <w:bottom w:val="none" w:sz="0" w:space="0" w:color="auto"/>
        <w:right w:val="none" w:sz="0" w:space="0" w:color="auto"/>
      </w:divBdr>
    </w:div>
    <w:div w:id="1678845749">
      <w:bodyDiv w:val="1"/>
      <w:marLeft w:val="0"/>
      <w:marRight w:val="0"/>
      <w:marTop w:val="0"/>
      <w:marBottom w:val="0"/>
      <w:divBdr>
        <w:top w:val="none" w:sz="0" w:space="0" w:color="auto"/>
        <w:left w:val="none" w:sz="0" w:space="0" w:color="auto"/>
        <w:bottom w:val="none" w:sz="0" w:space="0" w:color="auto"/>
        <w:right w:val="none" w:sz="0" w:space="0" w:color="auto"/>
      </w:divBdr>
      <w:divsChild>
        <w:div w:id="1459225833">
          <w:marLeft w:val="0"/>
          <w:marRight w:val="0"/>
          <w:marTop w:val="0"/>
          <w:marBottom w:val="0"/>
          <w:divBdr>
            <w:top w:val="none" w:sz="0" w:space="0" w:color="auto"/>
            <w:left w:val="none" w:sz="0" w:space="0" w:color="auto"/>
            <w:bottom w:val="none" w:sz="0" w:space="0" w:color="auto"/>
            <w:right w:val="none" w:sz="0" w:space="0" w:color="auto"/>
          </w:divBdr>
          <w:divsChild>
            <w:div w:id="1643658093">
              <w:marLeft w:val="0"/>
              <w:marRight w:val="0"/>
              <w:marTop w:val="0"/>
              <w:marBottom w:val="0"/>
              <w:divBdr>
                <w:top w:val="none" w:sz="0" w:space="0" w:color="auto"/>
                <w:left w:val="none" w:sz="0" w:space="0" w:color="auto"/>
                <w:bottom w:val="none" w:sz="0" w:space="0" w:color="auto"/>
                <w:right w:val="none" w:sz="0" w:space="0" w:color="auto"/>
              </w:divBdr>
              <w:divsChild>
                <w:div w:id="569847463">
                  <w:marLeft w:val="0"/>
                  <w:marRight w:val="0"/>
                  <w:marTop w:val="0"/>
                  <w:marBottom w:val="0"/>
                  <w:divBdr>
                    <w:top w:val="none" w:sz="0" w:space="0" w:color="auto"/>
                    <w:left w:val="none" w:sz="0" w:space="0" w:color="auto"/>
                    <w:bottom w:val="none" w:sz="0" w:space="0" w:color="auto"/>
                    <w:right w:val="none" w:sz="0" w:space="0" w:color="auto"/>
                  </w:divBdr>
                  <w:divsChild>
                    <w:div w:id="54854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748479">
      <w:bodyDiv w:val="1"/>
      <w:marLeft w:val="0"/>
      <w:marRight w:val="0"/>
      <w:marTop w:val="0"/>
      <w:marBottom w:val="0"/>
      <w:divBdr>
        <w:top w:val="none" w:sz="0" w:space="0" w:color="auto"/>
        <w:left w:val="none" w:sz="0" w:space="0" w:color="auto"/>
        <w:bottom w:val="none" w:sz="0" w:space="0" w:color="auto"/>
        <w:right w:val="none" w:sz="0" w:space="0" w:color="auto"/>
      </w:divBdr>
    </w:div>
    <w:div w:id="1695114898">
      <w:bodyDiv w:val="1"/>
      <w:marLeft w:val="0"/>
      <w:marRight w:val="0"/>
      <w:marTop w:val="0"/>
      <w:marBottom w:val="0"/>
      <w:divBdr>
        <w:top w:val="none" w:sz="0" w:space="0" w:color="auto"/>
        <w:left w:val="none" w:sz="0" w:space="0" w:color="auto"/>
        <w:bottom w:val="none" w:sz="0" w:space="0" w:color="auto"/>
        <w:right w:val="none" w:sz="0" w:space="0" w:color="auto"/>
      </w:divBdr>
    </w:div>
    <w:div w:id="1698385106">
      <w:bodyDiv w:val="1"/>
      <w:marLeft w:val="0"/>
      <w:marRight w:val="0"/>
      <w:marTop w:val="0"/>
      <w:marBottom w:val="0"/>
      <w:divBdr>
        <w:top w:val="none" w:sz="0" w:space="0" w:color="auto"/>
        <w:left w:val="none" w:sz="0" w:space="0" w:color="auto"/>
        <w:bottom w:val="none" w:sz="0" w:space="0" w:color="auto"/>
        <w:right w:val="none" w:sz="0" w:space="0" w:color="auto"/>
      </w:divBdr>
    </w:div>
    <w:div w:id="1718435398">
      <w:bodyDiv w:val="1"/>
      <w:marLeft w:val="0"/>
      <w:marRight w:val="0"/>
      <w:marTop w:val="0"/>
      <w:marBottom w:val="0"/>
      <w:divBdr>
        <w:top w:val="none" w:sz="0" w:space="0" w:color="auto"/>
        <w:left w:val="none" w:sz="0" w:space="0" w:color="auto"/>
        <w:bottom w:val="none" w:sz="0" w:space="0" w:color="auto"/>
        <w:right w:val="none" w:sz="0" w:space="0" w:color="auto"/>
      </w:divBdr>
    </w:div>
    <w:div w:id="1737315074">
      <w:bodyDiv w:val="1"/>
      <w:marLeft w:val="0"/>
      <w:marRight w:val="0"/>
      <w:marTop w:val="0"/>
      <w:marBottom w:val="0"/>
      <w:divBdr>
        <w:top w:val="none" w:sz="0" w:space="0" w:color="auto"/>
        <w:left w:val="none" w:sz="0" w:space="0" w:color="auto"/>
        <w:bottom w:val="none" w:sz="0" w:space="0" w:color="auto"/>
        <w:right w:val="none" w:sz="0" w:space="0" w:color="auto"/>
      </w:divBdr>
    </w:div>
    <w:div w:id="1740011365">
      <w:bodyDiv w:val="1"/>
      <w:marLeft w:val="0"/>
      <w:marRight w:val="0"/>
      <w:marTop w:val="0"/>
      <w:marBottom w:val="0"/>
      <w:divBdr>
        <w:top w:val="none" w:sz="0" w:space="0" w:color="auto"/>
        <w:left w:val="none" w:sz="0" w:space="0" w:color="auto"/>
        <w:bottom w:val="none" w:sz="0" w:space="0" w:color="auto"/>
        <w:right w:val="none" w:sz="0" w:space="0" w:color="auto"/>
      </w:divBdr>
    </w:div>
    <w:div w:id="1757433411">
      <w:bodyDiv w:val="1"/>
      <w:marLeft w:val="0"/>
      <w:marRight w:val="0"/>
      <w:marTop w:val="0"/>
      <w:marBottom w:val="0"/>
      <w:divBdr>
        <w:top w:val="none" w:sz="0" w:space="0" w:color="auto"/>
        <w:left w:val="none" w:sz="0" w:space="0" w:color="auto"/>
        <w:bottom w:val="none" w:sz="0" w:space="0" w:color="auto"/>
        <w:right w:val="none" w:sz="0" w:space="0" w:color="auto"/>
      </w:divBdr>
    </w:div>
    <w:div w:id="1763793162">
      <w:bodyDiv w:val="1"/>
      <w:marLeft w:val="0"/>
      <w:marRight w:val="0"/>
      <w:marTop w:val="0"/>
      <w:marBottom w:val="0"/>
      <w:divBdr>
        <w:top w:val="none" w:sz="0" w:space="0" w:color="auto"/>
        <w:left w:val="none" w:sz="0" w:space="0" w:color="auto"/>
        <w:bottom w:val="none" w:sz="0" w:space="0" w:color="auto"/>
        <w:right w:val="none" w:sz="0" w:space="0" w:color="auto"/>
      </w:divBdr>
    </w:div>
    <w:div w:id="1776553101">
      <w:bodyDiv w:val="1"/>
      <w:marLeft w:val="0"/>
      <w:marRight w:val="0"/>
      <w:marTop w:val="0"/>
      <w:marBottom w:val="0"/>
      <w:divBdr>
        <w:top w:val="none" w:sz="0" w:space="0" w:color="auto"/>
        <w:left w:val="none" w:sz="0" w:space="0" w:color="auto"/>
        <w:bottom w:val="none" w:sz="0" w:space="0" w:color="auto"/>
        <w:right w:val="none" w:sz="0" w:space="0" w:color="auto"/>
      </w:divBdr>
    </w:div>
    <w:div w:id="1797798526">
      <w:bodyDiv w:val="1"/>
      <w:marLeft w:val="0"/>
      <w:marRight w:val="0"/>
      <w:marTop w:val="0"/>
      <w:marBottom w:val="0"/>
      <w:divBdr>
        <w:top w:val="none" w:sz="0" w:space="0" w:color="auto"/>
        <w:left w:val="none" w:sz="0" w:space="0" w:color="auto"/>
        <w:bottom w:val="none" w:sz="0" w:space="0" w:color="auto"/>
        <w:right w:val="none" w:sz="0" w:space="0" w:color="auto"/>
      </w:divBdr>
    </w:div>
    <w:div w:id="1802308469">
      <w:bodyDiv w:val="1"/>
      <w:marLeft w:val="0"/>
      <w:marRight w:val="0"/>
      <w:marTop w:val="0"/>
      <w:marBottom w:val="0"/>
      <w:divBdr>
        <w:top w:val="none" w:sz="0" w:space="0" w:color="auto"/>
        <w:left w:val="none" w:sz="0" w:space="0" w:color="auto"/>
        <w:bottom w:val="none" w:sz="0" w:space="0" w:color="auto"/>
        <w:right w:val="none" w:sz="0" w:space="0" w:color="auto"/>
      </w:divBdr>
    </w:div>
    <w:div w:id="1816339213">
      <w:bodyDiv w:val="1"/>
      <w:marLeft w:val="0"/>
      <w:marRight w:val="0"/>
      <w:marTop w:val="0"/>
      <w:marBottom w:val="0"/>
      <w:divBdr>
        <w:top w:val="none" w:sz="0" w:space="0" w:color="auto"/>
        <w:left w:val="none" w:sz="0" w:space="0" w:color="auto"/>
        <w:bottom w:val="none" w:sz="0" w:space="0" w:color="auto"/>
        <w:right w:val="none" w:sz="0" w:space="0" w:color="auto"/>
      </w:divBdr>
    </w:div>
    <w:div w:id="1829318978">
      <w:bodyDiv w:val="1"/>
      <w:marLeft w:val="0"/>
      <w:marRight w:val="0"/>
      <w:marTop w:val="0"/>
      <w:marBottom w:val="0"/>
      <w:divBdr>
        <w:top w:val="none" w:sz="0" w:space="0" w:color="auto"/>
        <w:left w:val="none" w:sz="0" w:space="0" w:color="auto"/>
        <w:bottom w:val="none" w:sz="0" w:space="0" w:color="auto"/>
        <w:right w:val="none" w:sz="0" w:space="0" w:color="auto"/>
      </w:divBdr>
      <w:divsChild>
        <w:div w:id="2062514794">
          <w:marLeft w:val="0"/>
          <w:marRight w:val="0"/>
          <w:marTop w:val="0"/>
          <w:marBottom w:val="0"/>
          <w:divBdr>
            <w:top w:val="none" w:sz="0" w:space="0" w:color="auto"/>
            <w:left w:val="none" w:sz="0" w:space="0" w:color="auto"/>
            <w:bottom w:val="none" w:sz="0" w:space="0" w:color="auto"/>
            <w:right w:val="none" w:sz="0" w:space="0" w:color="auto"/>
          </w:divBdr>
          <w:divsChild>
            <w:div w:id="727607786">
              <w:marLeft w:val="0"/>
              <w:marRight w:val="0"/>
              <w:marTop w:val="0"/>
              <w:marBottom w:val="0"/>
              <w:divBdr>
                <w:top w:val="none" w:sz="0" w:space="0" w:color="auto"/>
                <w:left w:val="none" w:sz="0" w:space="0" w:color="auto"/>
                <w:bottom w:val="none" w:sz="0" w:space="0" w:color="auto"/>
                <w:right w:val="none" w:sz="0" w:space="0" w:color="auto"/>
              </w:divBdr>
            </w:div>
            <w:div w:id="808061075">
              <w:marLeft w:val="0"/>
              <w:marRight w:val="0"/>
              <w:marTop w:val="0"/>
              <w:marBottom w:val="0"/>
              <w:divBdr>
                <w:top w:val="none" w:sz="0" w:space="0" w:color="auto"/>
                <w:left w:val="none" w:sz="0" w:space="0" w:color="auto"/>
                <w:bottom w:val="none" w:sz="0" w:space="0" w:color="auto"/>
                <w:right w:val="none" w:sz="0" w:space="0" w:color="auto"/>
              </w:divBdr>
            </w:div>
            <w:div w:id="1210147494">
              <w:marLeft w:val="0"/>
              <w:marRight w:val="0"/>
              <w:marTop w:val="0"/>
              <w:marBottom w:val="0"/>
              <w:divBdr>
                <w:top w:val="none" w:sz="0" w:space="0" w:color="auto"/>
                <w:left w:val="none" w:sz="0" w:space="0" w:color="auto"/>
                <w:bottom w:val="none" w:sz="0" w:space="0" w:color="auto"/>
                <w:right w:val="none" w:sz="0" w:space="0" w:color="auto"/>
              </w:divBdr>
            </w:div>
            <w:div w:id="162695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004768">
      <w:bodyDiv w:val="1"/>
      <w:marLeft w:val="0"/>
      <w:marRight w:val="0"/>
      <w:marTop w:val="0"/>
      <w:marBottom w:val="0"/>
      <w:divBdr>
        <w:top w:val="none" w:sz="0" w:space="0" w:color="auto"/>
        <w:left w:val="none" w:sz="0" w:space="0" w:color="auto"/>
        <w:bottom w:val="none" w:sz="0" w:space="0" w:color="auto"/>
        <w:right w:val="none" w:sz="0" w:space="0" w:color="auto"/>
      </w:divBdr>
    </w:div>
    <w:div w:id="1859808930">
      <w:bodyDiv w:val="1"/>
      <w:marLeft w:val="0"/>
      <w:marRight w:val="0"/>
      <w:marTop w:val="0"/>
      <w:marBottom w:val="0"/>
      <w:divBdr>
        <w:top w:val="none" w:sz="0" w:space="0" w:color="auto"/>
        <w:left w:val="none" w:sz="0" w:space="0" w:color="auto"/>
        <w:bottom w:val="none" w:sz="0" w:space="0" w:color="auto"/>
        <w:right w:val="none" w:sz="0" w:space="0" w:color="auto"/>
      </w:divBdr>
    </w:div>
    <w:div w:id="1884631875">
      <w:bodyDiv w:val="1"/>
      <w:marLeft w:val="0"/>
      <w:marRight w:val="0"/>
      <w:marTop w:val="0"/>
      <w:marBottom w:val="0"/>
      <w:divBdr>
        <w:top w:val="none" w:sz="0" w:space="0" w:color="auto"/>
        <w:left w:val="none" w:sz="0" w:space="0" w:color="auto"/>
        <w:bottom w:val="none" w:sz="0" w:space="0" w:color="auto"/>
        <w:right w:val="none" w:sz="0" w:space="0" w:color="auto"/>
      </w:divBdr>
    </w:div>
    <w:div w:id="1908103376">
      <w:bodyDiv w:val="1"/>
      <w:marLeft w:val="0"/>
      <w:marRight w:val="0"/>
      <w:marTop w:val="0"/>
      <w:marBottom w:val="0"/>
      <w:divBdr>
        <w:top w:val="none" w:sz="0" w:space="0" w:color="auto"/>
        <w:left w:val="none" w:sz="0" w:space="0" w:color="auto"/>
        <w:bottom w:val="none" w:sz="0" w:space="0" w:color="auto"/>
        <w:right w:val="none" w:sz="0" w:space="0" w:color="auto"/>
      </w:divBdr>
    </w:div>
    <w:div w:id="1917591742">
      <w:bodyDiv w:val="1"/>
      <w:marLeft w:val="0"/>
      <w:marRight w:val="0"/>
      <w:marTop w:val="0"/>
      <w:marBottom w:val="0"/>
      <w:divBdr>
        <w:top w:val="none" w:sz="0" w:space="0" w:color="auto"/>
        <w:left w:val="none" w:sz="0" w:space="0" w:color="auto"/>
        <w:bottom w:val="none" w:sz="0" w:space="0" w:color="auto"/>
        <w:right w:val="none" w:sz="0" w:space="0" w:color="auto"/>
      </w:divBdr>
      <w:divsChild>
        <w:div w:id="1070998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6264770">
      <w:bodyDiv w:val="1"/>
      <w:marLeft w:val="0"/>
      <w:marRight w:val="0"/>
      <w:marTop w:val="0"/>
      <w:marBottom w:val="0"/>
      <w:divBdr>
        <w:top w:val="none" w:sz="0" w:space="0" w:color="auto"/>
        <w:left w:val="none" w:sz="0" w:space="0" w:color="auto"/>
        <w:bottom w:val="none" w:sz="0" w:space="0" w:color="auto"/>
        <w:right w:val="none" w:sz="0" w:space="0" w:color="auto"/>
      </w:divBdr>
    </w:div>
    <w:div w:id="1937857967">
      <w:bodyDiv w:val="1"/>
      <w:marLeft w:val="0"/>
      <w:marRight w:val="0"/>
      <w:marTop w:val="0"/>
      <w:marBottom w:val="0"/>
      <w:divBdr>
        <w:top w:val="none" w:sz="0" w:space="0" w:color="auto"/>
        <w:left w:val="none" w:sz="0" w:space="0" w:color="auto"/>
        <w:bottom w:val="none" w:sz="0" w:space="0" w:color="auto"/>
        <w:right w:val="none" w:sz="0" w:space="0" w:color="auto"/>
      </w:divBdr>
    </w:div>
    <w:div w:id="1993017510">
      <w:bodyDiv w:val="1"/>
      <w:marLeft w:val="0"/>
      <w:marRight w:val="0"/>
      <w:marTop w:val="0"/>
      <w:marBottom w:val="0"/>
      <w:divBdr>
        <w:top w:val="none" w:sz="0" w:space="0" w:color="auto"/>
        <w:left w:val="none" w:sz="0" w:space="0" w:color="auto"/>
        <w:bottom w:val="none" w:sz="0" w:space="0" w:color="auto"/>
        <w:right w:val="none" w:sz="0" w:space="0" w:color="auto"/>
      </w:divBdr>
    </w:div>
    <w:div w:id="1998806281">
      <w:bodyDiv w:val="1"/>
      <w:marLeft w:val="0"/>
      <w:marRight w:val="0"/>
      <w:marTop w:val="0"/>
      <w:marBottom w:val="0"/>
      <w:divBdr>
        <w:top w:val="none" w:sz="0" w:space="0" w:color="auto"/>
        <w:left w:val="none" w:sz="0" w:space="0" w:color="auto"/>
        <w:bottom w:val="none" w:sz="0" w:space="0" w:color="auto"/>
        <w:right w:val="none" w:sz="0" w:space="0" w:color="auto"/>
      </w:divBdr>
    </w:div>
    <w:div w:id="2006282790">
      <w:bodyDiv w:val="1"/>
      <w:marLeft w:val="0"/>
      <w:marRight w:val="0"/>
      <w:marTop w:val="0"/>
      <w:marBottom w:val="0"/>
      <w:divBdr>
        <w:top w:val="none" w:sz="0" w:space="0" w:color="auto"/>
        <w:left w:val="none" w:sz="0" w:space="0" w:color="auto"/>
        <w:bottom w:val="none" w:sz="0" w:space="0" w:color="auto"/>
        <w:right w:val="none" w:sz="0" w:space="0" w:color="auto"/>
      </w:divBdr>
    </w:div>
    <w:div w:id="2034570884">
      <w:bodyDiv w:val="1"/>
      <w:marLeft w:val="0"/>
      <w:marRight w:val="0"/>
      <w:marTop w:val="0"/>
      <w:marBottom w:val="0"/>
      <w:divBdr>
        <w:top w:val="none" w:sz="0" w:space="0" w:color="auto"/>
        <w:left w:val="none" w:sz="0" w:space="0" w:color="auto"/>
        <w:bottom w:val="none" w:sz="0" w:space="0" w:color="auto"/>
        <w:right w:val="none" w:sz="0" w:space="0" w:color="auto"/>
      </w:divBdr>
    </w:div>
    <w:div w:id="2062483637">
      <w:bodyDiv w:val="1"/>
      <w:marLeft w:val="0"/>
      <w:marRight w:val="0"/>
      <w:marTop w:val="0"/>
      <w:marBottom w:val="0"/>
      <w:divBdr>
        <w:top w:val="none" w:sz="0" w:space="0" w:color="auto"/>
        <w:left w:val="none" w:sz="0" w:space="0" w:color="auto"/>
        <w:bottom w:val="none" w:sz="0" w:space="0" w:color="auto"/>
        <w:right w:val="none" w:sz="0" w:space="0" w:color="auto"/>
      </w:divBdr>
    </w:div>
    <w:div w:id="2074430343">
      <w:bodyDiv w:val="1"/>
      <w:marLeft w:val="0"/>
      <w:marRight w:val="0"/>
      <w:marTop w:val="0"/>
      <w:marBottom w:val="0"/>
      <w:divBdr>
        <w:top w:val="none" w:sz="0" w:space="0" w:color="auto"/>
        <w:left w:val="none" w:sz="0" w:space="0" w:color="auto"/>
        <w:bottom w:val="none" w:sz="0" w:space="0" w:color="auto"/>
        <w:right w:val="none" w:sz="0" w:space="0" w:color="auto"/>
      </w:divBdr>
    </w:div>
    <w:div w:id="2102025150">
      <w:bodyDiv w:val="1"/>
      <w:marLeft w:val="0"/>
      <w:marRight w:val="0"/>
      <w:marTop w:val="0"/>
      <w:marBottom w:val="0"/>
      <w:divBdr>
        <w:top w:val="none" w:sz="0" w:space="0" w:color="auto"/>
        <w:left w:val="none" w:sz="0" w:space="0" w:color="auto"/>
        <w:bottom w:val="none" w:sz="0" w:space="0" w:color="auto"/>
        <w:right w:val="none" w:sz="0" w:space="0" w:color="auto"/>
      </w:divBdr>
      <w:divsChild>
        <w:div w:id="20965832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a.gov/cumulativeexposur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n.wikipedia.org/wiki/Liquefied_petroleum_gas"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en.wikipedia.org/wiki/Vapor_pressur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260E75-B1A8-440C-B88F-61E0C87C8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23</Pages>
  <Words>8997</Words>
  <Characters>49012</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Response</vt:lpstr>
    </vt:vector>
  </TitlesOfParts>
  <Company>Department of Environmental Quality</Company>
  <LinksUpToDate>false</LinksUpToDate>
  <CharactersWithSpaces>57894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dc:title>
  <dc:creator>Andrea Curtis</dc:creator>
  <cp:lastModifiedBy>jinahar</cp:lastModifiedBy>
  <cp:revision>21</cp:revision>
  <cp:lastPrinted>2014-12-03T16:54:00Z</cp:lastPrinted>
  <dcterms:created xsi:type="dcterms:W3CDTF">2014-11-18T16:20:00Z</dcterms:created>
  <dcterms:modified xsi:type="dcterms:W3CDTF">2014-12-03T16:54:00Z</dcterms:modified>
</cp:coreProperties>
</file>