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7C" w:rsidRDefault="00C2147C" w:rsidP="00EB5AE8">
      <w:pPr>
        <w:pStyle w:val="Heading1"/>
        <w:numPr>
          <w:ilvl w:val="0"/>
          <w:numId w:val="2"/>
        </w:numPr>
      </w:pPr>
      <w:r w:rsidRPr="00C2147C">
        <w:t>Clarify and update air quality rules</w:t>
      </w:r>
    </w:p>
    <w:p w:rsidR="00985F53" w:rsidRPr="00985F53" w:rsidRDefault="00985F53" w:rsidP="00EB5AE8">
      <w:pPr>
        <w:ind w:left="360"/>
      </w:pPr>
    </w:p>
    <w:p w:rsidR="00397A21" w:rsidRDefault="00397A21" w:rsidP="00F92CAE">
      <w:pPr>
        <w:spacing w:after="120"/>
      </w:pPr>
      <w:r>
        <w:t>Columbia Riverkeeper/NEDC/Neighbors for Clean Air:</w:t>
      </w:r>
    </w:p>
    <w:p w:rsidR="0012520F" w:rsidRDefault="0012520F" w:rsidP="00F92CAE">
      <w:pPr>
        <w:spacing w:after="120"/>
      </w:pPr>
      <w:r>
        <w:t xml:space="preserve">DEQ should provide additional information and analysis before removing state regulations for </w:t>
      </w:r>
      <w:r w:rsidR="001771FF">
        <w:t>neutral sulfite semi-chemical pulp mills, sulfite pulp mills, primary aluminum plants, laterite ore production of ferronickel, and charcoal producing plants</w:t>
      </w:r>
      <w:r w:rsidR="0099738D">
        <w:t>.</w:t>
      </w:r>
      <w:r w:rsidR="001771FF">
        <w:t xml:space="preserve"> </w:t>
      </w:r>
      <w:r>
        <w:t xml:space="preserve">DEQ </w:t>
      </w:r>
      <w:r w:rsidR="0099738D">
        <w:t>should provide a</w:t>
      </w:r>
      <w:r>
        <w:t xml:space="preserve"> detailed </w:t>
      </w:r>
      <w:r w:rsidR="005E18EC">
        <w:t xml:space="preserve">analysis </w:t>
      </w:r>
      <w:r w:rsidR="0099738D">
        <w:t>showing that existing rules are not more stringent than federal rules.</w:t>
      </w:r>
    </w:p>
    <w:p w:rsidR="0099738D" w:rsidRDefault="00AC0DF6" w:rsidP="00F92CAE">
      <w:pPr>
        <w:spacing w:after="120"/>
      </w:pPr>
      <w:r w:rsidRPr="00AC0DF6">
        <w:t xml:space="preserve">Second, all of the regulations that DEQ is proposing to delete do not have thresholds and apply to all sources within their respective industrial categories. Both the triggering of </w:t>
      </w:r>
      <w:r w:rsidR="00A714FD" w:rsidRPr="00A714FD">
        <w:t xml:space="preserve">New Source Review/Prevention of Significant Deterioration </w:t>
      </w:r>
      <w:r w:rsidRPr="00AC0DF6">
        <w:t>and the application of M</w:t>
      </w:r>
      <w:r w:rsidR="00A714FD">
        <w:t xml:space="preserve">aximum </w:t>
      </w:r>
      <w:r w:rsidRPr="00AC0DF6">
        <w:t>A</w:t>
      </w:r>
      <w:r w:rsidR="00A714FD">
        <w:t xml:space="preserve">chievable </w:t>
      </w:r>
      <w:r w:rsidRPr="00AC0DF6">
        <w:t>C</w:t>
      </w:r>
      <w:r w:rsidR="00A714FD">
        <w:t xml:space="preserve">ontrol </w:t>
      </w:r>
      <w:r w:rsidRPr="00AC0DF6">
        <w:t>T</w:t>
      </w:r>
      <w:r w:rsidR="00A714FD">
        <w:t>echnology</w:t>
      </w:r>
      <w:r w:rsidRPr="00AC0DF6">
        <w:t xml:space="preserve"> have threshold, triggering values; below those levels, these programs do not apply. It is therefore possible, or even likely, that new source in one of the industrial categories could be located in Oregon and not subject to these federal programs. </w:t>
      </w:r>
    </w:p>
    <w:p w:rsidR="00F45CB6" w:rsidRDefault="00AC0DF6" w:rsidP="00F92CAE">
      <w:pPr>
        <w:spacing w:after="120"/>
      </w:pPr>
      <w:r w:rsidRPr="00AC0DF6">
        <w:t xml:space="preserve">Third, while </w:t>
      </w:r>
      <w:r w:rsidR="00C014E9" w:rsidRPr="00C014E9">
        <w:t>New Source Performance Standard</w:t>
      </w:r>
      <w:r w:rsidRPr="00C014E9">
        <w:t xml:space="preserve"> regulations</w:t>
      </w:r>
      <w:r w:rsidRPr="00AC0DF6">
        <w:t xml:space="preserve"> generally do not have thresholds on the size of the source, some of the industrial categories do not have </w:t>
      </w:r>
      <w:r w:rsidR="00C014E9" w:rsidRPr="00C014E9">
        <w:t>New Source Performance Standard</w:t>
      </w:r>
      <w:r w:rsidRPr="00AC0DF6">
        <w:t xml:space="preserve"> regulations, or Oregon’s regulations appear to be more stringent than the federal </w:t>
      </w:r>
      <w:r w:rsidR="00C014E9" w:rsidRPr="00C014E9">
        <w:t>New Source Performance Standard</w:t>
      </w:r>
      <w:r w:rsidR="00C014E9">
        <w:t>s</w:t>
      </w:r>
      <w:r w:rsidR="00415B92">
        <w:t xml:space="preserve">. </w:t>
      </w:r>
    </w:p>
    <w:p w:rsidR="00AC0DF6" w:rsidRPr="00AC0DF6" w:rsidRDefault="00AC0DF6" w:rsidP="00F92CAE">
      <w:pPr>
        <w:spacing w:after="120"/>
        <w:rPr>
          <w:i/>
        </w:rPr>
      </w:pPr>
      <w:r w:rsidRPr="00AC0DF6">
        <w:rPr>
          <w:i/>
        </w:rPr>
        <w:t>Respo</w:t>
      </w:r>
      <w:r w:rsidR="00777AAA">
        <w:rPr>
          <w:i/>
        </w:rPr>
        <w:t>n</w:t>
      </w:r>
      <w:r w:rsidRPr="00AC0DF6">
        <w:rPr>
          <w:i/>
        </w:rPr>
        <w:t>se:</w:t>
      </w:r>
    </w:p>
    <w:p w:rsidR="00C91452" w:rsidRDefault="00802F54" w:rsidP="00F92CAE">
      <w:pPr>
        <w:spacing w:after="120"/>
        <w:rPr>
          <w:i/>
        </w:rPr>
      </w:pPr>
      <w:r w:rsidRPr="00802F54">
        <w:rPr>
          <w:i/>
        </w:rPr>
        <w:t xml:space="preserve">DEQ </w:t>
      </w:r>
      <w:r w:rsidR="00F45CB6">
        <w:rPr>
          <w:i/>
        </w:rPr>
        <w:t>proposed to repeal the following rules for which sources no longer exist in Oregon:</w:t>
      </w:r>
      <w:r w:rsidRPr="00802F54">
        <w:rPr>
          <w:i/>
        </w:rPr>
        <w:t xml:space="preserve"> </w:t>
      </w:r>
    </w:p>
    <w:tbl>
      <w:tblPr>
        <w:tblStyle w:val="TableGrid"/>
        <w:tblW w:w="0" w:type="auto"/>
        <w:tblInd w:w="648" w:type="dxa"/>
        <w:tblLook w:val="04A0"/>
      </w:tblPr>
      <w:tblGrid>
        <w:gridCol w:w="5046"/>
        <w:gridCol w:w="1764"/>
      </w:tblGrid>
      <w:tr w:rsidR="00C91452" w:rsidRPr="00C91452" w:rsidTr="00C91452">
        <w:trPr>
          <w:trHeight w:val="242"/>
        </w:trPr>
        <w:tc>
          <w:tcPr>
            <w:tcW w:w="5046" w:type="dxa"/>
          </w:tcPr>
          <w:p w:rsidR="00C91452" w:rsidRPr="00C91452" w:rsidRDefault="00C91452" w:rsidP="00C91452">
            <w:pPr>
              <w:rPr>
                <w:b/>
                <w:i/>
              </w:rPr>
            </w:pPr>
            <w:r w:rsidRPr="00C91452">
              <w:rPr>
                <w:b/>
                <w:i/>
              </w:rPr>
              <w:t>Rules</w:t>
            </w:r>
          </w:p>
        </w:tc>
        <w:tc>
          <w:tcPr>
            <w:tcW w:w="1764" w:type="dxa"/>
          </w:tcPr>
          <w:p w:rsidR="00C91452" w:rsidRPr="00C91452" w:rsidRDefault="00C91452" w:rsidP="00C91452">
            <w:pPr>
              <w:rPr>
                <w:b/>
                <w:i/>
              </w:rPr>
            </w:pPr>
            <w:r w:rsidRPr="00C91452">
              <w:rPr>
                <w:b/>
                <w:i/>
              </w:rPr>
              <w:t>Adoption Date</w:t>
            </w:r>
          </w:p>
        </w:tc>
      </w:tr>
      <w:tr w:rsidR="00C91452" w:rsidRPr="00C91452" w:rsidTr="00C91452">
        <w:tc>
          <w:tcPr>
            <w:tcW w:w="5046" w:type="dxa"/>
          </w:tcPr>
          <w:p w:rsidR="00C91452" w:rsidRPr="00C91452" w:rsidRDefault="00C91452" w:rsidP="00C91452">
            <w:pPr>
              <w:rPr>
                <w:i/>
              </w:rPr>
            </w:pPr>
            <w:r w:rsidRPr="00C91452">
              <w:rPr>
                <w:i/>
              </w:rPr>
              <w:t>Primary Aluminum Standards</w:t>
            </w:r>
          </w:p>
        </w:tc>
        <w:tc>
          <w:tcPr>
            <w:tcW w:w="1764" w:type="dxa"/>
          </w:tcPr>
          <w:p w:rsidR="00C91452" w:rsidRPr="00C91452" w:rsidRDefault="00C91452" w:rsidP="00F45CB6">
            <w:pPr>
              <w:jc w:val="center"/>
              <w:rPr>
                <w:i/>
              </w:rPr>
            </w:pPr>
            <w:r w:rsidRPr="00C91452">
              <w:rPr>
                <w:i/>
              </w:rPr>
              <w:t>1973</w:t>
            </w:r>
          </w:p>
        </w:tc>
      </w:tr>
      <w:tr w:rsidR="00C91452" w:rsidRPr="00C91452" w:rsidTr="00C91452">
        <w:tc>
          <w:tcPr>
            <w:tcW w:w="5046" w:type="dxa"/>
          </w:tcPr>
          <w:p w:rsidR="00C91452" w:rsidRPr="00C91452" w:rsidRDefault="00C91452" w:rsidP="00C91452">
            <w:pPr>
              <w:rPr>
                <w:i/>
              </w:rPr>
            </w:pPr>
            <w:r w:rsidRPr="00C91452">
              <w:rPr>
                <w:i/>
              </w:rPr>
              <w:t>Laterite Ore Production of Ferronickel</w:t>
            </w:r>
          </w:p>
        </w:tc>
        <w:tc>
          <w:tcPr>
            <w:tcW w:w="1764" w:type="dxa"/>
          </w:tcPr>
          <w:p w:rsidR="00C91452" w:rsidRPr="00C91452" w:rsidRDefault="00C91452" w:rsidP="00F45CB6">
            <w:pPr>
              <w:jc w:val="center"/>
              <w:rPr>
                <w:i/>
              </w:rPr>
            </w:pPr>
            <w:r w:rsidRPr="00C91452">
              <w:rPr>
                <w:i/>
              </w:rPr>
              <w:t>1972</w:t>
            </w:r>
          </w:p>
        </w:tc>
      </w:tr>
      <w:tr w:rsidR="00C91452" w:rsidRPr="00C91452" w:rsidTr="00C91452">
        <w:tc>
          <w:tcPr>
            <w:tcW w:w="5046" w:type="dxa"/>
          </w:tcPr>
          <w:p w:rsidR="00C91452" w:rsidRPr="00C91452" w:rsidRDefault="00C91452" w:rsidP="00C91452">
            <w:pPr>
              <w:rPr>
                <w:i/>
              </w:rPr>
            </w:pPr>
            <w:r w:rsidRPr="00C91452">
              <w:rPr>
                <w:i/>
              </w:rPr>
              <w:t>Neutral Sulfite Semi-Chemical (NSSC) Pulp Mills</w:t>
            </w:r>
          </w:p>
        </w:tc>
        <w:tc>
          <w:tcPr>
            <w:tcW w:w="1764" w:type="dxa"/>
          </w:tcPr>
          <w:p w:rsidR="00C91452" w:rsidRPr="00C91452" w:rsidRDefault="00C91452" w:rsidP="00F45CB6">
            <w:pPr>
              <w:jc w:val="center"/>
              <w:rPr>
                <w:i/>
              </w:rPr>
            </w:pPr>
            <w:r w:rsidRPr="00C91452">
              <w:rPr>
                <w:i/>
              </w:rPr>
              <w:t>1990</w:t>
            </w:r>
          </w:p>
        </w:tc>
      </w:tr>
      <w:tr w:rsidR="00C91452" w:rsidRPr="00C91452" w:rsidTr="00C91452">
        <w:tc>
          <w:tcPr>
            <w:tcW w:w="5046" w:type="dxa"/>
          </w:tcPr>
          <w:p w:rsidR="00C91452" w:rsidRPr="00C91452" w:rsidRDefault="00C91452" w:rsidP="00C91452">
            <w:pPr>
              <w:rPr>
                <w:i/>
              </w:rPr>
            </w:pPr>
            <w:r w:rsidRPr="00C91452">
              <w:rPr>
                <w:i/>
              </w:rPr>
              <w:t>Sulfite Pulp Mills</w:t>
            </w:r>
          </w:p>
        </w:tc>
        <w:tc>
          <w:tcPr>
            <w:tcW w:w="1764" w:type="dxa"/>
          </w:tcPr>
          <w:p w:rsidR="00C91452" w:rsidRPr="00C91452" w:rsidRDefault="00C91452" w:rsidP="00F45CB6">
            <w:pPr>
              <w:jc w:val="center"/>
              <w:rPr>
                <w:i/>
              </w:rPr>
            </w:pPr>
            <w:r w:rsidRPr="00C91452">
              <w:rPr>
                <w:i/>
              </w:rPr>
              <w:t>1971</w:t>
            </w:r>
          </w:p>
        </w:tc>
      </w:tr>
      <w:tr w:rsidR="00C91452" w:rsidRPr="00C91452" w:rsidTr="00C91452">
        <w:tc>
          <w:tcPr>
            <w:tcW w:w="5046" w:type="dxa"/>
          </w:tcPr>
          <w:p w:rsidR="00C91452" w:rsidRPr="00C91452" w:rsidRDefault="00C91452" w:rsidP="00C91452">
            <w:pPr>
              <w:rPr>
                <w:i/>
              </w:rPr>
            </w:pPr>
            <w:r w:rsidRPr="00C91452">
              <w:rPr>
                <w:i/>
              </w:rPr>
              <w:t>Charcoal</w:t>
            </w:r>
          </w:p>
        </w:tc>
        <w:tc>
          <w:tcPr>
            <w:tcW w:w="1764" w:type="dxa"/>
          </w:tcPr>
          <w:p w:rsidR="00C91452" w:rsidRPr="00C91452" w:rsidRDefault="00C91452" w:rsidP="00F45CB6">
            <w:pPr>
              <w:jc w:val="center"/>
              <w:rPr>
                <w:i/>
              </w:rPr>
            </w:pPr>
            <w:r w:rsidRPr="00C91452">
              <w:rPr>
                <w:i/>
              </w:rPr>
              <w:t>1978</w:t>
            </w:r>
          </w:p>
        </w:tc>
      </w:tr>
    </w:tbl>
    <w:p w:rsidR="00C91452" w:rsidRDefault="00C91452" w:rsidP="00F92CAE">
      <w:pPr>
        <w:spacing w:after="120"/>
        <w:rPr>
          <w:i/>
        </w:rPr>
      </w:pPr>
    </w:p>
    <w:p w:rsidR="003D362E" w:rsidRPr="003D362E" w:rsidRDefault="00F45CB6" w:rsidP="003D362E">
      <w:pPr>
        <w:spacing w:after="120"/>
        <w:rPr>
          <w:i/>
        </w:rPr>
      </w:pPr>
      <w:r>
        <w:rPr>
          <w:i/>
        </w:rPr>
        <w:t xml:space="preserve">DEQ </w:t>
      </w:r>
      <w:r w:rsidRPr="00802F54">
        <w:rPr>
          <w:i/>
        </w:rPr>
        <w:t xml:space="preserve">agrees with the commenter that all of the regulations proposed for repeal do not have thresholds </w:t>
      </w:r>
      <w:r w:rsidR="00053398">
        <w:rPr>
          <w:i/>
        </w:rPr>
        <w:t>and</w:t>
      </w:r>
      <w:r w:rsidR="006E7BD3">
        <w:rPr>
          <w:i/>
        </w:rPr>
        <w:t xml:space="preserve"> </w:t>
      </w:r>
      <w:r w:rsidRPr="00802F54">
        <w:rPr>
          <w:i/>
        </w:rPr>
        <w:t xml:space="preserve">apply to all sources within their respective industrial categories. </w:t>
      </w:r>
      <w:r w:rsidR="00802F54" w:rsidRPr="00802F54">
        <w:rPr>
          <w:i/>
        </w:rPr>
        <w:t xml:space="preserve">DEQ also agrees that </w:t>
      </w:r>
      <w:r w:rsidR="00053398">
        <w:rPr>
          <w:i/>
        </w:rPr>
        <w:t>applicability</w:t>
      </w:r>
      <w:r w:rsidR="00802F54" w:rsidRPr="00802F54">
        <w:rPr>
          <w:i/>
        </w:rPr>
        <w:t xml:space="preserve"> of </w:t>
      </w:r>
      <w:r w:rsidR="00CA6493" w:rsidRPr="009A1508">
        <w:rPr>
          <w:i/>
        </w:rPr>
        <w:t>N</w:t>
      </w:r>
      <w:r w:rsidR="00CA6493">
        <w:rPr>
          <w:i/>
        </w:rPr>
        <w:t xml:space="preserve">ew </w:t>
      </w:r>
      <w:r w:rsidR="00CA6493" w:rsidRPr="009A1508">
        <w:rPr>
          <w:i/>
        </w:rPr>
        <w:t>S</w:t>
      </w:r>
      <w:r w:rsidR="00CA6493">
        <w:rPr>
          <w:i/>
        </w:rPr>
        <w:t xml:space="preserve">ource </w:t>
      </w:r>
      <w:r w:rsidR="00CA6493" w:rsidRPr="009A1508">
        <w:rPr>
          <w:i/>
        </w:rPr>
        <w:t>R</w:t>
      </w:r>
      <w:r w:rsidR="00CA6493">
        <w:rPr>
          <w:i/>
        </w:rPr>
        <w:t>eview</w:t>
      </w:r>
      <w:r w:rsidR="00CA6493" w:rsidRPr="009A1508">
        <w:rPr>
          <w:i/>
        </w:rPr>
        <w:t>/P</w:t>
      </w:r>
      <w:r w:rsidR="00CA6493">
        <w:rPr>
          <w:i/>
        </w:rPr>
        <w:t xml:space="preserve">revention of </w:t>
      </w:r>
      <w:r w:rsidR="00CA6493" w:rsidRPr="009A1508">
        <w:rPr>
          <w:i/>
        </w:rPr>
        <w:t>S</w:t>
      </w:r>
      <w:r w:rsidR="00CA6493">
        <w:rPr>
          <w:i/>
        </w:rPr>
        <w:t xml:space="preserve">ignificant </w:t>
      </w:r>
      <w:r w:rsidR="00CA6493" w:rsidRPr="009A1508">
        <w:rPr>
          <w:i/>
        </w:rPr>
        <w:t>D</w:t>
      </w:r>
      <w:r w:rsidR="00CA6493">
        <w:rPr>
          <w:i/>
        </w:rPr>
        <w:t>eterioration</w:t>
      </w:r>
      <w:r w:rsidR="00CA6493" w:rsidRPr="00802F54">
        <w:rPr>
          <w:i/>
        </w:rPr>
        <w:t xml:space="preserve"> </w:t>
      </w:r>
      <w:r w:rsidR="00802F54" w:rsidRPr="00802F54">
        <w:rPr>
          <w:i/>
        </w:rPr>
        <w:t xml:space="preserve">and </w:t>
      </w:r>
      <w:r w:rsidR="00CA6493" w:rsidRPr="003C5FF8">
        <w:rPr>
          <w:i/>
        </w:rPr>
        <w:t>Maximum Achievable Control Technology</w:t>
      </w:r>
      <w:r w:rsidR="00CA6493" w:rsidRPr="00802F54">
        <w:rPr>
          <w:i/>
        </w:rPr>
        <w:t xml:space="preserve"> </w:t>
      </w:r>
      <w:r w:rsidR="00053398">
        <w:rPr>
          <w:i/>
        </w:rPr>
        <w:t>have</w:t>
      </w:r>
      <w:r w:rsidR="00D067CC">
        <w:rPr>
          <w:i/>
        </w:rPr>
        <w:t xml:space="preserve"> threshold</w:t>
      </w:r>
      <w:r w:rsidR="00802F54" w:rsidRPr="00802F54">
        <w:rPr>
          <w:i/>
        </w:rPr>
        <w:t xml:space="preserve"> triggering values; below those levels, these programs do not apply. The</w:t>
      </w:r>
      <w:r w:rsidR="00802F54" w:rsidRPr="003C5FF8">
        <w:rPr>
          <w:i/>
        </w:rPr>
        <w:t xml:space="preserve"> table </w:t>
      </w:r>
      <w:r w:rsidR="00802F54">
        <w:rPr>
          <w:i/>
        </w:rPr>
        <w:t xml:space="preserve">below </w:t>
      </w:r>
      <w:r w:rsidR="00802F54" w:rsidRPr="003C5FF8">
        <w:rPr>
          <w:i/>
        </w:rPr>
        <w:t>shows the Plant Site Emission Limits</w:t>
      </w:r>
      <w:r w:rsidR="00CA6493">
        <w:rPr>
          <w:i/>
        </w:rPr>
        <w:t xml:space="preserve"> </w:t>
      </w:r>
      <w:r w:rsidR="00746857">
        <w:rPr>
          <w:i/>
        </w:rPr>
        <w:t xml:space="preserve">in tons per year </w:t>
      </w:r>
      <w:r w:rsidR="00802F54" w:rsidRPr="003C5FF8">
        <w:rPr>
          <w:i/>
        </w:rPr>
        <w:t>for the facilities that have shut down in Oregon in the categories of the rules DEQ is proposing to repeal</w:t>
      </w:r>
      <w:r w:rsidR="00415B92">
        <w:rPr>
          <w:i/>
        </w:rPr>
        <w:t xml:space="preserve">. </w:t>
      </w:r>
      <w:r w:rsidR="0099738D">
        <w:rPr>
          <w:i/>
        </w:rPr>
        <w:t xml:space="preserve">Assuming new facilities would have similar </w:t>
      </w:r>
      <w:r w:rsidR="00802F54">
        <w:rPr>
          <w:i/>
        </w:rPr>
        <w:t xml:space="preserve">Plant Site Emission </w:t>
      </w:r>
      <w:r w:rsidR="001B54F7">
        <w:rPr>
          <w:i/>
        </w:rPr>
        <w:t>Limits;</w:t>
      </w:r>
      <w:r w:rsidR="00802F54">
        <w:rPr>
          <w:i/>
        </w:rPr>
        <w:t xml:space="preserve"> </w:t>
      </w:r>
      <w:r w:rsidR="009A1508" w:rsidRPr="009A1508">
        <w:rPr>
          <w:i/>
        </w:rPr>
        <w:t>the requirements of N</w:t>
      </w:r>
      <w:r w:rsidR="009A1508">
        <w:rPr>
          <w:i/>
        </w:rPr>
        <w:t xml:space="preserve">ew </w:t>
      </w:r>
      <w:r w:rsidR="009A1508" w:rsidRPr="009A1508">
        <w:rPr>
          <w:i/>
        </w:rPr>
        <w:t>S</w:t>
      </w:r>
      <w:r w:rsidR="009A1508">
        <w:rPr>
          <w:i/>
        </w:rPr>
        <w:t xml:space="preserve">ource </w:t>
      </w:r>
      <w:r w:rsidR="009A1508" w:rsidRPr="009A1508">
        <w:rPr>
          <w:i/>
        </w:rPr>
        <w:t>R</w:t>
      </w:r>
      <w:r w:rsidR="009A1508">
        <w:rPr>
          <w:i/>
        </w:rPr>
        <w:t>eview</w:t>
      </w:r>
      <w:r w:rsidR="009A1508" w:rsidRPr="009A1508">
        <w:rPr>
          <w:i/>
        </w:rPr>
        <w:t>/P</w:t>
      </w:r>
      <w:r w:rsidR="009A1508">
        <w:rPr>
          <w:i/>
        </w:rPr>
        <w:t xml:space="preserve">revention of </w:t>
      </w:r>
      <w:r w:rsidR="009A1508" w:rsidRPr="009A1508">
        <w:rPr>
          <w:i/>
        </w:rPr>
        <w:t>S</w:t>
      </w:r>
      <w:r w:rsidR="009A1508">
        <w:rPr>
          <w:i/>
        </w:rPr>
        <w:t xml:space="preserve">ignificant </w:t>
      </w:r>
      <w:r w:rsidR="009A1508" w:rsidRPr="009A1508">
        <w:rPr>
          <w:i/>
        </w:rPr>
        <w:t>D</w:t>
      </w:r>
      <w:r w:rsidR="009A1508">
        <w:rPr>
          <w:i/>
        </w:rPr>
        <w:t>eterioration</w:t>
      </w:r>
      <w:r w:rsidR="009A1508" w:rsidRPr="009A1508">
        <w:rPr>
          <w:i/>
        </w:rPr>
        <w:t xml:space="preserve"> would </w:t>
      </w:r>
      <w:r w:rsidR="009A1508">
        <w:rPr>
          <w:i/>
        </w:rPr>
        <w:t>apply</w:t>
      </w:r>
      <w:r w:rsidR="00354883">
        <w:rPr>
          <w:i/>
        </w:rPr>
        <w:t xml:space="preserve"> to every new facility in those industrial categories</w:t>
      </w:r>
      <w:r w:rsidR="00AC0A38">
        <w:rPr>
          <w:i/>
        </w:rPr>
        <w:t xml:space="preserve"> because their emissions are greater t</w:t>
      </w:r>
      <w:r w:rsidR="00354883">
        <w:rPr>
          <w:i/>
        </w:rPr>
        <w:t>han the major source threshold.</w:t>
      </w:r>
      <w:r w:rsidR="006C132F">
        <w:rPr>
          <w:i/>
        </w:rPr>
        <w:t xml:space="preserve"> </w:t>
      </w:r>
      <w:r w:rsidR="00BF1CD1"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sidR="00053398">
        <w:rPr>
          <w:i/>
        </w:rPr>
        <w:t>S</w:t>
      </w:r>
      <w:r w:rsidR="003D362E" w:rsidRPr="003D362E">
        <w:rPr>
          <w:i/>
        </w:rPr>
        <w:t>ince there is no Maximum Achievable Control Technology standard for charcoal production, the fact that Royal Oak was not a major source of hazardous air pollutants has no consequences</w:t>
      </w:r>
      <w:r w:rsidR="00415B92">
        <w:rPr>
          <w:i/>
        </w:rPr>
        <w:t xml:space="preserve">. </w:t>
      </w:r>
      <w:r w:rsidR="003D362E" w:rsidRPr="003D362E">
        <w:rPr>
          <w:i/>
        </w:rPr>
        <w:t xml:space="preserve"> </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tblPr>
      <w:tblGrid>
        <w:gridCol w:w="2504"/>
        <w:gridCol w:w="2880"/>
        <w:gridCol w:w="2684"/>
      </w:tblGrid>
      <w:tr w:rsidR="003C5FF8" w:rsidRPr="003C5FF8" w:rsidTr="00D97B8F">
        <w:trPr>
          <w:tblHeader/>
          <w:jc w:val="center"/>
        </w:trPr>
        <w:tc>
          <w:tcPr>
            <w:tcW w:w="8068" w:type="dxa"/>
            <w:gridSpan w:val="3"/>
          </w:tcPr>
          <w:p w:rsidR="003C5FF8" w:rsidRPr="003C5FF8" w:rsidRDefault="00053398" w:rsidP="003F69CF">
            <w:pPr>
              <w:jc w:val="center"/>
              <w:rPr>
                <w:b/>
                <w:i/>
              </w:rPr>
            </w:pPr>
            <w:r>
              <w:rPr>
                <w:b/>
                <w:i/>
              </w:rPr>
              <w:t>Applicability</w:t>
            </w:r>
            <w:r w:rsidR="003C5FF8" w:rsidRPr="003C5FF8">
              <w:rPr>
                <w:b/>
                <w:i/>
              </w:rPr>
              <w:t xml:space="preserve"> of New Source Review/Prevention of Significant Deterioration to Industrial Categories of Proposed Repealed Rules</w:t>
            </w:r>
          </w:p>
        </w:tc>
      </w:tr>
      <w:tr w:rsidR="003C5FF8" w:rsidRPr="003C5FF8" w:rsidTr="00247693">
        <w:trPr>
          <w:tblHeader/>
          <w:jc w:val="center"/>
        </w:trPr>
        <w:tc>
          <w:tcPr>
            <w:tcW w:w="2504" w:type="dxa"/>
            <w:vAlign w:val="center"/>
          </w:tcPr>
          <w:p w:rsidR="003C5FF8" w:rsidRPr="003C5FF8" w:rsidRDefault="003C5FF8" w:rsidP="00247693">
            <w:pPr>
              <w:jc w:val="center"/>
              <w:rPr>
                <w:b/>
                <w:i/>
              </w:rPr>
            </w:pPr>
            <w:r w:rsidRPr="003C5FF8">
              <w:rPr>
                <w:b/>
                <w:i/>
              </w:rPr>
              <w:t>Source</w:t>
            </w:r>
          </w:p>
        </w:tc>
        <w:tc>
          <w:tcPr>
            <w:tcW w:w="2880" w:type="dxa"/>
            <w:vAlign w:val="center"/>
          </w:tcPr>
          <w:p w:rsidR="003C5FF8" w:rsidRPr="003C5FF8" w:rsidRDefault="003C5FF8" w:rsidP="00247693">
            <w:pPr>
              <w:jc w:val="center"/>
              <w:rPr>
                <w:b/>
                <w:i/>
              </w:rPr>
            </w:pPr>
            <w:r w:rsidRPr="003C5FF8">
              <w:rPr>
                <w:b/>
                <w:i/>
              </w:rPr>
              <w:t>Emissions</w:t>
            </w:r>
          </w:p>
        </w:tc>
        <w:tc>
          <w:tcPr>
            <w:tcW w:w="2684" w:type="dxa"/>
          </w:tcPr>
          <w:p w:rsidR="003C5FF8" w:rsidRPr="003C5FF8" w:rsidRDefault="003C5FF8" w:rsidP="003F69CF">
            <w:pPr>
              <w:jc w:val="center"/>
              <w:rPr>
                <w:b/>
                <w:i/>
              </w:rPr>
            </w:pPr>
            <w:r w:rsidRPr="003C5FF8">
              <w:rPr>
                <w:b/>
                <w:i/>
              </w:rPr>
              <w:t>Major Source Threshold</w:t>
            </w:r>
          </w:p>
        </w:tc>
      </w:tr>
      <w:tr w:rsidR="003C5FF8" w:rsidRPr="003C5FF8" w:rsidTr="00D97B8F">
        <w:trPr>
          <w:jc w:val="center"/>
        </w:trPr>
        <w:tc>
          <w:tcPr>
            <w:tcW w:w="2504" w:type="dxa"/>
          </w:tcPr>
          <w:p w:rsidR="003C5FF8" w:rsidRPr="003C5FF8" w:rsidRDefault="003C5FF8" w:rsidP="003C5FF8">
            <w:pPr>
              <w:rPr>
                <w:i/>
              </w:rPr>
            </w:pPr>
            <w:r w:rsidRPr="003C5FF8">
              <w:rPr>
                <w:i/>
              </w:rPr>
              <w:t>Reynolds Metals</w:t>
            </w:r>
          </w:p>
        </w:tc>
        <w:tc>
          <w:tcPr>
            <w:tcW w:w="2880" w:type="dxa"/>
          </w:tcPr>
          <w:p w:rsidR="003C5FF8" w:rsidRPr="003C5FF8" w:rsidRDefault="003C5FF8" w:rsidP="003C5FF8">
            <w:pPr>
              <w:rPr>
                <w:i/>
              </w:rPr>
            </w:pPr>
            <w:r w:rsidRPr="003C5FF8">
              <w:rPr>
                <w:i/>
              </w:rPr>
              <w:t>CO –  13,138 tpy</w:t>
            </w:r>
          </w:p>
          <w:p w:rsidR="003C5FF8" w:rsidRPr="003C5FF8" w:rsidRDefault="003C5FF8" w:rsidP="003C5FF8">
            <w:pPr>
              <w:rPr>
                <w:i/>
              </w:rPr>
            </w:pPr>
            <w:r w:rsidRPr="003C5FF8">
              <w:rPr>
                <w:i/>
              </w:rPr>
              <w:t>NOx -  59 tpy</w:t>
            </w:r>
          </w:p>
          <w:p w:rsidR="003C5FF8" w:rsidRPr="003C5FF8" w:rsidRDefault="003C5FF8" w:rsidP="003C5FF8">
            <w:pPr>
              <w:rPr>
                <w:i/>
              </w:rPr>
            </w:pPr>
            <w:r w:rsidRPr="003C5FF8">
              <w:rPr>
                <w:i/>
              </w:rPr>
              <w:t>PM –  956 tpy</w:t>
            </w:r>
          </w:p>
          <w:p w:rsidR="003C5FF8" w:rsidRPr="003C5FF8" w:rsidRDefault="003C5FF8" w:rsidP="003C5FF8">
            <w:pPr>
              <w:rPr>
                <w:i/>
              </w:rPr>
            </w:pPr>
            <w:r w:rsidRPr="003C5FF8">
              <w:rPr>
                <w:i/>
              </w:rPr>
              <w:t>PM10 –  956 tpy</w:t>
            </w:r>
          </w:p>
          <w:p w:rsidR="003C5FF8" w:rsidRPr="003C5FF8" w:rsidRDefault="003C5FF8" w:rsidP="003C5FF8">
            <w:pPr>
              <w:rPr>
                <w:i/>
              </w:rPr>
            </w:pPr>
            <w:r w:rsidRPr="003C5FF8">
              <w:rPr>
                <w:i/>
              </w:rPr>
              <w:t>SO2 – 4,701 tpy</w:t>
            </w:r>
          </w:p>
          <w:p w:rsidR="003C5FF8" w:rsidRPr="003C5FF8" w:rsidRDefault="003C5FF8" w:rsidP="003C5FF8">
            <w:pPr>
              <w:rPr>
                <w:i/>
              </w:rPr>
            </w:pPr>
            <w:r w:rsidRPr="003C5FF8">
              <w:rPr>
                <w:i/>
              </w:rPr>
              <w:t xml:space="preserve">VOC -  86 tpy </w:t>
            </w:r>
          </w:p>
          <w:p w:rsidR="003C5FF8" w:rsidRPr="003C5FF8" w:rsidRDefault="003C5FF8" w:rsidP="003C5FF8">
            <w:pPr>
              <w:rPr>
                <w:i/>
              </w:rPr>
            </w:pPr>
            <w:r w:rsidRPr="003C5FF8">
              <w:rPr>
                <w:i/>
              </w:rPr>
              <w:t>F – 171 tpy</w:t>
            </w:r>
          </w:p>
          <w:p w:rsidR="003C5FF8" w:rsidRPr="003C5FF8" w:rsidRDefault="003C5FF8" w:rsidP="003C5FF8">
            <w:pPr>
              <w:rPr>
                <w:i/>
              </w:rPr>
            </w:pPr>
            <w:r w:rsidRPr="003C5FF8">
              <w:rPr>
                <w:i/>
              </w:rPr>
              <w:t>HAPs – 1,796</w:t>
            </w:r>
          </w:p>
        </w:tc>
        <w:tc>
          <w:tcPr>
            <w:tcW w:w="2684" w:type="dxa"/>
          </w:tcPr>
          <w:p w:rsidR="003C5FF8" w:rsidRPr="003C5FF8" w:rsidRDefault="003C5FF8" w:rsidP="003C5FF8">
            <w:pPr>
              <w:rPr>
                <w:i/>
              </w:rPr>
            </w:pPr>
            <w:r w:rsidRPr="003C5FF8">
              <w:rPr>
                <w:i/>
              </w:rPr>
              <w:t>100 tpy of any regulated pollutant</w:t>
            </w:r>
          </w:p>
        </w:tc>
      </w:tr>
      <w:tr w:rsidR="003C5FF8" w:rsidRPr="003C5FF8" w:rsidTr="00D97B8F">
        <w:trPr>
          <w:jc w:val="center"/>
        </w:trPr>
        <w:tc>
          <w:tcPr>
            <w:tcW w:w="2504" w:type="dxa"/>
          </w:tcPr>
          <w:p w:rsidR="003C5FF8" w:rsidRPr="003C5FF8" w:rsidRDefault="003C5FF8" w:rsidP="003C5FF8">
            <w:pPr>
              <w:rPr>
                <w:i/>
              </w:rPr>
            </w:pPr>
            <w:r w:rsidRPr="003C5FF8">
              <w:rPr>
                <w:i/>
              </w:rPr>
              <w:t>Northwest Aluminum</w:t>
            </w:r>
          </w:p>
        </w:tc>
        <w:tc>
          <w:tcPr>
            <w:tcW w:w="2880" w:type="dxa"/>
          </w:tcPr>
          <w:p w:rsidR="003C5FF8" w:rsidRPr="003C5FF8" w:rsidRDefault="003C5FF8" w:rsidP="003C5FF8">
            <w:pPr>
              <w:rPr>
                <w:i/>
              </w:rPr>
            </w:pPr>
            <w:r w:rsidRPr="003C5FF8">
              <w:rPr>
                <w:i/>
              </w:rPr>
              <w:t>CO –  15,414 tpy</w:t>
            </w:r>
          </w:p>
          <w:p w:rsidR="003C5FF8" w:rsidRPr="003C5FF8" w:rsidRDefault="003C5FF8" w:rsidP="003C5FF8">
            <w:pPr>
              <w:rPr>
                <w:i/>
              </w:rPr>
            </w:pPr>
            <w:r w:rsidRPr="003C5FF8">
              <w:rPr>
                <w:i/>
              </w:rPr>
              <w:t>NOx -  63 tpy</w:t>
            </w:r>
          </w:p>
          <w:p w:rsidR="003C5FF8" w:rsidRPr="003C5FF8" w:rsidRDefault="003C5FF8" w:rsidP="003C5FF8">
            <w:pPr>
              <w:rPr>
                <w:i/>
              </w:rPr>
            </w:pPr>
            <w:r w:rsidRPr="003C5FF8">
              <w:rPr>
                <w:i/>
              </w:rPr>
              <w:t>PM –  421 tpy</w:t>
            </w:r>
          </w:p>
          <w:p w:rsidR="003C5FF8" w:rsidRPr="003C5FF8" w:rsidRDefault="003C5FF8" w:rsidP="003C5FF8">
            <w:pPr>
              <w:rPr>
                <w:i/>
              </w:rPr>
            </w:pPr>
            <w:r w:rsidRPr="003C5FF8">
              <w:rPr>
                <w:i/>
              </w:rPr>
              <w:t>PM10 –  421 tpy</w:t>
            </w:r>
          </w:p>
          <w:p w:rsidR="003C5FF8" w:rsidRPr="003C5FF8" w:rsidRDefault="003C5FF8" w:rsidP="003C5FF8">
            <w:pPr>
              <w:rPr>
                <w:i/>
              </w:rPr>
            </w:pPr>
            <w:r w:rsidRPr="003C5FF8">
              <w:rPr>
                <w:i/>
              </w:rPr>
              <w:t>SO2 - 484 tpy</w:t>
            </w:r>
          </w:p>
          <w:p w:rsidR="003C5FF8" w:rsidRPr="003C5FF8" w:rsidRDefault="003C5FF8" w:rsidP="003C5FF8">
            <w:pPr>
              <w:rPr>
                <w:i/>
              </w:rPr>
            </w:pPr>
            <w:r w:rsidRPr="003C5FF8">
              <w:rPr>
                <w:i/>
              </w:rPr>
              <w:t xml:space="preserve">VOC -  209 tpy </w:t>
            </w:r>
          </w:p>
          <w:p w:rsidR="003C5FF8" w:rsidRPr="003C5FF8" w:rsidRDefault="003C5FF8" w:rsidP="003C5FF8">
            <w:pPr>
              <w:rPr>
                <w:i/>
              </w:rPr>
            </w:pPr>
            <w:r w:rsidRPr="003C5FF8">
              <w:rPr>
                <w:i/>
              </w:rPr>
              <w:t>F – 51 tpy</w:t>
            </w:r>
          </w:p>
          <w:p w:rsidR="003C5FF8" w:rsidRPr="003C5FF8" w:rsidRDefault="003C5FF8" w:rsidP="003C5FF8">
            <w:pPr>
              <w:rPr>
                <w:i/>
              </w:rPr>
            </w:pPr>
            <w:r w:rsidRPr="003C5FF8">
              <w:rPr>
                <w:i/>
              </w:rPr>
              <w:t>HAPs – 490 tpy</w:t>
            </w:r>
          </w:p>
        </w:tc>
        <w:tc>
          <w:tcPr>
            <w:tcW w:w="2684" w:type="dxa"/>
          </w:tcPr>
          <w:p w:rsidR="003C5FF8" w:rsidRPr="003C5FF8" w:rsidRDefault="003C5FF8" w:rsidP="003C5FF8">
            <w:pPr>
              <w:rPr>
                <w:i/>
              </w:rPr>
            </w:pPr>
            <w:r w:rsidRPr="003C5FF8">
              <w:rPr>
                <w:i/>
              </w:rPr>
              <w:t>100 tpy of any regulated pollutant</w:t>
            </w:r>
          </w:p>
        </w:tc>
      </w:tr>
      <w:tr w:rsidR="003C5FF8" w:rsidRPr="003C5FF8" w:rsidTr="00D97B8F">
        <w:trPr>
          <w:jc w:val="center"/>
        </w:trPr>
        <w:tc>
          <w:tcPr>
            <w:tcW w:w="2504" w:type="dxa"/>
          </w:tcPr>
          <w:p w:rsidR="003C5FF8" w:rsidRPr="003C5FF8" w:rsidRDefault="003C5FF8" w:rsidP="003C5FF8">
            <w:pPr>
              <w:rPr>
                <w:i/>
              </w:rPr>
            </w:pPr>
            <w:r w:rsidRPr="003C5FF8">
              <w:rPr>
                <w:i/>
              </w:rPr>
              <w:t>Weyerhaeuser North Bend</w:t>
            </w:r>
          </w:p>
        </w:tc>
        <w:tc>
          <w:tcPr>
            <w:tcW w:w="2880" w:type="dxa"/>
          </w:tcPr>
          <w:p w:rsidR="003C5FF8" w:rsidRPr="003C5FF8" w:rsidRDefault="003C5FF8" w:rsidP="003C5FF8">
            <w:pPr>
              <w:rPr>
                <w:i/>
              </w:rPr>
            </w:pPr>
            <w:r w:rsidRPr="003C5FF8">
              <w:rPr>
                <w:i/>
              </w:rPr>
              <w:t>CO –  1,282 tpy</w:t>
            </w:r>
          </w:p>
          <w:p w:rsidR="003C5FF8" w:rsidRPr="003C5FF8" w:rsidRDefault="003C5FF8" w:rsidP="003C5FF8">
            <w:pPr>
              <w:rPr>
                <w:i/>
              </w:rPr>
            </w:pPr>
            <w:r w:rsidRPr="003C5FF8">
              <w:rPr>
                <w:i/>
              </w:rPr>
              <w:t>NOx -  287 tpy</w:t>
            </w:r>
          </w:p>
          <w:p w:rsidR="003C5FF8" w:rsidRPr="003C5FF8" w:rsidRDefault="003C5FF8" w:rsidP="003C5FF8">
            <w:pPr>
              <w:rPr>
                <w:i/>
              </w:rPr>
            </w:pPr>
            <w:r w:rsidRPr="003C5FF8">
              <w:rPr>
                <w:i/>
              </w:rPr>
              <w:t>PM –  550 tpy</w:t>
            </w:r>
          </w:p>
          <w:p w:rsidR="003C5FF8" w:rsidRPr="003C5FF8" w:rsidRDefault="003C5FF8" w:rsidP="003C5FF8">
            <w:pPr>
              <w:rPr>
                <w:i/>
              </w:rPr>
            </w:pPr>
            <w:r w:rsidRPr="003C5FF8">
              <w:rPr>
                <w:i/>
              </w:rPr>
              <w:t>PM10 –  550 tpy</w:t>
            </w:r>
          </w:p>
          <w:p w:rsidR="003C5FF8" w:rsidRPr="003C5FF8" w:rsidRDefault="003C5FF8" w:rsidP="003C5FF8">
            <w:pPr>
              <w:rPr>
                <w:i/>
              </w:rPr>
            </w:pPr>
            <w:r w:rsidRPr="003C5FF8">
              <w:rPr>
                <w:i/>
              </w:rPr>
              <w:t>SO2 - 173 tpy</w:t>
            </w:r>
          </w:p>
          <w:p w:rsidR="003C5FF8" w:rsidRPr="003C5FF8" w:rsidRDefault="003C5FF8" w:rsidP="003C5FF8">
            <w:pPr>
              <w:rPr>
                <w:i/>
              </w:rPr>
            </w:pPr>
            <w:r w:rsidRPr="003C5FF8">
              <w:rPr>
                <w:i/>
              </w:rPr>
              <w:t>VOC -  297 tpy</w:t>
            </w:r>
          </w:p>
          <w:p w:rsidR="003C5FF8" w:rsidRPr="003C5FF8" w:rsidRDefault="003C5FF8" w:rsidP="003C5FF8">
            <w:pPr>
              <w:rPr>
                <w:i/>
              </w:rPr>
            </w:pPr>
            <w:r w:rsidRPr="003C5FF8">
              <w:rPr>
                <w:i/>
              </w:rPr>
              <w:t>HAPs – 143 tpy</w:t>
            </w:r>
          </w:p>
        </w:tc>
        <w:tc>
          <w:tcPr>
            <w:tcW w:w="2684" w:type="dxa"/>
          </w:tcPr>
          <w:p w:rsidR="003C5FF8" w:rsidRPr="003C5FF8" w:rsidRDefault="003C5FF8" w:rsidP="003C5FF8">
            <w:pPr>
              <w:rPr>
                <w:i/>
              </w:rPr>
            </w:pPr>
            <w:r w:rsidRPr="003C5FF8">
              <w:rPr>
                <w:i/>
              </w:rPr>
              <w:t>250 tpy of any regulated pollutant</w:t>
            </w:r>
          </w:p>
        </w:tc>
      </w:tr>
      <w:tr w:rsidR="003C5FF8" w:rsidRPr="003C5FF8" w:rsidTr="00D97B8F">
        <w:trPr>
          <w:jc w:val="center"/>
        </w:trPr>
        <w:tc>
          <w:tcPr>
            <w:tcW w:w="2504" w:type="dxa"/>
          </w:tcPr>
          <w:p w:rsidR="003C5FF8" w:rsidRPr="003C5FF8" w:rsidRDefault="003C5FF8" w:rsidP="003C5FF8">
            <w:pPr>
              <w:rPr>
                <w:i/>
              </w:rPr>
            </w:pPr>
            <w:r w:rsidRPr="003C5FF8">
              <w:rPr>
                <w:i/>
              </w:rPr>
              <w:t>Glenbrook Nickel</w:t>
            </w:r>
          </w:p>
        </w:tc>
        <w:tc>
          <w:tcPr>
            <w:tcW w:w="2880" w:type="dxa"/>
          </w:tcPr>
          <w:p w:rsidR="003C5FF8" w:rsidRPr="003C5FF8" w:rsidRDefault="003C5FF8" w:rsidP="003C5FF8">
            <w:pPr>
              <w:rPr>
                <w:i/>
              </w:rPr>
            </w:pPr>
            <w:r w:rsidRPr="003C5FF8">
              <w:rPr>
                <w:i/>
              </w:rPr>
              <w:t>CO –  3,416 tpy</w:t>
            </w:r>
          </w:p>
          <w:p w:rsidR="003C5FF8" w:rsidRPr="003C5FF8" w:rsidRDefault="003C5FF8" w:rsidP="003C5FF8">
            <w:pPr>
              <w:rPr>
                <w:i/>
              </w:rPr>
            </w:pPr>
            <w:r w:rsidRPr="003C5FF8">
              <w:rPr>
                <w:i/>
              </w:rPr>
              <w:t>NOx -  3,684 tpy</w:t>
            </w:r>
          </w:p>
          <w:p w:rsidR="003C5FF8" w:rsidRPr="003C5FF8" w:rsidRDefault="003C5FF8" w:rsidP="003C5FF8">
            <w:pPr>
              <w:rPr>
                <w:i/>
              </w:rPr>
            </w:pPr>
            <w:r w:rsidRPr="003C5FF8">
              <w:rPr>
                <w:i/>
              </w:rPr>
              <w:t>PM –  1,574 tpy</w:t>
            </w:r>
          </w:p>
          <w:p w:rsidR="003C5FF8" w:rsidRPr="003C5FF8" w:rsidRDefault="003C5FF8" w:rsidP="003C5FF8">
            <w:pPr>
              <w:rPr>
                <w:i/>
              </w:rPr>
            </w:pPr>
            <w:r w:rsidRPr="003C5FF8">
              <w:rPr>
                <w:i/>
              </w:rPr>
              <w:t>PM10 –  1,574 tpy</w:t>
            </w:r>
          </w:p>
          <w:p w:rsidR="003C5FF8" w:rsidRPr="003C5FF8" w:rsidRDefault="003C5FF8" w:rsidP="003C5FF8">
            <w:pPr>
              <w:rPr>
                <w:i/>
              </w:rPr>
            </w:pPr>
            <w:r w:rsidRPr="003C5FF8">
              <w:rPr>
                <w:i/>
              </w:rPr>
              <w:t>SO2 - 534 tpy</w:t>
            </w:r>
          </w:p>
          <w:p w:rsidR="003C5FF8" w:rsidRPr="003C5FF8" w:rsidRDefault="003C5FF8" w:rsidP="003C5FF8">
            <w:pPr>
              <w:rPr>
                <w:i/>
              </w:rPr>
            </w:pPr>
            <w:r w:rsidRPr="003C5FF8">
              <w:rPr>
                <w:i/>
              </w:rPr>
              <w:t>VOC -  165 tpy</w:t>
            </w:r>
          </w:p>
          <w:p w:rsidR="003C5FF8" w:rsidRPr="003C5FF8" w:rsidRDefault="003C5FF8" w:rsidP="003C5FF8">
            <w:pPr>
              <w:rPr>
                <w:i/>
              </w:rPr>
            </w:pPr>
            <w:r w:rsidRPr="003C5FF8">
              <w:rPr>
                <w:i/>
              </w:rPr>
              <w:t>HAPs – 43 tpy</w:t>
            </w:r>
          </w:p>
        </w:tc>
        <w:tc>
          <w:tcPr>
            <w:tcW w:w="2684" w:type="dxa"/>
          </w:tcPr>
          <w:p w:rsidR="003C5FF8" w:rsidRPr="003C5FF8" w:rsidRDefault="003C5FF8" w:rsidP="003C5FF8">
            <w:pPr>
              <w:rPr>
                <w:i/>
              </w:rPr>
            </w:pPr>
            <w:r w:rsidRPr="003C5FF8">
              <w:rPr>
                <w:i/>
              </w:rPr>
              <w:t>250 tpy of any regulated pollutant</w:t>
            </w:r>
          </w:p>
        </w:tc>
      </w:tr>
      <w:tr w:rsidR="003C5FF8" w:rsidRPr="003C5FF8" w:rsidTr="00D97B8F">
        <w:trPr>
          <w:jc w:val="center"/>
        </w:trPr>
        <w:tc>
          <w:tcPr>
            <w:tcW w:w="2504" w:type="dxa"/>
          </w:tcPr>
          <w:p w:rsidR="003C5FF8" w:rsidRPr="003C5FF8" w:rsidRDefault="003C5FF8" w:rsidP="003C5FF8">
            <w:pPr>
              <w:rPr>
                <w:i/>
              </w:rPr>
            </w:pPr>
            <w:r w:rsidRPr="003C5FF8">
              <w:rPr>
                <w:i/>
              </w:rPr>
              <w:t>Royal Oak</w:t>
            </w:r>
          </w:p>
        </w:tc>
        <w:tc>
          <w:tcPr>
            <w:tcW w:w="2880" w:type="dxa"/>
          </w:tcPr>
          <w:p w:rsidR="003C5FF8" w:rsidRPr="003C5FF8" w:rsidRDefault="003C5FF8" w:rsidP="003C5FF8">
            <w:pPr>
              <w:rPr>
                <w:i/>
              </w:rPr>
            </w:pPr>
            <w:r w:rsidRPr="003C5FF8">
              <w:rPr>
                <w:i/>
              </w:rPr>
              <w:t>CO – 27 tpy</w:t>
            </w:r>
          </w:p>
          <w:p w:rsidR="003C5FF8" w:rsidRPr="003C5FF8" w:rsidRDefault="003C5FF8" w:rsidP="003C5FF8">
            <w:pPr>
              <w:rPr>
                <w:i/>
              </w:rPr>
            </w:pPr>
            <w:r w:rsidRPr="003C5FF8">
              <w:rPr>
                <w:i/>
              </w:rPr>
              <w:t>NOx - 182 tpy</w:t>
            </w:r>
          </w:p>
          <w:p w:rsidR="003C5FF8" w:rsidRPr="003C5FF8" w:rsidRDefault="003C5FF8" w:rsidP="003C5FF8">
            <w:pPr>
              <w:rPr>
                <w:i/>
              </w:rPr>
            </w:pPr>
            <w:r w:rsidRPr="003C5FF8">
              <w:rPr>
                <w:i/>
              </w:rPr>
              <w:t>PM – 185 tpy</w:t>
            </w:r>
          </w:p>
          <w:p w:rsidR="003C5FF8" w:rsidRPr="003C5FF8" w:rsidRDefault="003C5FF8" w:rsidP="003C5FF8">
            <w:pPr>
              <w:rPr>
                <w:i/>
              </w:rPr>
            </w:pPr>
            <w:r w:rsidRPr="003C5FF8">
              <w:rPr>
                <w:i/>
              </w:rPr>
              <w:t>PM10 – 185 tpy</w:t>
            </w:r>
          </w:p>
          <w:p w:rsidR="003C5FF8" w:rsidRPr="003C5FF8" w:rsidRDefault="003C5FF8" w:rsidP="003C5FF8">
            <w:pPr>
              <w:rPr>
                <w:i/>
              </w:rPr>
            </w:pPr>
            <w:r w:rsidRPr="003C5FF8">
              <w:rPr>
                <w:i/>
              </w:rPr>
              <w:t>SO2 - NA</w:t>
            </w:r>
          </w:p>
          <w:p w:rsidR="003C5FF8" w:rsidRPr="003C5FF8" w:rsidRDefault="003C5FF8" w:rsidP="003C5FF8">
            <w:pPr>
              <w:rPr>
                <w:i/>
              </w:rPr>
            </w:pPr>
            <w:r w:rsidRPr="003C5FF8">
              <w:rPr>
                <w:i/>
              </w:rPr>
              <w:t>VOC – 38 tpy</w:t>
            </w:r>
          </w:p>
          <w:p w:rsidR="003C5FF8" w:rsidRPr="003C5FF8" w:rsidRDefault="003C5FF8" w:rsidP="003C5FF8">
            <w:pPr>
              <w:rPr>
                <w:i/>
              </w:rPr>
            </w:pPr>
            <w:r w:rsidRPr="003C5FF8">
              <w:rPr>
                <w:i/>
              </w:rPr>
              <w:t>HAPs - &lt; 25 tpy</w:t>
            </w:r>
          </w:p>
        </w:tc>
        <w:tc>
          <w:tcPr>
            <w:tcW w:w="2684" w:type="dxa"/>
          </w:tcPr>
          <w:p w:rsidR="003C5FF8" w:rsidRPr="003C5FF8" w:rsidRDefault="00D77386" w:rsidP="003C5FF8">
            <w:pPr>
              <w:rPr>
                <w:i/>
              </w:rPr>
            </w:pPr>
            <w:r>
              <w:rPr>
                <w:i/>
              </w:rPr>
              <w:t>10</w:t>
            </w:r>
            <w:r w:rsidR="003C5FF8" w:rsidRPr="003C5FF8">
              <w:rPr>
                <w:i/>
              </w:rPr>
              <w:t>0 tpy of any regulated pollutant</w:t>
            </w:r>
          </w:p>
        </w:tc>
      </w:tr>
    </w:tbl>
    <w:p w:rsidR="003C5FF8" w:rsidRPr="003C5FF8" w:rsidRDefault="003C5FF8" w:rsidP="003C5FF8">
      <w:pPr>
        <w:rPr>
          <w:i/>
        </w:rPr>
      </w:pPr>
    </w:p>
    <w:p w:rsidR="003C5FF8" w:rsidRPr="003C5FF8" w:rsidRDefault="003C5FF8" w:rsidP="003C5FF8">
      <w:pPr>
        <w:spacing w:after="120"/>
        <w:rPr>
          <w:i/>
        </w:rPr>
      </w:pPr>
      <w:r w:rsidRPr="003C5FF8">
        <w:rPr>
          <w:i/>
        </w:rPr>
        <w:t xml:space="preserve">Congress established the </w:t>
      </w:r>
      <w:r w:rsidR="00DD5F3A" w:rsidRPr="00DD5F3A">
        <w:rPr>
          <w:i/>
        </w:rPr>
        <w:t>New Source Review</w:t>
      </w:r>
      <w:r w:rsidRPr="003C5FF8">
        <w:rPr>
          <w:i/>
        </w:rPr>
        <w:t xml:space="preserve"> permitting program as part of the 1977 Clean Air Act Amendments. </w:t>
      </w:r>
      <w:r w:rsidR="00DD5F3A" w:rsidRPr="00DD5F3A">
        <w:rPr>
          <w:i/>
        </w:rPr>
        <w:t>New Source Review</w:t>
      </w:r>
      <w:r w:rsidRPr="003C5FF8">
        <w:rPr>
          <w:i/>
        </w:rPr>
        <w:t xml:space="preserve"> is a preconstruction permitting program that serves two important purposes</w:t>
      </w:r>
      <w:r w:rsidR="00746857">
        <w:rPr>
          <w:i/>
        </w:rPr>
        <w:t>:</w:t>
      </w:r>
    </w:p>
    <w:p w:rsidR="003C5FF8" w:rsidRPr="003C5FF8" w:rsidRDefault="003C5FF8" w:rsidP="003C5FF8">
      <w:pPr>
        <w:numPr>
          <w:ilvl w:val="0"/>
          <w:numId w:val="35"/>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00DD5F3A" w:rsidRPr="00DD5F3A">
        <w:rPr>
          <w:i/>
        </w:rPr>
        <w:t>New Source Review</w:t>
      </w:r>
      <w:r w:rsidRPr="003C5FF8">
        <w:rPr>
          <w:i/>
        </w:rPr>
        <w:t xml:space="preserve"> assures that new emissions do not slow progress toward cleaner air. In areas with clean air, especially pristine areas like national parks, </w:t>
      </w:r>
      <w:r w:rsidR="00DD5F3A" w:rsidRPr="00DD5F3A">
        <w:rPr>
          <w:i/>
        </w:rPr>
        <w:t>New Source Review</w:t>
      </w:r>
      <w:r w:rsidRPr="003C5FF8">
        <w:rPr>
          <w:i/>
        </w:rPr>
        <w:t xml:space="preserve"> assures that new emissions do not significantly worsen air quality. </w:t>
      </w:r>
    </w:p>
    <w:p w:rsidR="003C5FF8" w:rsidRPr="003C5FF8" w:rsidRDefault="003C5FF8" w:rsidP="003C5FF8">
      <w:pPr>
        <w:numPr>
          <w:ilvl w:val="0"/>
          <w:numId w:val="35"/>
        </w:numPr>
        <w:spacing w:after="120"/>
        <w:rPr>
          <w:i/>
        </w:rPr>
      </w:pPr>
      <w:r w:rsidRPr="003C5FF8">
        <w:rPr>
          <w:i/>
        </w:rPr>
        <w:t xml:space="preserve">Second, the </w:t>
      </w:r>
      <w:r w:rsidR="00DD5F3A"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3C5FF8" w:rsidRPr="003C5FF8" w:rsidRDefault="003C5FF8" w:rsidP="003C5FF8">
      <w:pPr>
        <w:spacing w:after="120"/>
        <w:rPr>
          <w:i/>
        </w:rPr>
      </w:pPr>
      <w:r w:rsidRPr="003C5FF8">
        <w:rPr>
          <w:i/>
        </w:rPr>
        <w:t xml:space="preserve">When a new facility triggers </w:t>
      </w:r>
      <w:r w:rsidR="00DD5F3A" w:rsidRPr="00DD5F3A">
        <w:rPr>
          <w:i/>
        </w:rPr>
        <w:t>New Source Review</w:t>
      </w:r>
      <w:r w:rsidRPr="003C5FF8">
        <w:rPr>
          <w:i/>
        </w:rPr>
        <w:t xml:space="preserve">, one component of the application process is to do a control technology </w:t>
      </w:r>
      <w:r w:rsidR="00746857">
        <w:rPr>
          <w:i/>
        </w:rPr>
        <w:t>evaluation</w:t>
      </w:r>
      <w:r w:rsidR="00415B92">
        <w:rPr>
          <w:i/>
        </w:rPr>
        <w:t xml:space="preserve">. </w:t>
      </w:r>
      <w:r w:rsidRPr="003C5FF8">
        <w:rPr>
          <w:i/>
        </w:rPr>
        <w:t>The owner/operator of the proposed facility must review similar facilities to see what the latest control technologies are being used and determine if that control technology can be used at their facility</w:t>
      </w:r>
      <w:r w:rsidR="00415B92">
        <w:rPr>
          <w:i/>
        </w:rPr>
        <w:t xml:space="preserve">. </w:t>
      </w:r>
      <w:r w:rsidRPr="003C5FF8">
        <w:rPr>
          <w:i/>
        </w:rPr>
        <w:t>If the facility is located in a nonattainment area, Lowest Achievable Emission Rate</w:t>
      </w:r>
      <w:r w:rsidR="00CA6493">
        <w:rPr>
          <w:i/>
        </w:rPr>
        <w:t xml:space="preserve"> is applied as</w:t>
      </w:r>
      <w:r w:rsidRPr="003C5FF8">
        <w:rPr>
          <w:i/>
        </w:rPr>
        <w:t xml:space="preserve"> the most stringent emission limitation derived from either of the following: </w:t>
      </w:r>
    </w:p>
    <w:p w:rsidR="003C5FF8" w:rsidRPr="003C5FF8" w:rsidRDefault="00053398" w:rsidP="003C5FF8">
      <w:pPr>
        <w:numPr>
          <w:ilvl w:val="0"/>
          <w:numId w:val="36"/>
        </w:numPr>
        <w:spacing w:after="120"/>
        <w:rPr>
          <w:i/>
        </w:rPr>
      </w:pPr>
      <w:r>
        <w:rPr>
          <w:i/>
        </w:rPr>
        <w:t>T</w:t>
      </w:r>
      <w:r w:rsidR="003C5FF8" w:rsidRPr="003C5FF8">
        <w:rPr>
          <w:i/>
        </w:rPr>
        <w:t>he most stringent emission limitation contained in the implementation plan of any State for such class or category of source; or</w:t>
      </w:r>
    </w:p>
    <w:p w:rsidR="003C5FF8" w:rsidRPr="003C5FF8" w:rsidRDefault="00053398" w:rsidP="003C5FF8">
      <w:pPr>
        <w:numPr>
          <w:ilvl w:val="0"/>
          <w:numId w:val="36"/>
        </w:numPr>
        <w:spacing w:after="120"/>
        <w:rPr>
          <w:i/>
        </w:rPr>
      </w:pPr>
      <w:r>
        <w:rPr>
          <w:i/>
        </w:rPr>
        <w:t>T</w:t>
      </w:r>
      <w:r w:rsidR="003C5FF8" w:rsidRPr="003C5FF8">
        <w:rPr>
          <w:i/>
        </w:rPr>
        <w:t>he most stringent emission limitation achieved in practice by such class or category of source.</w:t>
      </w:r>
    </w:p>
    <w:p w:rsidR="00FC1D17" w:rsidRPr="003C5FF8" w:rsidRDefault="003C5FF8" w:rsidP="003C5FF8">
      <w:pPr>
        <w:spacing w:after="120"/>
        <w:rPr>
          <w:i/>
        </w:rPr>
      </w:pPr>
      <w:r w:rsidRPr="003C5FF8">
        <w:rPr>
          <w:i/>
        </w:rPr>
        <w:t>If the facility is located in an attainment area, Best Available Control Technology is an emissions limitation which is based on the maximum degree of control that can be achieved</w:t>
      </w:r>
      <w:r w:rsidR="00415B92">
        <w:rPr>
          <w:i/>
        </w:rPr>
        <w:t xml:space="preserve">. </w:t>
      </w:r>
      <w:r w:rsidRPr="003C5FF8">
        <w:rPr>
          <w:i/>
        </w:rPr>
        <w:t xml:space="preserve">It is a case-by-case decision that considers energy, environmental and </w:t>
      </w:r>
      <w:r w:rsidRPr="003C5FF8">
        <w:rPr>
          <w:i/>
        </w:rPr>
        <w:lastRenderedPageBreak/>
        <w:t>economic impact</w:t>
      </w:r>
      <w:r w:rsidR="00415B92">
        <w:rPr>
          <w:i/>
        </w:rPr>
        <w:t xml:space="preserve">. </w:t>
      </w:r>
      <w:r w:rsidR="00484559" w:rsidRPr="00484559">
        <w:rPr>
          <w:i/>
        </w:rPr>
        <w:t>Best Available Control Technology</w:t>
      </w:r>
      <w:r w:rsidRPr="003C5FF8">
        <w:rPr>
          <w:i/>
        </w:rPr>
        <w:t xml:space="preserve"> can be add-on control equipment or modification of the production processes or methods. </w:t>
      </w:r>
    </w:p>
    <w:p w:rsidR="00A47F00" w:rsidRDefault="00FC1D17" w:rsidP="00A47F00">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w:t>
      </w:r>
      <w:r w:rsidR="00A47F00">
        <w:rPr>
          <w:i/>
        </w:rPr>
        <w:t xml:space="preserve">new primary aluminum plant, sulfite pulp mill, neutral sulfite semi-chemical pulp mill, ferronickel smelter, </w:t>
      </w:r>
      <w:r>
        <w:rPr>
          <w:i/>
        </w:rPr>
        <w:t xml:space="preserve">and </w:t>
      </w:r>
      <w:r w:rsidR="00A47F00">
        <w:rPr>
          <w:i/>
        </w:rPr>
        <w:t xml:space="preserve">charcoal manufacturing </w:t>
      </w:r>
      <w:r w:rsidR="00A47F00" w:rsidRPr="003C5FF8">
        <w:rPr>
          <w:i/>
        </w:rPr>
        <w:t>facility</w:t>
      </w:r>
      <w:r w:rsidR="00415B92">
        <w:rPr>
          <w:i/>
        </w:rPr>
        <w:t xml:space="preserve">. </w:t>
      </w:r>
      <w:r w:rsidR="00202A2E">
        <w:rPr>
          <w:i/>
        </w:rPr>
        <w:t xml:space="preserve">While a direct emission limit comparison is not possible in every case due to the unique terms of some of the limits, these </w:t>
      </w:r>
      <w:r w:rsidR="00A47F00">
        <w:rPr>
          <w:i/>
        </w:rPr>
        <w:t xml:space="preserve">facilities </w:t>
      </w:r>
      <w:r w:rsidR="00202A2E">
        <w:rPr>
          <w:i/>
        </w:rPr>
        <w:t xml:space="preserve">were qualitatively determined to </w:t>
      </w:r>
      <w:r w:rsidR="00A47F00">
        <w:rPr>
          <w:i/>
        </w:rPr>
        <w:t xml:space="preserve">have </w:t>
      </w:r>
      <w:r w:rsidR="00A47F00" w:rsidRPr="003C5FF8">
        <w:rPr>
          <w:i/>
        </w:rPr>
        <w:t xml:space="preserve">emissions </w:t>
      </w:r>
      <w:r w:rsidR="00A47F00">
        <w:rPr>
          <w:i/>
        </w:rPr>
        <w:t xml:space="preserve">that are </w:t>
      </w:r>
      <w:r w:rsidR="00A47F00" w:rsidRPr="003C5FF8">
        <w:rPr>
          <w:i/>
        </w:rPr>
        <w:t>lower than the current DEQ standards</w:t>
      </w:r>
      <w:r w:rsidR="00415B92">
        <w:rPr>
          <w:i/>
        </w:rPr>
        <w:t xml:space="preserve">. </w:t>
      </w:r>
      <w:r w:rsidR="003D362E" w:rsidRPr="003D362E">
        <w:rPr>
          <w:i/>
        </w:rPr>
        <w:t>Additionally, Best Available Control Technology and/or Lowest Achievable Emission Rate must be at least as stringent as any New Source Performance Standards or Maximum Achievable Control Technology</w:t>
      </w:r>
      <w:r w:rsidR="00415B92">
        <w:rPr>
          <w:i/>
        </w:rPr>
        <w:t xml:space="preserve">. </w:t>
      </w:r>
      <w:r w:rsidR="00202A2E">
        <w:rPr>
          <w:i/>
        </w:rPr>
        <w:t xml:space="preserve">Results from the </w:t>
      </w:r>
      <w:r w:rsidR="006811FC">
        <w:rPr>
          <w:i/>
        </w:rPr>
        <w:t xml:space="preserve">clearinghouse </w:t>
      </w:r>
      <w:r w:rsidR="00202A2E">
        <w:rPr>
          <w:i/>
        </w:rPr>
        <w:t xml:space="preserve">are included below </w:t>
      </w:r>
      <w:r w:rsidR="006811FC">
        <w:rPr>
          <w:i/>
        </w:rPr>
        <w:t xml:space="preserve">in </w:t>
      </w:r>
      <w:r w:rsidR="00202A2E">
        <w:rPr>
          <w:i/>
        </w:rPr>
        <w:t xml:space="preserve">the following tables for each facility type. </w:t>
      </w:r>
    </w:p>
    <w:p w:rsidR="0010535F" w:rsidRDefault="00270BEA" w:rsidP="00270BEA">
      <w:pPr>
        <w:rPr>
          <w:i/>
        </w:rPr>
      </w:pPr>
      <w:r w:rsidRPr="00270BEA">
        <w:rPr>
          <w:i/>
        </w:rPr>
        <w:t xml:space="preserve">In the tables below, DEQ </w:t>
      </w:r>
      <w:r w:rsidR="0010535F">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sidR="00415B92">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sidR="008B7A08">
        <w:rPr>
          <w:i/>
        </w:rPr>
        <w:t xml:space="preserve">in the industrial categories </w:t>
      </w:r>
      <w:r w:rsidRPr="00270BEA">
        <w:rPr>
          <w:i/>
        </w:rPr>
        <w:t xml:space="preserve">except </w:t>
      </w:r>
      <w:r w:rsidR="008B7A08">
        <w:rPr>
          <w:i/>
        </w:rPr>
        <w:t xml:space="preserve">charcoal manufacturing for which there is no corresponding </w:t>
      </w:r>
      <w:r w:rsidR="003D362E">
        <w:rPr>
          <w:i/>
        </w:rPr>
        <w:t>standard</w:t>
      </w:r>
      <w:r w:rsidR="00415B92">
        <w:rPr>
          <w:i/>
        </w:rPr>
        <w:t xml:space="preserve">. </w:t>
      </w:r>
    </w:p>
    <w:p w:rsidR="00EA6300" w:rsidRDefault="00EA6300" w:rsidP="00270BEA">
      <w:pPr>
        <w:rPr>
          <w:i/>
        </w:rPr>
      </w:pPr>
    </w:p>
    <w:tbl>
      <w:tblPr>
        <w:tblW w:w="9450" w:type="dxa"/>
        <w:jc w:val="center"/>
        <w:tblInd w:w="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457F4C" w:rsidRPr="00827EEE" w:rsidTr="00590D0E">
        <w:trPr>
          <w:trHeight w:val="204"/>
          <w:tblHeader/>
          <w:jc w:val="center"/>
        </w:trPr>
        <w:tc>
          <w:tcPr>
            <w:tcW w:w="3105" w:type="dxa"/>
            <w:gridSpan w:val="2"/>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br w:type="page"/>
              <w:t>NSSC OAR</w:t>
            </w:r>
          </w:p>
        </w:tc>
        <w:tc>
          <w:tcPr>
            <w:tcW w:w="3195" w:type="dxa"/>
            <w:gridSpan w:val="2"/>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CFR – NSPS Subpart BBa</w:t>
            </w:r>
          </w:p>
        </w:tc>
        <w:tc>
          <w:tcPr>
            <w:tcW w:w="3150" w:type="dxa"/>
            <w:gridSpan w:val="2"/>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CFR – NESHAP Subpart MM</w:t>
            </w:r>
          </w:p>
        </w:tc>
      </w:tr>
      <w:tr w:rsidR="00457F4C" w:rsidRPr="00827EEE" w:rsidTr="00590D0E">
        <w:trPr>
          <w:tblHeader/>
          <w:jc w:val="center"/>
        </w:trPr>
        <w:tc>
          <w:tcPr>
            <w:tcW w:w="1575" w:type="dxa"/>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530" w:type="dxa"/>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c>
          <w:tcPr>
            <w:tcW w:w="1620" w:type="dxa"/>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575" w:type="dxa"/>
            <w:shd w:val="clear" w:color="auto" w:fill="auto"/>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c>
          <w:tcPr>
            <w:tcW w:w="1575" w:type="dxa"/>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575" w:type="dxa"/>
            <w:vAlign w:val="center"/>
          </w:tcPr>
          <w:p w:rsidR="00457F4C" w:rsidRPr="00827EEE" w:rsidRDefault="00457F4C" w:rsidP="00DD5F3A">
            <w:pPr>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r>
      <w:tr w:rsidR="00457F4C" w:rsidRPr="00827EEE" w:rsidTr="00590D0E">
        <w:trPr>
          <w:trHeight w:val="53"/>
          <w:jc w:val="center"/>
        </w:trPr>
        <w:tc>
          <w:tcPr>
            <w:tcW w:w="1575" w:type="dxa"/>
            <w:shd w:val="clear" w:color="auto" w:fill="auto"/>
          </w:tcPr>
          <w:p w:rsidR="00457F4C" w:rsidRPr="00827EEE" w:rsidRDefault="00457F4C" w:rsidP="00496988">
            <w:pPr>
              <w:spacing w:after="120"/>
              <w:rPr>
                <w:rFonts w:ascii="Times New Roman" w:hAnsi="Times New Roman" w:cs="Times New Roman"/>
                <w:b/>
                <w:bCs/>
                <w:i/>
                <w:sz w:val="20"/>
                <w:szCs w:val="20"/>
              </w:rPr>
            </w:pPr>
            <w:r w:rsidRPr="00827EEE">
              <w:rPr>
                <w:rFonts w:ascii="Times New Roman" w:hAnsi="Times New Roman" w:cs="Times New Roman"/>
                <w:b/>
                <w:bCs/>
                <w:i/>
                <w:sz w:val="20"/>
                <w:szCs w:val="20"/>
              </w:rPr>
              <w:t xml:space="preserve">Neutral Sulfite Semi-Chemical Pulp Mills </w:t>
            </w:r>
          </w:p>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b/>
                <w:bCs/>
                <w:i/>
                <w:sz w:val="20"/>
                <w:szCs w:val="20"/>
              </w:rPr>
              <w:t>OAR 340-234-0300</w:t>
            </w:r>
            <w:r w:rsidRPr="00827EEE">
              <w:rPr>
                <w:rFonts w:ascii="Times New Roman" w:hAnsi="Times New Roman" w:cs="Times New Roman"/>
                <w:i/>
                <w:sz w:val="20"/>
                <w:szCs w:val="20"/>
              </w:rPr>
              <w:t xml:space="preserve"> </w:t>
            </w:r>
          </w:p>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Existing and new sources</w:t>
            </w:r>
          </w:p>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Spent Liquor Incinerator </w:t>
            </w:r>
          </w:p>
          <w:p w:rsidR="00457F4C" w:rsidRPr="00827EEE" w:rsidRDefault="00457F4C" w:rsidP="00496988">
            <w:pPr>
              <w:spacing w:after="120"/>
              <w:rPr>
                <w:rFonts w:ascii="Times New Roman" w:hAnsi="Times New Roman" w:cs="Times New Roman"/>
                <w:b/>
                <w:bCs/>
                <w:i/>
                <w:sz w:val="20"/>
                <w:szCs w:val="20"/>
              </w:rPr>
            </w:pPr>
          </w:p>
        </w:tc>
        <w:tc>
          <w:tcPr>
            <w:tcW w:w="1530" w:type="dxa"/>
            <w:shd w:val="clear" w:color="auto" w:fill="auto"/>
          </w:tcPr>
          <w:p w:rsidR="00457F4C" w:rsidRPr="00827EEE" w:rsidRDefault="00B76D98" w:rsidP="00496988">
            <w:pPr>
              <w:spacing w:after="120"/>
              <w:rPr>
                <w:rFonts w:ascii="Times New Roman" w:hAnsi="Times New Roman" w:cs="Times New Roman"/>
                <w:i/>
                <w:sz w:val="20"/>
                <w:szCs w:val="20"/>
              </w:rPr>
            </w:pPr>
            <w:r>
              <w:rPr>
                <w:rFonts w:ascii="Times New Roman" w:hAnsi="Times New Roman" w:cs="Times New Roman"/>
                <w:i/>
                <w:sz w:val="20"/>
                <w:szCs w:val="20"/>
              </w:rPr>
              <w:t>Particulate matter 7.2 lbs/ton black liquor solids</w:t>
            </w:r>
            <w:r w:rsidR="00457F4C" w:rsidRPr="00827EEE">
              <w:rPr>
                <w:rFonts w:ascii="Times New Roman" w:hAnsi="Times New Roman" w:cs="Times New Roman"/>
                <w:i/>
                <w:sz w:val="20"/>
                <w:szCs w:val="20"/>
              </w:rPr>
              <w:t xml:space="preserve"> as a daily arithmetic average</w:t>
            </w:r>
          </w:p>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35 </w:t>
            </w:r>
            <w:r>
              <w:rPr>
                <w:rFonts w:ascii="Times New Roman" w:hAnsi="Times New Roman" w:cs="Times New Roman"/>
                <w:i/>
                <w:sz w:val="20"/>
                <w:szCs w:val="20"/>
              </w:rPr>
              <w:t>%</w:t>
            </w:r>
            <w:r w:rsidRPr="00827EEE">
              <w:rPr>
                <w:rFonts w:ascii="Times New Roman" w:hAnsi="Times New Roman" w:cs="Times New Roman"/>
                <w:i/>
                <w:sz w:val="20"/>
                <w:szCs w:val="20"/>
              </w:rPr>
              <w:t xml:space="preserve"> </w:t>
            </w:r>
            <w:r w:rsidR="00B76D98">
              <w:rPr>
                <w:rFonts w:ascii="Times New Roman" w:hAnsi="Times New Roman" w:cs="Times New Roman"/>
                <w:i/>
                <w:sz w:val="20"/>
                <w:szCs w:val="20"/>
              </w:rPr>
              <w:t>opacity</w:t>
            </w:r>
          </w:p>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SO2 shall not exceed 10 ppm </w:t>
            </w:r>
          </w:p>
          <w:p w:rsidR="00457F4C" w:rsidRPr="00827EEE" w:rsidRDefault="00457F4C" w:rsidP="00B76D9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TRS 10 ppm and 0.14 lb/ton </w:t>
            </w:r>
            <w:r w:rsidR="00B76D98" w:rsidRPr="00B76D98">
              <w:rPr>
                <w:rFonts w:ascii="Times New Roman" w:hAnsi="Times New Roman" w:cs="Times New Roman"/>
                <w:i/>
                <w:sz w:val="20"/>
                <w:szCs w:val="20"/>
              </w:rPr>
              <w:t>black liquor solids</w:t>
            </w:r>
          </w:p>
        </w:tc>
        <w:tc>
          <w:tcPr>
            <w:tcW w:w="1620" w:type="dxa"/>
            <w:shd w:val="clear" w:color="auto" w:fill="auto"/>
          </w:tcPr>
          <w:p w:rsidR="00457F4C" w:rsidRPr="00827EEE" w:rsidRDefault="00457F4C" w:rsidP="00496988">
            <w:pPr>
              <w:spacing w:after="120"/>
              <w:rPr>
                <w:rFonts w:ascii="Times New Roman" w:hAnsi="Times New Roman" w:cs="Times New Roman"/>
                <w:bCs/>
                <w:i/>
                <w:sz w:val="20"/>
                <w:szCs w:val="20"/>
              </w:rPr>
            </w:pPr>
            <w:r w:rsidRPr="00827EEE">
              <w:rPr>
                <w:rFonts w:ascii="Times New Roman" w:hAnsi="Times New Roman" w:cs="Times New Roman"/>
                <w:b/>
                <w:bCs/>
                <w:i/>
                <w:sz w:val="20"/>
                <w:szCs w:val="20"/>
              </w:rPr>
              <w:t>Subpart BBa—Standards of Performance for Kraft Pulp Mill Affected Sources for Which Construction, Reconstruction, or Modification Commenced After May 23, 2013</w:t>
            </w:r>
            <w:r w:rsidRPr="00827EEE">
              <w:rPr>
                <w:rFonts w:ascii="Times New Roman" w:hAnsi="Times New Roman" w:cs="Times New Roman"/>
                <w:bCs/>
                <w:i/>
                <w:sz w:val="20"/>
                <w:szCs w:val="20"/>
              </w:rPr>
              <w:t xml:space="preserve"> </w:t>
            </w:r>
          </w:p>
          <w:p w:rsidR="00457F4C" w:rsidRPr="00B76D98" w:rsidRDefault="00B76D98" w:rsidP="00B76D98">
            <w:pPr>
              <w:spacing w:after="120"/>
              <w:rPr>
                <w:rFonts w:ascii="Times New Roman" w:hAnsi="Times New Roman" w:cs="Times New Roman"/>
                <w:i/>
                <w:sz w:val="20"/>
                <w:szCs w:val="20"/>
              </w:rPr>
            </w:pPr>
            <w:r w:rsidRPr="00827EEE">
              <w:rPr>
                <w:rFonts w:ascii="Times New Roman" w:hAnsi="Times New Roman" w:cs="Times New Roman"/>
                <w:i/>
                <w:sz w:val="20"/>
                <w:szCs w:val="20"/>
              </w:rPr>
              <w:t>new or</w:t>
            </w:r>
            <w:r>
              <w:rPr>
                <w:rFonts w:ascii="Times New Roman" w:hAnsi="Times New Roman" w:cs="Times New Roman"/>
                <w:i/>
                <w:sz w:val="20"/>
                <w:szCs w:val="20"/>
              </w:rPr>
              <w:t xml:space="preserve"> reconstructed recovery furnace </w:t>
            </w:r>
            <w:r w:rsidR="00457F4C" w:rsidRPr="00827EEE">
              <w:rPr>
                <w:rFonts w:ascii="Times New Roman" w:hAnsi="Times New Roman" w:cs="Times New Roman"/>
                <w:bCs/>
                <w:i/>
                <w:sz w:val="20"/>
                <w:szCs w:val="20"/>
              </w:rPr>
              <w:t>where kraft pulping combined with neutral sulfite semi-chemical pulping</w:t>
            </w:r>
          </w:p>
        </w:tc>
        <w:tc>
          <w:tcPr>
            <w:tcW w:w="1575" w:type="dxa"/>
            <w:shd w:val="clear" w:color="auto" w:fill="auto"/>
          </w:tcPr>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particulate matter </w:t>
            </w:r>
            <w:r>
              <w:rPr>
                <w:rFonts w:ascii="Times New Roman" w:hAnsi="Times New Roman" w:cs="Times New Roman"/>
                <w:i/>
                <w:sz w:val="20"/>
                <w:szCs w:val="20"/>
              </w:rPr>
              <w:t>0.015 gr/dscf</w:t>
            </w:r>
            <w:r w:rsidRPr="00827EEE">
              <w:rPr>
                <w:rFonts w:ascii="Times New Roman" w:hAnsi="Times New Roman" w:cs="Times New Roman"/>
                <w:i/>
                <w:sz w:val="20"/>
                <w:szCs w:val="20"/>
              </w:rPr>
              <w:t xml:space="preserve"> </w:t>
            </w:r>
          </w:p>
          <w:p w:rsidR="00457F4C" w:rsidRDefault="00457F4C" w:rsidP="00496988">
            <w:pPr>
              <w:spacing w:after="120"/>
              <w:rPr>
                <w:rFonts w:ascii="Times New Roman" w:hAnsi="Times New Roman" w:cs="Times New Roman"/>
                <w:i/>
                <w:sz w:val="20"/>
                <w:szCs w:val="20"/>
              </w:rPr>
            </w:pPr>
            <w:r w:rsidRPr="003C1F59">
              <w:rPr>
                <w:rFonts w:ascii="Times New Roman" w:hAnsi="Times New Roman" w:cs="Times New Roman"/>
                <w:i/>
                <w:sz w:val="20"/>
                <w:szCs w:val="20"/>
              </w:rPr>
              <w:t xml:space="preserve">straight kraft recovery furnace  TRS 5 ppm </w:t>
            </w:r>
          </w:p>
          <w:p w:rsidR="00457F4C" w:rsidRDefault="00457F4C" w:rsidP="00274B10">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cross recovery furnace TRS 25 ppm </w:t>
            </w:r>
          </w:p>
          <w:p w:rsidR="00457F4C" w:rsidRPr="00827EEE" w:rsidRDefault="00457F4C" w:rsidP="00590D0E">
            <w:pPr>
              <w:spacing w:after="120"/>
              <w:rPr>
                <w:rFonts w:ascii="Times New Roman" w:hAnsi="Times New Roman" w:cs="Times New Roman"/>
                <w:i/>
                <w:sz w:val="20"/>
                <w:szCs w:val="20"/>
              </w:rPr>
            </w:pPr>
            <w:r w:rsidRPr="00827EEE">
              <w:rPr>
                <w:rFonts w:ascii="Times New Roman" w:hAnsi="Times New Roman" w:cs="Times New Roman"/>
                <w:i/>
                <w:sz w:val="20"/>
                <w:szCs w:val="20"/>
              </w:rPr>
              <w:t>20</w:t>
            </w:r>
            <w:r>
              <w:rPr>
                <w:rFonts w:ascii="Times New Roman" w:hAnsi="Times New Roman" w:cs="Times New Roman"/>
                <w:i/>
                <w:sz w:val="20"/>
                <w:szCs w:val="20"/>
              </w:rPr>
              <w:t>%</w:t>
            </w:r>
            <w:r w:rsidRPr="00827EEE">
              <w:rPr>
                <w:rFonts w:ascii="Times New Roman" w:hAnsi="Times New Roman" w:cs="Times New Roman"/>
                <w:i/>
                <w:sz w:val="20"/>
                <w:szCs w:val="20"/>
              </w:rPr>
              <w:t xml:space="preserve"> opacity w</w:t>
            </w:r>
            <w:r>
              <w:rPr>
                <w:rFonts w:ascii="Times New Roman" w:hAnsi="Times New Roman" w:cs="Times New Roman"/>
                <w:i/>
                <w:sz w:val="20"/>
                <w:szCs w:val="20"/>
              </w:rPr>
              <w:t>ith</w:t>
            </w:r>
            <w:r w:rsidRPr="00827EEE">
              <w:rPr>
                <w:rFonts w:ascii="Times New Roman" w:hAnsi="Times New Roman" w:cs="Times New Roman"/>
                <w:i/>
                <w:sz w:val="20"/>
                <w:szCs w:val="20"/>
              </w:rPr>
              <w:t xml:space="preserve"> ESP </w:t>
            </w:r>
          </w:p>
        </w:tc>
        <w:tc>
          <w:tcPr>
            <w:tcW w:w="1575" w:type="dxa"/>
          </w:tcPr>
          <w:p w:rsidR="00457F4C" w:rsidRPr="00590D0E" w:rsidRDefault="00457F4C" w:rsidP="00590D0E">
            <w:pPr>
              <w:spacing w:after="120"/>
              <w:rPr>
                <w:rFonts w:ascii="Times New Roman" w:hAnsi="Times New Roman" w:cs="Times New Roman"/>
                <w:b/>
                <w:bCs/>
                <w:i/>
                <w:sz w:val="20"/>
                <w:szCs w:val="20"/>
              </w:rPr>
            </w:pPr>
            <w:r w:rsidRPr="00827EEE">
              <w:rPr>
                <w:rFonts w:ascii="Times New Roman" w:hAnsi="Times New Roman" w:cs="Times New Roman"/>
                <w:b/>
                <w:bCs/>
                <w:i/>
                <w:sz w:val="20"/>
                <w:szCs w:val="20"/>
              </w:rPr>
              <w:t>Subpart MM—National Emission Standards for Hazardous Air Pollutants for Chemical Recovery Combustion Sources at Kraft, Soda, Sulfite, and Stand-Alone Semi chemical Pulp Mill</w:t>
            </w:r>
            <w:r w:rsidR="00590D0E">
              <w:rPr>
                <w:rFonts w:ascii="Times New Roman" w:hAnsi="Times New Roman" w:cs="Times New Roman"/>
                <w:b/>
                <w:bCs/>
                <w:i/>
                <w:sz w:val="20"/>
                <w:szCs w:val="20"/>
              </w:rPr>
              <w:t xml:space="preserve">s </w:t>
            </w:r>
            <w:r w:rsidRPr="00827EEE">
              <w:rPr>
                <w:rFonts w:ascii="Times New Roman" w:hAnsi="Times New Roman" w:cs="Times New Roman"/>
                <w:i/>
                <w:sz w:val="20"/>
                <w:szCs w:val="20"/>
              </w:rPr>
              <w:t>(04/15/98)</w:t>
            </w:r>
          </w:p>
        </w:tc>
        <w:tc>
          <w:tcPr>
            <w:tcW w:w="1575" w:type="dxa"/>
          </w:tcPr>
          <w:p w:rsidR="00457F4C" w:rsidRPr="00827EEE" w:rsidRDefault="00457F4C" w:rsidP="00B76D9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PM </w:t>
            </w:r>
            <w:r>
              <w:rPr>
                <w:rFonts w:ascii="Times New Roman" w:hAnsi="Times New Roman" w:cs="Times New Roman"/>
                <w:i/>
                <w:sz w:val="20"/>
                <w:szCs w:val="20"/>
              </w:rPr>
              <w:t xml:space="preserve"> </w:t>
            </w:r>
            <w:r w:rsidRPr="00827EEE">
              <w:rPr>
                <w:rFonts w:ascii="Times New Roman" w:hAnsi="Times New Roman" w:cs="Times New Roman"/>
                <w:i/>
                <w:sz w:val="20"/>
                <w:szCs w:val="20"/>
              </w:rPr>
              <w:t>0.020 gr/dscf</w:t>
            </w:r>
          </w:p>
        </w:tc>
      </w:tr>
      <w:tr w:rsidR="00457F4C" w:rsidRPr="00827EEE" w:rsidTr="00590D0E">
        <w:trPr>
          <w:jc w:val="center"/>
        </w:trPr>
        <w:tc>
          <w:tcPr>
            <w:tcW w:w="1575" w:type="dxa"/>
            <w:shd w:val="clear" w:color="auto" w:fill="auto"/>
          </w:tcPr>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 Acid Absorption Tower. </w:t>
            </w:r>
          </w:p>
        </w:tc>
        <w:tc>
          <w:tcPr>
            <w:tcW w:w="1530" w:type="dxa"/>
            <w:shd w:val="clear" w:color="auto" w:fill="auto"/>
          </w:tcPr>
          <w:p w:rsidR="00457F4C" w:rsidRPr="00827EEE" w:rsidRDefault="00457F4C" w:rsidP="007B04B7">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SO2 emissions shall not exceed 20 ppm </w:t>
            </w:r>
          </w:p>
        </w:tc>
        <w:tc>
          <w:tcPr>
            <w:tcW w:w="1620" w:type="dxa"/>
            <w:shd w:val="clear" w:color="auto" w:fill="auto"/>
          </w:tcPr>
          <w:p w:rsidR="00457F4C" w:rsidRPr="00827EEE" w:rsidRDefault="00457F4C" w:rsidP="00496988">
            <w:pPr>
              <w:spacing w:after="120"/>
              <w:rPr>
                <w:rFonts w:ascii="Times New Roman" w:hAnsi="Times New Roman" w:cs="Times New Roman"/>
                <w:i/>
                <w:sz w:val="20"/>
                <w:szCs w:val="20"/>
              </w:rPr>
            </w:pPr>
          </w:p>
        </w:tc>
        <w:tc>
          <w:tcPr>
            <w:tcW w:w="1575" w:type="dxa"/>
            <w:shd w:val="clear" w:color="auto" w:fill="auto"/>
          </w:tcPr>
          <w:p w:rsidR="00457F4C" w:rsidRPr="00827EEE" w:rsidRDefault="00457F4C" w:rsidP="00496988">
            <w:pPr>
              <w:spacing w:after="120"/>
              <w:rPr>
                <w:rFonts w:ascii="Times New Roman" w:hAnsi="Times New Roman" w:cs="Times New Roman"/>
                <w:i/>
                <w:sz w:val="20"/>
                <w:szCs w:val="20"/>
              </w:rPr>
            </w:pPr>
          </w:p>
        </w:tc>
        <w:tc>
          <w:tcPr>
            <w:tcW w:w="1575" w:type="dxa"/>
          </w:tcPr>
          <w:p w:rsidR="00457F4C" w:rsidRPr="00827EEE" w:rsidRDefault="00457F4C" w:rsidP="00496988">
            <w:pPr>
              <w:spacing w:after="120"/>
              <w:rPr>
                <w:rFonts w:ascii="Times New Roman" w:hAnsi="Times New Roman" w:cs="Times New Roman"/>
                <w:b/>
                <w:bCs/>
                <w:i/>
                <w:sz w:val="20"/>
                <w:szCs w:val="20"/>
              </w:rPr>
            </w:pPr>
          </w:p>
        </w:tc>
        <w:tc>
          <w:tcPr>
            <w:tcW w:w="1575" w:type="dxa"/>
          </w:tcPr>
          <w:p w:rsidR="00457F4C" w:rsidRPr="00827EEE" w:rsidRDefault="00457F4C" w:rsidP="00496988">
            <w:pPr>
              <w:spacing w:after="120"/>
              <w:rPr>
                <w:rFonts w:ascii="Times New Roman" w:hAnsi="Times New Roman" w:cs="Times New Roman"/>
                <w:b/>
                <w:bCs/>
                <w:i/>
                <w:sz w:val="20"/>
                <w:szCs w:val="20"/>
              </w:rPr>
            </w:pPr>
          </w:p>
        </w:tc>
      </w:tr>
      <w:tr w:rsidR="00457F4C" w:rsidRPr="00827EEE" w:rsidTr="00590D0E">
        <w:trPr>
          <w:jc w:val="center"/>
        </w:trPr>
        <w:tc>
          <w:tcPr>
            <w:tcW w:w="1575" w:type="dxa"/>
            <w:shd w:val="clear" w:color="auto" w:fill="auto"/>
          </w:tcPr>
          <w:p w:rsidR="00457F4C" w:rsidRPr="00827EEE" w:rsidRDefault="00457F4C"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All NSSC sources, except spent liquor incinerators</w:t>
            </w:r>
          </w:p>
        </w:tc>
        <w:tc>
          <w:tcPr>
            <w:tcW w:w="1530" w:type="dxa"/>
            <w:shd w:val="clear" w:color="auto" w:fill="auto"/>
          </w:tcPr>
          <w:p w:rsidR="00457F4C" w:rsidRPr="00827EEE" w:rsidRDefault="00590D0E" w:rsidP="00590D0E">
            <w:pPr>
              <w:spacing w:after="120"/>
              <w:rPr>
                <w:rFonts w:ascii="Times New Roman" w:hAnsi="Times New Roman" w:cs="Times New Roman"/>
                <w:i/>
                <w:sz w:val="20"/>
                <w:szCs w:val="20"/>
              </w:rPr>
            </w:pPr>
            <w:r>
              <w:rPr>
                <w:rFonts w:ascii="Times New Roman" w:hAnsi="Times New Roman" w:cs="Times New Roman"/>
                <w:i/>
                <w:sz w:val="20"/>
                <w:szCs w:val="20"/>
              </w:rPr>
              <w:t xml:space="preserve">20% </w:t>
            </w:r>
            <w:r w:rsidR="00457F4C" w:rsidRPr="00827EEE">
              <w:rPr>
                <w:rFonts w:ascii="Times New Roman" w:hAnsi="Times New Roman" w:cs="Times New Roman"/>
                <w:i/>
                <w:sz w:val="20"/>
                <w:szCs w:val="20"/>
              </w:rPr>
              <w:t xml:space="preserve">opacity </w:t>
            </w:r>
          </w:p>
        </w:tc>
        <w:tc>
          <w:tcPr>
            <w:tcW w:w="1620" w:type="dxa"/>
            <w:shd w:val="clear" w:color="auto" w:fill="auto"/>
          </w:tcPr>
          <w:p w:rsidR="00457F4C" w:rsidRPr="00827EEE" w:rsidRDefault="00457F4C" w:rsidP="00496988">
            <w:pPr>
              <w:spacing w:after="120"/>
              <w:rPr>
                <w:rFonts w:ascii="Times New Roman" w:hAnsi="Times New Roman" w:cs="Times New Roman"/>
                <w:i/>
                <w:sz w:val="20"/>
                <w:szCs w:val="20"/>
              </w:rPr>
            </w:pPr>
          </w:p>
        </w:tc>
        <w:tc>
          <w:tcPr>
            <w:tcW w:w="1575" w:type="dxa"/>
            <w:shd w:val="clear" w:color="auto" w:fill="auto"/>
          </w:tcPr>
          <w:p w:rsidR="00457F4C" w:rsidRPr="00827EEE" w:rsidRDefault="00457F4C" w:rsidP="00496988">
            <w:pPr>
              <w:spacing w:after="120"/>
              <w:rPr>
                <w:rFonts w:ascii="Times New Roman" w:hAnsi="Times New Roman" w:cs="Times New Roman"/>
                <w:i/>
                <w:sz w:val="20"/>
                <w:szCs w:val="20"/>
              </w:rPr>
            </w:pPr>
          </w:p>
        </w:tc>
        <w:tc>
          <w:tcPr>
            <w:tcW w:w="1575" w:type="dxa"/>
          </w:tcPr>
          <w:p w:rsidR="00457F4C" w:rsidRPr="00827EEE" w:rsidRDefault="00457F4C" w:rsidP="00496988">
            <w:pPr>
              <w:spacing w:after="120"/>
              <w:rPr>
                <w:rFonts w:ascii="Times New Roman" w:hAnsi="Times New Roman" w:cs="Times New Roman"/>
                <w:b/>
                <w:bCs/>
                <w:i/>
                <w:sz w:val="20"/>
                <w:szCs w:val="20"/>
              </w:rPr>
            </w:pPr>
          </w:p>
        </w:tc>
        <w:tc>
          <w:tcPr>
            <w:tcW w:w="1575" w:type="dxa"/>
          </w:tcPr>
          <w:p w:rsidR="00457F4C" w:rsidRPr="00827EEE" w:rsidRDefault="00457F4C" w:rsidP="00496988">
            <w:pPr>
              <w:spacing w:after="120"/>
              <w:rPr>
                <w:rFonts w:ascii="Times New Roman" w:hAnsi="Times New Roman" w:cs="Times New Roman"/>
                <w:b/>
                <w:bCs/>
                <w:i/>
                <w:sz w:val="20"/>
                <w:szCs w:val="20"/>
              </w:rPr>
            </w:pPr>
          </w:p>
        </w:tc>
      </w:tr>
    </w:tbl>
    <w:p w:rsidR="00247693" w:rsidRDefault="00247693" w:rsidP="00247693">
      <w:pPr>
        <w:rPr>
          <w:i/>
        </w:rPr>
      </w:pPr>
    </w:p>
    <w:p w:rsidR="008A3906" w:rsidRDefault="00781279" w:rsidP="008A3906">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sidR="00415B92">
        <w:rPr>
          <w:i/>
        </w:rPr>
        <w:t xml:space="preserve">. </w:t>
      </w:r>
      <w:r w:rsidRPr="00781279">
        <w:rPr>
          <w:i/>
        </w:rPr>
        <w:t xml:space="preserve">As can be seen, the </w:t>
      </w:r>
      <w:r w:rsidR="00D74F1A">
        <w:rPr>
          <w:i/>
        </w:rPr>
        <w:t xml:space="preserve">DEQ particulate matter </w:t>
      </w:r>
      <w:r w:rsidR="009C09CA">
        <w:rPr>
          <w:i/>
        </w:rPr>
        <w:t>for spent liquor incinerators is 7.2 pounds per ton of black liquor solids</w:t>
      </w:r>
      <w:r w:rsidR="00415B92">
        <w:rPr>
          <w:i/>
        </w:rPr>
        <w:t xml:space="preserve">. </w:t>
      </w:r>
      <w:r w:rsidR="009C09CA" w:rsidRPr="009C09CA">
        <w:rPr>
          <w:i/>
        </w:rPr>
        <w:t xml:space="preserve">The </w:t>
      </w:r>
      <w:r w:rsidR="00D74A70" w:rsidRPr="00D74A70">
        <w:rPr>
          <w:i/>
        </w:rPr>
        <w:t>New Source Performance Standard</w:t>
      </w:r>
      <w:r w:rsidR="009C09CA">
        <w:rPr>
          <w:i/>
        </w:rPr>
        <w:t xml:space="preserve"> and </w:t>
      </w:r>
      <w:r w:rsidR="00D74A70" w:rsidRPr="00D74A70">
        <w:rPr>
          <w:i/>
        </w:rPr>
        <w:t>National Emission Standar</w:t>
      </w:r>
      <w:r w:rsidR="00D74A70">
        <w:rPr>
          <w:i/>
        </w:rPr>
        <w:t>ds for Hazardous Air Pollutants</w:t>
      </w:r>
      <w:r w:rsidR="009C09CA">
        <w:rPr>
          <w:i/>
        </w:rPr>
        <w:t xml:space="preserve"> </w:t>
      </w:r>
      <w:r w:rsidR="006A2A08">
        <w:rPr>
          <w:i/>
        </w:rPr>
        <w:t xml:space="preserve">are much more stringent and </w:t>
      </w:r>
      <w:r w:rsidR="009C09CA">
        <w:rPr>
          <w:i/>
        </w:rPr>
        <w:t>require</w:t>
      </w:r>
      <w:r w:rsidR="009C09CA" w:rsidRPr="009C09CA">
        <w:rPr>
          <w:i/>
        </w:rPr>
        <w:t xml:space="preserve"> a 0.01</w:t>
      </w:r>
      <w:r w:rsidR="009C09CA">
        <w:rPr>
          <w:i/>
        </w:rPr>
        <w:t>5</w:t>
      </w:r>
      <w:r w:rsidR="009C09CA" w:rsidRPr="009C09CA">
        <w:rPr>
          <w:i/>
        </w:rPr>
        <w:t xml:space="preserve"> gr/dscf </w:t>
      </w:r>
      <w:r w:rsidR="00274B10">
        <w:rPr>
          <w:i/>
        </w:rPr>
        <w:t>and a 0.02</w:t>
      </w:r>
      <w:r w:rsidR="009C09CA">
        <w:rPr>
          <w:i/>
        </w:rPr>
        <w:t xml:space="preserve">0 gr/dscf </w:t>
      </w:r>
      <w:r w:rsidR="009C09CA" w:rsidRPr="009C09CA">
        <w:rPr>
          <w:i/>
        </w:rPr>
        <w:t>limit,</w:t>
      </w:r>
      <w:r w:rsidR="009C09CA">
        <w:rPr>
          <w:i/>
        </w:rPr>
        <w:t xml:space="preserve"> respectively, which calculate to 0.46 and 0.61 pounds per ton of black liquor solids using source test data from the Weyerhaeuser spent liquor incinerator. </w:t>
      </w:r>
      <w:r w:rsidR="00274B10" w:rsidRPr="00274B10">
        <w:rPr>
          <w:i/>
        </w:rPr>
        <w:t xml:space="preserve">The </w:t>
      </w:r>
      <w:r w:rsidR="00C014E9" w:rsidRPr="00C014E9">
        <w:rPr>
          <w:i/>
        </w:rPr>
        <w:t>New Source Performance Standard</w:t>
      </w:r>
      <w:r w:rsidR="00274B10" w:rsidRPr="00274B10">
        <w:rPr>
          <w:i/>
        </w:rPr>
        <w:t xml:space="preserve"> opacity </w:t>
      </w:r>
      <w:r w:rsidR="00274B10">
        <w:rPr>
          <w:i/>
        </w:rPr>
        <w:t>limit from a cross recovery furnace</w:t>
      </w:r>
      <w:r w:rsidR="00274B10" w:rsidRPr="00274B10">
        <w:rPr>
          <w:i/>
        </w:rPr>
        <w:t xml:space="preserve"> (20%) is </w:t>
      </w:r>
      <w:r w:rsidR="00274B10">
        <w:rPr>
          <w:i/>
        </w:rPr>
        <w:t xml:space="preserve">lower </w:t>
      </w:r>
      <w:r w:rsidR="00274B10" w:rsidRPr="00274B10">
        <w:rPr>
          <w:i/>
        </w:rPr>
        <w:t>than the DEQ limi</w:t>
      </w:r>
      <w:r w:rsidR="00274B10">
        <w:rPr>
          <w:i/>
        </w:rPr>
        <w:t>t</w:t>
      </w:r>
      <w:r w:rsidR="00274B10" w:rsidRPr="00274B10">
        <w:rPr>
          <w:i/>
        </w:rPr>
        <w:t xml:space="preserve"> (</w:t>
      </w:r>
      <w:r w:rsidR="00274B10">
        <w:rPr>
          <w:i/>
        </w:rPr>
        <w:t>35</w:t>
      </w:r>
      <w:r w:rsidR="00274B10" w:rsidRPr="00274B10">
        <w:rPr>
          <w:i/>
        </w:rPr>
        <w:t>%).</w:t>
      </w:r>
      <w:r w:rsidR="004B4551">
        <w:rPr>
          <w:i/>
        </w:rPr>
        <w:t xml:space="preserve"> </w:t>
      </w:r>
      <w:r w:rsidR="008A3906">
        <w:rPr>
          <w:i/>
        </w:rPr>
        <w:t>SO</w:t>
      </w:r>
      <w:r w:rsidR="008A3906" w:rsidRPr="003B0883">
        <w:rPr>
          <w:i/>
          <w:vertAlign w:val="subscript"/>
        </w:rPr>
        <w:t>2</w:t>
      </w:r>
      <w:r w:rsidR="008A3906">
        <w:rPr>
          <w:i/>
        </w:rPr>
        <w:t xml:space="preserve"> emissions are not regulated by the </w:t>
      </w:r>
      <w:r w:rsidR="0082365F" w:rsidRPr="0082365F">
        <w:rPr>
          <w:i/>
        </w:rPr>
        <w:t>New Source Performance Standard</w:t>
      </w:r>
      <w:r w:rsidR="008A3906">
        <w:rPr>
          <w:i/>
        </w:rPr>
        <w:t xml:space="preserve"> or </w:t>
      </w:r>
      <w:r w:rsidR="00D74A70" w:rsidRPr="00D74A70">
        <w:rPr>
          <w:i/>
        </w:rPr>
        <w:t>National Emission Standar</w:t>
      </w:r>
      <w:r w:rsidR="00D74A70">
        <w:rPr>
          <w:i/>
        </w:rPr>
        <w:t>ds for Hazardous Air Pollutants</w:t>
      </w:r>
      <w:r w:rsidR="00415B92">
        <w:rPr>
          <w:i/>
        </w:rPr>
        <w:t xml:space="preserve">. </w:t>
      </w:r>
    </w:p>
    <w:p w:rsidR="008A3906" w:rsidRPr="00693C9A" w:rsidRDefault="004B4551" w:rsidP="008A3906">
      <w:pPr>
        <w:spacing w:after="120"/>
        <w:rPr>
          <w:i/>
        </w:rPr>
      </w:pPr>
      <w:r>
        <w:rPr>
          <w:i/>
        </w:rPr>
        <w:t xml:space="preserve">The DEQ total reduced sulfur </w:t>
      </w:r>
      <w:r w:rsidRPr="00693C9A">
        <w:rPr>
          <w:i/>
        </w:rPr>
        <w:t>emission limit for spent liquor incinerators is 10 ppm</w:t>
      </w:r>
      <w:r w:rsidR="00415B92">
        <w:rPr>
          <w:i/>
        </w:rPr>
        <w:t xml:space="preserve">. </w:t>
      </w:r>
      <w:r w:rsidRPr="00693C9A">
        <w:rPr>
          <w:i/>
        </w:rPr>
        <w:t xml:space="preserve">The </w:t>
      </w:r>
      <w:r w:rsidR="00DD5F3A" w:rsidRPr="00DD5F3A">
        <w:rPr>
          <w:i/>
        </w:rPr>
        <w:t>New Source Performance Standard</w:t>
      </w:r>
      <w:r w:rsidRPr="00693C9A">
        <w:rPr>
          <w:i/>
        </w:rPr>
        <w:t xml:space="preserve"> </w:t>
      </w:r>
      <w:r w:rsidR="0082365F" w:rsidRPr="0082365F">
        <w:rPr>
          <w:i/>
        </w:rPr>
        <w:t>total reduced sulfur</w:t>
      </w:r>
      <w:r w:rsidRPr="00693C9A">
        <w:rPr>
          <w:i/>
        </w:rPr>
        <w:t xml:space="preserve"> limit from a straight kraft recovery furnace is 5 ppm and from cross recovery furnace is 25 ppm</w:t>
      </w:r>
      <w:r w:rsidR="005931A9" w:rsidRPr="00693C9A">
        <w:rPr>
          <w:i/>
        </w:rPr>
        <w:t xml:space="preserve">. </w:t>
      </w:r>
      <w:r w:rsidR="00DF212C" w:rsidRPr="00693C9A">
        <w:rPr>
          <w:i/>
        </w:rPr>
        <w:t xml:space="preserve">When EPA </w:t>
      </w:r>
      <w:r w:rsidR="008A3906" w:rsidRPr="00693C9A">
        <w:rPr>
          <w:i/>
        </w:rPr>
        <w:t xml:space="preserve">promulgated 40 CFR part 60 subpart BB—Standards of Performance for Kraft Pulp Mills in February of 1978, the cross recovery </w:t>
      </w:r>
      <w:r w:rsidR="0082365F" w:rsidRPr="0082365F">
        <w:rPr>
          <w:i/>
        </w:rPr>
        <w:t>total reduced sulfur</w:t>
      </w:r>
      <w:r w:rsidR="008A3906" w:rsidRPr="00693C9A">
        <w:rPr>
          <w:i/>
        </w:rPr>
        <w:t xml:space="preserve"> limits were included. The data collected from EPA’s I</w:t>
      </w:r>
      <w:r w:rsidR="00693C9A" w:rsidRPr="00693C9A">
        <w:rPr>
          <w:i/>
        </w:rPr>
        <w:t xml:space="preserve">nformation </w:t>
      </w:r>
      <w:r w:rsidR="008A3906" w:rsidRPr="00693C9A">
        <w:rPr>
          <w:i/>
        </w:rPr>
        <w:t>C</w:t>
      </w:r>
      <w:r w:rsidR="00693C9A" w:rsidRPr="00693C9A">
        <w:rPr>
          <w:i/>
        </w:rPr>
        <w:t xml:space="preserve">ollection </w:t>
      </w:r>
      <w:r w:rsidR="008A3906" w:rsidRPr="00693C9A">
        <w:rPr>
          <w:i/>
        </w:rPr>
        <w:t>R</w:t>
      </w:r>
      <w:r w:rsidR="00693C9A" w:rsidRPr="00693C9A">
        <w:rPr>
          <w:i/>
        </w:rPr>
        <w:t>equest</w:t>
      </w:r>
      <w:r w:rsidR="008A3906" w:rsidRPr="00693C9A">
        <w:rPr>
          <w:i/>
        </w:rPr>
        <w:t xml:space="preserve"> indicated that there were no cross recovery furnaces subject to </w:t>
      </w:r>
      <w:r w:rsidR="00746857">
        <w:rPr>
          <w:i/>
        </w:rPr>
        <w:t xml:space="preserve">Subpart </w:t>
      </w:r>
      <w:r w:rsidR="008A3906" w:rsidRPr="00693C9A">
        <w:rPr>
          <w:i/>
        </w:rPr>
        <w:t xml:space="preserve">BB, so EPA was not provided any </w:t>
      </w:r>
      <w:r w:rsidR="0082365F" w:rsidRPr="0082365F">
        <w:rPr>
          <w:i/>
        </w:rPr>
        <w:t>total reduced sulfur</w:t>
      </w:r>
      <w:r w:rsidR="008A3906" w:rsidRPr="00693C9A">
        <w:rPr>
          <w:i/>
        </w:rPr>
        <w:t xml:space="preserve"> emissions data to analyze for these units. The reasons used in the original rule (and the ones referenced in the d</w:t>
      </w:r>
      <w:r w:rsidR="00C55349" w:rsidRPr="00693C9A">
        <w:rPr>
          <w:i/>
        </w:rPr>
        <w:t>o</w:t>
      </w:r>
      <w:r w:rsidR="008A3906" w:rsidRPr="00693C9A">
        <w:rPr>
          <w:i/>
        </w:rPr>
        <w:t xml:space="preserve">cket for </w:t>
      </w:r>
      <w:r w:rsidR="00746857">
        <w:rPr>
          <w:i/>
        </w:rPr>
        <w:t xml:space="preserve">Subpart </w:t>
      </w:r>
      <w:r w:rsidR="008A3906" w:rsidRPr="00693C9A">
        <w:rPr>
          <w:i/>
        </w:rPr>
        <w:t xml:space="preserve">BBa) for higher </w:t>
      </w:r>
      <w:r w:rsidR="0082365F" w:rsidRPr="0082365F">
        <w:rPr>
          <w:i/>
        </w:rPr>
        <w:t>total reduced sulfur</w:t>
      </w:r>
      <w:r w:rsidR="008A3906" w:rsidRPr="00693C9A">
        <w:rPr>
          <w:i/>
        </w:rPr>
        <w:t xml:space="preserve"> limits for cross recovery furnaces are as follows:</w:t>
      </w:r>
    </w:p>
    <w:p w:rsidR="008A3906" w:rsidRPr="00693C9A" w:rsidRDefault="008A3906" w:rsidP="008A3906">
      <w:pPr>
        <w:pStyle w:val="ListParagraph"/>
        <w:numPr>
          <w:ilvl w:val="0"/>
          <w:numId w:val="38"/>
        </w:numPr>
        <w:spacing w:after="120"/>
        <w:rPr>
          <w:i/>
        </w:rPr>
      </w:pPr>
      <w:r w:rsidRPr="00693C9A">
        <w:rPr>
          <w:i/>
        </w:rPr>
        <w:t>The sulfur content of semi-chemical liquor is higher than traditional kraft liquor</w:t>
      </w:r>
      <w:r w:rsidR="002A78F6">
        <w:rPr>
          <w:i/>
        </w:rPr>
        <w:t>;</w:t>
      </w:r>
    </w:p>
    <w:p w:rsidR="008A3906" w:rsidRPr="00693C9A" w:rsidRDefault="008A3906" w:rsidP="008A3906">
      <w:pPr>
        <w:pStyle w:val="ListParagraph"/>
        <w:numPr>
          <w:ilvl w:val="0"/>
          <w:numId w:val="38"/>
        </w:numPr>
        <w:spacing w:after="120"/>
        <w:rPr>
          <w:i/>
        </w:rPr>
      </w:pPr>
      <w:r w:rsidRPr="00693C9A">
        <w:rPr>
          <w:i/>
        </w:rPr>
        <w:t>The heat content of the liquor is lower because it contains less organic material that kraft pulping liquor (higher pulping yields)</w:t>
      </w:r>
      <w:r w:rsidR="002A78F6">
        <w:rPr>
          <w:i/>
        </w:rPr>
        <w:t>; and,</w:t>
      </w:r>
    </w:p>
    <w:p w:rsidR="008A3906" w:rsidRPr="00693C9A" w:rsidRDefault="008A3906" w:rsidP="008A3906">
      <w:pPr>
        <w:pStyle w:val="ListParagraph"/>
        <w:numPr>
          <w:ilvl w:val="0"/>
          <w:numId w:val="38"/>
        </w:numPr>
        <w:spacing w:after="120"/>
        <w:rPr>
          <w:i/>
        </w:rPr>
      </w:pPr>
      <w:r w:rsidRPr="00693C9A">
        <w:rPr>
          <w:i/>
        </w:rPr>
        <w:t>The heavier sulfur loading and lower operating temperature puts a restriction on the amount of excess oxygen available to oxidize sulfur compounds</w:t>
      </w:r>
      <w:r w:rsidR="00415B92">
        <w:rPr>
          <w:i/>
        </w:rPr>
        <w:t xml:space="preserve">. </w:t>
      </w:r>
      <w:r w:rsidRPr="00693C9A">
        <w:rPr>
          <w:i/>
        </w:rPr>
        <w:t> </w:t>
      </w:r>
    </w:p>
    <w:p w:rsidR="00A41D6A" w:rsidRPr="009A1508" w:rsidRDefault="00F747FE" w:rsidP="008A3906">
      <w:pPr>
        <w:spacing w:after="120"/>
        <w:rPr>
          <w:i/>
        </w:rPr>
      </w:pPr>
      <w:r w:rsidRPr="00693C9A">
        <w:rPr>
          <w:i/>
        </w:rPr>
        <w:t xml:space="preserve">The only cross recovery furnace in Oregon is at Georgia Pacific in Toledo. </w:t>
      </w:r>
      <w:r w:rsidR="00DD5F3A" w:rsidRPr="00DD5F3A">
        <w:rPr>
          <w:i/>
        </w:rPr>
        <w:t>Georgia Pacific</w:t>
      </w:r>
      <w:r w:rsidRPr="00693C9A">
        <w:rPr>
          <w:i/>
        </w:rPr>
        <w:t xml:space="preserve"> staff </w:t>
      </w:r>
      <w:r w:rsidR="00071488">
        <w:rPr>
          <w:i/>
        </w:rPr>
        <w:t>indicated</w:t>
      </w:r>
      <w:r w:rsidR="00071488" w:rsidRPr="00693C9A">
        <w:rPr>
          <w:i/>
        </w:rPr>
        <w:t xml:space="preserve"> </w:t>
      </w:r>
      <w:r w:rsidRPr="00693C9A">
        <w:rPr>
          <w:i/>
        </w:rPr>
        <w:t xml:space="preserve">their semi-chemical liquor has the same sulfur content of their </w:t>
      </w:r>
      <w:r w:rsidR="00A055C1">
        <w:rPr>
          <w:i/>
        </w:rPr>
        <w:t>k</w:t>
      </w:r>
      <w:r w:rsidR="00A055C1" w:rsidRPr="00693C9A">
        <w:rPr>
          <w:i/>
        </w:rPr>
        <w:t xml:space="preserve">raft </w:t>
      </w:r>
      <w:r w:rsidRPr="00693C9A">
        <w:rPr>
          <w:i/>
        </w:rPr>
        <w:t xml:space="preserve">liquor so there would be no difference in </w:t>
      </w:r>
      <w:r w:rsidR="0082365F" w:rsidRPr="0082365F">
        <w:rPr>
          <w:i/>
        </w:rPr>
        <w:t>total reduced sulfur</w:t>
      </w:r>
      <w:r w:rsidRPr="00693C9A">
        <w:rPr>
          <w:i/>
        </w:rPr>
        <w:t xml:space="preserve"> emissions from their cross recovery furnace in relation to a straight kraft recovery furnace. </w:t>
      </w:r>
      <w:r w:rsidR="00C55349" w:rsidRPr="00693C9A">
        <w:rPr>
          <w:i/>
        </w:rPr>
        <w:t xml:space="preserve">Therefore, the </w:t>
      </w:r>
      <w:r w:rsidR="0082365F" w:rsidRPr="0082365F">
        <w:rPr>
          <w:i/>
        </w:rPr>
        <w:t>total reduced sulfur</w:t>
      </w:r>
      <w:r w:rsidR="00C55349" w:rsidRPr="00693C9A">
        <w:rPr>
          <w:i/>
        </w:rPr>
        <w:t xml:space="preserve"> limit from a</w:t>
      </w:r>
      <w:r w:rsidR="00C55349">
        <w:rPr>
          <w:i/>
        </w:rPr>
        <w:t xml:space="preserve"> straight kraft recovery furnace </w:t>
      </w:r>
      <w:r w:rsidR="0059041D">
        <w:rPr>
          <w:i/>
        </w:rPr>
        <w:t xml:space="preserve">regulated by the </w:t>
      </w:r>
      <w:r w:rsidR="0082365F" w:rsidRPr="0082365F">
        <w:rPr>
          <w:i/>
        </w:rPr>
        <w:t>New Source Performance Standard</w:t>
      </w:r>
      <w:r w:rsidR="00D74A70">
        <w:rPr>
          <w:i/>
        </w:rPr>
        <w:t xml:space="preserve"> </w:t>
      </w:r>
      <w:r w:rsidR="00C55349">
        <w:rPr>
          <w:i/>
        </w:rPr>
        <w:t>(5 ppm) is more stringent that DEQ’s limit (10 ppm)</w:t>
      </w:r>
      <w:r w:rsidR="00415B92">
        <w:rPr>
          <w:i/>
        </w:rPr>
        <w:t xml:space="preserve">. </w:t>
      </w:r>
    </w:p>
    <w:p w:rsidR="00801200" w:rsidRDefault="002A78C1">
      <w:r>
        <w:rPr>
          <w:i/>
        </w:rPr>
        <w:t xml:space="preserve">DEQ did not find any neutral sulfite semi-chemical pulp mills in the </w:t>
      </w:r>
      <w:r w:rsidR="00EA6300"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sidR="007D25A2">
        <w:rPr>
          <w:bCs/>
          <w:i/>
        </w:rPr>
        <w:t xml:space="preserve">Semi-Chemical (NSSC) Pulp </w:t>
      </w:r>
      <w:r w:rsidR="00071488">
        <w:rPr>
          <w:bCs/>
          <w:i/>
        </w:rPr>
        <w:t xml:space="preserve">Mill rules </w:t>
      </w:r>
      <w:r w:rsidRPr="002A78C1">
        <w:rPr>
          <w:i/>
        </w:rPr>
        <w:t>will not weaken DEQ’s air permitting program</w:t>
      </w:r>
      <w:r w:rsidR="00415B92">
        <w:rPr>
          <w:i/>
        </w:rPr>
        <w:t xml:space="preserve">. </w:t>
      </w:r>
    </w:p>
    <w:p w:rsidR="00247693" w:rsidRDefault="00247693">
      <w:pPr>
        <w:rPr>
          <w:bCs/>
          <w:i/>
        </w:rPr>
        <w:sectPr w:rsidR="00247693" w:rsidSect="00247693">
          <w:footerReference w:type="even" r:id="rId8"/>
          <w:footerReference w:type="default" r:id="rId9"/>
          <w:pgSz w:w="12240" w:h="15840"/>
          <w:pgMar w:top="1440" w:right="1800" w:bottom="1440" w:left="1800" w:header="720" w:footer="720" w:gutter="0"/>
          <w:cols w:space="720"/>
          <w:docGrid w:linePitch="360"/>
        </w:sectPr>
      </w:pPr>
    </w:p>
    <w:p w:rsidR="00247693" w:rsidRPr="007D25A2" w:rsidRDefault="00247693">
      <w:pPr>
        <w:rPr>
          <w:bCs/>
          <w:i/>
        </w:rPr>
      </w:pPr>
    </w:p>
    <w:tbl>
      <w:tblPr>
        <w:tblW w:w="13377" w:type="dxa"/>
        <w:jc w:val="center"/>
        <w:tblInd w:w="-52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2D28B4" w:rsidRPr="00D44231" w:rsidTr="002D28B4">
        <w:trPr>
          <w:trHeight w:val="204"/>
          <w:tblHeader/>
          <w:jc w:val="center"/>
        </w:trPr>
        <w:tc>
          <w:tcPr>
            <w:tcW w:w="13377" w:type="dxa"/>
            <w:gridSpan w:val="8"/>
            <w:shd w:val="clear" w:color="auto" w:fill="auto"/>
          </w:tcPr>
          <w:p w:rsidR="002D28B4" w:rsidRPr="00827EEE" w:rsidRDefault="002D28B4" w:rsidP="00DD5F3A">
            <w:pPr>
              <w:jc w:val="center"/>
              <w:rPr>
                <w:rFonts w:ascii="Times New Roman" w:eastAsia="Times New Roman" w:hAnsi="Times New Roman" w:cs="Times New Roman"/>
                <w:b/>
                <w:bCs/>
                <w:i/>
                <w:sz w:val="20"/>
                <w:szCs w:val="20"/>
              </w:rPr>
            </w:pPr>
            <w:r w:rsidRPr="00827EEE">
              <w:rPr>
                <w:rFonts w:ascii="Times New Roman" w:eastAsia="Times New Roman" w:hAnsi="Times New Roman" w:cs="Times New Roman"/>
                <w:b/>
                <w:bCs/>
                <w:i/>
                <w:sz w:val="20"/>
                <w:szCs w:val="20"/>
              </w:rPr>
              <w:t>Primary Aluminum</w:t>
            </w:r>
            <w:r>
              <w:rPr>
                <w:rFonts w:ascii="Times New Roman" w:eastAsia="Times New Roman" w:hAnsi="Times New Roman" w:cs="Times New Roman"/>
                <w:b/>
                <w:bCs/>
                <w:i/>
                <w:sz w:val="20"/>
                <w:szCs w:val="20"/>
              </w:rPr>
              <w:t xml:space="preserve"> Plant Rule Comparison </w:t>
            </w:r>
          </w:p>
        </w:tc>
      </w:tr>
      <w:tr w:rsidR="0015626F" w:rsidRPr="00D44231" w:rsidTr="0015626F">
        <w:trPr>
          <w:trHeight w:val="204"/>
          <w:tblHeader/>
          <w:jc w:val="center"/>
        </w:trPr>
        <w:tc>
          <w:tcPr>
            <w:tcW w:w="3358" w:type="dxa"/>
            <w:gridSpan w:val="2"/>
            <w:shd w:val="clear" w:color="auto" w:fill="auto"/>
            <w:vAlign w:val="center"/>
          </w:tcPr>
          <w:p w:rsidR="0015626F" w:rsidRPr="00BB532E" w:rsidRDefault="0015626F" w:rsidP="0015626F">
            <w:pPr>
              <w:jc w:val="center"/>
              <w:rPr>
                <w:rFonts w:ascii="Times New Roman" w:eastAsia="Times New Roman" w:hAnsi="Times New Roman" w:cs="Times New Roman"/>
                <w:b/>
                <w:i/>
                <w:sz w:val="20"/>
                <w:szCs w:val="20"/>
              </w:rPr>
            </w:pPr>
            <w:r w:rsidRPr="00BB532E">
              <w:rPr>
                <w:rFonts w:ascii="Times New Roman" w:eastAsia="Times New Roman" w:hAnsi="Times New Roman" w:cs="Times New Roman"/>
                <w:b/>
                <w:i/>
                <w:sz w:val="20"/>
                <w:szCs w:val="20"/>
              </w:rPr>
              <w:br w:type="page"/>
              <w:t>Primary Aluminum OAR</w:t>
            </w:r>
          </w:p>
        </w:tc>
        <w:tc>
          <w:tcPr>
            <w:tcW w:w="3330" w:type="dxa"/>
            <w:gridSpan w:val="2"/>
            <w:shd w:val="clear" w:color="auto" w:fill="auto"/>
            <w:vAlign w:val="center"/>
          </w:tcPr>
          <w:p w:rsidR="0015626F" w:rsidRPr="00BB532E" w:rsidRDefault="0015626F" w:rsidP="0015626F">
            <w:pPr>
              <w:jc w:val="center"/>
              <w:rPr>
                <w:rFonts w:ascii="Times New Roman" w:eastAsia="Times New Roman" w:hAnsi="Times New Roman" w:cs="Times New Roman"/>
                <w:b/>
                <w:i/>
                <w:sz w:val="20"/>
                <w:szCs w:val="20"/>
              </w:rPr>
            </w:pPr>
            <w:r w:rsidRPr="00BB532E">
              <w:rPr>
                <w:rFonts w:ascii="Times New Roman" w:eastAsia="Times New Roman" w:hAnsi="Times New Roman" w:cs="Times New Roman"/>
                <w:b/>
                <w:i/>
                <w:sz w:val="20"/>
                <w:szCs w:val="20"/>
              </w:rPr>
              <w:t>CFR – NSPS Subpart S</w:t>
            </w:r>
          </w:p>
        </w:tc>
        <w:tc>
          <w:tcPr>
            <w:tcW w:w="3331" w:type="dxa"/>
            <w:gridSpan w:val="2"/>
            <w:vAlign w:val="center"/>
          </w:tcPr>
          <w:p w:rsidR="0015626F" w:rsidRPr="00D44231" w:rsidRDefault="0015626F" w:rsidP="0015626F">
            <w:pPr>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CFR – NESHAP Subpart LL</w:t>
            </w:r>
          </w:p>
        </w:tc>
        <w:tc>
          <w:tcPr>
            <w:tcW w:w="3358" w:type="dxa"/>
            <w:gridSpan w:val="2"/>
            <w:vAlign w:val="center"/>
          </w:tcPr>
          <w:p w:rsidR="0015626F" w:rsidRPr="00D44231" w:rsidRDefault="0015626F" w:rsidP="0015626F">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Prevention of Significant Deterioration</w:t>
            </w:r>
          </w:p>
        </w:tc>
      </w:tr>
      <w:tr w:rsidR="0015626F" w:rsidRPr="00D44231" w:rsidTr="0015626F">
        <w:trPr>
          <w:tblHeader/>
          <w:jc w:val="center"/>
        </w:trPr>
        <w:tc>
          <w:tcPr>
            <w:tcW w:w="1671" w:type="dxa"/>
            <w:shd w:val="clear" w:color="auto" w:fill="auto"/>
          </w:tcPr>
          <w:p w:rsidR="0015626F" w:rsidRPr="00D44231" w:rsidRDefault="0000718D" w:rsidP="00DD5F3A">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SOURCE</w:t>
            </w:r>
          </w:p>
        </w:tc>
        <w:tc>
          <w:tcPr>
            <w:tcW w:w="1687" w:type="dxa"/>
            <w:shd w:val="clear" w:color="auto" w:fill="auto"/>
          </w:tcPr>
          <w:p w:rsidR="0015626F" w:rsidRPr="00D44231" w:rsidRDefault="0015626F" w:rsidP="00DD5F3A">
            <w:pPr>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c>
          <w:tcPr>
            <w:tcW w:w="1657" w:type="dxa"/>
            <w:shd w:val="clear" w:color="auto" w:fill="auto"/>
          </w:tcPr>
          <w:p w:rsidR="0015626F" w:rsidRPr="00D44231" w:rsidRDefault="0000718D" w:rsidP="00DD5F3A">
            <w:pPr>
              <w:jc w:val="center"/>
              <w:rPr>
                <w:rFonts w:ascii="Times New Roman" w:eastAsia="Times New Roman" w:hAnsi="Times New Roman" w:cs="Times New Roman"/>
                <w:b/>
                <w:i/>
                <w:sz w:val="20"/>
                <w:szCs w:val="20"/>
              </w:rPr>
            </w:pPr>
            <w:r w:rsidRPr="0000718D">
              <w:rPr>
                <w:rFonts w:ascii="Times New Roman" w:eastAsia="Times New Roman" w:hAnsi="Times New Roman" w:cs="Times New Roman"/>
                <w:b/>
                <w:i/>
                <w:sz w:val="20"/>
                <w:szCs w:val="20"/>
              </w:rPr>
              <w:t>SOURCE</w:t>
            </w:r>
          </w:p>
        </w:tc>
        <w:tc>
          <w:tcPr>
            <w:tcW w:w="1673" w:type="dxa"/>
            <w:shd w:val="clear" w:color="auto" w:fill="auto"/>
          </w:tcPr>
          <w:p w:rsidR="0015626F" w:rsidRPr="00D44231" w:rsidRDefault="0015626F" w:rsidP="00DD5F3A">
            <w:pPr>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c>
          <w:tcPr>
            <w:tcW w:w="1672" w:type="dxa"/>
          </w:tcPr>
          <w:p w:rsidR="0015626F" w:rsidRPr="00D44231" w:rsidRDefault="0000718D" w:rsidP="00DD5F3A">
            <w:pPr>
              <w:jc w:val="center"/>
              <w:rPr>
                <w:rFonts w:ascii="Times New Roman" w:eastAsia="Times New Roman" w:hAnsi="Times New Roman" w:cs="Times New Roman"/>
                <w:b/>
                <w:i/>
                <w:sz w:val="20"/>
                <w:szCs w:val="20"/>
              </w:rPr>
            </w:pPr>
            <w:r w:rsidRPr="0000718D">
              <w:rPr>
                <w:rFonts w:ascii="Times New Roman" w:eastAsia="Times New Roman" w:hAnsi="Times New Roman" w:cs="Times New Roman"/>
                <w:b/>
                <w:i/>
                <w:sz w:val="20"/>
                <w:szCs w:val="20"/>
              </w:rPr>
              <w:t>SOURCE</w:t>
            </w:r>
          </w:p>
        </w:tc>
        <w:tc>
          <w:tcPr>
            <w:tcW w:w="1659" w:type="dxa"/>
          </w:tcPr>
          <w:p w:rsidR="0015626F" w:rsidRPr="00D44231" w:rsidRDefault="0015626F" w:rsidP="00DD5F3A">
            <w:pPr>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c>
          <w:tcPr>
            <w:tcW w:w="1710" w:type="dxa"/>
          </w:tcPr>
          <w:p w:rsidR="0015626F" w:rsidRPr="00D44231" w:rsidRDefault="0000718D" w:rsidP="008267F7">
            <w:pPr>
              <w:jc w:val="center"/>
              <w:rPr>
                <w:rFonts w:ascii="Times New Roman" w:eastAsia="Times New Roman" w:hAnsi="Times New Roman" w:cs="Times New Roman"/>
                <w:b/>
                <w:i/>
                <w:sz w:val="20"/>
                <w:szCs w:val="20"/>
              </w:rPr>
            </w:pPr>
            <w:r w:rsidRPr="0000718D">
              <w:rPr>
                <w:rFonts w:ascii="Times New Roman" w:eastAsia="Times New Roman" w:hAnsi="Times New Roman" w:cs="Times New Roman"/>
                <w:b/>
                <w:i/>
                <w:sz w:val="20"/>
                <w:szCs w:val="20"/>
              </w:rPr>
              <w:t>SOURCE</w:t>
            </w:r>
          </w:p>
        </w:tc>
        <w:tc>
          <w:tcPr>
            <w:tcW w:w="1648" w:type="dxa"/>
          </w:tcPr>
          <w:p w:rsidR="0015626F" w:rsidRPr="00D44231" w:rsidRDefault="0015626F" w:rsidP="008267F7">
            <w:pPr>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r>
      <w:tr w:rsidR="002D28B4" w:rsidRPr="00D44231" w:rsidTr="0015626F">
        <w:trPr>
          <w:trHeight w:val="53"/>
          <w:jc w:val="center"/>
        </w:trPr>
        <w:tc>
          <w:tcPr>
            <w:tcW w:w="1671" w:type="dxa"/>
            <w:shd w:val="clear" w:color="auto" w:fill="auto"/>
          </w:tcPr>
          <w:p w:rsidR="002D28B4" w:rsidRPr="00D44231" w:rsidRDefault="002D28B4"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 xml:space="preserve">Primary Aluminum Standards </w:t>
            </w:r>
          </w:p>
          <w:p w:rsidR="002D28B4" w:rsidRPr="00D44231" w:rsidRDefault="002D28B4"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b/>
                <w:bCs/>
                <w:i/>
                <w:sz w:val="20"/>
                <w:szCs w:val="20"/>
              </w:rPr>
              <w:t>OAR 340-236-0110 Applicability</w:t>
            </w:r>
          </w:p>
          <w:p w:rsidR="002D28B4" w:rsidRPr="00D44231" w:rsidRDefault="002D28B4"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all sources at each primary aluminum plant constructed after January 1, 1973</w:t>
            </w:r>
          </w:p>
        </w:tc>
        <w:tc>
          <w:tcPr>
            <w:tcW w:w="1687" w:type="dxa"/>
            <w:shd w:val="clear" w:color="auto" w:fill="auto"/>
          </w:tcPr>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Total fluoride</w:t>
            </w:r>
            <w:r w:rsidR="0000718D">
              <w:rPr>
                <w:rFonts w:ascii="Times New Roman" w:eastAsia="Times New Roman" w:hAnsi="Times New Roman" w:cs="Times New Roman"/>
                <w:i/>
                <w:sz w:val="20"/>
                <w:szCs w:val="20"/>
              </w:rPr>
              <w:t xml:space="preserve"> </w:t>
            </w:r>
            <w:r w:rsidR="00BB51E6" w:rsidRPr="00387D9C">
              <w:rPr>
                <w:rFonts w:ascii="Times New Roman" w:eastAsia="Times New Roman" w:hAnsi="Times New Roman" w:cs="Times New Roman"/>
                <w:i/>
                <w:sz w:val="20"/>
                <w:szCs w:val="20"/>
              </w:rPr>
              <w:t>1.2 pounds</w:t>
            </w:r>
            <w:r w:rsidRPr="00387D9C">
              <w:rPr>
                <w:rFonts w:ascii="Times New Roman" w:eastAsia="Times New Roman" w:hAnsi="Times New Roman" w:cs="Times New Roman"/>
                <w:i/>
                <w:sz w:val="20"/>
                <w:szCs w:val="20"/>
              </w:rPr>
              <w:t xml:space="preserve"> per ton of aluminum</w:t>
            </w:r>
            <w:r w:rsidR="00BB51E6" w:rsidRPr="00387D9C">
              <w:rPr>
                <w:rFonts w:ascii="Times New Roman" w:eastAsia="Times New Roman" w:hAnsi="Times New Roman" w:cs="Times New Roman"/>
                <w:i/>
                <w:sz w:val="20"/>
                <w:szCs w:val="20"/>
              </w:rPr>
              <w:t xml:space="preserve"> (monthly)</w:t>
            </w:r>
            <w:r w:rsidRPr="00387D9C">
              <w:rPr>
                <w:rFonts w:ascii="Times New Roman" w:eastAsia="Times New Roman" w:hAnsi="Times New Roman" w:cs="Times New Roman"/>
                <w:i/>
                <w:sz w:val="20"/>
                <w:szCs w:val="20"/>
              </w:rPr>
              <w:t xml:space="preserve">; </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1.0 pound per ton of aluminum</w:t>
            </w:r>
            <w:r w:rsidR="00BB51E6" w:rsidRPr="00387D9C">
              <w:rPr>
                <w:rFonts w:ascii="Times New Roman" w:eastAsia="Times New Roman" w:hAnsi="Times New Roman" w:cs="Times New Roman"/>
                <w:i/>
                <w:sz w:val="20"/>
                <w:szCs w:val="20"/>
              </w:rPr>
              <w:t xml:space="preserve"> (annual)</w:t>
            </w:r>
            <w:r w:rsidRPr="00387D9C">
              <w:rPr>
                <w:rFonts w:ascii="Times New Roman" w:eastAsia="Times New Roman" w:hAnsi="Times New Roman" w:cs="Times New Roman"/>
                <w:i/>
                <w:sz w:val="20"/>
                <w:szCs w:val="20"/>
              </w:rPr>
              <w:t>; and</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 xml:space="preserve">12.5 tons per month from any aluminum plant </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particulate matter</w:t>
            </w:r>
            <w:r w:rsidR="0000718D">
              <w:rPr>
                <w:rFonts w:ascii="Times New Roman" w:eastAsia="Times New Roman" w:hAnsi="Times New Roman" w:cs="Times New Roman"/>
                <w:i/>
                <w:sz w:val="20"/>
                <w:szCs w:val="20"/>
              </w:rPr>
              <w:t xml:space="preserve"> </w:t>
            </w:r>
            <w:r w:rsidRPr="00387D9C">
              <w:rPr>
                <w:rFonts w:ascii="Times New Roman" w:eastAsia="Times New Roman" w:hAnsi="Times New Roman" w:cs="Times New Roman"/>
                <w:i/>
                <w:sz w:val="20"/>
                <w:szCs w:val="20"/>
              </w:rPr>
              <w:t>7.0 pounds per ton of aluminum</w:t>
            </w:r>
            <w:r w:rsidR="00BB51E6" w:rsidRPr="00387D9C">
              <w:rPr>
                <w:rFonts w:ascii="Times New Roman" w:eastAsia="Times New Roman" w:hAnsi="Times New Roman" w:cs="Times New Roman"/>
                <w:i/>
                <w:sz w:val="20"/>
                <w:szCs w:val="20"/>
              </w:rPr>
              <w:t xml:space="preserve"> (monthly)</w:t>
            </w:r>
            <w:r w:rsidRPr="00387D9C">
              <w:rPr>
                <w:rFonts w:ascii="Times New Roman" w:eastAsia="Times New Roman" w:hAnsi="Times New Roman" w:cs="Times New Roman"/>
                <w:i/>
                <w:sz w:val="20"/>
                <w:szCs w:val="20"/>
              </w:rPr>
              <w:t>; and</w:t>
            </w:r>
          </w:p>
          <w:p w:rsidR="002D28B4" w:rsidRPr="00387D9C" w:rsidRDefault="002D28B4" w:rsidP="00BB51E6">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5.0 pounds per ton of aluminum</w:t>
            </w:r>
            <w:r w:rsidR="00BB51E6" w:rsidRPr="00387D9C">
              <w:rPr>
                <w:rFonts w:ascii="Times New Roman" w:eastAsia="Times New Roman" w:hAnsi="Times New Roman" w:cs="Times New Roman"/>
                <w:i/>
                <w:sz w:val="20"/>
                <w:szCs w:val="20"/>
              </w:rPr>
              <w:t xml:space="preserve"> (annual)</w:t>
            </w:r>
          </w:p>
        </w:tc>
        <w:tc>
          <w:tcPr>
            <w:tcW w:w="1657" w:type="dxa"/>
            <w:shd w:val="clear" w:color="auto" w:fill="auto"/>
          </w:tcPr>
          <w:p w:rsidR="002D28B4" w:rsidRPr="00387D9C" w:rsidRDefault="002D28B4" w:rsidP="0038690B">
            <w:pPr>
              <w:spacing w:after="120"/>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Subpart S—Primary Aluminum Reduction Plants</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commences construction or modification after October 23, 1974</w:t>
            </w:r>
          </w:p>
        </w:tc>
        <w:tc>
          <w:tcPr>
            <w:tcW w:w="1673" w:type="dxa"/>
            <w:shd w:val="clear" w:color="auto" w:fill="auto"/>
          </w:tcPr>
          <w:p w:rsidR="002D28B4" w:rsidRPr="00387D9C" w:rsidRDefault="002D28B4" w:rsidP="0038690B">
            <w:pPr>
              <w:spacing w:after="120"/>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 60.192  </w:t>
            </w:r>
          </w:p>
          <w:p w:rsidR="002D28B4" w:rsidRPr="00387D9C" w:rsidRDefault="002D28B4" w:rsidP="0038690B">
            <w:pPr>
              <w:spacing w:after="120"/>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Standard for fluorides.</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total fluoride</w:t>
            </w:r>
            <w:r w:rsidR="0000718D">
              <w:rPr>
                <w:rFonts w:ascii="Times New Roman" w:eastAsia="Times New Roman" w:hAnsi="Times New Roman" w:cs="Times New Roman"/>
                <w:i/>
                <w:sz w:val="20"/>
                <w:szCs w:val="20"/>
              </w:rPr>
              <w:t xml:space="preserve">s </w:t>
            </w:r>
            <w:r w:rsidRPr="00387D9C">
              <w:rPr>
                <w:rFonts w:ascii="Times New Roman" w:eastAsia="Times New Roman" w:hAnsi="Times New Roman" w:cs="Times New Roman"/>
                <w:i/>
                <w:sz w:val="20"/>
                <w:szCs w:val="20"/>
              </w:rPr>
              <w:t>2.0 lb/ton of aluminum (Soderberg)</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1.9 lb/ton of aluminum (prebake)</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 xml:space="preserve"> 0.1 lb/ton of aluminum equivalent (anode bake)</w:t>
            </w:r>
          </w:p>
          <w:p w:rsidR="002D28B4" w:rsidRPr="00387D9C" w:rsidRDefault="002D28B4" w:rsidP="0038690B">
            <w:pPr>
              <w:spacing w:after="120"/>
              <w:rPr>
                <w:rFonts w:ascii="Times New Roman" w:eastAsia="Times New Roman" w:hAnsi="Times New Roman" w:cs="Times New Roman"/>
                <w:b/>
                <w:bCs/>
                <w:i/>
                <w:sz w:val="20"/>
                <w:szCs w:val="20"/>
              </w:rPr>
            </w:pPr>
          </w:p>
          <w:p w:rsidR="002D28B4" w:rsidRPr="00387D9C" w:rsidRDefault="002D28B4" w:rsidP="0038690B">
            <w:pPr>
              <w:spacing w:after="120"/>
              <w:rPr>
                <w:rFonts w:ascii="Times New Roman" w:eastAsia="Times New Roman" w:hAnsi="Times New Roman" w:cs="Times New Roman"/>
                <w:i/>
                <w:sz w:val="20"/>
                <w:szCs w:val="20"/>
              </w:rPr>
            </w:pPr>
          </w:p>
        </w:tc>
        <w:tc>
          <w:tcPr>
            <w:tcW w:w="1672" w:type="dxa"/>
          </w:tcPr>
          <w:p w:rsidR="002D28B4" w:rsidRPr="00387D9C" w:rsidRDefault="002D28B4" w:rsidP="0038690B">
            <w:pPr>
              <w:spacing w:after="120"/>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Subpart LL—Primary Aluminum Reduction Plants</w:t>
            </w:r>
          </w:p>
          <w:p w:rsidR="002D28B4" w:rsidRPr="00387D9C" w:rsidRDefault="002D28B4" w:rsidP="0038690B">
            <w:pPr>
              <w:spacing w:after="120"/>
              <w:rPr>
                <w:rFonts w:ascii="Times New Roman" w:eastAsia="Times New Roman" w:hAnsi="Times New Roman" w:cs="Times New Roman"/>
                <w:bCs/>
                <w:i/>
                <w:sz w:val="20"/>
                <w:szCs w:val="20"/>
              </w:rPr>
            </w:pPr>
            <w:r w:rsidRPr="00387D9C">
              <w:rPr>
                <w:rFonts w:ascii="Times New Roman" w:eastAsia="Times New Roman" w:hAnsi="Times New Roman" w:cs="Times New Roman"/>
                <w:bCs/>
                <w:i/>
                <w:sz w:val="20"/>
                <w:szCs w:val="20"/>
              </w:rPr>
              <w:t>primary aluminum production (09/26/96)</w:t>
            </w:r>
          </w:p>
          <w:p w:rsidR="002D28B4" w:rsidRPr="00387D9C" w:rsidRDefault="002D28B4" w:rsidP="0038690B">
            <w:pPr>
              <w:spacing w:after="120"/>
              <w:rPr>
                <w:rFonts w:ascii="Times New Roman" w:eastAsia="Times New Roman" w:hAnsi="Times New Roman" w:cs="Times New Roman"/>
                <w:i/>
                <w:sz w:val="20"/>
                <w:szCs w:val="20"/>
              </w:rPr>
            </w:pPr>
          </w:p>
        </w:tc>
        <w:tc>
          <w:tcPr>
            <w:tcW w:w="1659" w:type="dxa"/>
          </w:tcPr>
          <w:p w:rsidR="002D28B4" w:rsidRPr="00387D9C" w:rsidRDefault="002D28B4" w:rsidP="0038690B">
            <w:pPr>
              <w:spacing w:after="120"/>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 63.844.</w:t>
            </w:r>
          </w:p>
          <w:p w:rsidR="002D28B4" w:rsidRPr="00387D9C" w:rsidRDefault="002D28B4" w:rsidP="0038690B">
            <w:pPr>
              <w:spacing w:after="120"/>
              <w:rPr>
                <w:rFonts w:ascii="Times New Roman" w:eastAsia="Times New Roman" w:hAnsi="Times New Roman" w:cs="Times New Roman"/>
                <w:i/>
                <w:iCs/>
                <w:sz w:val="20"/>
                <w:szCs w:val="20"/>
              </w:rPr>
            </w:pPr>
            <w:r w:rsidRPr="00387D9C">
              <w:rPr>
                <w:rFonts w:ascii="Times New Roman" w:eastAsia="Times New Roman" w:hAnsi="Times New Roman" w:cs="Times New Roman"/>
                <w:i/>
                <w:sz w:val="20"/>
                <w:szCs w:val="20"/>
              </w:rPr>
              <w:t xml:space="preserve">(a) </w:t>
            </w:r>
            <w:r w:rsidR="00F5639D">
              <w:rPr>
                <w:rFonts w:ascii="Times New Roman" w:eastAsia="Times New Roman" w:hAnsi="Times New Roman" w:cs="Times New Roman"/>
                <w:i/>
                <w:iCs/>
                <w:sz w:val="20"/>
                <w:szCs w:val="20"/>
              </w:rPr>
              <w:t>Potlines:</w:t>
            </w:r>
            <w:r w:rsidRPr="00387D9C">
              <w:rPr>
                <w:rFonts w:ascii="Times New Roman" w:eastAsia="Times New Roman" w:hAnsi="Times New Roman" w:cs="Times New Roman"/>
                <w:i/>
                <w:iCs/>
                <w:sz w:val="20"/>
                <w:szCs w:val="20"/>
              </w:rPr>
              <w:t xml:space="preserve"> </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 xml:space="preserve">(1) </w:t>
            </w:r>
            <w:r w:rsidRPr="00387D9C">
              <w:rPr>
                <w:rFonts w:ascii="Times New Roman" w:eastAsia="Times New Roman" w:hAnsi="Times New Roman" w:cs="Times New Roman"/>
                <w:i/>
                <w:iCs/>
                <w:sz w:val="20"/>
                <w:szCs w:val="20"/>
              </w:rPr>
              <w:t xml:space="preserve">TF </w:t>
            </w:r>
            <w:r w:rsidRPr="00387D9C">
              <w:rPr>
                <w:rFonts w:ascii="Times New Roman" w:eastAsia="Times New Roman" w:hAnsi="Times New Roman" w:cs="Times New Roman"/>
                <w:i/>
                <w:sz w:val="20"/>
                <w:szCs w:val="20"/>
              </w:rPr>
              <w:t xml:space="preserve">1.2 lb/ton of aluminum </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iCs/>
                <w:sz w:val="20"/>
                <w:szCs w:val="20"/>
              </w:rPr>
              <w:t>polycyclic organic matter limit (</w:t>
            </w:r>
            <w:r w:rsidRPr="00387D9C">
              <w:rPr>
                <w:rFonts w:ascii="Times New Roman" w:eastAsia="Times New Roman" w:hAnsi="Times New Roman" w:cs="Times New Roman"/>
                <w:i/>
                <w:sz w:val="20"/>
                <w:szCs w:val="20"/>
              </w:rPr>
              <w:t xml:space="preserve">Soderberg) 0.63 lb/ton of aluminum </w:t>
            </w:r>
          </w:p>
          <w:p w:rsidR="002D28B4" w:rsidRPr="00387D9C" w:rsidRDefault="00F5639D" w:rsidP="0038690B">
            <w:pPr>
              <w:spacing w:after="1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Anode bake furnaces:</w:t>
            </w:r>
            <w:r w:rsidR="002D28B4" w:rsidRPr="00387D9C">
              <w:rPr>
                <w:rFonts w:ascii="Times New Roman" w:eastAsia="Times New Roman" w:hAnsi="Times New Roman" w:cs="Times New Roman"/>
                <w:i/>
                <w:iCs/>
                <w:sz w:val="20"/>
                <w:szCs w:val="20"/>
              </w:rPr>
              <w:t xml:space="preserve"> </w:t>
            </w:r>
          </w:p>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iCs/>
                <w:sz w:val="20"/>
                <w:szCs w:val="20"/>
              </w:rPr>
              <w:t xml:space="preserve">TF </w:t>
            </w:r>
            <w:r w:rsidRPr="00387D9C">
              <w:rPr>
                <w:rFonts w:ascii="Times New Roman" w:eastAsia="Times New Roman" w:hAnsi="Times New Roman" w:cs="Times New Roman"/>
                <w:i/>
                <w:sz w:val="20"/>
                <w:szCs w:val="20"/>
              </w:rPr>
              <w:t xml:space="preserve"> 0.02 lb/ton of green anode; and</w:t>
            </w:r>
          </w:p>
          <w:p w:rsidR="002D28B4" w:rsidRPr="00387D9C" w:rsidRDefault="0000718D" w:rsidP="002D28B4">
            <w:pPr>
              <w:spacing w:after="120"/>
              <w:rPr>
                <w:rFonts w:ascii="Times New Roman" w:eastAsia="Times New Roman" w:hAnsi="Times New Roman" w:cs="Times New Roman"/>
                <w:i/>
                <w:sz w:val="20"/>
                <w:szCs w:val="20"/>
              </w:rPr>
            </w:pPr>
            <w:r w:rsidRPr="0000718D">
              <w:rPr>
                <w:rFonts w:ascii="Times New Roman" w:eastAsia="Times New Roman" w:hAnsi="Times New Roman" w:cs="Times New Roman"/>
                <w:i/>
                <w:iCs/>
                <w:sz w:val="20"/>
                <w:szCs w:val="20"/>
              </w:rPr>
              <w:t>polycyclic organic matter</w:t>
            </w:r>
            <w:r w:rsidR="002D28B4" w:rsidRPr="00387D9C">
              <w:rPr>
                <w:rFonts w:ascii="Times New Roman" w:eastAsia="Times New Roman" w:hAnsi="Times New Roman" w:cs="Times New Roman"/>
                <w:i/>
                <w:iCs/>
                <w:sz w:val="20"/>
                <w:szCs w:val="20"/>
              </w:rPr>
              <w:t xml:space="preserve"> </w:t>
            </w:r>
            <w:r w:rsidR="002D28B4" w:rsidRPr="00387D9C">
              <w:rPr>
                <w:rFonts w:ascii="Times New Roman" w:eastAsia="Times New Roman" w:hAnsi="Times New Roman" w:cs="Times New Roman"/>
                <w:i/>
                <w:sz w:val="20"/>
                <w:szCs w:val="20"/>
              </w:rPr>
              <w:t xml:space="preserve"> 0.05 lb/ton of green anode</w:t>
            </w:r>
          </w:p>
        </w:tc>
        <w:tc>
          <w:tcPr>
            <w:tcW w:w="1710" w:type="dxa"/>
          </w:tcPr>
          <w:p w:rsidR="0015626F" w:rsidRPr="0015626F" w:rsidRDefault="006D2C28" w:rsidP="0015626F">
            <w:pPr>
              <w:spacing w:after="120"/>
              <w:rPr>
                <w:i/>
                <w:sz w:val="20"/>
                <w:szCs w:val="20"/>
              </w:rPr>
            </w:pPr>
            <w:r>
              <w:rPr>
                <w:i/>
                <w:sz w:val="20"/>
                <w:szCs w:val="20"/>
              </w:rPr>
              <w:t xml:space="preserve">Primary aluminum ore reduction </w:t>
            </w:r>
            <w:r w:rsidR="0015626F" w:rsidRPr="0015626F">
              <w:rPr>
                <w:i/>
                <w:sz w:val="20"/>
                <w:szCs w:val="20"/>
              </w:rPr>
              <w:t xml:space="preserve">Best Available </w:t>
            </w:r>
            <w:r w:rsidR="0000718D">
              <w:rPr>
                <w:i/>
                <w:sz w:val="20"/>
                <w:szCs w:val="20"/>
              </w:rPr>
              <w:t>Control Technology limit</w:t>
            </w:r>
          </w:p>
          <w:p w:rsidR="002D28B4" w:rsidRPr="0015626F" w:rsidRDefault="0015626F" w:rsidP="0015626F">
            <w:pPr>
              <w:spacing w:after="120"/>
              <w:rPr>
                <w:rFonts w:ascii="Times New Roman" w:eastAsia="Times New Roman" w:hAnsi="Times New Roman" w:cs="Times New Roman"/>
                <w:b/>
                <w:bCs/>
                <w:i/>
                <w:sz w:val="20"/>
                <w:szCs w:val="20"/>
              </w:rPr>
            </w:pPr>
            <w:r w:rsidRPr="0015626F">
              <w:rPr>
                <w:i/>
                <w:sz w:val="20"/>
                <w:szCs w:val="20"/>
              </w:rPr>
              <w:tab/>
            </w:r>
          </w:p>
        </w:tc>
        <w:tc>
          <w:tcPr>
            <w:tcW w:w="1648" w:type="dxa"/>
          </w:tcPr>
          <w:p w:rsidR="0015626F" w:rsidRPr="0015626F" w:rsidRDefault="0015626F" w:rsidP="0015626F">
            <w:pPr>
              <w:spacing w:after="120"/>
              <w:rPr>
                <w:i/>
                <w:sz w:val="20"/>
                <w:szCs w:val="20"/>
              </w:rPr>
            </w:pPr>
            <w:r>
              <w:rPr>
                <w:i/>
                <w:sz w:val="20"/>
                <w:szCs w:val="20"/>
              </w:rPr>
              <w:t xml:space="preserve">Total fluoride </w:t>
            </w:r>
            <w:r w:rsidRPr="0015626F">
              <w:rPr>
                <w:i/>
                <w:sz w:val="20"/>
                <w:szCs w:val="20"/>
              </w:rPr>
              <w:t xml:space="preserve"> 0.0400 pounds per ton of aluminum </w:t>
            </w:r>
          </w:p>
          <w:p w:rsidR="0015626F" w:rsidRPr="0015626F" w:rsidRDefault="0015626F" w:rsidP="0015626F">
            <w:pPr>
              <w:spacing w:after="120"/>
              <w:rPr>
                <w:i/>
                <w:sz w:val="20"/>
                <w:szCs w:val="20"/>
              </w:rPr>
            </w:pPr>
            <w:r>
              <w:rPr>
                <w:i/>
                <w:sz w:val="20"/>
                <w:szCs w:val="20"/>
              </w:rPr>
              <w:t xml:space="preserve">Particulate matter </w:t>
            </w:r>
            <w:r w:rsidRPr="0015626F">
              <w:rPr>
                <w:i/>
                <w:sz w:val="20"/>
                <w:szCs w:val="20"/>
              </w:rPr>
              <w:t>0.0050 grains/dry standard cubic foot</w:t>
            </w:r>
          </w:p>
          <w:p w:rsidR="0015626F" w:rsidRPr="0015626F" w:rsidRDefault="0015626F" w:rsidP="0015626F">
            <w:pPr>
              <w:spacing w:after="120"/>
              <w:rPr>
                <w:i/>
                <w:sz w:val="20"/>
                <w:szCs w:val="20"/>
              </w:rPr>
            </w:pPr>
            <w:r w:rsidRPr="0015626F">
              <w:rPr>
                <w:i/>
                <w:sz w:val="20"/>
                <w:szCs w:val="20"/>
              </w:rPr>
              <w:t xml:space="preserve">10% </w:t>
            </w:r>
            <w:r>
              <w:rPr>
                <w:i/>
                <w:sz w:val="20"/>
                <w:szCs w:val="20"/>
              </w:rPr>
              <w:t>o</w:t>
            </w:r>
            <w:r w:rsidRPr="0015626F">
              <w:rPr>
                <w:i/>
                <w:sz w:val="20"/>
                <w:szCs w:val="20"/>
              </w:rPr>
              <w:t>pacity</w:t>
            </w:r>
          </w:p>
          <w:p w:rsidR="002D28B4" w:rsidRPr="0015626F" w:rsidRDefault="002D28B4" w:rsidP="0038690B">
            <w:pPr>
              <w:spacing w:after="120"/>
              <w:rPr>
                <w:rFonts w:ascii="Times New Roman" w:eastAsia="Times New Roman" w:hAnsi="Times New Roman" w:cs="Times New Roman"/>
                <w:b/>
                <w:bCs/>
                <w:i/>
                <w:sz w:val="20"/>
                <w:szCs w:val="20"/>
              </w:rPr>
            </w:pPr>
          </w:p>
        </w:tc>
      </w:tr>
      <w:tr w:rsidR="002D28B4" w:rsidRPr="00D44231" w:rsidTr="0015626F">
        <w:trPr>
          <w:jc w:val="center"/>
        </w:trPr>
        <w:tc>
          <w:tcPr>
            <w:tcW w:w="1671" w:type="dxa"/>
            <w:shd w:val="clear" w:color="auto" w:fill="auto"/>
          </w:tcPr>
          <w:p w:rsidR="002D28B4" w:rsidRPr="00D44231" w:rsidRDefault="002D28B4" w:rsidP="00387D9C">
            <w:pP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 xml:space="preserve">340-236-0120(1)(c) </w:t>
            </w:r>
          </w:p>
          <w:p w:rsidR="002D28B4" w:rsidRPr="00D44231" w:rsidRDefault="002D28B4"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any source</w:t>
            </w:r>
          </w:p>
        </w:tc>
        <w:tc>
          <w:tcPr>
            <w:tcW w:w="1687" w:type="dxa"/>
            <w:shd w:val="clear" w:color="auto" w:fill="auto"/>
          </w:tcPr>
          <w:p w:rsidR="002D28B4" w:rsidRPr="00387D9C" w:rsidRDefault="002D28B4" w:rsidP="007B04B7">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10 % opacity at any time</w:t>
            </w:r>
          </w:p>
        </w:tc>
        <w:tc>
          <w:tcPr>
            <w:tcW w:w="1657" w:type="dxa"/>
            <w:shd w:val="clear" w:color="auto" w:fill="auto"/>
          </w:tcPr>
          <w:p w:rsidR="00387D9C" w:rsidRDefault="002D28B4" w:rsidP="00387D9C">
            <w:pPr>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 60.193   </w:t>
            </w:r>
          </w:p>
          <w:p w:rsidR="002D28B4" w:rsidRPr="00387D9C" w:rsidRDefault="002D28B4" w:rsidP="00387D9C">
            <w:pPr>
              <w:rPr>
                <w:rFonts w:ascii="Times New Roman" w:eastAsia="Times New Roman" w:hAnsi="Times New Roman" w:cs="Times New Roman"/>
                <w:b/>
                <w:bCs/>
                <w:i/>
                <w:sz w:val="20"/>
                <w:szCs w:val="20"/>
              </w:rPr>
            </w:pPr>
            <w:r w:rsidRPr="00387D9C">
              <w:rPr>
                <w:rFonts w:ascii="Times New Roman" w:eastAsia="Times New Roman" w:hAnsi="Times New Roman" w:cs="Times New Roman"/>
                <w:b/>
                <w:bCs/>
                <w:i/>
                <w:sz w:val="20"/>
                <w:szCs w:val="20"/>
              </w:rPr>
              <w:t>Standard for visible emissions</w:t>
            </w:r>
          </w:p>
          <w:p w:rsidR="002D28B4" w:rsidRPr="00387D9C" w:rsidRDefault="002D28B4" w:rsidP="0038690B">
            <w:pPr>
              <w:spacing w:after="120"/>
              <w:rPr>
                <w:rFonts w:ascii="Times New Roman" w:eastAsia="Times New Roman" w:hAnsi="Times New Roman" w:cs="Times New Roman"/>
                <w:i/>
                <w:sz w:val="20"/>
                <w:szCs w:val="20"/>
              </w:rPr>
            </w:pPr>
          </w:p>
        </w:tc>
        <w:tc>
          <w:tcPr>
            <w:tcW w:w="1673" w:type="dxa"/>
            <w:shd w:val="clear" w:color="auto" w:fill="auto"/>
          </w:tcPr>
          <w:p w:rsidR="002D28B4" w:rsidRPr="00387D9C" w:rsidRDefault="002D28B4" w:rsidP="0038690B">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 xml:space="preserve"> potroom group 10 % opacity </w:t>
            </w:r>
          </w:p>
          <w:p w:rsidR="002D28B4" w:rsidRPr="00387D9C" w:rsidRDefault="002D28B4" w:rsidP="00490251">
            <w:pPr>
              <w:spacing w:after="120"/>
              <w:rPr>
                <w:rFonts w:ascii="Times New Roman" w:eastAsia="Times New Roman" w:hAnsi="Times New Roman" w:cs="Times New Roman"/>
                <w:i/>
                <w:sz w:val="20"/>
                <w:szCs w:val="20"/>
              </w:rPr>
            </w:pPr>
            <w:r w:rsidRPr="00387D9C">
              <w:rPr>
                <w:rFonts w:ascii="Times New Roman" w:eastAsia="Times New Roman" w:hAnsi="Times New Roman" w:cs="Times New Roman"/>
                <w:i/>
                <w:sz w:val="20"/>
                <w:szCs w:val="20"/>
              </w:rPr>
              <w:t xml:space="preserve"> anode bake plant 20 % opacity </w:t>
            </w:r>
          </w:p>
        </w:tc>
        <w:tc>
          <w:tcPr>
            <w:tcW w:w="1672" w:type="dxa"/>
          </w:tcPr>
          <w:p w:rsidR="002D28B4" w:rsidRPr="00387D9C" w:rsidRDefault="00387D9C" w:rsidP="0038690B">
            <w:pPr>
              <w:spacing w:after="120"/>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§63.845 </w:t>
            </w:r>
            <w:r w:rsidR="00490251" w:rsidRPr="00387D9C">
              <w:rPr>
                <w:rFonts w:ascii="Times New Roman" w:eastAsia="Times New Roman" w:hAnsi="Times New Roman" w:cs="Times New Roman"/>
                <w:b/>
                <w:bCs/>
                <w:i/>
                <w:sz w:val="20"/>
                <w:szCs w:val="20"/>
              </w:rPr>
              <w:t>Potroo</w:t>
            </w:r>
            <w:r w:rsidR="002D28B4" w:rsidRPr="00387D9C">
              <w:rPr>
                <w:rFonts w:ascii="Times New Roman" w:eastAsia="Times New Roman" w:hAnsi="Times New Roman" w:cs="Times New Roman"/>
                <w:b/>
                <w:bCs/>
                <w:i/>
                <w:sz w:val="20"/>
                <w:szCs w:val="20"/>
              </w:rPr>
              <w:t>m groups</w:t>
            </w:r>
          </w:p>
          <w:p w:rsidR="002D28B4" w:rsidRPr="00387D9C" w:rsidRDefault="002D28B4" w:rsidP="0038690B">
            <w:pPr>
              <w:spacing w:after="120"/>
              <w:rPr>
                <w:rFonts w:ascii="Times New Roman" w:eastAsia="Times New Roman" w:hAnsi="Times New Roman" w:cs="Times New Roman"/>
                <w:b/>
                <w:bCs/>
                <w:i/>
                <w:sz w:val="20"/>
                <w:szCs w:val="20"/>
              </w:rPr>
            </w:pPr>
          </w:p>
        </w:tc>
        <w:tc>
          <w:tcPr>
            <w:tcW w:w="1659" w:type="dxa"/>
          </w:tcPr>
          <w:p w:rsidR="002D28B4" w:rsidRPr="00387D9C" w:rsidRDefault="002D28B4" w:rsidP="00F5639D">
            <w:pPr>
              <w:spacing w:after="120"/>
              <w:rPr>
                <w:rFonts w:ascii="Times New Roman" w:eastAsia="Times New Roman" w:hAnsi="Times New Roman" w:cs="Times New Roman"/>
                <w:bCs/>
                <w:i/>
                <w:sz w:val="20"/>
                <w:szCs w:val="20"/>
              </w:rPr>
            </w:pPr>
            <w:r w:rsidRPr="00387D9C">
              <w:rPr>
                <w:rFonts w:ascii="Times New Roman" w:eastAsia="Times New Roman" w:hAnsi="Times New Roman" w:cs="Times New Roman"/>
                <w:bCs/>
                <w:i/>
                <w:sz w:val="20"/>
                <w:szCs w:val="20"/>
              </w:rPr>
              <w:t>10 % opacity</w:t>
            </w:r>
          </w:p>
        </w:tc>
        <w:tc>
          <w:tcPr>
            <w:tcW w:w="1710" w:type="dxa"/>
          </w:tcPr>
          <w:p w:rsidR="002D28B4" w:rsidRPr="00D44231" w:rsidRDefault="002D28B4" w:rsidP="0038690B">
            <w:pPr>
              <w:spacing w:after="120"/>
              <w:rPr>
                <w:rFonts w:ascii="Times New Roman" w:eastAsia="Times New Roman" w:hAnsi="Times New Roman" w:cs="Times New Roman"/>
                <w:bCs/>
                <w:i/>
                <w:sz w:val="20"/>
                <w:szCs w:val="20"/>
              </w:rPr>
            </w:pPr>
          </w:p>
        </w:tc>
        <w:tc>
          <w:tcPr>
            <w:tcW w:w="1648" w:type="dxa"/>
          </w:tcPr>
          <w:p w:rsidR="002D28B4" w:rsidRPr="00D44231" w:rsidRDefault="002D28B4" w:rsidP="0038690B">
            <w:pPr>
              <w:spacing w:after="120"/>
              <w:rPr>
                <w:rFonts w:ascii="Times New Roman" w:eastAsia="Times New Roman" w:hAnsi="Times New Roman" w:cs="Times New Roman"/>
                <w:bCs/>
                <w:i/>
                <w:sz w:val="20"/>
                <w:szCs w:val="20"/>
              </w:rPr>
            </w:pPr>
          </w:p>
        </w:tc>
      </w:tr>
    </w:tbl>
    <w:p w:rsidR="00247693" w:rsidRDefault="00247693" w:rsidP="00FE62A8">
      <w:pPr>
        <w:spacing w:after="120"/>
        <w:sectPr w:rsidR="00247693" w:rsidSect="00247693">
          <w:pgSz w:w="15840" w:h="12240" w:orient="landscape"/>
          <w:pgMar w:top="1800" w:right="1440" w:bottom="1800" w:left="1440" w:header="720" w:footer="720" w:gutter="0"/>
          <w:cols w:space="720"/>
          <w:docGrid w:linePitch="360"/>
        </w:sectPr>
      </w:pPr>
    </w:p>
    <w:p w:rsidR="00017F6E" w:rsidRDefault="00017F6E" w:rsidP="00FE62A8">
      <w:pPr>
        <w:spacing w:after="120"/>
      </w:pPr>
    </w:p>
    <w:p w:rsidR="002D26BA" w:rsidRDefault="002D26BA" w:rsidP="00FE62A8">
      <w:pPr>
        <w:spacing w:after="120"/>
        <w:rPr>
          <w:i/>
        </w:rPr>
      </w:pPr>
      <w:r w:rsidRPr="00DC077A">
        <w:rPr>
          <w:i/>
        </w:rPr>
        <w:t xml:space="preserve">The table above compares DEQ’s primary aluminum rules </w:t>
      </w:r>
      <w:r w:rsidR="00576235" w:rsidRPr="00DC077A">
        <w:rPr>
          <w:i/>
        </w:rPr>
        <w:t xml:space="preserve">adopted in 1973 </w:t>
      </w:r>
      <w:r w:rsidRPr="00DC077A">
        <w:rPr>
          <w:i/>
        </w:rPr>
        <w:t xml:space="preserve">with EPA’s </w:t>
      </w:r>
      <w:r w:rsidR="0059041D">
        <w:rPr>
          <w:i/>
        </w:rPr>
        <w:t xml:space="preserve">corresponding </w:t>
      </w:r>
      <w:r w:rsidRPr="00DC077A">
        <w:rPr>
          <w:i/>
        </w:rPr>
        <w:t>New Source Performance Standards and National Emission Standards for Hazardous Air Pollutants, rules which would apply to any new primary aluminum smelter in the state</w:t>
      </w:r>
      <w:r w:rsidR="00415B92">
        <w:rPr>
          <w:i/>
        </w:rPr>
        <w:t xml:space="preserve">. </w:t>
      </w:r>
      <w:r w:rsidR="009B767C" w:rsidRPr="00DC077A">
        <w:rPr>
          <w:i/>
        </w:rPr>
        <w:t>As can be seen, th</w:t>
      </w:r>
      <w:r w:rsidR="001B5128" w:rsidRPr="00DC077A">
        <w:rPr>
          <w:i/>
        </w:rPr>
        <w:t xml:space="preserve">e total fluoride limits for Soderberg potlines are comparable across the three standards but the limits </w:t>
      </w:r>
      <w:r w:rsidR="00CC376B" w:rsidRPr="00DC077A">
        <w:rPr>
          <w:i/>
        </w:rPr>
        <w:t xml:space="preserve">for the anode bake furnaces are dramatically lower in the </w:t>
      </w:r>
      <w:r w:rsidR="00C014E9" w:rsidRPr="00C014E9">
        <w:rPr>
          <w:i/>
        </w:rPr>
        <w:t>New Source Performance Standard</w:t>
      </w:r>
      <w:r w:rsidR="00CC376B" w:rsidRPr="00DC077A">
        <w:rPr>
          <w:i/>
        </w:rPr>
        <w:t xml:space="preserve"> (0.1 lb/ton of aluminum) </w:t>
      </w:r>
      <w:r w:rsidR="00C61654" w:rsidRPr="00DC077A">
        <w:rPr>
          <w:i/>
        </w:rPr>
        <w:t>than DEQ’s rules (1.2 lb/ton of aluminum)</w:t>
      </w:r>
      <w:r w:rsidR="00415B92">
        <w:rPr>
          <w:i/>
        </w:rPr>
        <w:t xml:space="preserve">. </w:t>
      </w:r>
      <w:r w:rsidR="00C61654" w:rsidRPr="00DC077A">
        <w:rPr>
          <w:i/>
        </w:rPr>
        <w:t xml:space="preserve">The </w:t>
      </w:r>
      <w:r w:rsidR="00D74A70" w:rsidRPr="00D74A70">
        <w:rPr>
          <w:i/>
        </w:rPr>
        <w:t>New Source Performance Standard</w:t>
      </w:r>
      <w:r w:rsidR="00C61654" w:rsidRPr="00DC077A">
        <w:rPr>
          <w:i/>
        </w:rPr>
        <w:t xml:space="preserve"> opacit</w:t>
      </w:r>
      <w:r w:rsidR="00CC376B" w:rsidRPr="00DC077A">
        <w:rPr>
          <w:i/>
        </w:rPr>
        <w:t xml:space="preserve">y </w:t>
      </w:r>
      <w:r w:rsidR="00C61654" w:rsidRPr="00DC077A">
        <w:rPr>
          <w:i/>
        </w:rPr>
        <w:t xml:space="preserve">limit for anode bake plants (20%) is higher than the DEQ and </w:t>
      </w:r>
      <w:r w:rsidR="00D74A70" w:rsidRPr="00D74A70">
        <w:rPr>
          <w:i/>
        </w:rPr>
        <w:t>National Emission Standar</w:t>
      </w:r>
      <w:r w:rsidR="00D74A70">
        <w:rPr>
          <w:i/>
        </w:rPr>
        <w:t>ds for Hazardous Air Pollutants</w:t>
      </w:r>
      <w:r w:rsidR="00C61654" w:rsidRPr="00DC077A">
        <w:rPr>
          <w:i/>
        </w:rPr>
        <w:t xml:space="preserve"> limits (10%)</w:t>
      </w:r>
      <w:r w:rsidR="00415B92">
        <w:rPr>
          <w:i/>
        </w:rPr>
        <w:t xml:space="preserve">. </w:t>
      </w:r>
    </w:p>
    <w:p w:rsidR="00A27F5B" w:rsidRPr="00A27F5B" w:rsidRDefault="0015626F" w:rsidP="00A27F5B">
      <w:pPr>
        <w:spacing w:after="120"/>
        <w:rPr>
          <w:i/>
        </w:rPr>
      </w:pPr>
      <w:r>
        <w:rPr>
          <w:i/>
        </w:rPr>
        <w:t>Also included in the table are limits for a</w:t>
      </w:r>
      <w:r w:rsidR="00FE62A8">
        <w:rPr>
          <w:i/>
        </w:rPr>
        <w:t xml:space="preserve">n aluminum smelter </w:t>
      </w:r>
      <w:r>
        <w:rPr>
          <w:i/>
        </w:rPr>
        <w:t xml:space="preserve">that </w:t>
      </w:r>
      <w:r w:rsidR="00FE62A8">
        <w:rPr>
          <w:i/>
        </w:rPr>
        <w:t>triggered P</w:t>
      </w:r>
      <w:r w:rsidR="00A27F5B">
        <w:rPr>
          <w:i/>
        </w:rPr>
        <w:t xml:space="preserve">revention of </w:t>
      </w:r>
      <w:r w:rsidR="00FE62A8">
        <w:rPr>
          <w:i/>
        </w:rPr>
        <w:t>S</w:t>
      </w:r>
      <w:r w:rsidR="00A27F5B">
        <w:rPr>
          <w:i/>
        </w:rPr>
        <w:t xml:space="preserve">ignificant </w:t>
      </w:r>
      <w:r w:rsidR="00FE62A8">
        <w:rPr>
          <w:i/>
        </w:rPr>
        <w:t>D</w:t>
      </w:r>
      <w:r w:rsidR="00A27F5B">
        <w:rPr>
          <w:i/>
        </w:rPr>
        <w:t>eterioration</w:t>
      </w:r>
      <w:r w:rsidR="00FE62A8">
        <w:rPr>
          <w:i/>
        </w:rPr>
        <w:t xml:space="preserve"> in South Carolina in 2002. </w:t>
      </w:r>
      <w:r w:rsidR="00387D9C">
        <w:rPr>
          <w:i/>
        </w:rPr>
        <w:t xml:space="preserve">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w:t>
      </w:r>
      <w:r w:rsidR="00A27F5B">
        <w:rPr>
          <w:i/>
        </w:rPr>
        <w:t>Any new aluminum smelter in Oregon would also trigger PSD and would be subject to standards at least as restrictive as those for the South Carolina facility</w:t>
      </w:r>
      <w:r w:rsidR="00415B92">
        <w:rPr>
          <w:i/>
        </w:rPr>
        <w:t xml:space="preserve">. </w:t>
      </w:r>
      <w:r w:rsidR="00A27F5B">
        <w:rPr>
          <w:i/>
        </w:rPr>
        <w:t xml:space="preserve">Therefore, </w:t>
      </w:r>
      <w:r w:rsidR="00A27F5B" w:rsidRPr="00A27F5B">
        <w:rPr>
          <w:i/>
        </w:rPr>
        <w:t xml:space="preserve">repealing the </w:t>
      </w:r>
      <w:r w:rsidR="00A27F5B" w:rsidRPr="00A27F5B">
        <w:rPr>
          <w:bCs/>
          <w:i/>
        </w:rPr>
        <w:t>Primary Aluminum Standards</w:t>
      </w:r>
      <w:r w:rsidR="00A27F5B" w:rsidRPr="00A27F5B">
        <w:rPr>
          <w:b/>
          <w:bCs/>
          <w:i/>
        </w:rPr>
        <w:t xml:space="preserve"> </w:t>
      </w:r>
      <w:r w:rsidR="00A27F5B" w:rsidRPr="00A27F5B">
        <w:rPr>
          <w:i/>
        </w:rPr>
        <w:t>will not weaken DEQ’s air permitting program</w:t>
      </w:r>
      <w:r w:rsidR="00415B92">
        <w:rPr>
          <w:i/>
        </w:rPr>
        <w:t xml:space="preserve">. </w:t>
      </w:r>
    </w:p>
    <w:p w:rsidR="00247693" w:rsidRDefault="00247693">
      <w:pPr>
        <w:rPr>
          <w:i/>
        </w:rPr>
        <w:sectPr w:rsidR="00247693" w:rsidSect="00247693">
          <w:pgSz w:w="12240" w:h="15840"/>
          <w:pgMar w:top="1440" w:right="1800" w:bottom="1440" w:left="1800" w:header="720" w:footer="720" w:gutter="0"/>
          <w:cols w:space="720"/>
          <w:docGrid w:linePitch="360"/>
        </w:sectPr>
      </w:pPr>
    </w:p>
    <w:tbl>
      <w:tblPr>
        <w:tblW w:w="13455" w:type="dxa"/>
        <w:jc w:val="center"/>
        <w:tblInd w:w="-4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717"/>
        <w:gridCol w:w="1647"/>
        <w:gridCol w:w="1682"/>
        <w:gridCol w:w="1802"/>
        <w:gridCol w:w="1530"/>
        <w:gridCol w:w="1711"/>
        <w:gridCol w:w="1686"/>
      </w:tblGrid>
      <w:tr w:rsidR="00486633" w:rsidRPr="00FD4C58" w:rsidTr="007B362E">
        <w:trPr>
          <w:trHeight w:val="204"/>
          <w:tblHeader/>
          <w:jc w:val="center"/>
        </w:trPr>
        <w:tc>
          <w:tcPr>
            <w:tcW w:w="13455" w:type="dxa"/>
            <w:gridSpan w:val="8"/>
            <w:shd w:val="clear" w:color="auto" w:fill="auto"/>
          </w:tcPr>
          <w:p w:rsidR="00486633" w:rsidRPr="00CE3E1B" w:rsidRDefault="00486633" w:rsidP="00DD5F3A">
            <w:pPr>
              <w:jc w:val="center"/>
              <w:rPr>
                <w:b/>
                <w:bCs/>
                <w:i/>
                <w:sz w:val="20"/>
                <w:szCs w:val="20"/>
              </w:rPr>
            </w:pPr>
            <w:r w:rsidRPr="00CE3E1B">
              <w:rPr>
                <w:b/>
                <w:bCs/>
                <w:i/>
                <w:sz w:val="20"/>
                <w:szCs w:val="20"/>
              </w:rPr>
              <w:lastRenderedPageBreak/>
              <w:t>Laterite Ore Production of Ferronickel</w:t>
            </w:r>
            <w:r>
              <w:rPr>
                <w:b/>
                <w:bCs/>
                <w:i/>
                <w:sz w:val="20"/>
                <w:szCs w:val="20"/>
              </w:rPr>
              <w:t xml:space="preserve"> </w:t>
            </w:r>
            <w:r>
              <w:rPr>
                <w:b/>
                <w:i/>
                <w:sz w:val="20"/>
                <w:szCs w:val="20"/>
              </w:rPr>
              <w:t xml:space="preserve"> Rule Comparison</w:t>
            </w:r>
          </w:p>
        </w:tc>
      </w:tr>
      <w:tr w:rsidR="00486633" w:rsidRPr="00FD4C58" w:rsidTr="00840336">
        <w:trPr>
          <w:trHeight w:val="204"/>
          <w:tblHeader/>
          <w:jc w:val="center"/>
        </w:trPr>
        <w:tc>
          <w:tcPr>
            <w:tcW w:w="3397" w:type="dxa"/>
            <w:gridSpan w:val="2"/>
            <w:shd w:val="clear" w:color="auto" w:fill="auto"/>
          </w:tcPr>
          <w:p w:rsidR="00486633" w:rsidRPr="00FD4C58" w:rsidRDefault="00486633" w:rsidP="00DD5F3A">
            <w:pPr>
              <w:jc w:val="center"/>
              <w:rPr>
                <w:i/>
                <w:sz w:val="20"/>
                <w:szCs w:val="20"/>
              </w:rPr>
            </w:pPr>
            <w:r w:rsidRPr="00FD4C58">
              <w:rPr>
                <w:i/>
                <w:sz w:val="20"/>
                <w:szCs w:val="20"/>
              </w:rPr>
              <w:br w:type="page"/>
            </w:r>
            <w:r w:rsidRPr="00FD4C58">
              <w:rPr>
                <w:i/>
                <w:sz w:val="20"/>
                <w:szCs w:val="20"/>
              </w:rPr>
              <w:br w:type="page"/>
            </w:r>
            <w:r w:rsidRPr="00CE3E1B">
              <w:rPr>
                <w:b/>
                <w:bCs/>
                <w:i/>
                <w:sz w:val="20"/>
                <w:szCs w:val="20"/>
              </w:rPr>
              <w:t>Laterite Ore Production of Ferronickel</w:t>
            </w:r>
            <w:r w:rsidRPr="00FD4C58">
              <w:rPr>
                <w:b/>
                <w:i/>
                <w:sz w:val="20"/>
                <w:szCs w:val="20"/>
              </w:rPr>
              <w:t xml:space="preserve"> OAR</w:t>
            </w:r>
          </w:p>
        </w:tc>
        <w:tc>
          <w:tcPr>
            <w:tcW w:w="3329" w:type="dxa"/>
            <w:gridSpan w:val="2"/>
            <w:shd w:val="clear" w:color="auto" w:fill="auto"/>
            <w:vAlign w:val="center"/>
          </w:tcPr>
          <w:p w:rsidR="00486633" w:rsidRPr="00FD4C58" w:rsidRDefault="00486633" w:rsidP="00840336">
            <w:pPr>
              <w:jc w:val="center"/>
              <w:rPr>
                <w:b/>
                <w:i/>
                <w:sz w:val="20"/>
                <w:szCs w:val="20"/>
              </w:rPr>
            </w:pPr>
            <w:r w:rsidRPr="00FD4C58">
              <w:rPr>
                <w:b/>
                <w:i/>
                <w:sz w:val="20"/>
                <w:szCs w:val="20"/>
              </w:rPr>
              <w:t>CFR – NSPS Subpart Z</w:t>
            </w:r>
          </w:p>
        </w:tc>
        <w:tc>
          <w:tcPr>
            <w:tcW w:w="3332" w:type="dxa"/>
            <w:gridSpan w:val="2"/>
            <w:vAlign w:val="center"/>
          </w:tcPr>
          <w:p w:rsidR="00486633" w:rsidRPr="00FD4C58" w:rsidRDefault="00486633" w:rsidP="00840336">
            <w:pPr>
              <w:jc w:val="center"/>
              <w:rPr>
                <w:b/>
                <w:i/>
                <w:sz w:val="20"/>
                <w:szCs w:val="20"/>
              </w:rPr>
            </w:pPr>
            <w:r w:rsidRPr="00FD4C58">
              <w:rPr>
                <w:b/>
                <w:i/>
                <w:sz w:val="20"/>
                <w:szCs w:val="20"/>
              </w:rPr>
              <w:t>CFR – NESHAP Subpart XXX</w:t>
            </w:r>
          </w:p>
        </w:tc>
        <w:tc>
          <w:tcPr>
            <w:tcW w:w="3397" w:type="dxa"/>
            <w:gridSpan w:val="2"/>
          </w:tcPr>
          <w:p w:rsidR="00486633" w:rsidRPr="00FD4C58" w:rsidRDefault="00BF44D5" w:rsidP="00DD5F3A">
            <w:pPr>
              <w:jc w:val="center"/>
              <w:rPr>
                <w:b/>
                <w:i/>
                <w:sz w:val="20"/>
                <w:szCs w:val="20"/>
              </w:rPr>
            </w:pPr>
            <w:r>
              <w:rPr>
                <w:b/>
                <w:i/>
                <w:sz w:val="20"/>
                <w:szCs w:val="20"/>
              </w:rPr>
              <w:t>Prevention of Significant Deterioration</w:t>
            </w:r>
          </w:p>
        </w:tc>
      </w:tr>
      <w:tr w:rsidR="00BF44D5" w:rsidRPr="00FD4C58" w:rsidTr="007F0FA8">
        <w:trPr>
          <w:tblHeader/>
          <w:jc w:val="center"/>
        </w:trPr>
        <w:tc>
          <w:tcPr>
            <w:tcW w:w="1680" w:type="dxa"/>
            <w:shd w:val="clear" w:color="auto" w:fill="auto"/>
          </w:tcPr>
          <w:p w:rsidR="00BF44D5" w:rsidRPr="00FD4C58" w:rsidRDefault="00BF44D5" w:rsidP="00DD5F3A">
            <w:pPr>
              <w:jc w:val="center"/>
              <w:rPr>
                <w:b/>
                <w:i/>
                <w:sz w:val="20"/>
                <w:szCs w:val="20"/>
              </w:rPr>
            </w:pPr>
            <w:r w:rsidRPr="00FD4C58">
              <w:rPr>
                <w:b/>
                <w:i/>
                <w:sz w:val="20"/>
                <w:szCs w:val="20"/>
              </w:rPr>
              <w:t>SOURCE</w:t>
            </w:r>
          </w:p>
        </w:tc>
        <w:tc>
          <w:tcPr>
            <w:tcW w:w="1717" w:type="dxa"/>
            <w:shd w:val="clear" w:color="auto" w:fill="auto"/>
          </w:tcPr>
          <w:p w:rsidR="00BF44D5" w:rsidRPr="00FD4C58" w:rsidRDefault="00BF44D5" w:rsidP="00DD5F3A">
            <w:pPr>
              <w:jc w:val="center"/>
              <w:rPr>
                <w:b/>
                <w:i/>
                <w:sz w:val="20"/>
                <w:szCs w:val="20"/>
              </w:rPr>
            </w:pPr>
            <w:r w:rsidRPr="00FD4C58">
              <w:rPr>
                <w:b/>
                <w:i/>
                <w:sz w:val="20"/>
                <w:szCs w:val="20"/>
              </w:rPr>
              <w:t>LIMIT</w:t>
            </w:r>
          </w:p>
        </w:tc>
        <w:tc>
          <w:tcPr>
            <w:tcW w:w="1647" w:type="dxa"/>
            <w:shd w:val="clear" w:color="auto" w:fill="auto"/>
          </w:tcPr>
          <w:p w:rsidR="00BF44D5" w:rsidRPr="00FD4C58" w:rsidRDefault="00BF44D5" w:rsidP="00DD5F3A">
            <w:pPr>
              <w:jc w:val="center"/>
              <w:rPr>
                <w:b/>
                <w:i/>
                <w:sz w:val="20"/>
                <w:szCs w:val="20"/>
              </w:rPr>
            </w:pPr>
            <w:r w:rsidRPr="00FD4C58">
              <w:rPr>
                <w:b/>
                <w:i/>
                <w:sz w:val="20"/>
                <w:szCs w:val="20"/>
              </w:rPr>
              <w:t>SOURCE</w:t>
            </w:r>
          </w:p>
        </w:tc>
        <w:tc>
          <w:tcPr>
            <w:tcW w:w="1682" w:type="dxa"/>
            <w:shd w:val="clear" w:color="auto" w:fill="auto"/>
          </w:tcPr>
          <w:p w:rsidR="00BF44D5" w:rsidRPr="00FD4C58" w:rsidRDefault="00BF44D5" w:rsidP="00DD5F3A">
            <w:pPr>
              <w:jc w:val="center"/>
              <w:rPr>
                <w:b/>
                <w:i/>
                <w:sz w:val="20"/>
                <w:szCs w:val="20"/>
              </w:rPr>
            </w:pPr>
            <w:r w:rsidRPr="00FD4C58">
              <w:rPr>
                <w:b/>
                <w:i/>
                <w:sz w:val="20"/>
                <w:szCs w:val="20"/>
              </w:rPr>
              <w:t>LIMIT</w:t>
            </w:r>
          </w:p>
        </w:tc>
        <w:tc>
          <w:tcPr>
            <w:tcW w:w="1802" w:type="dxa"/>
          </w:tcPr>
          <w:p w:rsidR="00BF44D5" w:rsidRPr="00FD4C58" w:rsidRDefault="00BF44D5" w:rsidP="00DD5F3A">
            <w:pPr>
              <w:jc w:val="center"/>
              <w:rPr>
                <w:b/>
                <w:i/>
                <w:sz w:val="20"/>
                <w:szCs w:val="20"/>
              </w:rPr>
            </w:pPr>
            <w:r w:rsidRPr="00FD4C58">
              <w:rPr>
                <w:b/>
                <w:i/>
                <w:sz w:val="20"/>
                <w:szCs w:val="20"/>
              </w:rPr>
              <w:t>SOURCE</w:t>
            </w:r>
          </w:p>
        </w:tc>
        <w:tc>
          <w:tcPr>
            <w:tcW w:w="1530" w:type="dxa"/>
          </w:tcPr>
          <w:p w:rsidR="00BF44D5" w:rsidRPr="00FD4C58" w:rsidRDefault="00BF44D5" w:rsidP="00DD5F3A">
            <w:pPr>
              <w:jc w:val="center"/>
              <w:rPr>
                <w:b/>
                <w:i/>
                <w:sz w:val="20"/>
                <w:szCs w:val="20"/>
              </w:rPr>
            </w:pPr>
            <w:r w:rsidRPr="00FD4C58">
              <w:rPr>
                <w:b/>
                <w:i/>
                <w:sz w:val="20"/>
                <w:szCs w:val="20"/>
              </w:rPr>
              <w:t>LIMIT</w:t>
            </w:r>
          </w:p>
        </w:tc>
        <w:tc>
          <w:tcPr>
            <w:tcW w:w="1711" w:type="dxa"/>
          </w:tcPr>
          <w:p w:rsidR="00BF44D5" w:rsidRPr="00FD4C58" w:rsidRDefault="00BF44D5" w:rsidP="008267F7">
            <w:pPr>
              <w:jc w:val="center"/>
              <w:rPr>
                <w:b/>
                <w:i/>
                <w:sz w:val="20"/>
                <w:szCs w:val="20"/>
              </w:rPr>
            </w:pPr>
            <w:r w:rsidRPr="00FD4C58">
              <w:rPr>
                <w:b/>
                <w:i/>
                <w:sz w:val="20"/>
                <w:szCs w:val="20"/>
              </w:rPr>
              <w:t>SOURCE</w:t>
            </w:r>
          </w:p>
        </w:tc>
        <w:tc>
          <w:tcPr>
            <w:tcW w:w="1686" w:type="dxa"/>
          </w:tcPr>
          <w:p w:rsidR="00BF44D5" w:rsidRPr="00FD4C58" w:rsidRDefault="00BF44D5" w:rsidP="008267F7">
            <w:pPr>
              <w:jc w:val="center"/>
              <w:rPr>
                <w:b/>
                <w:i/>
                <w:sz w:val="20"/>
                <w:szCs w:val="20"/>
              </w:rPr>
            </w:pPr>
            <w:r w:rsidRPr="00FD4C58">
              <w:rPr>
                <w:b/>
                <w:i/>
                <w:sz w:val="20"/>
                <w:szCs w:val="20"/>
              </w:rPr>
              <w:t>LIMIT</w:t>
            </w:r>
          </w:p>
        </w:tc>
      </w:tr>
      <w:tr w:rsidR="00BF44D5" w:rsidRPr="00FD4C58" w:rsidTr="007F0FA8">
        <w:trPr>
          <w:trHeight w:val="53"/>
          <w:jc w:val="center"/>
        </w:trPr>
        <w:tc>
          <w:tcPr>
            <w:tcW w:w="1680" w:type="dxa"/>
            <w:shd w:val="clear" w:color="auto" w:fill="auto"/>
          </w:tcPr>
          <w:p w:rsidR="00BF44D5" w:rsidRPr="00FD4C58" w:rsidRDefault="00BF44D5" w:rsidP="00FE62A8">
            <w:pPr>
              <w:spacing w:after="120"/>
              <w:rPr>
                <w:b/>
                <w:bCs/>
                <w:i/>
                <w:sz w:val="20"/>
                <w:szCs w:val="20"/>
              </w:rPr>
            </w:pPr>
            <w:r w:rsidRPr="00FD4C58">
              <w:rPr>
                <w:b/>
                <w:bCs/>
                <w:i/>
                <w:sz w:val="20"/>
                <w:szCs w:val="20"/>
              </w:rPr>
              <w:t>Laterite Ore Production of Ferronickel</w:t>
            </w:r>
          </w:p>
          <w:p w:rsidR="00BF44D5" w:rsidRPr="00FD4C58" w:rsidRDefault="00BF44D5" w:rsidP="00FE62A8">
            <w:pPr>
              <w:spacing w:after="120"/>
              <w:rPr>
                <w:i/>
                <w:sz w:val="20"/>
                <w:szCs w:val="20"/>
              </w:rPr>
            </w:pPr>
            <w:r w:rsidRPr="00FD4C58">
              <w:rPr>
                <w:b/>
                <w:bCs/>
                <w:i/>
                <w:sz w:val="20"/>
                <w:szCs w:val="20"/>
              </w:rPr>
              <w:t xml:space="preserve">340-236-0210 </w:t>
            </w:r>
          </w:p>
          <w:p w:rsidR="00BF44D5" w:rsidRPr="00FD4C58" w:rsidRDefault="00BF44D5" w:rsidP="00FE62A8">
            <w:pPr>
              <w:spacing w:after="120"/>
              <w:rPr>
                <w:i/>
                <w:sz w:val="20"/>
                <w:szCs w:val="20"/>
              </w:rPr>
            </w:pPr>
            <w:r w:rsidRPr="00FD4C58">
              <w:rPr>
                <w:b/>
                <w:bCs/>
                <w:i/>
                <w:sz w:val="20"/>
                <w:szCs w:val="20"/>
              </w:rPr>
              <w:t>Applicability</w:t>
            </w:r>
          </w:p>
          <w:p w:rsidR="00BF44D5" w:rsidRPr="00FD4C58" w:rsidRDefault="0030551D" w:rsidP="00FE62A8">
            <w:pPr>
              <w:spacing w:after="120"/>
              <w:rPr>
                <w:i/>
                <w:sz w:val="20"/>
                <w:szCs w:val="20"/>
              </w:rPr>
            </w:pPr>
            <w:r w:rsidRPr="00FD4C58">
              <w:rPr>
                <w:i/>
                <w:sz w:val="20"/>
                <w:szCs w:val="20"/>
              </w:rPr>
              <w:t xml:space="preserve">all sources </w:t>
            </w:r>
            <w:r>
              <w:rPr>
                <w:i/>
                <w:sz w:val="20"/>
                <w:szCs w:val="20"/>
              </w:rPr>
              <w:t xml:space="preserve">of </w:t>
            </w:r>
            <w:r w:rsidR="00BF44D5" w:rsidRPr="00FD4C58">
              <w:rPr>
                <w:i/>
                <w:sz w:val="20"/>
                <w:szCs w:val="20"/>
              </w:rPr>
              <w:t>laterite ore production of ferronickel</w:t>
            </w:r>
          </w:p>
          <w:p w:rsidR="00BF44D5" w:rsidRPr="00FD4C58" w:rsidRDefault="00BF44D5" w:rsidP="00FE62A8">
            <w:pPr>
              <w:spacing w:after="120"/>
              <w:rPr>
                <w:b/>
                <w:bCs/>
                <w:i/>
                <w:sz w:val="20"/>
                <w:szCs w:val="20"/>
              </w:rPr>
            </w:pPr>
          </w:p>
          <w:p w:rsidR="00BF44D5" w:rsidRPr="00FD4C58" w:rsidRDefault="00BF44D5" w:rsidP="00FE62A8">
            <w:pPr>
              <w:spacing w:after="120"/>
              <w:rPr>
                <w:i/>
                <w:sz w:val="20"/>
                <w:szCs w:val="20"/>
              </w:rPr>
            </w:pPr>
          </w:p>
        </w:tc>
        <w:tc>
          <w:tcPr>
            <w:tcW w:w="1717" w:type="dxa"/>
            <w:shd w:val="clear" w:color="auto" w:fill="auto"/>
          </w:tcPr>
          <w:p w:rsidR="00BF44D5" w:rsidRPr="00FD4C58" w:rsidRDefault="00BF44D5" w:rsidP="0030551D">
            <w:pPr>
              <w:spacing w:after="120"/>
              <w:rPr>
                <w:i/>
                <w:sz w:val="20"/>
                <w:szCs w:val="20"/>
              </w:rPr>
            </w:pPr>
            <w:r w:rsidRPr="00FD4C58">
              <w:rPr>
                <w:i/>
                <w:sz w:val="20"/>
                <w:szCs w:val="20"/>
              </w:rPr>
              <w:t>particulate matter 3.5 pounds per t</w:t>
            </w:r>
            <w:r w:rsidR="0030551D">
              <w:rPr>
                <w:i/>
                <w:sz w:val="20"/>
                <w:szCs w:val="20"/>
              </w:rPr>
              <w:t>on of dry laterite ore produced</w:t>
            </w:r>
          </w:p>
        </w:tc>
        <w:tc>
          <w:tcPr>
            <w:tcW w:w="1647" w:type="dxa"/>
            <w:shd w:val="clear" w:color="auto" w:fill="auto"/>
          </w:tcPr>
          <w:p w:rsidR="00BF44D5" w:rsidRPr="00FD4C58" w:rsidRDefault="00BF44D5" w:rsidP="00FE62A8">
            <w:pPr>
              <w:spacing w:after="120"/>
              <w:rPr>
                <w:b/>
                <w:i/>
                <w:sz w:val="20"/>
                <w:szCs w:val="20"/>
              </w:rPr>
            </w:pPr>
            <w:r w:rsidRPr="00FD4C58">
              <w:rPr>
                <w:b/>
                <w:i/>
                <w:sz w:val="20"/>
                <w:szCs w:val="20"/>
              </w:rPr>
              <w:t>Subpart Z—Ferroalloy Production Facilities</w:t>
            </w:r>
          </w:p>
          <w:p w:rsidR="00BF44D5" w:rsidRPr="00FD4C58" w:rsidRDefault="00BF44D5" w:rsidP="00F5639D">
            <w:pPr>
              <w:spacing w:after="120"/>
              <w:rPr>
                <w:i/>
                <w:sz w:val="20"/>
                <w:szCs w:val="20"/>
              </w:rPr>
            </w:pPr>
            <w:r w:rsidRPr="00FD4C58">
              <w:rPr>
                <w:i/>
                <w:sz w:val="20"/>
                <w:szCs w:val="20"/>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82" w:type="dxa"/>
            <w:shd w:val="clear" w:color="auto" w:fill="auto"/>
          </w:tcPr>
          <w:p w:rsidR="00BF44D5" w:rsidRPr="00FD4C58" w:rsidRDefault="00BF44D5" w:rsidP="00FE62A8">
            <w:pPr>
              <w:spacing w:after="120"/>
              <w:rPr>
                <w:i/>
                <w:sz w:val="20"/>
                <w:szCs w:val="20"/>
              </w:rPr>
            </w:pPr>
            <w:r w:rsidRPr="00FD4C58">
              <w:rPr>
                <w:i/>
                <w:sz w:val="20"/>
                <w:szCs w:val="20"/>
              </w:rPr>
              <w:t xml:space="preserve">particulate matter 0.99 lb/MW-hr while producing silicon metal, ferrosilicon, calcium silicon, silicomanganese zirconium </w:t>
            </w:r>
          </w:p>
          <w:p w:rsidR="00BF44D5" w:rsidRPr="00FD4C58" w:rsidRDefault="00BF44D5" w:rsidP="0030551D">
            <w:pPr>
              <w:spacing w:after="120"/>
              <w:rPr>
                <w:i/>
                <w:sz w:val="20"/>
                <w:szCs w:val="20"/>
              </w:rPr>
            </w:pPr>
            <w:r w:rsidRPr="00FD4C58">
              <w:rPr>
                <w:i/>
                <w:sz w:val="20"/>
                <w:szCs w:val="20"/>
              </w:rPr>
              <w:t xml:space="preserve">particulate matter 0.51 lb/MW-hr while producing high-carbon ferrochrome, charge chrome, standard ferromanganese, silicomanganese, calcium carbide, ferrochrome silicon, ferromanganese silicon, silvery iron </w:t>
            </w:r>
          </w:p>
        </w:tc>
        <w:tc>
          <w:tcPr>
            <w:tcW w:w="1802" w:type="dxa"/>
          </w:tcPr>
          <w:p w:rsidR="00BF44D5" w:rsidRPr="00FD4C58" w:rsidRDefault="00BF44D5" w:rsidP="00FE62A8">
            <w:pPr>
              <w:spacing w:after="120"/>
              <w:rPr>
                <w:i/>
                <w:sz w:val="20"/>
                <w:szCs w:val="20"/>
              </w:rPr>
            </w:pPr>
            <w:r w:rsidRPr="00FD4C58">
              <w:rPr>
                <w:b/>
                <w:i/>
                <w:sz w:val="20"/>
                <w:szCs w:val="20"/>
              </w:rPr>
              <w:t>Subpart XXX—Ferroalloys Production: Ferromanganese and Silicomanganese</w:t>
            </w:r>
          </w:p>
          <w:p w:rsidR="00F5639D" w:rsidRPr="00FD4C58" w:rsidRDefault="0030551D" w:rsidP="0030551D">
            <w:pPr>
              <w:spacing w:after="120"/>
              <w:rPr>
                <w:i/>
                <w:sz w:val="20"/>
                <w:szCs w:val="20"/>
              </w:rPr>
            </w:pPr>
            <w:r w:rsidRPr="00FD4C58">
              <w:rPr>
                <w:i/>
                <w:iCs/>
                <w:sz w:val="20"/>
                <w:szCs w:val="20"/>
              </w:rPr>
              <w:t>New and reconstructed submerged arc furnaces</w:t>
            </w:r>
            <w:r>
              <w:rPr>
                <w:i/>
                <w:iCs/>
                <w:sz w:val="20"/>
                <w:szCs w:val="20"/>
              </w:rPr>
              <w:t xml:space="preserve"> </w:t>
            </w:r>
            <w:r w:rsidR="005F700D">
              <w:rPr>
                <w:i/>
                <w:sz w:val="20"/>
                <w:szCs w:val="20"/>
              </w:rPr>
              <w:t>(05/20/99)</w:t>
            </w:r>
          </w:p>
        </w:tc>
        <w:tc>
          <w:tcPr>
            <w:tcW w:w="1530" w:type="dxa"/>
          </w:tcPr>
          <w:p w:rsidR="00BF44D5" w:rsidRPr="00FD4C58" w:rsidRDefault="00BF44D5" w:rsidP="00FE62A8">
            <w:pPr>
              <w:spacing w:after="120"/>
              <w:rPr>
                <w:i/>
                <w:sz w:val="20"/>
                <w:szCs w:val="20"/>
              </w:rPr>
            </w:pPr>
            <w:r w:rsidRPr="00FD4C58">
              <w:rPr>
                <w:i/>
                <w:sz w:val="20"/>
                <w:szCs w:val="20"/>
              </w:rPr>
              <w:t>0.</w:t>
            </w:r>
            <w:r w:rsidR="0030551D">
              <w:rPr>
                <w:i/>
                <w:sz w:val="20"/>
                <w:szCs w:val="20"/>
              </w:rPr>
              <w:t>51 pounds per hour per megawatt</w:t>
            </w:r>
            <w:r w:rsidRPr="00FD4C58">
              <w:rPr>
                <w:i/>
                <w:sz w:val="20"/>
                <w:szCs w:val="20"/>
              </w:rPr>
              <w:t>, or</w:t>
            </w:r>
          </w:p>
          <w:p w:rsidR="00BF44D5" w:rsidRPr="00FD4C58" w:rsidRDefault="00BF44D5" w:rsidP="00FE62A8">
            <w:pPr>
              <w:spacing w:after="120"/>
              <w:rPr>
                <w:bCs/>
                <w:i/>
                <w:iCs/>
                <w:sz w:val="20"/>
                <w:szCs w:val="20"/>
              </w:rPr>
            </w:pPr>
            <w:r w:rsidRPr="00FD4C58">
              <w:rPr>
                <w:i/>
                <w:sz w:val="20"/>
                <w:szCs w:val="20"/>
              </w:rPr>
              <w:t xml:space="preserve">0.015 grains per dry standard cubic foot </w:t>
            </w:r>
          </w:p>
          <w:p w:rsidR="00BF44D5" w:rsidRPr="00FD4C58" w:rsidRDefault="00BF44D5" w:rsidP="0030551D">
            <w:pPr>
              <w:spacing w:after="120"/>
              <w:rPr>
                <w:i/>
                <w:sz w:val="20"/>
                <w:szCs w:val="20"/>
              </w:rPr>
            </w:pPr>
            <w:r w:rsidRPr="00FD4C58">
              <w:rPr>
                <w:bCs/>
                <w:i/>
                <w:iCs/>
                <w:sz w:val="20"/>
                <w:szCs w:val="20"/>
              </w:rPr>
              <w:t>Crushing and screening equipment</w:t>
            </w:r>
            <w:r w:rsidRPr="00FD4C58">
              <w:rPr>
                <w:bCs/>
                <w:i/>
                <w:sz w:val="20"/>
                <w:szCs w:val="20"/>
              </w:rPr>
              <w:t>— particulate ma</w:t>
            </w:r>
            <w:r w:rsidR="0028467F">
              <w:rPr>
                <w:bCs/>
                <w:i/>
                <w:sz w:val="20"/>
                <w:szCs w:val="20"/>
              </w:rPr>
              <w:t>tter 0.022 gr/dscf</w:t>
            </w:r>
          </w:p>
        </w:tc>
        <w:tc>
          <w:tcPr>
            <w:tcW w:w="1711" w:type="dxa"/>
          </w:tcPr>
          <w:p w:rsidR="00BF44D5" w:rsidRPr="0076203F" w:rsidRDefault="0076203F" w:rsidP="00FE62A8">
            <w:pPr>
              <w:spacing w:after="120"/>
              <w:rPr>
                <w:i/>
                <w:sz w:val="20"/>
                <w:szCs w:val="20"/>
              </w:rPr>
            </w:pPr>
            <w:r w:rsidRPr="0076203F">
              <w:rPr>
                <w:i/>
                <w:sz w:val="20"/>
                <w:szCs w:val="20"/>
              </w:rPr>
              <w:t xml:space="preserve">Electric Arc Furnace </w:t>
            </w:r>
            <w:r w:rsidR="00BF44D5" w:rsidRPr="0076203F">
              <w:rPr>
                <w:i/>
                <w:sz w:val="20"/>
                <w:szCs w:val="20"/>
              </w:rPr>
              <w:t>Best Available Control Technology limit</w:t>
            </w:r>
          </w:p>
        </w:tc>
        <w:tc>
          <w:tcPr>
            <w:tcW w:w="1686" w:type="dxa"/>
          </w:tcPr>
          <w:p w:rsidR="00BF44D5" w:rsidRPr="00FD4C58" w:rsidRDefault="00BF44D5" w:rsidP="00BF44D5">
            <w:pPr>
              <w:spacing w:after="120"/>
              <w:rPr>
                <w:i/>
                <w:sz w:val="20"/>
                <w:szCs w:val="20"/>
              </w:rPr>
            </w:pPr>
            <w:r w:rsidRPr="00BF44D5">
              <w:rPr>
                <w:i/>
                <w:sz w:val="20"/>
                <w:szCs w:val="20"/>
              </w:rPr>
              <w:t>particulate matter  0.0018 gr/dscf</w:t>
            </w:r>
          </w:p>
        </w:tc>
      </w:tr>
      <w:tr w:rsidR="00BF44D5" w:rsidRPr="00FD4C58" w:rsidTr="007F0FA8">
        <w:trPr>
          <w:jc w:val="center"/>
        </w:trPr>
        <w:tc>
          <w:tcPr>
            <w:tcW w:w="1680" w:type="dxa"/>
            <w:shd w:val="clear" w:color="auto" w:fill="auto"/>
          </w:tcPr>
          <w:p w:rsidR="00BF44D5" w:rsidRPr="00FD4C58" w:rsidRDefault="00BF44D5" w:rsidP="00FE62A8">
            <w:pPr>
              <w:spacing w:after="120"/>
              <w:rPr>
                <w:i/>
                <w:sz w:val="20"/>
                <w:szCs w:val="20"/>
              </w:rPr>
            </w:pPr>
          </w:p>
        </w:tc>
        <w:tc>
          <w:tcPr>
            <w:tcW w:w="1717" w:type="dxa"/>
            <w:shd w:val="clear" w:color="auto" w:fill="auto"/>
          </w:tcPr>
          <w:p w:rsidR="00BF44D5" w:rsidRPr="00FD4C58" w:rsidRDefault="00BF44D5" w:rsidP="007B04B7">
            <w:pPr>
              <w:spacing w:after="120"/>
              <w:rPr>
                <w:i/>
                <w:sz w:val="20"/>
                <w:szCs w:val="20"/>
              </w:rPr>
            </w:pPr>
            <w:r w:rsidRPr="00FD4C58">
              <w:rPr>
                <w:i/>
                <w:sz w:val="20"/>
                <w:szCs w:val="20"/>
              </w:rPr>
              <w:t xml:space="preserve">20 </w:t>
            </w:r>
            <w:r>
              <w:rPr>
                <w:i/>
                <w:sz w:val="20"/>
                <w:szCs w:val="20"/>
              </w:rPr>
              <w:t>%</w:t>
            </w:r>
            <w:r w:rsidRPr="00FD4C58">
              <w:rPr>
                <w:i/>
                <w:sz w:val="20"/>
                <w:szCs w:val="20"/>
              </w:rPr>
              <w:t xml:space="preserve"> opacity</w:t>
            </w:r>
          </w:p>
        </w:tc>
        <w:tc>
          <w:tcPr>
            <w:tcW w:w="1647" w:type="dxa"/>
            <w:shd w:val="clear" w:color="auto" w:fill="auto"/>
          </w:tcPr>
          <w:p w:rsidR="00BF44D5" w:rsidRPr="00FD4C58" w:rsidRDefault="00BF44D5" w:rsidP="00FE62A8">
            <w:pPr>
              <w:spacing w:after="120"/>
              <w:rPr>
                <w:i/>
                <w:sz w:val="20"/>
                <w:szCs w:val="20"/>
              </w:rPr>
            </w:pPr>
          </w:p>
        </w:tc>
        <w:tc>
          <w:tcPr>
            <w:tcW w:w="1682" w:type="dxa"/>
            <w:shd w:val="clear" w:color="auto" w:fill="auto"/>
          </w:tcPr>
          <w:p w:rsidR="00BF44D5" w:rsidRPr="00FD4C58" w:rsidRDefault="00BF44D5" w:rsidP="0028467F">
            <w:pPr>
              <w:spacing w:after="120"/>
              <w:rPr>
                <w:i/>
                <w:sz w:val="20"/>
                <w:szCs w:val="20"/>
              </w:rPr>
            </w:pPr>
            <w:r w:rsidRPr="00FD4C58">
              <w:rPr>
                <w:i/>
                <w:sz w:val="20"/>
                <w:szCs w:val="20"/>
              </w:rPr>
              <w:t xml:space="preserve">15 </w:t>
            </w:r>
            <w:r>
              <w:rPr>
                <w:i/>
                <w:sz w:val="20"/>
                <w:szCs w:val="20"/>
              </w:rPr>
              <w:t>%</w:t>
            </w:r>
            <w:r w:rsidRPr="00FD4C58">
              <w:rPr>
                <w:i/>
                <w:sz w:val="20"/>
                <w:szCs w:val="20"/>
              </w:rPr>
              <w:t xml:space="preserve"> opacity </w:t>
            </w:r>
          </w:p>
        </w:tc>
        <w:tc>
          <w:tcPr>
            <w:tcW w:w="1802" w:type="dxa"/>
          </w:tcPr>
          <w:p w:rsidR="00BF44D5" w:rsidRPr="00FD4C58" w:rsidRDefault="00BF44D5" w:rsidP="00FE62A8">
            <w:pPr>
              <w:spacing w:after="120"/>
              <w:rPr>
                <w:b/>
                <w:bCs/>
                <w:i/>
                <w:sz w:val="20"/>
                <w:szCs w:val="20"/>
              </w:rPr>
            </w:pPr>
          </w:p>
        </w:tc>
        <w:tc>
          <w:tcPr>
            <w:tcW w:w="1530" w:type="dxa"/>
          </w:tcPr>
          <w:p w:rsidR="00BF44D5" w:rsidRPr="00FD4C58" w:rsidRDefault="00BF44D5" w:rsidP="007B04B7">
            <w:pPr>
              <w:spacing w:after="120"/>
              <w:rPr>
                <w:bCs/>
                <w:i/>
                <w:sz w:val="20"/>
                <w:szCs w:val="20"/>
              </w:rPr>
            </w:pPr>
            <w:r w:rsidRPr="00FD4C58">
              <w:rPr>
                <w:bCs/>
                <w:i/>
                <w:iCs/>
                <w:sz w:val="20"/>
                <w:szCs w:val="20"/>
              </w:rPr>
              <w:t xml:space="preserve">20 </w:t>
            </w:r>
            <w:r>
              <w:rPr>
                <w:bCs/>
                <w:i/>
                <w:iCs/>
                <w:sz w:val="20"/>
                <w:szCs w:val="20"/>
              </w:rPr>
              <w:t>%</w:t>
            </w:r>
            <w:r w:rsidRPr="00FD4C58">
              <w:rPr>
                <w:bCs/>
                <w:i/>
                <w:iCs/>
                <w:sz w:val="20"/>
                <w:szCs w:val="20"/>
              </w:rPr>
              <w:t xml:space="preserve"> opacity </w:t>
            </w:r>
          </w:p>
        </w:tc>
        <w:tc>
          <w:tcPr>
            <w:tcW w:w="1711" w:type="dxa"/>
          </w:tcPr>
          <w:p w:rsidR="00BF44D5" w:rsidRPr="00FD4C58" w:rsidRDefault="00BF44D5" w:rsidP="007B04B7">
            <w:pPr>
              <w:spacing w:after="120"/>
              <w:rPr>
                <w:bCs/>
                <w:i/>
                <w:iCs/>
                <w:sz w:val="20"/>
                <w:szCs w:val="20"/>
              </w:rPr>
            </w:pPr>
          </w:p>
        </w:tc>
        <w:tc>
          <w:tcPr>
            <w:tcW w:w="1686" w:type="dxa"/>
          </w:tcPr>
          <w:p w:rsidR="00BF44D5" w:rsidRPr="00FD4C58" w:rsidRDefault="00BF44D5" w:rsidP="007B04B7">
            <w:pPr>
              <w:spacing w:after="120"/>
              <w:rPr>
                <w:bCs/>
                <w:i/>
                <w:iCs/>
                <w:sz w:val="20"/>
                <w:szCs w:val="20"/>
              </w:rPr>
            </w:pPr>
          </w:p>
        </w:tc>
      </w:tr>
    </w:tbl>
    <w:p w:rsidR="00247693" w:rsidRDefault="00247693" w:rsidP="00FE62A8">
      <w:pPr>
        <w:spacing w:after="120"/>
        <w:rPr>
          <w:i/>
        </w:rPr>
        <w:sectPr w:rsidR="00247693" w:rsidSect="00247693">
          <w:pgSz w:w="15840" w:h="12240" w:orient="landscape"/>
          <w:pgMar w:top="1800" w:right="1440" w:bottom="1800" w:left="1440" w:header="720" w:footer="720" w:gutter="0"/>
          <w:cols w:space="720"/>
          <w:docGrid w:linePitch="360"/>
        </w:sectPr>
      </w:pPr>
    </w:p>
    <w:p w:rsidR="00FD4C58" w:rsidRPr="00FD4C58" w:rsidRDefault="00FD4C58" w:rsidP="00FE62A8">
      <w:pPr>
        <w:spacing w:after="120"/>
        <w:rPr>
          <w:i/>
        </w:rPr>
      </w:pPr>
    </w:p>
    <w:p w:rsidR="00CE3E1B" w:rsidRPr="00EA6300" w:rsidRDefault="00FD4C58" w:rsidP="00C70D63">
      <w:pPr>
        <w:spacing w:after="120"/>
        <w:rPr>
          <w:i/>
        </w:rPr>
      </w:pPr>
      <w:r w:rsidRPr="00FD4C58">
        <w:rPr>
          <w:i/>
        </w:rPr>
        <w:t xml:space="preserve">The table above compares DEQ’s </w:t>
      </w:r>
      <w:r w:rsidR="000F6AD1" w:rsidRPr="000F6AD1">
        <w:rPr>
          <w:bCs/>
          <w:i/>
        </w:rPr>
        <w:t>Laterite Ore Production of Ferronickel</w:t>
      </w:r>
      <w:r w:rsidR="000F6AD1">
        <w:rPr>
          <w:bCs/>
          <w:i/>
        </w:rPr>
        <w:t xml:space="preserve"> </w:t>
      </w:r>
      <w:r w:rsidRPr="00FD4C58">
        <w:rPr>
          <w:i/>
        </w:rPr>
        <w:t xml:space="preserve">rules </w:t>
      </w:r>
      <w:r w:rsidR="000F6AD1">
        <w:rPr>
          <w:i/>
        </w:rPr>
        <w:t>adopted in 1972</w:t>
      </w:r>
      <w:r w:rsidRPr="00FD4C58">
        <w:rPr>
          <w:i/>
        </w:rPr>
        <w:t xml:space="preserve"> with EPA’s New Source Performance Standards and National Emission Standards for Hazardous Air Pollutants, rules which would apply to any new </w:t>
      </w:r>
      <w:r w:rsidR="001149D3" w:rsidRPr="001149D3">
        <w:rPr>
          <w:i/>
        </w:rPr>
        <w:t>Ferroalloy Production Facility</w:t>
      </w:r>
      <w:r w:rsidRPr="00FD4C58">
        <w:rPr>
          <w:i/>
        </w:rPr>
        <w:t xml:space="preserve"> in the state</w:t>
      </w:r>
      <w:r w:rsidR="00415B92">
        <w:rPr>
          <w:i/>
        </w:rPr>
        <w:t xml:space="preserve">. </w:t>
      </w:r>
      <w:r w:rsidR="007F0FA8" w:rsidRPr="0010535F">
        <w:rPr>
          <w:i/>
        </w:rPr>
        <w:t>Glenbrook Nickel was the only ferronickel smelter in the country</w:t>
      </w:r>
      <w:r w:rsidR="00415B92">
        <w:rPr>
          <w:i/>
        </w:rPr>
        <w:t xml:space="preserve">. </w:t>
      </w:r>
      <w:r w:rsidR="00CE3E1B">
        <w:rPr>
          <w:i/>
        </w:rPr>
        <w:t xml:space="preserve">EPA was working on a </w:t>
      </w:r>
      <w:r w:rsidR="00D74A70" w:rsidRPr="00D74A70">
        <w:rPr>
          <w:i/>
        </w:rPr>
        <w:t>National Emission Standards for Hazardous Air Pollutants,</w:t>
      </w:r>
      <w:r w:rsidR="00CE3E1B">
        <w:rPr>
          <w:i/>
        </w:rPr>
        <w:t xml:space="preserve"> specifically for Glenbrook Nickel but </w:t>
      </w:r>
      <w:r w:rsidR="00C70D63">
        <w:rPr>
          <w:i/>
        </w:rPr>
        <w:t>withdrew the proposed rule</w:t>
      </w:r>
      <w:r w:rsidR="00415B92">
        <w:rPr>
          <w:i/>
        </w:rPr>
        <w:t xml:space="preserve">. </w:t>
      </w:r>
      <w:r w:rsidR="00C70D63">
        <w:rPr>
          <w:i/>
        </w:rPr>
        <w:t xml:space="preserve">The following information is from the </w:t>
      </w:r>
      <w:r w:rsidR="00C70D63" w:rsidRPr="00C70D63">
        <w:rPr>
          <w:i/>
        </w:rPr>
        <w:t>Technical Document for Promulgation of Standards:</w:t>
      </w:r>
      <w:r w:rsidR="00C70D63">
        <w:rPr>
          <w:i/>
        </w:rPr>
        <w:t xml:space="preserve"> National Emission S</w:t>
      </w:r>
      <w:r w:rsidR="00C70D63" w:rsidRPr="00C70D63">
        <w:rPr>
          <w:i/>
        </w:rPr>
        <w:t>tandards for Ferroalloys Production: Ferromanganese and Silicomanganese</w:t>
      </w:r>
      <w:r w:rsidR="00C70D63">
        <w:rPr>
          <w:i/>
        </w:rPr>
        <w:t xml:space="preserve"> </w:t>
      </w:r>
      <w:r w:rsidR="00C70D63" w:rsidRPr="00C70D63">
        <w:rPr>
          <w:i/>
        </w:rPr>
        <w:t xml:space="preserve">Comment and </w:t>
      </w:r>
      <w:r w:rsidR="00C70D63" w:rsidRPr="00EA6300">
        <w:rPr>
          <w:i/>
        </w:rPr>
        <w:t xml:space="preserve">Response Summary (April 13, 1999): </w:t>
      </w:r>
    </w:p>
    <w:p w:rsidR="00C70D63" w:rsidRPr="00EA6300" w:rsidRDefault="00C70D63" w:rsidP="00C70D63">
      <w:pPr>
        <w:spacing w:after="120"/>
        <w:ind w:left="720"/>
        <w:rPr>
          <w:i/>
        </w:rPr>
      </w:pPr>
      <w:r w:rsidRPr="00EA6300">
        <w:rPr>
          <w:i/>
        </w:rPr>
        <w:t xml:space="preserve">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w:t>
      </w:r>
      <w:r w:rsidR="00A714FD" w:rsidRPr="00EA6300">
        <w:rPr>
          <w:i/>
        </w:rPr>
        <w:t>Maximum Achievable Control Technology</w:t>
      </w:r>
      <w:r w:rsidRPr="00EA6300">
        <w:rPr>
          <w:i/>
        </w:rPr>
        <w:t xml:space="preserve"> standard. In any case, in the unlikely event a new ferronickel furnace were to be built, it would likely be subject to new source review requirements for particulate matter and section 112(g) preconstruction review for HAP.</w:t>
      </w:r>
    </w:p>
    <w:p w:rsidR="0004032D" w:rsidRDefault="00FE62A8" w:rsidP="006D7C0C">
      <w:pPr>
        <w:spacing w:after="120"/>
        <w:rPr>
          <w:i/>
        </w:rPr>
      </w:pPr>
      <w:r w:rsidRPr="00EA6300">
        <w:rPr>
          <w:i/>
        </w:rPr>
        <w:t xml:space="preserve">The </w:t>
      </w:r>
      <w:r w:rsidR="00D74A70" w:rsidRPr="00EA6300">
        <w:rPr>
          <w:i/>
        </w:rPr>
        <w:t>National Emission Standards for Hazardous Air Pollutants</w:t>
      </w:r>
      <w:r w:rsidRPr="00EA6300">
        <w:rPr>
          <w:i/>
        </w:rPr>
        <w:t xml:space="preserve"> </w:t>
      </w:r>
      <w:r w:rsidR="00C70D63" w:rsidRPr="00EA6300">
        <w:rPr>
          <w:i/>
        </w:rPr>
        <w:t xml:space="preserve">for Ferroalloys Production: Ferromanganese and Silicomanganese </w:t>
      </w:r>
      <w:r w:rsidRPr="00EA6300">
        <w:rPr>
          <w:i/>
        </w:rPr>
        <w:t xml:space="preserve">is </w:t>
      </w:r>
      <w:r w:rsidR="00C70D63" w:rsidRPr="00EA6300">
        <w:rPr>
          <w:i/>
        </w:rPr>
        <w:t xml:space="preserve">the closest </w:t>
      </w:r>
      <w:r w:rsidR="00D74A70" w:rsidRPr="00EA6300">
        <w:rPr>
          <w:i/>
        </w:rPr>
        <w:t>standard</w:t>
      </w:r>
      <w:r w:rsidR="00C70D63" w:rsidRPr="00EA6300">
        <w:rPr>
          <w:i/>
        </w:rPr>
        <w:t xml:space="preserve"> available and is </w:t>
      </w:r>
      <w:r w:rsidRPr="00EA6300">
        <w:rPr>
          <w:i/>
        </w:rPr>
        <w:t xml:space="preserve">much more stringent </w:t>
      </w:r>
      <w:r w:rsidR="00C70D63" w:rsidRPr="00EA6300">
        <w:rPr>
          <w:i/>
        </w:rPr>
        <w:t xml:space="preserve">with </w:t>
      </w:r>
      <w:r w:rsidRPr="00EA6300">
        <w:rPr>
          <w:i/>
        </w:rPr>
        <w:t xml:space="preserve">a 0.015 </w:t>
      </w:r>
      <w:r w:rsidR="00EA6300" w:rsidRPr="00EA6300">
        <w:rPr>
          <w:i/>
        </w:rPr>
        <w:t xml:space="preserve">grains per dry standard cubic foot </w:t>
      </w:r>
      <w:r w:rsidRPr="00EA6300">
        <w:rPr>
          <w:i/>
        </w:rPr>
        <w:t>limit, which calculates</w:t>
      </w:r>
      <w:r w:rsidRPr="00FE62A8">
        <w:rPr>
          <w:i/>
        </w:rPr>
        <w:t xml:space="preserve"> to 0.6</w:t>
      </w:r>
      <w:r w:rsidR="00BC7377">
        <w:rPr>
          <w:i/>
        </w:rPr>
        <w:t>6</w:t>
      </w:r>
      <w:r w:rsidRPr="00FE62A8">
        <w:rPr>
          <w:i/>
        </w:rPr>
        <w:t xml:space="preserve"> pounds per ton of </w:t>
      </w:r>
      <w:r w:rsidR="00BC7377">
        <w:rPr>
          <w:i/>
        </w:rPr>
        <w:t>dry laterite ore produced</w:t>
      </w:r>
      <w:r w:rsidR="00E32373">
        <w:rPr>
          <w:i/>
        </w:rPr>
        <w:t xml:space="preserve"> from the electric arc furnace</w:t>
      </w:r>
      <w:r w:rsidR="00BC7377">
        <w:rPr>
          <w:i/>
        </w:rPr>
        <w:t xml:space="preserve">. </w:t>
      </w:r>
      <w:r w:rsidR="00213F68">
        <w:rPr>
          <w:i/>
        </w:rPr>
        <w:t xml:space="preserve">The emission factor used in the Glenbrook Nickel permit for the electric arc furnace baghouses was 1.786 pounds per ton of dry Laterite ore produced, almost three times higher than the </w:t>
      </w:r>
      <w:r w:rsidR="00D74A70" w:rsidRPr="00D74A70">
        <w:rPr>
          <w:i/>
        </w:rPr>
        <w:t>National Emission Standar</w:t>
      </w:r>
      <w:r w:rsidR="00D74A70">
        <w:rPr>
          <w:i/>
        </w:rPr>
        <w:t>ds for Hazardous Air Pollutants</w:t>
      </w:r>
      <w:r w:rsidR="007F0FA8">
        <w:rPr>
          <w:i/>
        </w:rPr>
        <w:t xml:space="preserve"> limit. </w:t>
      </w:r>
      <w:r w:rsidR="006B2E95">
        <w:rPr>
          <w:i/>
        </w:rPr>
        <w:t xml:space="preserve">The </w:t>
      </w:r>
      <w:r w:rsidR="00D74A70" w:rsidRPr="00D74A70">
        <w:rPr>
          <w:i/>
        </w:rPr>
        <w:t>National Emission Standa</w:t>
      </w:r>
      <w:r w:rsidR="00D74A70">
        <w:rPr>
          <w:i/>
        </w:rPr>
        <w:t>rds for Hazardous Air Pollutants</w:t>
      </w:r>
      <w:r w:rsidR="006B2E95">
        <w:rPr>
          <w:i/>
        </w:rPr>
        <w:t xml:space="preserve"> also includes a grain loading limit for crushing and screening equipment (0.022 </w:t>
      </w:r>
      <w:r w:rsidR="00EA6300" w:rsidRPr="00EA6300">
        <w:rPr>
          <w:i/>
        </w:rPr>
        <w:t>grains per dry standard cubic foot</w:t>
      </w:r>
      <w:r w:rsidR="006B2E95">
        <w:rPr>
          <w:i/>
        </w:rPr>
        <w:t xml:space="preserve">) which is lower than the OAR limit for this type of equipment (0.1 </w:t>
      </w:r>
      <w:r w:rsidR="00EA6300" w:rsidRPr="00EA6300">
        <w:rPr>
          <w:i/>
        </w:rPr>
        <w:t>grains per dry standard cubic foot</w:t>
      </w:r>
      <w:r w:rsidR="006B2E95">
        <w:rPr>
          <w:i/>
        </w:rPr>
        <w:t xml:space="preserve">). </w:t>
      </w:r>
      <w:r w:rsidR="00FD4C58" w:rsidRPr="006D7C0C">
        <w:rPr>
          <w:i/>
        </w:rPr>
        <w:t xml:space="preserve">The </w:t>
      </w:r>
      <w:r w:rsidR="00C014E9" w:rsidRPr="00C014E9">
        <w:rPr>
          <w:i/>
        </w:rPr>
        <w:t>New Source Performance Standard</w:t>
      </w:r>
      <w:r w:rsidR="00FD4C58" w:rsidRPr="006D7C0C">
        <w:rPr>
          <w:i/>
        </w:rPr>
        <w:t xml:space="preserve"> opacity limit for </w:t>
      </w:r>
      <w:r w:rsidR="006D7C0C" w:rsidRPr="006D7C0C">
        <w:rPr>
          <w:i/>
        </w:rPr>
        <w:t>Ferroalloy Production Facilities (15</w:t>
      </w:r>
      <w:r w:rsidR="00FD4C58" w:rsidRPr="006D7C0C">
        <w:rPr>
          <w:i/>
        </w:rPr>
        <w:t xml:space="preserve">%) is </w:t>
      </w:r>
      <w:r w:rsidR="006D7C0C" w:rsidRPr="006D7C0C">
        <w:rPr>
          <w:i/>
        </w:rPr>
        <w:t xml:space="preserve">lower </w:t>
      </w:r>
      <w:r w:rsidR="00FD4C58" w:rsidRPr="006D7C0C">
        <w:rPr>
          <w:i/>
        </w:rPr>
        <w:t>t</w:t>
      </w:r>
      <w:r w:rsidR="006D7C0C" w:rsidRPr="006D7C0C">
        <w:rPr>
          <w:i/>
        </w:rPr>
        <w:t xml:space="preserve">han the DEQ and </w:t>
      </w:r>
      <w:r w:rsidR="00D74A70" w:rsidRPr="00D74A70">
        <w:rPr>
          <w:i/>
        </w:rPr>
        <w:t>National Emission Standar</w:t>
      </w:r>
      <w:r w:rsidR="00D74A70">
        <w:rPr>
          <w:i/>
        </w:rPr>
        <w:t>ds for Hazardous Air Pollutants</w:t>
      </w:r>
      <w:r w:rsidR="006D7C0C" w:rsidRPr="006D7C0C">
        <w:rPr>
          <w:i/>
        </w:rPr>
        <w:t xml:space="preserve"> limits (2</w:t>
      </w:r>
      <w:r w:rsidR="00FD4C58" w:rsidRPr="006D7C0C">
        <w:rPr>
          <w:i/>
        </w:rPr>
        <w:t>0%)</w:t>
      </w:r>
      <w:r w:rsidR="00415B92">
        <w:rPr>
          <w:i/>
        </w:rPr>
        <w:t xml:space="preserve">. </w:t>
      </w:r>
    </w:p>
    <w:p w:rsidR="00FD4C58" w:rsidRDefault="004149DE" w:rsidP="0004032D">
      <w:pPr>
        <w:spacing w:after="120"/>
        <w:rPr>
          <w:i/>
        </w:rPr>
      </w:pPr>
      <w:r>
        <w:rPr>
          <w:i/>
        </w:rPr>
        <w:t>The table above also includes a Best Available Control Technology limit for a</w:t>
      </w:r>
      <w:r w:rsidR="0004032D" w:rsidRPr="0004032D">
        <w:rPr>
          <w:i/>
        </w:rPr>
        <w:t xml:space="preserve">n </w:t>
      </w:r>
      <w:r w:rsidR="0004032D">
        <w:rPr>
          <w:i/>
        </w:rPr>
        <w:t>electric arc furnace</w:t>
      </w:r>
      <w:r w:rsidR="0004032D" w:rsidRPr="0004032D">
        <w:rPr>
          <w:i/>
        </w:rPr>
        <w:t xml:space="preserve"> </w:t>
      </w:r>
      <w:r>
        <w:rPr>
          <w:i/>
        </w:rPr>
        <w:t xml:space="preserve">that </w:t>
      </w:r>
      <w:r w:rsidR="0004032D" w:rsidRPr="0004032D">
        <w:rPr>
          <w:i/>
        </w:rPr>
        <w:t xml:space="preserve">triggered Prevention of Significant Deterioration in </w:t>
      </w:r>
      <w:r w:rsidR="0004032D">
        <w:rPr>
          <w:i/>
        </w:rPr>
        <w:t xml:space="preserve">Arkansas </w:t>
      </w:r>
      <w:r w:rsidR="0004032D" w:rsidRPr="0004032D">
        <w:rPr>
          <w:i/>
        </w:rPr>
        <w:t>in 200</w:t>
      </w:r>
      <w:r>
        <w:rPr>
          <w:i/>
        </w:rPr>
        <w:t xml:space="preserve">4. The </w:t>
      </w:r>
      <w:r w:rsidR="0004032D" w:rsidRPr="0004032D">
        <w:rPr>
          <w:i/>
        </w:rPr>
        <w:t>Best Available Control Technology limit</w:t>
      </w:r>
      <w:r w:rsidR="0004032D">
        <w:rPr>
          <w:i/>
        </w:rPr>
        <w:t xml:space="preserve"> of 0.0018 </w:t>
      </w:r>
      <w:r w:rsidR="00EA6300" w:rsidRPr="00EA6300">
        <w:rPr>
          <w:i/>
        </w:rPr>
        <w:t xml:space="preserve">grains per dry standard cubic foot </w:t>
      </w:r>
      <w:r w:rsidR="0004032D">
        <w:rPr>
          <w:i/>
        </w:rPr>
        <w:t xml:space="preserve">was set for particulate matter emissions, even lower than the </w:t>
      </w:r>
      <w:r w:rsidR="00D74A70" w:rsidRPr="00D74A70">
        <w:rPr>
          <w:i/>
        </w:rPr>
        <w:t>National Emission Standar</w:t>
      </w:r>
      <w:r w:rsidR="00D74A70">
        <w:rPr>
          <w:i/>
        </w:rPr>
        <w:t>ds for Hazardous Air Pollutants</w:t>
      </w:r>
      <w:r w:rsidR="0004032D">
        <w:rPr>
          <w:i/>
        </w:rPr>
        <w:t xml:space="preserve"> limit of 0.015 </w:t>
      </w:r>
      <w:r w:rsidR="00EA6300" w:rsidRPr="00EA6300">
        <w:rPr>
          <w:i/>
        </w:rPr>
        <w:t>grains per dry standard cubic foot</w:t>
      </w:r>
      <w:r w:rsidR="0004032D">
        <w:rPr>
          <w:i/>
        </w:rPr>
        <w:t xml:space="preserve">. </w:t>
      </w:r>
      <w:r w:rsidR="0004032D" w:rsidRPr="0004032D">
        <w:rPr>
          <w:i/>
        </w:rPr>
        <w:t xml:space="preserve">Any </w:t>
      </w:r>
      <w:r w:rsidR="00CC64AC">
        <w:rPr>
          <w:i/>
        </w:rPr>
        <w:t xml:space="preserve">new </w:t>
      </w:r>
      <w:r w:rsidR="0004032D">
        <w:rPr>
          <w:i/>
        </w:rPr>
        <w:t>electric arc furnace producing f</w:t>
      </w:r>
      <w:r w:rsidR="0004032D" w:rsidRPr="0004032D">
        <w:rPr>
          <w:bCs/>
          <w:i/>
        </w:rPr>
        <w:t xml:space="preserve">erronickel </w:t>
      </w:r>
      <w:r w:rsidR="0004032D">
        <w:rPr>
          <w:bCs/>
          <w:i/>
        </w:rPr>
        <w:t>from laterite o</w:t>
      </w:r>
      <w:r w:rsidR="0004032D" w:rsidRPr="0004032D">
        <w:rPr>
          <w:bCs/>
          <w:i/>
        </w:rPr>
        <w:t xml:space="preserve">re </w:t>
      </w:r>
      <w:r w:rsidR="0004032D" w:rsidRPr="0004032D">
        <w:rPr>
          <w:i/>
        </w:rPr>
        <w:t xml:space="preserve">in Oregon would also trigger PSD and would be subject to standards at least as restrictive as those for the </w:t>
      </w:r>
      <w:r w:rsidR="0004032D">
        <w:rPr>
          <w:i/>
        </w:rPr>
        <w:t>Arkansas</w:t>
      </w:r>
      <w:r w:rsidR="0004032D" w:rsidRPr="0004032D">
        <w:rPr>
          <w:i/>
        </w:rPr>
        <w:t xml:space="preserve"> facility</w:t>
      </w:r>
      <w:r w:rsidR="00415B92">
        <w:rPr>
          <w:i/>
        </w:rPr>
        <w:t xml:space="preserve">. </w:t>
      </w:r>
      <w:r w:rsidR="006B2E95" w:rsidRPr="006B2E95">
        <w:rPr>
          <w:i/>
        </w:rPr>
        <w:t xml:space="preserve">Therefore, repealing the </w:t>
      </w:r>
      <w:r w:rsidR="006B2E95" w:rsidRPr="006B2E95">
        <w:rPr>
          <w:bCs/>
          <w:i/>
        </w:rPr>
        <w:t xml:space="preserve">Laterite Ore Production of Ferronickel </w:t>
      </w:r>
      <w:r w:rsidR="006B2E95" w:rsidRPr="006B2E95">
        <w:rPr>
          <w:i/>
        </w:rPr>
        <w:t>rules will not weaken DEQ’s air permitting program</w:t>
      </w:r>
      <w:r w:rsidR="00415B92">
        <w:rPr>
          <w:i/>
        </w:rPr>
        <w:t xml:space="preserve">. </w:t>
      </w:r>
    </w:p>
    <w:p w:rsidR="00247693" w:rsidRDefault="00247693" w:rsidP="0004032D">
      <w:pPr>
        <w:spacing w:after="120"/>
        <w:rPr>
          <w:bCs/>
          <w:i/>
          <w:iCs/>
        </w:rPr>
        <w:sectPr w:rsidR="00247693" w:rsidSect="00247693">
          <w:pgSz w:w="12240" w:h="15840"/>
          <w:pgMar w:top="1440" w:right="1800" w:bottom="1440" w:left="1800" w:header="720" w:footer="720" w:gutter="0"/>
          <w:cols w:space="720"/>
          <w:docGrid w:linePitch="360"/>
        </w:sectPr>
      </w:pPr>
    </w:p>
    <w:tbl>
      <w:tblPr>
        <w:tblW w:w="13318" w:type="dxa"/>
        <w:jc w:val="center"/>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E15A18" w:rsidRPr="00827EEE" w:rsidTr="000012BF">
        <w:trPr>
          <w:trHeight w:val="204"/>
          <w:tblHeader/>
          <w:jc w:val="center"/>
        </w:trPr>
        <w:tc>
          <w:tcPr>
            <w:tcW w:w="13318" w:type="dxa"/>
            <w:gridSpan w:val="6"/>
            <w:shd w:val="clear" w:color="auto" w:fill="auto"/>
          </w:tcPr>
          <w:p w:rsidR="00E15A18" w:rsidRDefault="00E15A18" w:rsidP="00DD5F3A">
            <w:pPr>
              <w:jc w:val="center"/>
              <w:rPr>
                <w:i/>
              </w:rPr>
            </w:pPr>
            <w:r>
              <w:rPr>
                <w:i/>
              </w:rPr>
              <w:lastRenderedPageBreak/>
              <w:br w:type="page"/>
            </w:r>
            <w:r w:rsidRPr="00827EEE">
              <w:rPr>
                <w:b/>
                <w:bCs/>
                <w:i/>
                <w:sz w:val="20"/>
                <w:szCs w:val="20"/>
              </w:rPr>
              <w:t>Charcoal Producing Plant Rule Comparison</w:t>
            </w:r>
          </w:p>
        </w:tc>
      </w:tr>
      <w:tr w:rsidR="00E15A18" w:rsidRPr="00827EEE" w:rsidTr="00E15A18">
        <w:trPr>
          <w:trHeight w:val="204"/>
          <w:tblHeader/>
          <w:jc w:val="center"/>
        </w:trPr>
        <w:tc>
          <w:tcPr>
            <w:tcW w:w="4409" w:type="dxa"/>
            <w:gridSpan w:val="2"/>
            <w:shd w:val="clear" w:color="auto" w:fill="auto"/>
          </w:tcPr>
          <w:p w:rsidR="00E15A18" w:rsidRPr="00827EEE" w:rsidRDefault="00E15A18" w:rsidP="00DD5F3A">
            <w:pPr>
              <w:jc w:val="center"/>
              <w:rPr>
                <w:b/>
                <w:i/>
                <w:sz w:val="20"/>
                <w:szCs w:val="20"/>
              </w:rPr>
            </w:pPr>
            <w:r w:rsidRPr="00827EEE">
              <w:rPr>
                <w:b/>
                <w:i/>
                <w:sz w:val="20"/>
                <w:szCs w:val="20"/>
              </w:rPr>
              <w:br w:type="page"/>
            </w:r>
            <w:r w:rsidRPr="00827EEE">
              <w:rPr>
                <w:b/>
                <w:bCs/>
                <w:i/>
                <w:sz w:val="20"/>
                <w:szCs w:val="20"/>
              </w:rPr>
              <w:t>Charcoal Producing Plant</w:t>
            </w:r>
            <w:r w:rsidRPr="00827EEE">
              <w:rPr>
                <w:b/>
                <w:i/>
                <w:sz w:val="20"/>
                <w:szCs w:val="20"/>
              </w:rPr>
              <w:t xml:space="preserve"> OAR</w:t>
            </w:r>
          </w:p>
        </w:tc>
        <w:tc>
          <w:tcPr>
            <w:tcW w:w="4500" w:type="dxa"/>
            <w:gridSpan w:val="2"/>
            <w:shd w:val="clear" w:color="auto" w:fill="auto"/>
          </w:tcPr>
          <w:p w:rsidR="00E15A18" w:rsidRPr="00827EEE" w:rsidRDefault="00E15A18" w:rsidP="00DD5F3A">
            <w:pPr>
              <w:jc w:val="center"/>
              <w:rPr>
                <w:b/>
                <w:i/>
                <w:sz w:val="20"/>
                <w:szCs w:val="20"/>
              </w:rPr>
            </w:pPr>
            <w:r w:rsidRPr="00827EEE">
              <w:rPr>
                <w:b/>
                <w:i/>
                <w:sz w:val="20"/>
                <w:szCs w:val="20"/>
              </w:rPr>
              <w:t>CFR – NSPS Subpart Y</w:t>
            </w:r>
          </w:p>
        </w:tc>
        <w:tc>
          <w:tcPr>
            <w:tcW w:w="4409" w:type="dxa"/>
            <w:gridSpan w:val="2"/>
          </w:tcPr>
          <w:p w:rsidR="00E15A18" w:rsidRPr="00827EEE" w:rsidRDefault="0015653D" w:rsidP="00DD5F3A">
            <w:pPr>
              <w:jc w:val="center"/>
              <w:rPr>
                <w:b/>
                <w:i/>
                <w:sz w:val="20"/>
                <w:szCs w:val="20"/>
              </w:rPr>
            </w:pPr>
            <w:r>
              <w:rPr>
                <w:b/>
                <w:i/>
                <w:sz w:val="20"/>
                <w:szCs w:val="20"/>
              </w:rPr>
              <w:t>Prevention of Significant Deterioration</w:t>
            </w:r>
          </w:p>
        </w:tc>
      </w:tr>
      <w:tr w:rsidR="0015653D" w:rsidRPr="00827EEE" w:rsidTr="00E15A18">
        <w:trPr>
          <w:tblHeader/>
          <w:jc w:val="center"/>
        </w:trPr>
        <w:tc>
          <w:tcPr>
            <w:tcW w:w="2219" w:type="dxa"/>
            <w:shd w:val="clear" w:color="auto" w:fill="auto"/>
          </w:tcPr>
          <w:p w:rsidR="0015653D" w:rsidRPr="00827EEE" w:rsidRDefault="0015653D" w:rsidP="00DD5F3A">
            <w:pPr>
              <w:jc w:val="center"/>
              <w:rPr>
                <w:b/>
                <w:i/>
                <w:sz w:val="20"/>
                <w:szCs w:val="20"/>
              </w:rPr>
            </w:pPr>
            <w:r w:rsidRPr="00827EEE">
              <w:rPr>
                <w:b/>
                <w:i/>
                <w:sz w:val="20"/>
                <w:szCs w:val="20"/>
              </w:rPr>
              <w:t>SOURCE</w:t>
            </w:r>
          </w:p>
        </w:tc>
        <w:tc>
          <w:tcPr>
            <w:tcW w:w="2190" w:type="dxa"/>
            <w:shd w:val="clear" w:color="auto" w:fill="auto"/>
          </w:tcPr>
          <w:p w:rsidR="0015653D" w:rsidRPr="00827EEE" w:rsidRDefault="0015653D" w:rsidP="00DD5F3A">
            <w:pPr>
              <w:jc w:val="center"/>
              <w:rPr>
                <w:b/>
                <w:i/>
                <w:sz w:val="20"/>
                <w:szCs w:val="20"/>
              </w:rPr>
            </w:pPr>
            <w:r w:rsidRPr="00827EEE">
              <w:rPr>
                <w:b/>
                <w:i/>
                <w:sz w:val="20"/>
                <w:szCs w:val="20"/>
              </w:rPr>
              <w:t>LIMIT</w:t>
            </w:r>
          </w:p>
        </w:tc>
        <w:tc>
          <w:tcPr>
            <w:tcW w:w="2250" w:type="dxa"/>
            <w:shd w:val="clear" w:color="auto" w:fill="auto"/>
          </w:tcPr>
          <w:p w:rsidR="0015653D" w:rsidRPr="00827EEE" w:rsidRDefault="0015653D" w:rsidP="00DD5F3A">
            <w:pPr>
              <w:jc w:val="center"/>
              <w:rPr>
                <w:b/>
                <w:i/>
                <w:sz w:val="20"/>
                <w:szCs w:val="20"/>
              </w:rPr>
            </w:pPr>
            <w:r w:rsidRPr="00827EEE">
              <w:rPr>
                <w:b/>
                <w:i/>
                <w:sz w:val="20"/>
                <w:szCs w:val="20"/>
              </w:rPr>
              <w:t>SOURCE</w:t>
            </w:r>
          </w:p>
        </w:tc>
        <w:tc>
          <w:tcPr>
            <w:tcW w:w="2250" w:type="dxa"/>
            <w:shd w:val="clear" w:color="auto" w:fill="auto"/>
          </w:tcPr>
          <w:p w:rsidR="0015653D" w:rsidRPr="00827EEE" w:rsidRDefault="0015653D" w:rsidP="00DD5F3A">
            <w:pPr>
              <w:jc w:val="center"/>
              <w:rPr>
                <w:b/>
                <w:i/>
                <w:sz w:val="20"/>
                <w:szCs w:val="20"/>
              </w:rPr>
            </w:pPr>
            <w:r w:rsidRPr="00827EEE">
              <w:rPr>
                <w:b/>
                <w:i/>
                <w:sz w:val="20"/>
                <w:szCs w:val="20"/>
              </w:rPr>
              <w:t>LIMIT</w:t>
            </w:r>
          </w:p>
        </w:tc>
        <w:tc>
          <w:tcPr>
            <w:tcW w:w="2189" w:type="dxa"/>
          </w:tcPr>
          <w:p w:rsidR="0015653D" w:rsidRPr="00827EEE" w:rsidRDefault="0015653D" w:rsidP="008267F7">
            <w:pPr>
              <w:jc w:val="center"/>
              <w:rPr>
                <w:b/>
                <w:i/>
                <w:sz w:val="20"/>
                <w:szCs w:val="20"/>
              </w:rPr>
            </w:pPr>
            <w:r w:rsidRPr="00827EEE">
              <w:rPr>
                <w:b/>
                <w:i/>
                <w:sz w:val="20"/>
                <w:szCs w:val="20"/>
              </w:rPr>
              <w:t>SOURCE</w:t>
            </w:r>
          </w:p>
        </w:tc>
        <w:tc>
          <w:tcPr>
            <w:tcW w:w="2220" w:type="dxa"/>
          </w:tcPr>
          <w:p w:rsidR="0015653D" w:rsidRPr="00827EEE" w:rsidRDefault="0015653D" w:rsidP="008267F7">
            <w:pPr>
              <w:jc w:val="center"/>
              <w:rPr>
                <w:b/>
                <w:i/>
                <w:sz w:val="20"/>
                <w:szCs w:val="20"/>
              </w:rPr>
            </w:pPr>
            <w:r w:rsidRPr="00827EEE">
              <w:rPr>
                <w:b/>
                <w:i/>
                <w:sz w:val="20"/>
                <w:szCs w:val="20"/>
              </w:rPr>
              <w:t>LIMIT</w:t>
            </w:r>
          </w:p>
        </w:tc>
      </w:tr>
      <w:tr w:rsidR="00E15A18" w:rsidRPr="00827EEE" w:rsidTr="00E15A18">
        <w:trPr>
          <w:trHeight w:val="53"/>
          <w:jc w:val="center"/>
        </w:trPr>
        <w:tc>
          <w:tcPr>
            <w:tcW w:w="2219" w:type="dxa"/>
            <w:shd w:val="clear" w:color="auto" w:fill="auto"/>
          </w:tcPr>
          <w:p w:rsidR="00E15A18" w:rsidRPr="00EA6300" w:rsidRDefault="00E15A18" w:rsidP="00FE62A8">
            <w:pPr>
              <w:spacing w:after="120"/>
              <w:rPr>
                <w:i/>
                <w:sz w:val="20"/>
                <w:szCs w:val="20"/>
              </w:rPr>
            </w:pPr>
            <w:r w:rsidRPr="00EA6300">
              <w:rPr>
                <w:b/>
                <w:bCs/>
                <w:i/>
                <w:sz w:val="20"/>
                <w:szCs w:val="20"/>
              </w:rPr>
              <w:t xml:space="preserve">340-240-0170 </w:t>
            </w:r>
          </w:p>
          <w:p w:rsidR="00E15A18" w:rsidRPr="00EA6300" w:rsidRDefault="00E15A18" w:rsidP="00FE62A8">
            <w:pPr>
              <w:spacing w:after="120"/>
              <w:rPr>
                <w:i/>
                <w:sz w:val="20"/>
                <w:szCs w:val="20"/>
              </w:rPr>
            </w:pPr>
            <w:r w:rsidRPr="00EA6300">
              <w:rPr>
                <w:b/>
                <w:bCs/>
                <w:i/>
                <w:sz w:val="20"/>
                <w:szCs w:val="20"/>
              </w:rPr>
              <w:t>Charcoal Producing Plants</w:t>
            </w:r>
            <w:r w:rsidRPr="00EA6300">
              <w:rPr>
                <w:i/>
                <w:sz w:val="20"/>
                <w:szCs w:val="20"/>
              </w:rPr>
              <w:t xml:space="preserve"> </w:t>
            </w:r>
          </w:p>
          <w:p w:rsidR="00E15A18" w:rsidRPr="00EA6300" w:rsidRDefault="00E15A18" w:rsidP="00FE62A8">
            <w:pPr>
              <w:spacing w:after="120"/>
              <w:rPr>
                <w:i/>
                <w:sz w:val="20"/>
                <w:szCs w:val="20"/>
              </w:rPr>
            </w:pPr>
            <w:r w:rsidRPr="00EA6300">
              <w:rPr>
                <w:i/>
                <w:sz w:val="20"/>
                <w:szCs w:val="20"/>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30551D" w:rsidRDefault="0030551D" w:rsidP="0030551D">
            <w:pPr>
              <w:spacing w:after="120"/>
              <w:rPr>
                <w:i/>
                <w:sz w:val="20"/>
                <w:szCs w:val="20"/>
              </w:rPr>
            </w:pPr>
            <w:r>
              <w:rPr>
                <w:i/>
                <w:sz w:val="20"/>
                <w:szCs w:val="20"/>
              </w:rPr>
              <w:t xml:space="preserve">Particulate matter </w:t>
            </w:r>
            <w:r w:rsidR="00E15A18" w:rsidRPr="00EA6300">
              <w:rPr>
                <w:i/>
                <w:sz w:val="20"/>
                <w:szCs w:val="20"/>
              </w:rPr>
              <w:t xml:space="preserve"> 10.0 pounds per ton of char </w:t>
            </w:r>
            <w:r>
              <w:rPr>
                <w:i/>
                <w:sz w:val="20"/>
                <w:szCs w:val="20"/>
              </w:rPr>
              <w:t xml:space="preserve">excluding </w:t>
            </w:r>
            <w:r w:rsidR="00E15A18" w:rsidRPr="00EA6300">
              <w:rPr>
                <w:i/>
                <w:sz w:val="20"/>
                <w:szCs w:val="20"/>
              </w:rPr>
              <w:t xml:space="preserve">char storage, briquette making, boilers not using charcoal furnace off-gases, and fugitive sources </w:t>
            </w:r>
          </w:p>
          <w:p w:rsidR="00E15A18" w:rsidRPr="00EA6300" w:rsidRDefault="00E15A18" w:rsidP="0030551D">
            <w:pPr>
              <w:spacing w:after="120"/>
              <w:rPr>
                <w:i/>
                <w:sz w:val="20"/>
                <w:szCs w:val="20"/>
              </w:rPr>
            </w:pPr>
            <w:r w:rsidRPr="00EA6300">
              <w:rPr>
                <w:i/>
                <w:sz w:val="20"/>
                <w:szCs w:val="20"/>
              </w:rPr>
              <w:t xml:space="preserve">Charcoal producing plants exempt from 0.1 gr/dscf for sources after June 1, 1970 and process weight in division 226. </w:t>
            </w:r>
          </w:p>
        </w:tc>
        <w:tc>
          <w:tcPr>
            <w:tcW w:w="2250" w:type="dxa"/>
            <w:shd w:val="clear" w:color="auto" w:fill="auto"/>
          </w:tcPr>
          <w:p w:rsidR="00E15A18" w:rsidRPr="00EA6300" w:rsidRDefault="00E15A18" w:rsidP="00FE62A8">
            <w:pPr>
              <w:spacing w:after="120"/>
              <w:rPr>
                <w:b/>
                <w:bCs/>
                <w:i/>
                <w:sz w:val="20"/>
                <w:szCs w:val="20"/>
              </w:rPr>
            </w:pPr>
            <w:r w:rsidRPr="00EA6300">
              <w:rPr>
                <w:b/>
                <w:bCs/>
                <w:i/>
                <w:sz w:val="20"/>
                <w:szCs w:val="20"/>
              </w:rPr>
              <w:t>Subpart Y—Standards of Performance for Coal Preparation and Processing Plants</w:t>
            </w:r>
          </w:p>
          <w:p w:rsidR="00E15A18" w:rsidRPr="00EA6300" w:rsidRDefault="00E15A18" w:rsidP="00FE62A8">
            <w:pPr>
              <w:spacing w:after="120"/>
              <w:rPr>
                <w:i/>
                <w:sz w:val="20"/>
                <w:szCs w:val="20"/>
              </w:rPr>
            </w:pPr>
            <w:r w:rsidRPr="00EA6300">
              <w:rPr>
                <w:i/>
                <w:sz w:val="20"/>
                <w:szCs w:val="20"/>
              </w:rPr>
              <w:t>charcoal briquet manufacturing plant</w:t>
            </w:r>
            <w:r w:rsidR="00F5639D">
              <w:rPr>
                <w:i/>
                <w:sz w:val="20"/>
                <w:szCs w:val="20"/>
              </w:rPr>
              <w:t>s</w:t>
            </w:r>
            <w:r w:rsidRPr="00EA6300">
              <w:rPr>
                <w:i/>
                <w:sz w:val="20"/>
                <w:szCs w:val="20"/>
              </w:rPr>
              <w:t xml:space="preserve"> </w:t>
            </w:r>
            <w:r w:rsidR="00F5639D">
              <w:rPr>
                <w:i/>
                <w:sz w:val="20"/>
                <w:szCs w:val="20"/>
              </w:rPr>
              <w:t xml:space="preserve">that </w:t>
            </w:r>
            <w:r w:rsidRPr="00EA6300">
              <w:rPr>
                <w:i/>
                <w:sz w:val="20"/>
                <w:szCs w:val="20"/>
              </w:rPr>
              <w:t>process over 200 tons of coal a day and meet definition of "coal preparation plant"</w:t>
            </w:r>
          </w:p>
          <w:p w:rsidR="00E15A18" w:rsidRPr="00EA6300" w:rsidRDefault="00E15A18" w:rsidP="00F5639D">
            <w:pPr>
              <w:spacing w:after="120"/>
              <w:rPr>
                <w:i/>
                <w:sz w:val="20"/>
                <w:szCs w:val="20"/>
              </w:rPr>
            </w:pPr>
            <w:r w:rsidRPr="00EA6300">
              <w:rPr>
                <w:i/>
                <w:sz w:val="20"/>
                <w:szCs w:val="20"/>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E15A18" w:rsidRPr="00EA6300" w:rsidRDefault="00E15A18" w:rsidP="00FE62A8">
            <w:pPr>
              <w:spacing w:after="120"/>
              <w:rPr>
                <w:i/>
                <w:sz w:val="20"/>
                <w:szCs w:val="20"/>
              </w:rPr>
            </w:pPr>
            <w:r w:rsidRPr="00EA6300">
              <w:rPr>
                <w:i/>
                <w:sz w:val="20"/>
                <w:szCs w:val="20"/>
              </w:rPr>
              <w:t>10 % opacity except equipment for loading, unloading, and conveying operations of open storage piles.</w:t>
            </w:r>
          </w:p>
          <w:p w:rsidR="00E15A18" w:rsidRPr="00EA6300" w:rsidRDefault="00E15A18" w:rsidP="00FE62A8">
            <w:pPr>
              <w:spacing w:after="120"/>
              <w:rPr>
                <w:i/>
                <w:sz w:val="20"/>
                <w:szCs w:val="20"/>
              </w:rPr>
            </w:pPr>
            <w:r w:rsidRPr="00EA6300">
              <w:rPr>
                <w:i/>
                <w:sz w:val="20"/>
                <w:szCs w:val="20"/>
              </w:rPr>
              <w:t xml:space="preserve">particulate matter 0.010 gr/dscf from thermal dryer; pneumatic coal-cleaning equipment; mechanical vent </w:t>
            </w:r>
          </w:p>
          <w:p w:rsidR="00E15A18" w:rsidRPr="00EA6300" w:rsidRDefault="00E639A9" w:rsidP="00FE62A8">
            <w:pPr>
              <w:spacing w:after="120"/>
              <w:rPr>
                <w:i/>
                <w:sz w:val="20"/>
                <w:szCs w:val="20"/>
              </w:rPr>
            </w:pPr>
            <w:r w:rsidRPr="00EA6300">
              <w:rPr>
                <w:i/>
                <w:sz w:val="20"/>
                <w:szCs w:val="20"/>
              </w:rPr>
              <w:t xml:space="preserve">fugitive coal dust control plan </w:t>
            </w:r>
            <w:r>
              <w:rPr>
                <w:i/>
                <w:sz w:val="20"/>
                <w:szCs w:val="20"/>
              </w:rPr>
              <w:t xml:space="preserve">for </w:t>
            </w:r>
            <w:r w:rsidR="00E15A18" w:rsidRPr="00EA6300">
              <w:rPr>
                <w:i/>
                <w:sz w:val="20"/>
                <w:szCs w:val="20"/>
              </w:rPr>
              <w:t xml:space="preserve">open storage pile, includes loading, unloading, and conveying operations </w:t>
            </w:r>
          </w:p>
          <w:p w:rsidR="00E15A18" w:rsidRPr="00EA6300" w:rsidRDefault="00E15A18" w:rsidP="00FE62A8">
            <w:pPr>
              <w:spacing w:after="120"/>
              <w:rPr>
                <w:i/>
                <w:sz w:val="20"/>
                <w:szCs w:val="20"/>
              </w:rPr>
            </w:pPr>
          </w:p>
        </w:tc>
        <w:tc>
          <w:tcPr>
            <w:tcW w:w="2189" w:type="dxa"/>
          </w:tcPr>
          <w:p w:rsidR="00E15A18" w:rsidRPr="00590D0E" w:rsidRDefault="0015653D" w:rsidP="00FE62A8">
            <w:pPr>
              <w:spacing w:after="120"/>
              <w:rPr>
                <w:i/>
                <w:sz w:val="20"/>
                <w:szCs w:val="20"/>
              </w:rPr>
            </w:pPr>
            <w:r w:rsidRPr="00590D0E">
              <w:rPr>
                <w:i/>
                <w:sz w:val="20"/>
                <w:szCs w:val="20"/>
              </w:rPr>
              <w:t>Best Available Control Technology limit</w:t>
            </w:r>
            <w:r w:rsidR="00F5639D" w:rsidRPr="00590D0E">
              <w:rPr>
                <w:i/>
                <w:sz w:val="20"/>
                <w:szCs w:val="20"/>
              </w:rPr>
              <w:t xml:space="preserve"> for charcoal furnaces, heat recovery boilers, and wood dryers using any portion of the charcoal furnace off-gases</w:t>
            </w:r>
          </w:p>
        </w:tc>
        <w:tc>
          <w:tcPr>
            <w:tcW w:w="2220" w:type="dxa"/>
          </w:tcPr>
          <w:p w:rsidR="0015653D" w:rsidRDefault="0015653D" w:rsidP="0015653D">
            <w:pPr>
              <w:spacing w:after="120"/>
              <w:rPr>
                <w:i/>
                <w:sz w:val="20"/>
                <w:szCs w:val="20"/>
              </w:rPr>
            </w:pPr>
            <w:r w:rsidRPr="0015653D">
              <w:rPr>
                <w:i/>
                <w:sz w:val="20"/>
                <w:szCs w:val="20"/>
              </w:rPr>
              <w:t xml:space="preserve">particulate matter 1.6200 pounds per ton of dry wood (converted to 4.187 pounds per ton of char) for thermal oxidizer from rotary wood dryer, charcoal retort furnace and solvent treated briquette operations </w:t>
            </w:r>
          </w:p>
          <w:p w:rsidR="0015653D" w:rsidRDefault="0015653D" w:rsidP="0015653D">
            <w:pPr>
              <w:spacing w:after="120"/>
              <w:rPr>
                <w:i/>
                <w:sz w:val="20"/>
                <w:szCs w:val="20"/>
              </w:rPr>
            </w:pPr>
            <w:r w:rsidRPr="0015653D">
              <w:rPr>
                <w:i/>
                <w:sz w:val="20"/>
                <w:szCs w:val="20"/>
              </w:rPr>
              <w:t>0.3000 pounds per ton of dry briquettes limit for briquette coolers and</w:t>
            </w:r>
            <w:r>
              <w:rPr>
                <w:i/>
                <w:sz w:val="20"/>
                <w:szCs w:val="20"/>
              </w:rPr>
              <w:t xml:space="preserve"> dryers</w:t>
            </w:r>
          </w:p>
          <w:p w:rsidR="00E15A18" w:rsidRPr="00827EEE" w:rsidRDefault="0015653D" w:rsidP="00F5639D">
            <w:pPr>
              <w:spacing w:after="120"/>
              <w:rPr>
                <w:i/>
                <w:sz w:val="20"/>
                <w:szCs w:val="20"/>
              </w:rPr>
            </w:pPr>
            <w:r w:rsidRPr="0015653D">
              <w:rPr>
                <w:i/>
                <w:sz w:val="20"/>
                <w:szCs w:val="20"/>
              </w:rPr>
              <w:t xml:space="preserve">Adding these two BACT limits to obtain 4.487 pounds per ton of briquettes </w:t>
            </w:r>
          </w:p>
        </w:tc>
      </w:tr>
    </w:tbl>
    <w:p w:rsidR="00483934" w:rsidRPr="00DC077A" w:rsidRDefault="00483934" w:rsidP="00EB5AE8">
      <w:pPr>
        <w:rPr>
          <w:i/>
        </w:rPr>
      </w:pPr>
    </w:p>
    <w:p w:rsidR="00247693" w:rsidRDefault="00247693" w:rsidP="00EB5AE8">
      <w:pPr>
        <w:rPr>
          <w:i/>
        </w:rPr>
        <w:sectPr w:rsidR="00247693" w:rsidSect="00247693">
          <w:pgSz w:w="15840" w:h="12240" w:orient="landscape"/>
          <w:pgMar w:top="1800" w:right="1440" w:bottom="1800" w:left="1440" w:header="720" w:footer="720" w:gutter="0"/>
          <w:cols w:space="720"/>
          <w:docGrid w:linePitch="360"/>
        </w:sectPr>
      </w:pPr>
    </w:p>
    <w:p w:rsidR="00CC64AC" w:rsidRDefault="00483934" w:rsidP="00EB5AE8">
      <w:pPr>
        <w:rPr>
          <w:i/>
        </w:rPr>
      </w:pPr>
      <w:r w:rsidRPr="00DC077A">
        <w:rPr>
          <w:i/>
        </w:rPr>
        <w:lastRenderedPageBreak/>
        <w:t>The table above compares DEQ’s charcoal producing plant rules adopted in 1978 with EPA’s New Source Performance Standards rules which would apply to any new charcoal producing plant in the state</w:t>
      </w:r>
      <w:r w:rsidR="00415B92">
        <w:rPr>
          <w:i/>
        </w:rPr>
        <w:t>.</w:t>
      </w:r>
      <w:r w:rsidRPr="00DC077A">
        <w:rPr>
          <w:i/>
        </w:rPr>
        <w:t xml:space="preserve"> DEQ’s rules exempt new charcoal producing plants from the grain loading standard of 0.1 gr</w:t>
      </w:r>
      <w:r w:rsidR="00EA6300">
        <w:rPr>
          <w:i/>
        </w:rPr>
        <w:t>ains per dry standard cubic foot</w:t>
      </w:r>
      <w:r w:rsidR="00415B92">
        <w:rPr>
          <w:i/>
        </w:rPr>
        <w:t xml:space="preserve">. </w:t>
      </w:r>
      <w:r w:rsidRPr="00DC077A">
        <w:rPr>
          <w:i/>
        </w:rPr>
        <w:t xml:space="preserve">The </w:t>
      </w:r>
      <w:r w:rsidR="00D74A70" w:rsidRPr="00D74A70">
        <w:rPr>
          <w:i/>
        </w:rPr>
        <w:t>New Source Performance Standard</w:t>
      </w:r>
      <w:r w:rsidRPr="00DC077A">
        <w:rPr>
          <w:i/>
        </w:rPr>
        <w:t xml:space="preserve"> requires a 0.010 </w:t>
      </w:r>
      <w:r w:rsidR="00EA6300" w:rsidRPr="00EA6300">
        <w:rPr>
          <w:i/>
        </w:rPr>
        <w:t xml:space="preserve">grains per dry standard cubic foot </w:t>
      </w:r>
      <w:r w:rsidRPr="00DC077A">
        <w:rPr>
          <w:i/>
        </w:rPr>
        <w:t xml:space="preserve">limit, much more stringent that DEQ’s rules. </w:t>
      </w:r>
      <w:r w:rsidR="009C07F3">
        <w:rPr>
          <w:i/>
        </w:rPr>
        <w:t xml:space="preserve">If the </w:t>
      </w:r>
      <w:r w:rsidR="00D74A70" w:rsidRPr="00D74A70">
        <w:rPr>
          <w:i/>
        </w:rPr>
        <w:t>New Source Performance Standard</w:t>
      </w:r>
      <w:r w:rsidR="009C07F3">
        <w:rPr>
          <w:i/>
        </w:rPr>
        <w:t xml:space="preserve"> grain loading </w:t>
      </w:r>
      <w:r w:rsidR="009C07F3" w:rsidRPr="0020110E">
        <w:rPr>
          <w:i/>
        </w:rPr>
        <w:t xml:space="preserve">limit of 0.010 </w:t>
      </w:r>
      <w:r w:rsidR="00EA6300" w:rsidRPr="00EA6300">
        <w:rPr>
          <w:i/>
        </w:rPr>
        <w:t xml:space="preserve">grains per dry standard cubic foot </w:t>
      </w:r>
      <w:r w:rsidR="00872621" w:rsidRPr="0020110E">
        <w:rPr>
          <w:i/>
        </w:rPr>
        <w:t>appl</w:t>
      </w:r>
      <w:r w:rsidR="0020110E" w:rsidRPr="0020110E">
        <w:rPr>
          <w:i/>
        </w:rPr>
        <w:t>ied</w:t>
      </w:r>
      <w:r w:rsidR="009C07F3" w:rsidRPr="0020110E">
        <w:rPr>
          <w:i/>
        </w:rPr>
        <w:t xml:space="preserve">, emissions from Royal Oak’s heat recovery boiler </w:t>
      </w:r>
      <w:r w:rsidR="00872621" w:rsidRPr="0020110E">
        <w:rPr>
          <w:i/>
        </w:rPr>
        <w:t>would be</w:t>
      </w:r>
      <w:r w:rsidR="009C07F3" w:rsidRPr="0020110E">
        <w:rPr>
          <w:i/>
        </w:rPr>
        <w:t xml:space="preserve"> </w:t>
      </w:r>
      <w:r w:rsidR="008B7A08">
        <w:rPr>
          <w:i/>
        </w:rPr>
        <w:t xml:space="preserve">effectively limited to </w:t>
      </w:r>
      <w:r w:rsidR="0020110E" w:rsidRPr="0020110E">
        <w:rPr>
          <w:i/>
        </w:rPr>
        <w:t>15</w:t>
      </w:r>
      <w:r w:rsidR="009C07F3" w:rsidRPr="0020110E">
        <w:rPr>
          <w:i/>
        </w:rPr>
        <w:t xml:space="preserve"> ton</w:t>
      </w:r>
      <w:r w:rsidR="00EA6300">
        <w:rPr>
          <w:i/>
        </w:rPr>
        <w:t xml:space="preserve">s per </w:t>
      </w:r>
      <w:r w:rsidR="0020110E" w:rsidRPr="0020110E">
        <w:rPr>
          <w:i/>
        </w:rPr>
        <w:t xml:space="preserve">year </w:t>
      </w:r>
      <w:r w:rsidR="009C07F3" w:rsidRPr="0020110E">
        <w:rPr>
          <w:i/>
        </w:rPr>
        <w:t xml:space="preserve">of </w:t>
      </w:r>
      <w:r w:rsidR="0020110E" w:rsidRPr="0020110E">
        <w:rPr>
          <w:i/>
        </w:rPr>
        <w:t>particulate</w:t>
      </w:r>
      <w:r w:rsidR="0020110E">
        <w:rPr>
          <w:i/>
        </w:rPr>
        <w:t xml:space="preserve"> matter </w:t>
      </w:r>
      <w:r w:rsidR="00872621">
        <w:rPr>
          <w:i/>
        </w:rPr>
        <w:t xml:space="preserve">rather than the permitted 106 tons per year using </w:t>
      </w:r>
      <w:r w:rsidR="009C07F3">
        <w:rPr>
          <w:i/>
        </w:rPr>
        <w:t>the limit in OAR 340-24</w:t>
      </w:r>
      <w:r w:rsidR="00F36D79">
        <w:rPr>
          <w:i/>
        </w:rPr>
        <w:t>0</w:t>
      </w:r>
      <w:r w:rsidR="009C07F3">
        <w:rPr>
          <w:i/>
        </w:rPr>
        <w:t>-0170 (</w:t>
      </w:r>
      <w:r w:rsidR="00872621">
        <w:rPr>
          <w:i/>
        </w:rPr>
        <w:t xml:space="preserve">10.0 pounds </w:t>
      </w:r>
      <w:r w:rsidR="009C07F3" w:rsidRPr="009C07F3">
        <w:rPr>
          <w:i/>
        </w:rPr>
        <w:t>per ton of char produced</w:t>
      </w:r>
      <w:r w:rsidR="009C07F3">
        <w:rPr>
          <w:i/>
        </w:rPr>
        <w:t>)</w:t>
      </w:r>
      <w:r w:rsidR="00872621">
        <w:rPr>
          <w:i/>
        </w:rPr>
        <w:t xml:space="preserve">. </w:t>
      </w:r>
    </w:p>
    <w:p w:rsidR="00CC64AC" w:rsidRDefault="00CC64AC" w:rsidP="00EB5AE8">
      <w:pPr>
        <w:rPr>
          <w:i/>
        </w:rPr>
      </w:pPr>
    </w:p>
    <w:p w:rsidR="00483934" w:rsidRDefault="008B6AE3" w:rsidP="00EB5AE8">
      <w:pPr>
        <w:rPr>
          <w:i/>
        </w:rPr>
      </w:pPr>
      <w:r>
        <w:rPr>
          <w:i/>
        </w:rPr>
        <w:t>The table above also includes Best Available Control Technology limits for a</w:t>
      </w:r>
      <w:r w:rsidR="00CC64AC" w:rsidRPr="00CC64AC">
        <w:rPr>
          <w:i/>
        </w:rPr>
        <w:t xml:space="preserve"> </w:t>
      </w:r>
      <w:r w:rsidR="00CC64AC">
        <w:rPr>
          <w:i/>
        </w:rPr>
        <w:t>briquette manufacturing facility</w:t>
      </w:r>
      <w:r w:rsidR="00CC64AC" w:rsidRPr="00CC64AC">
        <w:rPr>
          <w:i/>
        </w:rPr>
        <w:t xml:space="preserve"> </w:t>
      </w:r>
      <w:r>
        <w:rPr>
          <w:i/>
        </w:rPr>
        <w:t xml:space="preserve">that </w:t>
      </w:r>
      <w:r w:rsidR="00CC64AC" w:rsidRPr="00CC64AC">
        <w:rPr>
          <w:i/>
        </w:rPr>
        <w:t xml:space="preserve">triggered Prevention of Significant Deterioration in </w:t>
      </w:r>
      <w:r w:rsidR="00CC64AC">
        <w:rPr>
          <w:i/>
        </w:rPr>
        <w:t xml:space="preserve">Mississippi </w:t>
      </w:r>
      <w:r w:rsidR="00CC64AC" w:rsidRPr="00CC64AC">
        <w:rPr>
          <w:i/>
        </w:rPr>
        <w:t xml:space="preserve">in 2004. </w:t>
      </w:r>
      <w:r w:rsidR="00CC64AC" w:rsidRPr="0015653D">
        <w:rPr>
          <w:i/>
        </w:rPr>
        <w:t>Adding the two B</w:t>
      </w:r>
      <w:r w:rsidR="0015653D" w:rsidRPr="0015653D">
        <w:rPr>
          <w:i/>
        </w:rPr>
        <w:t xml:space="preserve">est </w:t>
      </w:r>
      <w:r w:rsidR="00CC64AC" w:rsidRPr="0015653D">
        <w:rPr>
          <w:i/>
        </w:rPr>
        <w:t>A</w:t>
      </w:r>
      <w:r w:rsidR="0015653D" w:rsidRPr="0015653D">
        <w:rPr>
          <w:i/>
        </w:rPr>
        <w:t xml:space="preserve">vailable </w:t>
      </w:r>
      <w:r w:rsidR="00CC64AC" w:rsidRPr="0015653D">
        <w:rPr>
          <w:i/>
        </w:rPr>
        <w:t>C</w:t>
      </w:r>
      <w:r w:rsidR="0015653D" w:rsidRPr="0015653D">
        <w:rPr>
          <w:i/>
        </w:rPr>
        <w:t xml:space="preserve">ontrol </w:t>
      </w:r>
      <w:r w:rsidR="00CC64AC" w:rsidRPr="0015653D">
        <w:rPr>
          <w:i/>
        </w:rPr>
        <w:t>T</w:t>
      </w:r>
      <w:r w:rsidR="0015653D" w:rsidRPr="0015653D">
        <w:rPr>
          <w:i/>
        </w:rPr>
        <w:t>echnology</w:t>
      </w:r>
      <w:r w:rsidR="00CC64AC" w:rsidRPr="0015653D">
        <w:rPr>
          <w:i/>
        </w:rPr>
        <w:t xml:space="preserve"> limits to obtain 4.487 pounds per ton of briquettes would make it comparable to the OAR lim</w:t>
      </w:r>
      <w:r w:rsidR="004B4D81" w:rsidRPr="0015653D">
        <w:rPr>
          <w:i/>
        </w:rPr>
        <w:t>i</w:t>
      </w:r>
      <w:r w:rsidR="00CC64AC" w:rsidRPr="0015653D">
        <w:rPr>
          <w:i/>
        </w:rPr>
        <w:t>t of 10.0 pounds per ton of char produced</w:t>
      </w:r>
      <w:r w:rsidR="00852809" w:rsidRPr="0015653D">
        <w:rPr>
          <w:i/>
        </w:rPr>
        <w:t>.</w:t>
      </w:r>
      <w:r w:rsidR="00CC64AC" w:rsidRPr="00CC64AC">
        <w:rPr>
          <w:i/>
        </w:rPr>
        <w:t xml:space="preserve"> Any </w:t>
      </w:r>
      <w:r w:rsidR="00CC64AC">
        <w:rPr>
          <w:i/>
        </w:rPr>
        <w:t xml:space="preserve">new </w:t>
      </w:r>
      <w:r w:rsidR="00CC64AC" w:rsidRPr="00CC64AC">
        <w:rPr>
          <w:i/>
        </w:rPr>
        <w:t>briquette manufacturing facility</w:t>
      </w:r>
      <w:r w:rsidR="00CC64AC" w:rsidRPr="00CC64AC">
        <w:rPr>
          <w:bCs/>
          <w:i/>
        </w:rPr>
        <w:t xml:space="preserve"> </w:t>
      </w:r>
      <w:r w:rsidR="00CC64AC" w:rsidRPr="00CC64AC">
        <w:rPr>
          <w:i/>
        </w:rPr>
        <w:t xml:space="preserve">in Oregon would also trigger PSD and would be subject to standards at least as restrictive as those for the </w:t>
      </w:r>
      <w:r w:rsidR="004B4D81">
        <w:rPr>
          <w:i/>
        </w:rPr>
        <w:t xml:space="preserve">Mississippi </w:t>
      </w:r>
      <w:r w:rsidR="00CC64AC" w:rsidRPr="00CC64AC">
        <w:rPr>
          <w:i/>
        </w:rPr>
        <w:t>facility</w:t>
      </w:r>
      <w:r w:rsidR="00415B92">
        <w:rPr>
          <w:i/>
        </w:rPr>
        <w:t xml:space="preserve">. </w:t>
      </w:r>
      <w:r w:rsidR="00AD4120" w:rsidRPr="00DC077A">
        <w:rPr>
          <w:i/>
        </w:rPr>
        <w:t xml:space="preserve">Therefore, repealing the </w:t>
      </w:r>
      <w:r w:rsidR="009D546B">
        <w:rPr>
          <w:i/>
        </w:rPr>
        <w:t>C</w:t>
      </w:r>
      <w:r w:rsidR="009D546B" w:rsidRPr="00DC077A">
        <w:rPr>
          <w:i/>
        </w:rPr>
        <w:t xml:space="preserve">harcoal </w:t>
      </w:r>
      <w:r w:rsidR="009D546B">
        <w:rPr>
          <w:i/>
        </w:rPr>
        <w:t>P</w:t>
      </w:r>
      <w:r w:rsidR="009D546B" w:rsidRPr="00DC077A">
        <w:rPr>
          <w:i/>
        </w:rPr>
        <w:t xml:space="preserve">roducing </w:t>
      </w:r>
      <w:r w:rsidR="009D546B">
        <w:rPr>
          <w:i/>
        </w:rPr>
        <w:t>P</w:t>
      </w:r>
      <w:r w:rsidR="009D546B" w:rsidRPr="00DC077A">
        <w:rPr>
          <w:i/>
        </w:rPr>
        <w:t>lant</w:t>
      </w:r>
      <w:r w:rsidR="009D546B">
        <w:rPr>
          <w:i/>
        </w:rPr>
        <w:t>s</w:t>
      </w:r>
      <w:r w:rsidR="009D546B" w:rsidRPr="00DC077A">
        <w:rPr>
          <w:i/>
        </w:rPr>
        <w:t xml:space="preserve"> </w:t>
      </w:r>
      <w:r w:rsidR="00AD4120" w:rsidRPr="00DC077A">
        <w:rPr>
          <w:i/>
        </w:rPr>
        <w:t>rules will not weaken DEQ’s air permitting program</w:t>
      </w:r>
      <w:r w:rsidR="00415B92">
        <w:rPr>
          <w:i/>
        </w:rPr>
        <w:t xml:space="preserve">. </w:t>
      </w:r>
      <w:r w:rsidR="00CE370C">
        <w:rPr>
          <w:i/>
        </w:rPr>
        <w:br/>
      </w:r>
    </w:p>
    <w:p w:rsidR="00CE370C" w:rsidRPr="00DC077A" w:rsidRDefault="00CE370C" w:rsidP="00EB5AE8">
      <w:pPr>
        <w:rPr>
          <w:i/>
        </w:rPr>
      </w:pPr>
    </w:p>
    <w:tbl>
      <w:tblPr>
        <w:tblW w:w="0" w:type="auto"/>
        <w:jc w:val="center"/>
        <w:tblInd w:w="-5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2166"/>
        <w:gridCol w:w="2167"/>
        <w:gridCol w:w="2166"/>
        <w:gridCol w:w="2167"/>
      </w:tblGrid>
      <w:tr w:rsidR="00AF256A" w:rsidRPr="007E34A8" w:rsidTr="00415B92">
        <w:trPr>
          <w:trHeight w:val="204"/>
          <w:tblHeader/>
          <w:jc w:val="center"/>
        </w:trPr>
        <w:tc>
          <w:tcPr>
            <w:tcW w:w="8665" w:type="dxa"/>
            <w:gridSpan w:val="4"/>
            <w:shd w:val="clear" w:color="auto" w:fill="auto"/>
          </w:tcPr>
          <w:p w:rsidR="00AF256A" w:rsidRPr="00AF256A" w:rsidRDefault="00486633" w:rsidP="000E3EE0">
            <w:pPr>
              <w:jc w:val="center"/>
              <w:rPr>
                <w:b/>
                <w:i/>
                <w:sz w:val="20"/>
                <w:szCs w:val="20"/>
              </w:rPr>
            </w:pPr>
            <w:r>
              <w:rPr>
                <w:i/>
              </w:rPr>
              <w:br w:type="page"/>
            </w:r>
            <w:r w:rsidR="00AF256A" w:rsidRPr="00AF256A">
              <w:rPr>
                <w:b/>
                <w:bCs/>
                <w:i/>
                <w:sz w:val="20"/>
                <w:szCs w:val="20"/>
              </w:rPr>
              <w:t>Sulfite Pulp Mill Rule Comparison</w:t>
            </w:r>
          </w:p>
        </w:tc>
      </w:tr>
      <w:tr w:rsidR="008B6F69" w:rsidRPr="007E34A8" w:rsidTr="00F5639D">
        <w:trPr>
          <w:trHeight w:val="204"/>
          <w:tblHeader/>
          <w:jc w:val="center"/>
        </w:trPr>
        <w:tc>
          <w:tcPr>
            <w:tcW w:w="4333" w:type="dxa"/>
            <w:gridSpan w:val="2"/>
            <w:shd w:val="clear" w:color="auto" w:fill="auto"/>
          </w:tcPr>
          <w:p w:rsidR="008B6F69" w:rsidRPr="00AF256A" w:rsidRDefault="003E460A" w:rsidP="000E3EE0">
            <w:pPr>
              <w:jc w:val="center"/>
              <w:rPr>
                <w:b/>
                <w:i/>
                <w:sz w:val="20"/>
                <w:szCs w:val="20"/>
              </w:rPr>
            </w:pPr>
            <w:r w:rsidRPr="003E460A">
              <w:rPr>
                <w:b/>
                <w:i/>
                <w:sz w:val="20"/>
                <w:szCs w:val="20"/>
              </w:rPr>
              <w:br w:type="page"/>
              <w:t>Sulfite Pulp Mill OAR</w:t>
            </w:r>
          </w:p>
        </w:tc>
        <w:tc>
          <w:tcPr>
            <w:tcW w:w="4332" w:type="dxa"/>
            <w:gridSpan w:val="2"/>
          </w:tcPr>
          <w:p w:rsidR="008B6F69" w:rsidRPr="00AF256A" w:rsidRDefault="003E460A" w:rsidP="000E3EE0">
            <w:pPr>
              <w:jc w:val="center"/>
              <w:rPr>
                <w:b/>
                <w:i/>
                <w:sz w:val="20"/>
                <w:szCs w:val="20"/>
              </w:rPr>
            </w:pPr>
            <w:r w:rsidRPr="003E460A">
              <w:rPr>
                <w:b/>
                <w:i/>
                <w:sz w:val="20"/>
                <w:szCs w:val="20"/>
              </w:rPr>
              <w:t>CFR – NESHAP Subpart MM</w:t>
            </w:r>
          </w:p>
        </w:tc>
      </w:tr>
      <w:tr w:rsidR="008B6F69" w:rsidRPr="007E34A8" w:rsidTr="00415B92">
        <w:trPr>
          <w:tblHeader/>
          <w:jc w:val="center"/>
        </w:trPr>
        <w:tc>
          <w:tcPr>
            <w:tcW w:w="2166" w:type="dxa"/>
            <w:shd w:val="clear" w:color="auto" w:fill="auto"/>
          </w:tcPr>
          <w:p w:rsidR="008B6F69" w:rsidRPr="00AF256A" w:rsidRDefault="003E460A" w:rsidP="000E3EE0">
            <w:pPr>
              <w:jc w:val="center"/>
              <w:rPr>
                <w:b/>
                <w:i/>
                <w:sz w:val="20"/>
                <w:szCs w:val="20"/>
              </w:rPr>
            </w:pPr>
            <w:r w:rsidRPr="003E460A">
              <w:rPr>
                <w:b/>
                <w:i/>
                <w:sz w:val="20"/>
                <w:szCs w:val="20"/>
              </w:rPr>
              <w:t>SOURCE</w:t>
            </w:r>
          </w:p>
        </w:tc>
        <w:tc>
          <w:tcPr>
            <w:tcW w:w="2166" w:type="dxa"/>
            <w:shd w:val="clear" w:color="auto" w:fill="auto"/>
          </w:tcPr>
          <w:p w:rsidR="008B6F69" w:rsidRPr="00AF256A" w:rsidRDefault="003E460A" w:rsidP="000E3EE0">
            <w:pPr>
              <w:jc w:val="center"/>
              <w:rPr>
                <w:b/>
                <w:i/>
                <w:sz w:val="20"/>
                <w:szCs w:val="20"/>
              </w:rPr>
            </w:pPr>
            <w:r w:rsidRPr="003E460A">
              <w:rPr>
                <w:b/>
                <w:i/>
                <w:sz w:val="20"/>
                <w:szCs w:val="20"/>
              </w:rPr>
              <w:t>LIMIT</w:t>
            </w:r>
          </w:p>
        </w:tc>
        <w:tc>
          <w:tcPr>
            <w:tcW w:w="2166" w:type="dxa"/>
          </w:tcPr>
          <w:p w:rsidR="008B6F69" w:rsidRPr="00AF256A" w:rsidRDefault="003E460A" w:rsidP="000E3EE0">
            <w:pPr>
              <w:jc w:val="center"/>
              <w:rPr>
                <w:b/>
                <w:i/>
                <w:sz w:val="20"/>
                <w:szCs w:val="20"/>
              </w:rPr>
            </w:pPr>
            <w:r w:rsidRPr="003E460A">
              <w:rPr>
                <w:b/>
                <w:i/>
                <w:sz w:val="20"/>
                <w:szCs w:val="20"/>
              </w:rPr>
              <w:t>SOURCE</w:t>
            </w:r>
          </w:p>
        </w:tc>
        <w:tc>
          <w:tcPr>
            <w:tcW w:w="2167" w:type="dxa"/>
          </w:tcPr>
          <w:p w:rsidR="008B6F69" w:rsidRPr="00AF256A" w:rsidRDefault="003E460A" w:rsidP="000E3EE0">
            <w:pPr>
              <w:jc w:val="center"/>
              <w:rPr>
                <w:b/>
                <w:i/>
                <w:sz w:val="20"/>
                <w:szCs w:val="20"/>
              </w:rPr>
            </w:pPr>
            <w:r w:rsidRPr="003E460A">
              <w:rPr>
                <w:b/>
                <w:i/>
                <w:sz w:val="20"/>
                <w:szCs w:val="20"/>
              </w:rPr>
              <w:t>LIMIT</w:t>
            </w:r>
          </w:p>
        </w:tc>
      </w:tr>
      <w:tr w:rsidR="00E81CE8" w:rsidRPr="007E34A8" w:rsidTr="00415B92">
        <w:trPr>
          <w:trHeight w:val="1943"/>
          <w:jc w:val="center"/>
        </w:trPr>
        <w:tc>
          <w:tcPr>
            <w:tcW w:w="2166" w:type="dxa"/>
            <w:shd w:val="clear" w:color="auto" w:fill="auto"/>
          </w:tcPr>
          <w:p w:rsidR="00E81CE8" w:rsidRPr="00AF256A" w:rsidRDefault="003E460A" w:rsidP="00E81CE8">
            <w:pPr>
              <w:rPr>
                <w:b/>
                <w:bCs/>
                <w:i/>
                <w:sz w:val="20"/>
                <w:szCs w:val="20"/>
              </w:rPr>
            </w:pPr>
            <w:r w:rsidRPr="003E460A">
              <w:rPr>
                <w:b/>
                <w:bCs/>
                <w:i/>
                <w:sz w:val="20"/>
                <w:szCs w:val="20"/>
              </w:rPr>
              <w:t>Sulfite Pulp Mills</w:t>
            </w:r>
          </w:p>
          <w:p w:rsidR="00E81CE8" w:rsidRPr="00AF256A" w:rsidRDefault="003E460A" w:rsidP="008B6F69">
            <w:pPr>
              <w:rPr>
                <w:i/>
                <w:sz w:val="20"/>
                <w:szCs w:val="20"/>
              </w:rPr>
            </w:pPr>
            <w:r w:rsidRPr="003E460A">
              <w:rPr>
                <w:b/>
                <w:bCs/>
                <w:i/>
                <w:sz w:val="20"/>
                <w:szCs w:val="20"/>
              </w:rPr>
              <w:t xml:space="preserve">OAR 340-234-0400 </w:t>
            </w:r>
          </w:p>
          <w:p w:rsidR="00E81CE8" w:rsidRPr="00AF256A" w:rsidRDefault="003E460A" w:rsidP="008B6F69">
            <w:pPr>
              <w:rPr>
                <w:i/>
                <w:sz w:val="20"/>
                <w:szCs w:val="20"/>
              </w:rPr>
            </w:pPr>
            <w:r w:rsidRPr="003E460A">
              <w:rPr>
                <w:i/>
                <w:sz w:val="20"/>
                <w:szCs w:val="20"/>
              </w:rPr>
              <w:t xml:space="preserve">existing and new sulfite pulp mills </w:t>
            </w:r>
          </w:p>
          <w:p w:rsidR="00415B92" w:rsidRDefault="00415B92" w:rsidP="008B6F69">
            <w:pPr>
              <w:rPr>
                <w:i/>
                <w:sz w:val="20"/>
                <w:szCs w:val="20"/>
              </w:rPr>
            </w:pPr>
          </w:p>
          <w:p w:rsidR="00E81CE8" w:rsidRPr="00AF256A" w:rsidRDefault="003E460A" w:rsidP="008B6F69">
            <w:pPr>
              <w:rPr>
                <w:b/>
                <w:bCs/>
                <w:i/>
                <w:sz w:val="20"/>
                <w:szCs w:val="20"/>
              </w:rPr>
            </w:pPr>
            <w:r w:rsidRPr="003E460A">
              <w:rPr>
                <w:i/>
                <w:sz w:val="20"/>
                <w:szCs w:val="20"/>
              </w:rPr>
              <w:t>recovery furnace stacks</w:t>
            </w:r>
          </w:p>
        </w:tc>
        <w:tc>
          <w:tcPr>
            <w:tcW w:w="2166" w:type="dxa"/>
            <w:shd w:val="clear" w:color="auto" w:fill="auto"/>
          </w:tcPr>
          <w:p w:rsidR="00E81CE8" w:rsidRPr="00F40043" w:rsidRDefault="003E460A" w:rsidP="00736C74">
            <w:pPr>
              <w:rPr>
                <w:i/>
                <w:sz w:val="20"/>
                <w:szCs w:val="20"/>
              </w:rPr>
            </w:pPr>
            <w:r w:rsidRPr="00F40043">
              <w:rPr>
                <w:i/>
                <w:sz w:val="20"/>
                <w:szCs w:val="20"/>
              </w:rPr>
              <w:t xml:space="preserve">PM shall not exceed </w:t>
            </w:r>
            <w:r w:rsidR="00736C74" w:rsidRPr="00F40043">
              <w:rPr>
                <w:i/>
                <w:sz w:val="20"/>
                <w:szCs w:val="20"/>
              </w:rPr>
              <w:t>4</w:t>
            </w:r>
            <w:r w:rsidRPr="00F40043">
              <w:rPr>
                <w:i/>
                <w:sz w:val="20"/>
                <w:szCs w:val="20"/>
              </w:rPr>
              <w:t xml:space="preserve"> pounds per air dried ton of unbleached pulp</w:t>
            </w:r>
          </w:p>
        </w:tc>
        <w:tc>
          <w:tcPr>
            <w:tcW w:w="2166" w:type="dxa"/>
          </w:tcPr>
          <w:p w:rsidR="00E81CE8" w:rsidRPr="00F40043" w:rsidRDefault="003E460A" w:rsidP="00E81CE8">
            <w:pPr>
              <w:rPr>
                <w:i/>
                <w:sz w:val="20"/>
                <w:szCs w:val="20"/>
              </w:rPr>
            </w:pPr>
            <w:r w:rsidRPr="00F40043">
              <w:rPr>
                <w:b/>
                <w:bCs/>
                <w:i/>
                <w:sz w:val="20"/>
                <w:szCs w:val="20"/>
              </w:rPr>
              <w:t>Subpart MM—Chemical Recovery Combustion Sources at Kraft, Soda, Sulfite, and Stand-Alone Semi-chemical Pulp Mills</w:t>
            </w:r>
            <w:r w:rsidRPr="00F40043">
              <w:rPr>
                <w:i/>
                <w:sz w:val="20"/>
                <w:szCs w:val="20"/>
              </w:rPr>
              <w:t xml:space="preserve"> </w:t>
            </w:r>
          </w:p>
          <w:p w:rsidR="00E81CE8" w:rsidRPr="00F40043" w:rsidRDefault="003E460A" w:rsidP="00736C74">
            <w:pPr>
              <w:rPr>
                <w:b/>
                <w:bCs/>
                <w:i/>
                <w:sz w:val="20"/>
                <w:szCs w:val="20"/>
              </w:rPr>
            </w:pPr>
            <w:r w:rsidRPr="00F40043">
              <w:rPr>
                <w:i/>
                <w:sz w:val="20"/>
                <w:szCs w:val="20"/>
              </w:rPr>
              <w:t xml:space="preserve"> (04/15/98)</w:t>
            </w:r>
          </w:p>
        </w:tc>
        <w:tc>
          <w:tcPr>
            <w:tcW w:w="2167" w:type="dxa"/>
          </w:tcPr>
          <w:p w:rsidR="00E81CE8" w:rsidRPr="00F40043" w:rsidRDefault="003E460A" w:rsidP="00F40043">
            <w:pPr>
              <w:rPr>
                <w:i/>
                <w:sz w:val="20"/>
                <w:szCs w:val="20"/>
              </w:rPr>
            </w:pPr>
            <w:r w:rsidRPr="00F40043">
              <w:rPr>
                <w:i/>
                <w:sz w:val="20"/>
                <w:szCs w:val="20"/>
              </w:rPr>
              <w:t>PM less than or equal to 0.020 g</w:t>
            </w:r>
            <w:r w:rsidR="00547CA4" w:rsidRPr="00F40043">
              <w:rPr>
                <w:i/>
                <w:sz w:val="20"/>
                <w:szCs w:val="20"/>
              </w:rPr>
              <w:t xml:space="preserve">r/dscf </w:t>
            </w:r>
          </w:p>
        </w:tc>
      </w:tr>
    </w:tbl>
    <w:p w:rsidR="009344C9" w:rsidRDefault="009344C9" w:rsidP="00EB5AE8"/>
    <w:p w:rsidR="00736C74" w:rsidRDefault="00387D9C" w:rsidP="00EB5AE8">
      <w:pPr>
        <w:rPr>
          <w:i/>
        </w:rPr>
      </w:pPr>
      <w:r w:rsidRPr="00387D9C">
        <w:rPr>
          <w:i/>
        </w:rPr>
        <w:t xml:space="preserve">The table above compares DEQ’s </w:t>
      </w:r>
      <w:r w:rsidR="00547CA4" w:rsidRPr="00387D9C">
        <w:rPr>
          <w:i/>
        </w:rPr>
        <w:t>Sulfite Pulp Mills</w:t>
      </w:r>
      <w:r w:rsidR="00547CA4" w:rsidRPr="00387D9C">
        <w:rPr>
          <w:bCs/>
          <w:i/>
        </w:rPr>
        <w:t xml:space="preserve"> </w:t>
      </w:r>
      <w:r w:rsidRPr="00387D9C">
        <w:rPr>
          <w:i/>
        </w:rPr>
        <w:t>adopted in 197</w:t>
      </w:r>
      <w:r w:rsidR="00547CA4">
        <w:rPr>
          <w:i/>
        </w:rPr>
        <w:t>1</w:t>
      </w:r>
      <w:r w:rsidRPr="00387D9C">
        <w:rPr>
          <w:i/>
        </w:rPr>
        <w:t xml:space="preserve"> with EPA’s National Emission Standards for Hazardous Air Pollutants</w:t>
      </w:r>
      <w:r w:rsidR="00547CA4">
        <w:rPr>
          <w:i/>
        </w:rPr>
        <w:t xml:space="preserve"> </w:t>
      </w:r>
      <w:r w:rsidRPr="00387D9C">
        <w:rPr>
          <w:i/>
        </w:rPr>
        <w:t xml:space="preserve">which would apply to any new </w:t>
      </w:r>
      <w:r w:rsidR="00547CA4">
        <w:rPr>
          <w:i/>
        </w:rPr>
        <w:t>sulfite pulp mill</w:t>
      </w:r>
      <w:r w:rsidRPr="00387D9C">
        <w:rPr>
          <w:i/>
        </w:rPr>
        <w:t xml:space="preserve"> in the state.</w:t>
      </w:r>
      <w:r w:rsidR="00A77FE2">
        <w:rPr>
          <w:i/>
        </w:rPr>
        <w:t xml:space="preserve"> </w:t>
      </w:r>
      <w:r w:rsidR="00736C74">
        <w:rPr>
          <w:i/>
        </w:rPr>
        <w:t xml:space="preserve">A </w:t>
      </w:r>
      <w:r w:rsidR="00A77FE2" w:rsidRPr="00A77FE2">
        <w:rPr>
          <w:i/>
        </w:rPr>
        <w:t xml:space="preserve">direct emission limit comparison is not possible </w:t>
      </w:r>
      <w:r w:rsidR="00736C74">
        <w:rPr>
          <w:i/>
        </w:rPr>
        <w:t xml:space="preserve">since the limits are </w:t>
      </w:r>
      <w:r w:rsidR="00A77FE2" w:rsidRPr="00A77FE2">
        <w:rPr>
          <w:i/>
        </w:rPr>
        <w:t xml:space="preserve">in </w:t>
      </w:r>
      <w:r w:rsidR="00736C74">
        <w:rPr>
          <w:i/>
        </w:rPr>
        <w:t xml:space="preserve">different terms and </w:t>
      </w:r>
      <w:r w:rsidR="00736C74" w:rsidRPr="00736C74">
        <w:rPr>
          <w:i/>
        </w:rPr>
        <w:t xml:space="preserve">conversions </w:t>
      </w:r>
      <w:r w:rsidR="00736C74">
        <w:rPr>
          <w:i/>
        </w:rPr>
        <w:t xml:space="preserve">would be </w:t>
      </w:r>
      <w:r w:rsidR="00736C74" w:rsidRPr="00736C74">
        <w:rPr>
          <w:i/>
        </w:rPr>
        <w:t xml:space="preserve">specific to the </w:t>
      </w:r>
      <w:r w:rsidR="00736C74">
        <w:rPr>
          <w:i/>
        </w:rPr>
        <w:t>individual</w:t>
      </w:r>
      <w:r w:rsidR="00075420">
        <w:rPr>
          <w:i/>
        </w:rPr>
        <w:t xml:space="preserve"> facility</w:t>
      </w:r>
      <w:r w:rsidR="00736C74">
        <w:rPr>
          <w:i/>
        </w:rPr>
        <w:t>. If one assume</w:t>
      </w:r>
      <w:r w:rsidR="00075420">
        <w:rPr>
          <w:i/>
        </w:rPr>
        <w:t>s</w:t>
      </w:r>
      <w:r w:rsidR="00736C74">
        <w:rPr>
          <w:i/>
        </w:rPr>
        <w:t xml:space="preserve"> that the DEQ rule for sulfite pulp mills is comparable to the statewide DEQ particulate matter standard of 0.1 grains per dry standard cubic foot (the more restrictive limi</w:t>
      </w:r>
      <w:r w:rsidR="0059659B">
        <w:rPr>
          <w:i/>
        </w:rPr>
        <w:t>t for sources built after 1970), the Subpart MM limit of 0.020 grains per dry standard cubic foot would be much more restrictive</w:t>
      </w:r>
      <w:r w:rsidR="00415B92">
        <w:rPr>
          <w:i/>
        </w:rPr>
        <w:t xml:space="preserve">. </w:t>
      </w:r>
    </w:p>
    <w:p w:rsidR="00736C74" w:rsidRDefault="00736C74" w:rsidP="00EB5AE8">
      <w:pPr>
        <w:rPr>
          <w:i/>
        </w:rPr>
      </w:pPr>
    </w:p>
    <w:p w:rsidR="00EA6300" w:rsidRPr="00EA6300" w:rsidRDefault="00EA6300" w:rsidP="00EA6300">
      <w:pPr>
        <w:rPr>
          <w:i/>
        </w:rPr>
      </w:pPr>
      <w:r w:rsidRPr="00EA6300">
        <w:rPr>
          <w:i/>
        </w:rPr>
        <w:t xml:space="preserve">DEQ </w:t>
      </w:r>
      <w:r w:rsidR="00415B92">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sidR="00415B92">
        <w:rPr>
          <w:i/>
        </w:rPr>
        <w:t xml:space="preserve">. </w:t>
      </w:r>
    </w:p>
    <w:p w:rsidR="00387D9C" w:rsidRDefault="00387D9C" w:rsidP="00EB5AE8">
      <w:pPr>
        <w:rPr>
          <w:i/>
        </w:rPr>
      </w:pPr>
    </w:p>
    <w:sectPr w:rsidR="00387D9C" w:rsidSect="0024769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34A93A" w15:done="0"/>
  <w15:commentEx w15:paraId="70046AFB" w15:done="0"/>
  <w15:commentEx w15:paraId="0E990CE6" w15:done="0"/>
  <w15:commentEx w15:paraId="7E646C8F" w15:done="0"/>
  <w15:commentEx w15:paraId="63765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8B4" w:rsidRDefault="002D28B4" w:rsidP="00BD1C10">
      <w:r>
        <w:separator/>
      </w:r>
    </w:p>
  </w:endnote>
  <w:endnote w:type="continuationSeparator" w:id="0">
    <w:p w:rsidR="002D28B4" w:rsidRDefault="002D28B4" w:rsidP="00BD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B4" w:rsidRDefault="009F1748" w:rsidP="00BD1C10">
    <w:pPr>
      <w:pStyle w:val="Footer"/>
      <w:framePr w:wrap="around" w:vAnchor="text" w:hAnchor="margin" w:xAlign="right" w:y="1"/>
      <w:rPr>
        <w:rStyle w:val="PageNumber"/>
      </w:rPr>
    </w:pPr>
    <w:r>
      <w:rPr>
        <w:rStyle w:val="PageNumber"/>
      </w:rPr>
      <w:fldChar w:fldCharType="begin"/>
    </w:r>
    <w:r w:rsidR="002D28B4">
      <w:rPr>
        <w:rStyle w:val="PageNumber"/>
      </w:rPr>
      <w:instrText xml:space="preserve">PAGE  </w:instrText>
    </w:r>
    <w:r>
      <w:rPr>
        <w:rStyle w:val="PageNumber"/>
      </w:rPr>
      <w:fldChar w:fldCharType="end"/>
    </w:r>
  </w:p>
  <w:p w:rsidR="002D28B4" w:rsidRDefault="002D28B4" w:rsidP="00BD1C10">
    <w:pPr>
      <w:pStyle w:val="Footer"/>
      <w:ind w:right="360"/>
    </w:pPr>
  </w:p>
  <w:p w:rsidR="002D28B4" w:rsidRDefault="002D28B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B4" w:rsidRDefault="009F1748" w:rsidP="00BD1C10">
    <w:pPr>
      <w:pStyle w:val="Footer"/>
      <w:framePr w:wrap="around" w:vAnchor="text" w:hAnchor="margin" w:xAlign="right" w:y="1"/>
      <w:rPr>
        <w:rStyle w:val="PageNumber"/>
      </w:rPr>
    </w:pPr>
    <w:r>
      <w:rPr>
        <w:rStyle w:val="PageNumber"/>
      </w:rPr>
      <w:fldChar w:fldCharType="begin"/>
    </w:r>
    <w:r w:rsidR="002D28B4">
      <w:rPr>
        <w:rStyle w:val="PageNumber"/>
      </w:rPr>
      <w:instrText xml:space="preserve">PAGE  </w:instrText>
    </w:r>
    <w:r>
      <w:rPr>
        <w:rStyle w:val="PageNumber"/>
      </w:rPr>
      <w:fldChar w:fldCharType="separate"/>
    </w:r>
    <w:r w:rsidR="00E639A9">
      <w:rPr>
        <w:rStyle w:val="PageNumber"/>
        <w:noProof/>
      </w:rPr>
      <w:t>10</w:t>
    </w:r>
    <w:r>
      <w:rPr>
        <w:rStyle w:val="PageNumber"/>
      </w:rPr>
      <w:fldChar w:fldCharType="end"/>
    </w:r>
  </w:p>
  <w:p w:rsidR="002D28B4" w:rsidRDefault="002D28B4" w:rsidP="00BD1C10">
    <w:pPr>
      <w:pStyle w:val="Footer"/>
      <w:ind w:right="360"/>
    </w:pPr>
  </w:p>
  <w:p w:rsidR="002D28B4" w:rsidRDefault="002D28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8B4" w:rsidRDefault="002D28B4" w:rsidP="00BD1C10">
      <w:r>
        <w:separator/>
      </w:r>
    </w:p>
  </w:footnote>
  <w:footnote w:type="continuationSeparator" w:id="0">
    <w:p w:rsidR="002D28B4" w:rsidRDefault="002D28B4" w:rsidP="00BD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019E"/>
    <w:multiLevelType w:val="hybridMultilevel"/>
    <w:tmpl w:val="7FD2234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564566"/>
    <w:multiLevelType w:val="hybridMultilevel"/>
    <w:tmpl w:val="2B3286C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3">
    <w:nsid w:val="0C304D4A"/>
    <w:multiLevelType w:val="hybridMultilevel"/>
    <w:tmpl w:val="9DB80CF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50464"/>
    <w:multiLevelType w:val="hybridMultilevel"/>
    <w:tmpl w:val="1B5CF4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805B1D"/>
    <w:multiLevelType w:val="hybridMultilevel"/>
    <w:tmpl w:val="9C62F1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5477425"/>
    <w:multiLevelType w:val="multilevel"/>
    <w:tmpl w:val="E5628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C47D38"/>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71215"/>
    <w:multiLevelType w:val="hybridMultilevel"/>
    <w:tmpl w:val="9B3CEF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4434931"/>
    <w:multiLevelType w:val="hybridMultilevel"/>
    <w:tmpl w:val="39D05B4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decimal"/>
      <w:lvlText w:val="%3."/>
      <w:lvlJc w:val="left"/>
      <w:pPr>
        <w:tabs>
          <w:tab w:val="num" w:pos="2880"/>
        </w:tabs>
        <w:ind w:left="2880" w:hanging="360"/>
      </w:pPr>
    </w:lvl>
    <w:lvl w:ilvl="3" w:tplc="04090003">
      <w:start w:val="1"/>
      <w:numFmt w:val="bullet"/>
      <w:lvlText w:val="o"/>
      <w:lvlJc w:val="left"/>
      <w:pPr>
        <w:tabs>
          <w:tab w:val="num" w:pos="3600"/>
        </w:tabs>
        <w:ind w:left="3600" w:hanging="360"/>
      </w:pPr>
      <w:rPr>
        <w:rFonts w:ascii="Courier New" w:hAnsi="Courier New" w:cs="Courier New" w:hint="default"/>
      </w:r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E4E76"/>
    <w:multiLevelType w:val="hybridMultilevel"/>
    <w:tmpl w:val="954E79C6"/>
    <w:lvl w:ilvl="0" w:tplc="00FE57D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15B42"/>
    <w:multiLevelType w:val="hybridMultilevel"/>
    <w:tmpl w:val="DCBCD5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91AC5"/>
    <w:multiLevelType w:val="hybridMultilevel"/>
    <w:tmpl w:val="7074ACF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20">
    <w:nsid w:val="4A1378B4"/>
    <w:multiLevelType w:val="hybridMultilevel"/>
    <w:tmpl w:val="1D6E83C8"/>
    <w:lvl w:ilvl="0" w:tplc="41B089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867A0B"/>
    <w:multiLevelType w:val="hybridMultilevel"/>
    <w:tmpl w:val="EF0C2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64ABC"/>
    <w:multiLevelType w:val="hybridMultilevel"/>
    <w:tmpl w:val="BC1297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3203B7B"/>
    <w:multiLevelType w:val="multilevel"/>
    <w:tmpl w:val="4BC8C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700B3D"/>
    <w:multiLevelType w:val="hybridMultilevel"/>
    <w:tmpl w:val="9CE45B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11504"/>
    <w:multiLevelType w:val="multilevel"/>
    <w:tmpl w:val="EF74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46134E"/>
    <w:multiLevelType w:val="hybridMultilevel"/>
    <w:tmpl w:val="74601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264DE"/>
    <w:multiLevelType w:val="hybridMultilevel"/>
    <w:tmpl w:val="4C9A1D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21"/>
  </w:num>
  <w:num w:numId="5">
    <w:abstractNumId w:val="31"/>
  </w:num>
  <w:num w:numId="6">
    <w:abstractNumId w:val="28"/>
  </w:num>
  <w:num w:numId="7">
    <w:abstractNumId w:val="7"/>
  </w:num>
  <w:num w:numId="8">
    <w:abstractNumId w:val="33"/>
  </w:num>
  <w:num w:numId="9">
    <w:abstractNumId w:val="15"/>
  </w:num>
  <w:num w:numId="10">
    <w:abstractNumId w:val="11"/>
  </w:num>
  <w:num w:numId="11">
    <w:abstractNumId w:val="34"/>
  </w:num>
  <w:num w:numId="12">
    <w:abstractNumId w:val="36"/>
  </w:num>
  <w:num w:numId="13">
    <w:abstractNumId w:val="3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8"/>
  </w:num>
  <w:num w:numId="18">
    <w:abstractNumId w:val="32"/>
  </w:num>
  <w:num w:numId="19">
    <w:abstractNumId w:val="0"/>
  </w:num>
  <w:num w:numId="20">
    <w:abstractNumId w:val="35"/>
  </w:num>
  <w:num w:numId="21">
    <w:abstractNumId w:val="12"/>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9"/>
  </w:num>
  <w:num w:numId="25">
    <w:abstractNumId w:val="25"/>
  </w:num>
  <w:num w:numId="26">
    <w:abstractNumId w:val="20"/>
  </w:num>
  <w:num w:numId="27">
    <w:abstractNumId w:val="9"/>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9"/>
  </w:num>
  <w:num w:numId="37">
    <w:abstractNumId w:val="10"/>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 Hueftle">
    <w15:presenceInfo w15:providerId="AD" w15:userId="S-1-5-21-201120949-788198106-3983272418-11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521AE"/>
    <w:rsid w:val="00001C9B"/>
    <w:rsid w:val="00002139"/>
    <w:rsid w:val="0000337A"/>
    <w:rsid w:val="000042ED"/>
    <w:rsid w:val="000061EE"/>
    <w:rsid w:val="0000718D"/>
    <w:rsid w:val="000071F6"/>
    <w:rsid w:val="0000738A"/>
    <w:rsid w:val="00007D9C"/>
    <w:rsid w:val="00010169"/>
    <w:rsid w:val="000136E6"/>
    <w:rsid w:val="00014921"/>
    <w:rsid w:val="00015C33"/>
    <w:rsid w:val="00016525"/>
    <w:rsid w:val="00016DE2"/>
    <w:rsid w:val="0001785F"/>
    <w:rsid w:val="00017F6E"/>
    <w:rsid w:val="000207B5"/>
    <w:rsid w:val="0002145D"/>
    <w:rsid w:val="00022005"/>
    <w:rsid w:val="00022705"/>
    <w:rsid w:val="00023CF3"/>
    <w:rsid w:val="00023D68"/>
    <w:rsid w:val="00024372"/>
    <w:rsid w:val="00025121"/>
    <w:rsid w:val="00026E21"/>
    <w:rsid w:val="00030063"/>
    <w:rsid w:val="000315C6"/>
    <w:rsid w:val="00031DF1"/>
    <w:rsid w:val="00035AF6"/>
    <w:rsid w:val="00036A53"/>
    <w:rsid w:val="000378FF"/>
    <w:rsid w:val="0004032D"/>
    <w:rsid w:val="00040BE2"/>
    <w:rsid w:val="00042646"/>
    <w:rsid w:val="00044C6E"/>
    <w:rsid w:val="00044C88"/>
    <w:rsid w:val="00045E0D"/>
    <w:rsid w:val="000461CC"/>
    <w:rsid w:val="00046D77"/>
    <w:rsid w:val="00053398"/>
    <w:rsid w:val="00055EBA"/>
    <w:rsid w:val="000574E5"/>
    <w:rsid w:val="000601A6"/>
    <w:rsid w:val="00061977"/>
    <w:rsid w:val="0006440B"/>
    <w:rsid w:val="0006465C"/>
    <w:rsid w:val="000653F0"/>
    <w:rsid w:val="00071488"/>
    <w:rsid w:val="00071530"/>
    <w:rsid w:val="00071548"/>
    <w:rsid w:val="000745DF"/>
    <w:rsid w:val="00075420"/>
    <w:rsid w:val="000767BB"/>
    <w:rsid w:val="00076CF0"/>
    <w:rsid w:val="00081D06"/>
    <w:rsid w:val="00082A92"/>
    <w:rsid w:val="000831C2"/>
    <w:rsid w:val="00085670"/>
    <w:rsid w:val="00086E34"/>
    <w:rsid w:val="000907F8"/>
    <w:rsid w:val="00093D20"/>
    <w:rsid w:val="00095667"/>
    <w:rsid w:val="00095CAD"/>
    <w:rsid w:val="000A1335"/>
    <w:rsid w:val="000A7E1D"/>
    <w:rsid w:val="000B1681"/>
    <w:rsid w:val="000B2B7A"/>
    <w:rsid w:val="000B44BC"/>
    <w:rsid w:val="000B6F40"/>
    <w:rsid w:val="000B78A7"/>
    <w:rsid w:val="000C116E"/>
    <w:rsid w:val="000C1D38"/>
    <w:rsid w:val="000D29C4"/>
    <w:rsid w:val="000D4B73"/>
    <w:rsid w:val="000E0063"/>
    <w:rsid w:val="000E043E"/>
    <w:rsid w:val="000E0C94"/>
    <w:rsid w:val="000E3EE0"/>
    <w:rsid w:val="000E6624"/>
    <w:rsid w:val="000E7339"/>
    <w:rsid w:val="000F1D38"/>
    <w:rsid w:val="000F4CB2"/>
    <w:rsid w:val="000F5D09"/>
    <w:rsid w:val="000F6AD1"/>
    <w:rsid w:val="00101876"/>
    <w:rsid w:val="001034C8"/>
    <w:rsid w:val="00103BCA"/>
    <w:rsid w:val="0010535F"/>
    <w:rsid w:val="0010590E"/>
    <w:rsid w:val="00105FB0"/>
    <w:rsid w:val="00106036"/>
    <w:rsid w:val="001064C4"/>
    <w:rsid w:val="00107209"/>
    <w:rsid w:val="00107C64"/>
    <w:rsid w:val="00107EC7"/>
    <w:rsid w:val="001106B7"/>
    <w:rsid w:val="001122B8"/>
    <w:rsid w:val="00112AF9"/>
    <w:rsid w:val="001149D3"/>
    <w:rsid w:val="00114F75"/>
    <w:rsid w:val="00115E74"/>
    <w:rsid w:val="0011602F"/>
    <w:rsid w:val="00116313"/>
    <w:rsid w:val="00120509"/>
    <w:rsid w:val="00123E05"/>
    <w:rsid w:val="0012520F"/>
    <w:rsid w:val="00125521"/>
    <w:rsid w:val="00126D50"/>
    <w:rsid w:val="0013117F"/>
    <w:rsid w:val="00132186"/>
    <w:rsid w:val="001339F1"/>
    <w:rsid w:val="00137589"/>
    <w:rsid w:val="0014228A"/>
    <w:rsid w:val="0014639D"/>
    <w:rsid w:val="001471A9"/>
    <w:rsid w:val="0014761B"/>
    <w:rsid w:val="00156238"/>
    <w:rsid w:val="0015626F"/>
    <w:rsid w:val="00156391"/>
    <w:rsid w:val="0015653D"/>
    <w:rsid w:val="00156964"/>
    <w:rsid w:val="00160366"/>
    <w:rsid w:val="00164049"/>
    <w:rsid w:val="0016577C"/>
    <w:rsid w:val="0016736E"/>
    <w:rsid w:val="00167A18"/>
    <w:rsid w:val="0017253C"/>
    <w:rsid w:val="001755AE"/>
    <w:rsid w:val="00175D2F"/>
    <w:rsid w:val="0017616A"/>
    <w:rsid w:val="0017689E"/>
    <w:rsid w:val="00176BF8"/>
    <w:rsid w:val="001771FF"/>
    <w:rsid w:val="00177317"/>
    <w:rsid w:val="001775A7"/>
    <w:rsid w:val="00182026"/>
    <w:rsid w:val="00183CB6"/>
    <w:rsid w:val="0018683D"/>
    <w:rsid w:val="00187105"/>
    <w:rsid w:val="0018778A"/>
    <w:rsid w:val="0019474E"/>
    <w:rsid w:val="001A6ADF"/>
    <w:rsid w:val="001A7916"/>
    <w:rsid w:val="001A7A8B"/>
    <w:rsid w:val="001B0A5E"/>
    <w:rsid w:val="001B314A"/>
    <w:rsid w:val="001B338D"/>
    <w:rsid w:val="001B3C5A"/>
    <w:rsid w:val="001B5128"/>
    <w:rsid w:val="001B54F7"/>
    <w:rsid w:val="001B5AC2"/>
    <w:rsid w:val="001B62FF"/>
    <w:rsid w:val="001C08BD"/>
    <w:rsid w:val="001C0D3F"/>
    <w:rsid w:val="001C21A1"/>
    <w:rsid w:val="001C25A0"/>
    <w:rsid w:val="001C611D"/>
    <w:rsid w:val="001D18F5"/>
    <w:rsid w:val="001D4993"/>
    <w:rsid w:val="001E31A6"/>
    <w:rsid w:val="001E566F"/>
    <w:rsid w:val="001E56A8"/>
    <w:rsid w:val="001E628B"/>
    <w:rsid w:val="001E64E7"/>
    <w:rsid w:val="001E752C"/>
    <w:rsid w:val="001E7D15"/>
    <w:rsid w:val="001F2FC5"/>
    <w:rsid w:val="001F3908"/>
    <w:rsid w:val="00200081"/>
    <w:rsid w:val="002002CB"/>
    <w:rsid w:val="0020110E"/>
    <w:rsid w:val="00202A2E"/>
    <w:rsid w:val="0020500A"/>
    <w:rsid w:val="00207261"/>
    <w:rsid w:val="002077CC"/>
    <w:rsid w:val="00211124"/>
    <w:rsid w:val="0021279E"/>
    <w:rsid w:val="00213F68"/>
    <w:rsid w:val="0021401C"/>
    <w:rsid w:val="00214844"/>
    <w:rsid w:val="00217196"/>
    <w:rsid w:val="002178F2"/>
    <w:rsid w:val="00222276"/>
    <w:rsid w:val="00223391"/>
    <w:rsid w:val="00227008"/>
    <w:rsid w:val="00227F41"/>
    <w:rsid w:val="00231CB3"/>
    <w:rsid w:val="002370F6"/>
    <w:rsid w:val="0024246B"/>
    <w:rsid w:val="002429E8"/>
    <w:rsid w:val="002452CC"/>
    <w:rsid w:val="00245FA5"/>
    <w:rsid w:val="00246ACD"/>
    <w:rsid w:val="00247693"/>
    <w:rsid w:val="002477DD"/>
    <w:rsid w:val="00247AA9"/>
    <w:rsid w:val="00247C7A"/>
    <w:rsid w:val="00247EB9"/>
    <w:rsid w:val="00250327"/>
    <w:rsid w:val="00252143"/>
    <w:rsid w:val="002526A4"/>
    <w:rsid w:val="0025355E"/>
    <w:rsid w:val="00255286"/>
    <w:rsid w:val="00256178"/>
    <w:rsid w:val="00256B0A"/>
    <w:rsid w:val="002661AF"/>
    <w:rsid w:val="00266A51"/>
    <w:rsid w:val="00266C9A"/>
    <w:rsid w:val="00267B3C"/>
    <w:rsid w:val="00270563"/>
    <w:rsid w:val="00270BEA"/>
    <w:rsid w:val="00271B32"/>
    <w:rsid w:val="00274B10"/>
    <w:rsid w:val="00277633"/>
    <w:rsid w:val="00277B75"/>
    <w:rsid w:val="00281CF7"/>
    <w:rsid w:val="002822E0"/>
    <w:rsid w:val="00282FD4"/>
    <w:rsid w:val="0028467F"/>
    <w:rsid w:val="00284DD3"/>
    <w:rsid w:val="00286224"/>
    <w:rsid w:val="00286A7E"/>
    <w:rsid w:val="00292B76"/>
    <w:rsid w:val="00294858"/>
    <w:rsid w:val="002963E2"/>
    <w:rsid w:val="00297594"/>
    <w:rsid w:val="002A28F4"/>
    <w:rsid w:val="002A3DEF"/>
    <w:rsid w:val="002A57D6"/>
    <w:rsid w:val="002A61E9"/>
    <w:rsid w:val="002A6CDF"/>
    <w:rsid w:val="002A73D6"/>
    <w:rsid w:val="002A7747"/>
    <w:rsid w:val="002A78C1"/>
    <w:rsid w:val="002A78F6"/>
    <w:rsid w:val="002A7944"/>
    <w:rsid w:val="002B12BB"/>
    <w:rsid w:val="002B2EB3"/>
    <w:rsid w:val="002B4281"/>
    <w:rsid w:val="002B451F"/>
    <w:rsid w:val="002B54B9"/>
    <w:rsid w:val="002C32D0"/>
    <w:rsid w:val="002C50DD"/>
    <w:rsid w:val="002C54E8"/>
    <w:rsid w:val="002C6A65"/>
    <w:rsid w:val="002D17B3"/>
    <w:rsid w:val="002D225C"/>
    <w:rsid w:val="002D26BA"/>
    <w:rsid w:val="002D28B4"/>
    <w:rsid w:val="002D4C1A"/>
    <w:rsid w:val="002D4E5E"/>
    <w:rsid w:val="002D6855"/>
    <w:rsid w:val="002D70D8"/>
    <w:rsid w:val="002E04C2"/>
    <w:rsid w:val="002E16D0"/>
    <w:rsid w:val="002E4233"/>
    <w:rsid w:val="002E4631"/>
    <w:rsid w:val="002E55D9"/>
    <w:rsid w:val="002F2AE8"/>
    <w:rsid w:val="002F2F15"/>
    <w:rsid w:val="002F6020"/>
    <w:rsid w:val="003037DD"/>
    <w:rsid w:val="003043F6"/>
    <w:rsid w:val="00304B12"/>
    <w:rsid w:val="0030551D"/>
    <w:rsid w:val="00306820"/>
    <w:rsid w:val="00310DA0"/>
    <w:rsid w:val="00312E5B"/>
    <w:rsid w:val="00316AFE"/>
    <w:rsid w:val="0031715D"/>
    <w:rsid w:val="00320AA0"/>
    <w:rsid w:val="00330AED"/>
    <w:rsid w:val="00331791"/>
    <w:rsid w:val="003325E0"/>
    <w:rsid w:val="003333CE"/>
    <w:rsid w:val="00336D9B"/>
    <w:rsid w:val="00337271"/>
    <w:rsid w:val="00340A38"/>
    <w:rsid w:val="00340BA3"/>
    <w:rsid w:val="00343E39"/>
    <w:rsid w:val="003440D6"/>
    <w:rsid w:val="0034452F"/>
    <w:rsid w:val="003455CD"/>
    <w:rsid w:val="00345716"/>
    <w:rsid w:val="003461E2"/>
    <w:rsid w:val="003467F3"/>
    <w:rsid w:val="003469B1"/>
    <w:rsid w:val="00346F31"/>
    <w:rsid w:val="0035096D"/>
    <w:rsid w:val="00354883"/>
    <w:rsid w:val="0035759D"/>
    <w:rsid w:val="003578FB"/>
    <w:rsid w:val="003608E5"/>
    <w:rsid w:val="00361309"/>
    <w:rsid w:val="0036529B"/>
    <w:rsid w:val="0036562E"/>
    <w:rsid w:val="00365F49"/>
    <w:rsid w:val="003703F9"/>
    <w:rsid w:val="00370DF2"/>
    <w:rsid w:val="003736D7"/>
    <w:rsid w:val="00374A4E"/>
    <w:rsid w:val="00376688"/>
    <w:rsid w:val="003778F5"/>
    <w:rsid w:val="0038283D"/>
    <w:rsid w:val="00382FF5"/>
    <w:rsid w:val="0038690B"/>
    <w:rsid w:val="00387D9C"/>
    <w:rsid w:val="00390D39"/>
    <w:rsid w:val="003921A1"/>
    <w:rsid w:val="00393205"/>
    <w:rsid w:val="00395346"/>
    <w:rsid w:val="00396ED5"/>
    <w:rsid w:val="00397A21"/>
    <w:rsid w:val="003A0B52"/>
    <w:rsid w:val="003A10B1"/>
    <w:rsid w:val="003A4F22"/>
    <w:rsid w:val="003A7328"/>
    <w:rsid w:val="003B0883"/>
    <w:rsid w:val="003B1626"/>
    <w:rsid w:val="003B2548"/>
    <w:rsid w:val="003B2C71"/>
    <w:rsid w:val="003B2D01"/>
    <w:rsid w:val="003B62D8"/>
    <w:rsid w:val="003C1E67"/>
    <w:rsid w:val="003C1F59"/>
    <w:rsid w:val="003C3ED0"/>
    <w:rsid w:val="003C5FF8"/>
    <w:rsid w:val="003C6E67"/>
    <w:rsid w:val="003D120F"/>
    <w:rsid w:val="003D19B1"/>
    <w:rsid w:val="003D362E"/>
    <w:rsid w:val="003D4A72"/>
    <w:rsid w:val="003D5324"/>
    <w:rsid w:val="003E460A"/>
    <w:rsid w:val="003E61F8"/>
    <w:rsid w:val="003E78FE"/>
    <w:rsid w:val="003F0A3A"/>
    <w:rsid w:val="003F3188"/>
    <w:rsid w:val="003F5358"/>
    <w:rsid w:val="003F5B49"/>
    <w:rsid w:val="003F69CF"/>
    <w:rsid w:val="0040039A"/>
    <w:rsid w:val="00403B13"/>
    <w:rsid w:val="004058CE"/>
    <w:rsid w:val="004060AB"/>
    <w:rsid w:val="0040674D"/>
    <w:rsid w:val="004149DE"/>
    <w:rsid w:val="004154DC"/>
    <w:rsid w:val="00415B92"/>
    <w:rsid w:val="004215B2"/>
    <w:rsid w:val="004219CD"/>
    <w:rsid w:val="004222F0"/>
    <w:rsid w:val="004266AC"/>
    <w:rsid w:val="00430F58"/>
    <w:rsid w:val="004332ED"/>
    <w:rsid w:val="004336E2"/>
    <w:rsid w:val="00433A1E"/>
    <w:rsid w:val="00443D70"/>
    <w:rsid w:val="004474A6"/>
    <w:rsid w:val="004521AE"/>
    <w:rsid w:val="00452C5F"/>
    <w:rsid w:val="00457A71"/>
    <w:rsid w:val="00457F4C"/>
    <w:rsid w:val="00461D95"/>
    <w:rsid w:val="004670E5"/>
    <w:rsid w:val="00467C9B"/>
    <w:rsid w:val="004725FA"/>
    <w:rsid w:val="00472C12"/>
    <w:rsid w:val="00473FBF"/>
    <w:rsid w:val="004756E9"/>
    <w:rsid w:val="00476AF5"/>
    <w:rsid w:val="0048080E"/>
    <w:rsid w:val="00480E79"/>
    <w:rsid w:val="00480FF4"/>
    <w:rsid w:val="00483934"/>
    <w:rsid w:val="00483D11"/>
    <w:rsid w:val="00484559"/>
    <w:rsid w:val="00486633"/>
    <w:rsid w:val="00486792"/>
    <w:rsid w:val="00486ED8"/>
    <w:rsid w:val="00490251"/>
    <w:rsid w:val="00491EF8"/>
    <w:rsid w:val="00492C53"/>
    <w:rsid w:val="00494C88"/>
    <w:rsid w:val="00496988"/>
    <w:rsid w:val="00496BC1"/>
    <w:rsid w:val="0049728A"/>
    <w:rsid w:val="004A2140"/>
    <w:rsid w:val="004A263A"/>
    <w:rsid w:val="004B10BE"/>
    <w:rsid w:val="004B1CDE"/>
    <w:rsid w:val="004B4551"/>
    <w:rsid w:val="004B4D81"/>
    <w:rsid w:val="004C10A9"/>
    <w:rsid w:val="004C55AC"/>
    <w:rsid w:val="004D09B7"/>
    <w:rsid w:val="004D0C6A"/>
    <w:rsid w:val="004D1194"/>
    <w:rsid w:val="004D240E"/>
    <w:rsid w:val="004D34B9"/>
    <w:rsid w:val="004D3829"/>
    <w:rsid w:val="004D3CE4"/>
    <w:rsid w:val="004D4344"/>
    <w:rsid w:val="004D65E0"/>
    <w:rsid w:val="004D66C3"/>
    <w:rsid w:val="004E50D3"/>
    <w:rsid w:val="004F32ED"/>
    <w:rsid w:val="004F486C"/>
    <w:rsid w:val="004F5916"/>
    <w:rsid w:val="004F5950"/>
    <w:rsid w:val="004F5F8C"/>
    <w:rsid w:val="005003B1"/>
    <w:rsid w:val="00501E4D"/>
    <w:rsid w:val="00501E5E"/>
    <w:rsid w:val="00502412"/>
    <w:rsid w:val="005034FD"/>
    <w:rsid w:val="0050369B"/>
    <w:rsid w:val="00503C0A"/>
    <w:rsid w:val="00504010"/>
    <w:rsid w:val="00506593"/>
    <w:rsid w:val="00506B6A"/>
    <w:rsid w:val="0051176D"/>
    <w:rsid w:val="00511F90"/>
    <w:rsid w:val="00512BEC"/>
    <w:rsid w:val="00513EDE"/>
    <w:rsid w:val="005164EC"/>
    <w:rsid w:val="00516938"/>
    <w:rsid w:val="00517950"/>
    <w:rsid w:val="00517DED"/>
    <w:rsid w:val="00520101"/>
    <w:rsid w:val="005205EA"/>
    <w:rsid w:val="00522F01"/>
    <w:rsid w:val="00523E7B"/>
    <w:rsid w:val="00525C7F"/>
    <w:rsid w:val="005269CF"/>
    <w:rsid w:val="00526C7B"/>
    <w:rsid w:val="00530887"/>
    <w:rsid w:val="00530BEC"/>
    <w:rsid w:val="00537334"/>
    <w:rsid w:val="005414A2"/>
    <w:rsid w:val="00544C10"/>
    <w:rsid w:val="0054685D"/>
    <w:rsid w:val="00547CA4"/>
    <w:rsid w:val="00550E37"/>
    <w:rsid w:val="00552788"/>
    <w:rsid w:val="00554430"/>
    <w:rsid w:val="0055545E"/>
    <w:rsid w:val="005558C0"/>
    <w:rsid w:val="00557E27"/>
    <w:rsid w:val="00560888"/>
    <w:rsid w:val="0056091D"/>
    <w:rsid w:val="0056250E"/>
    <w:rsid w:val="00562FF5"/>
    <w:rsid w:val="005716BC"/>
    <w:rsid w:val="0057382A"/>
    <w:rsid w:val="00576235"/>
    <w:rsid w:val="00576305"/>
    <w:rsid w:val="00580690"/>
    <w:rsid w:val="00581C50"/>
    <w:rsid w:val="00583E48"/>
    <w:rsid w:val="00584256"/>
    <w:rsid w:val="00585DA5"/>
    <w:rsid w:val="005864FB"/>
    <w:rsid w:val="005871F3"/>
    <w:rsid w:val="0059039F"/>
    <w:rsid w:val="0059041D"/>
    <w:rsid w:val="00590618"/>
    <w:rsid w:val="00590D0E"/>
    <w:rsid w:val="00590F0B"/>
    <w:rsid w:val="00592265"/>
    <w:rsid w:val="005922D4"/>
    <w:rsid w:val="00592DEB"/>
    <w:rsid w:val="005931A9"/>
    <w:rsid w:val="00593E37"/>
    <w:rsid w:val="0059508A"/>
    <w:rsid w:val="00595B32"/>
    <w:rsid w:val="00596557"/>
    <w:rsid w:val="0059659B"/>
    <w:rsid w:val="00597AC2"/>
    <w:rsid w:val="005A1EDD"/>
    <w:rsid w:val="005A341D"/>
    <w:rsid w:val="005A5609"/>
    <w:rsid w:val="005A59E7"/>
    <w:rsid w:val="005B5436"/>
    <w:rsid w:val="005B5E1C"/>
    <w:rsid w:val="005B7CB9"/>
    <w:rsid w:val="005C0CB5"/>
    <w:rsid w:val="005C112F"/>
    <w:rsid w:val="005C3BCA"/>
    <w:rsid w:val="005C54AB"/>
    <w:rsid w:val="005C69ED"/>
    <w:rsid w:val="005C72FA"/>
    <w:rsid w:val="005C7D7D"/>
    <w:rsid w:val="005D3382"/>
    <w:rsid w:val="005D466D"/>
    <w:rsid w:val="005D4A82"/>
    <w:rsid w:val="005E18EC"/>
    <w:rsid w:val="005E5732"/>
    <w:rsid w:val="005E698D"/>
    <w:rsid w:val="005E768B"/>
    <w:rsid w:val="005F0386"/>
    <w:rsid w:val="005F3976"/>
    <w:rsid w:val="005F550E"/>
    <w:rsid w:val="005F55AA"/>
    <w:rsid w:val="005F575C"/>
    <w:rsid w:val="005F700D"/>
    <w:rsid w:val="00601671"/>
    <w:rsid w:val="00602F56"/>
    <w:rsid w:val="00603098"/>
    <w:rsid w:val="00603124"/>
    <w:rsid w:val="006032F3"/>
    <w:rsid w:val="0060343C"/>
    <w:rsid w:val="0060635F"/>
    <w:rsid w:val="0061182D"/>
    <w:rsid w:val="00612930"/>
    <w:rsid w:val="00613B95"/>
    <w:rsid w:val="006202BD"/>
    <w:rsid w:val="0062058D"/>
    <w:rsid w:val="00620A1D"/>
    <w:rsid w:val="00620F78"/>
    <w:rsid w:val="00623133"/>
    <w:rsid w:val="00624026"/>
    <w:rsid w:val="00625CEF"/>
    <w:rsid w:val="00626EAE"/>
    <w:rsid w:val="00627A54"/>
    <w:rsid w:val="00627E90"/>
    <w:rsid w:val="00631739"/>
    <w:rsid w:val="0063485D"/>
    <w:rsid w:val="006349CE"/>
    <w:rsid w:val="00637159"/>
    <w:rsid w:val="00637CD4"/>
    <w:rsid w:val="00641E9F"/>
    <w:rsid w:val="00643892"/>
    <w:rsid w:val="0064465E"/>
    <w:rsid w:val="0064562C"/>
    <w:rsid w:val="0064776A"/>
    <w:rsid w:val="00653285"/>
    <w:rsid w:val="006569CC"/>
    <w:rsid w:val="006605FC"/>
    <w:rsid w:val="00661F5C"/>
    <w:rsid w:val="0066233A"/>
    <w:rsid w:val="00662467"/>
    <w:rsid w:val="00662C27"/>
    <w:rsid w:val="00662F7A"/>
    <w:rsid w:val="00664C4C"/>
    <w:rsid w:val="0066513A"/>
    <w:rsid w:val="0067077A"/>
    <w:rsid w:val="006730F7"/>
    <w:rsid w:val="006770F0"/>
    <w:rsid w:val="006811FC"/>
    <w:rsid w:val="00683FD9"/>
    <w:rsid w:val="00683FDD"/>
    <w:rsid w:val="00684571"/>
    <w:rsid w:val="006855AF"/>
    <w:rsid w:val="006867A9"/>
    <w:rsid w:val="00687251"/>
    <w:rsid w:val="00693C9A"/>
    <w:rsid w:val="00693F75"/>
    <w:rsid w:val="006956C4"/>
    <w:rsid w:val="00696E5D"/>
    <w:rsid w:val="006A1B68"/>
    <w:rsid w:val="006A2A08"/>
    <w:rsid w:val="006A32C7"/>
    <w:rsid w:val="006B1E70"/>
    <w:rsid w:val="006B2E95"/>
    <w:rsid w:val="006B53B5"/>
    <w:rsid w:val="006B573E"/>
    <w:rsid w:val="006B5ED1"/>
    <w:rsid w:val="006B6CCE"/>
    <w:rsid w:val="006C132F"/>
    <w:rsid w:val="006C1AD5"/>
    <w:rsid w:val="006C2D6B"/>
    <w:rsid w:val="006C36C2"/>
    <w:rsid w:val="006C4C34"/>
    <w:rsid w:val="006C4D10"/>
    <w:rsid w:val="006C5B02"/>
    <w:rsid w:val="006C6327"/>
    <w:rsid w:val="006D1E5A"/>
    <w:rsid w:val="006D23BA"/>
    <w:rsid w:val="006D2C28"/>
    <w:rsid w:val="006D2E75"/>
    <w:rsid w:val="006D4F71"/>
    <w:rsid w:val="006D7C0C"/>
    <w:rsid w:val="006E13FC"/>
    <w:rsid w:val="006E4EF0"/>
    <w:rsid w:val="006E51A1"/>
    <w:rsid w:val="006E78A1"/>
    <w:rsid w:val="006E7BD3"/>
    <w:rsid w:val="006F022F"/>
    <w:rsid w:val="006F329A"/>
    <w:rsid w:val="006F4231"/>
    <w:rsid w:val="006F4A5C"/>
    <w:rsid w:val="006F5E15"/>
    <w:rsid w:val="006F65E6"/>
    <w:rsid w:val="006F6683"/>
    <w:rsid w:val="007002E8"/>
    <w:rsid w:val="00710D06"/>
    <w:rsid w:val="0071271E"/>
    <w:rsid w:val="00712E75"/>
    <w:rsid w:val="00712F18"/>
    <w:rsid w:val="0071434E"/>
    <w:rsid w:val="0072459B"/>
    <w:rsid w:val="0073095C"/>
    <w:rsid w:val="007311B3"/>
    <w:rsid w:val="00732082"/>
    <w:rsid w:val="00735D62"/>
    <w:rsid w:val="00736C74"/>
    <w:rsid w:val="007402E4"/>
    <w:rsid w:val="0074056E"/>
    <w:rsid w:val="00741F1E"/>
    <w:rsid w:val="00742C8C"/>
    <w:rsid w:val="00746857"/>
    <w:rsid w:val="007468AC"/>
    <w:rsid w:val="0075366B"/>
    <w:rsid w:val="007549BA"/>
    <w:rsid w:val="0075626B"/>
    <w:rsid w:val="0076028B"/>
    <w:rsid w:val="0076203F"/>
    <w:rsid w:val="00762768"/>
    <w:rsid w:val="00763544"/>
    <w:rsid w:val="00764340"/>
    <w:rsid w:val="007671A8"/>
    <w:rsid w:val="00767249"/>
    <w:rsid w:val="007724EA"/>
    <w:rsid w:val="00776602"/>
    <w:rsid w:val="00777AAA"/>
    <w:rsid w:val="00777AC5"/>
    <w:rsid w:val="00780E9F"/>
    <w:rsid w:val="00781279"/>
    <w:rsid w:val="00782E55"/>
    <w:rsid w:val="00782EAA"/>
    <w:rsid w:val="007834F8"/>
    <w:rsid w:val="00784A5C"/>
    <w:rsid w:val="007857D4"/>
    <w:rsid w:val="007860A4"/>
    <w:rsid w:val="007860DB"/>
    <w:rsid w:val="00793FB8"/>
    <w:rsid w:val="00795F74"/>
    <w:rsid w:val="00797C39"/>
    <w:rsid w:val="007A2674"/>
    <w:rsid w:val="007B0206"/>
    <w:rsid w:val="007B04B7"/>
    <w:rsid w:val="007B19C3"/>
    <w:rsid w:val="007B2796"/>
    <w:rsid w:val="007B7DC5"/>
    <w:rsid w:val="007C2CCA"/>
    <w:rsid w:val="007C33F5"/>
    <w:rsid w:val="007C3FF1"/>
    <w:rsid w:val="007C44CE"/>
    <w:rsid w:val="007C4BB8"/>
    <w:rsid w:val="007C5091"/>
    <w:rsid w:val="007C6A3A"/>
    <w:rsid w:val="007D09B5"/>
    <w:rsid w:val="007D25A2"/>
    <w:rsid w:val="007D2B8E"/>
    <w:rsid w:val="007D49A1"/>
    <w:rsid w:val="007D5C17"/>
    <w:rsid w:val="007D6D8B"/>
    <w:rsid w:val="007E0A38"/>
    <w:rsid w:val="007E19B4"/>
    <w:rsid w:val="007E34A8"/>
    <w:rsid w:val="007E36CD"/>
    <w:rsid w:val="007E4DC4"/>
    <w:rsid w:val="007E7322"/>
    <w:rsid w:val="007F01F4"/>
    <w:rsid w:val="007F0AF6"/>
    <w:rsid w:val="007F0FA8"/>
    <w:rsid w:val="007F368D"/>
    <w:rsid w:val="007F46AA"/>
    <w:rsid w:val="00801200"/>
    <w:rsid w:val="0080174E"/>
    <w:rsid w:val="00801A48"/>
    <w:rsid w:val="00801B8F"/>
    <w:rsid w:val="00802353"/>
    <w:rsid w:val="00802F54"/>
    <w:rsid w:val="0081057D"/>
    <w:rsid w:val="00812CBB"/>
    <w:rsid w:val="008151AD"/>
    <w:rsid w:val="00815654"/>
    <w:rsid w:val="008174BC"/>
    <w:rsid w:val="0082208B"/>
    <w:rsid w:val="0082365F"/>
    <w:rsid w:val="008266CB"/>
    <w:rsid w:val="00827EEE"/>
    <w:rsid w:val="008318FC"/>
    <w:rsid w:val="008325D3"/>
    <w:rsid w:val="00833127"/>
    <w:rsid w:val="00833C69"/>
    <w:rsid w:val="00835785"/>
    <w:rsid w:val="00840336"/>
    <w:rsid w:val="00840A55"/>
    <w:rsid w:val="00840E00"/>
    <w:rsid w:val="00844D67"/>
    <w:rsid w:val="0084511D"/>
    <w:rsid w:val="00845EB3"/>
    <w:rsid w:val="00846C4C"/>
    <w:rsid w:val="008470B7"/>
    <w:rsid w:val="00852809"/>
    <w:rsid w:val="0085682A"/>
    <w:rsid w:val="00860264"/>
    <w:rsid w:val="0086183B"/>
    <w:rsid w:val="00866F39"/>
    <w:rsid w:val="00867146"/>
    <w:rsid w:val="00867B68"/>
    <w:rsid w:val="00872621"/>
    <w:rsid w:val="00872646"/>
    <w:rsid w:val="00875559"/>
    <w:rsid w:val="00875CCA"/>
    <w:rsid w:val="008769EB"/>
    <w:rsid w:val="0087722B"/>
    <w:rsid w:val="00880000"/>
    <w:rsid w:val="0088079A"/>
    <w:rsid w:val="00881991"/>
    <w:rsid w:val="00891B25"/>
    <w:rsid w:val="00891F90"/>
    <w:rsid w:val="00892311"/>
    <w:rsid w:val="00894EB5"/>
    <w:rsid w:val="00895282"/>
    <w:rsid w:val="00896C5B"/>
    <w:rsid w:val="008A1108"/>
    <w:rsid w:val="008A3906"/>
    <w:rsid w:val="008A58B0"/>
    <w:rsid w:val="008A5903"/>
    <w:rsid w:val="008A6D26"/>
    <w:rsid w:val="008A711C"/>
    <w:rsid w:val="008A78F6"/>
    <w:rsid w:val="008B15C4"/>
    <w:rsid w:val="008B407D"/>
    <w:rsid w:val="008B55D4"/>
    <w:rsid w:val="008B6AE3"/>
    <w:rsid w:val="008B6F69"/>
    <w:rsid w:val="008B7A08"/>
    <w:rsid w:val="008D0F2F"/>
    <w:rsid w:val="008D6BEF"/>
    <w:rsid w:val="008E044B"/>
    <w:rsid w:val="008E2EE6"/>
    <w:rsid w:val="008E472D"/>
    <w:rsid w:val="008E4909"/>
    <w:rsid w:val="008E62EC"/>
    <w:rsid w:val="008F0795"/>
    <w:rsid w:val="008F07D3"/>
    <w:rsid w:val="008F34F5"/>
    <w:rsid w:val="008F71B8"/>
    <w:rsid w:val="008F755B"/>
    <w:rsid w:val="008F7F45"/>
    <w:rsid w:val="00900BAE"/>
    <w:rsid w:val="0090341C"/>
    <w:rsid w:val="00903C09"/>
    <w:rsid w:val="00903D77"/>
    <w:rsid w:val="00910EA7"/>
    <w:rsid w:val="00914152"/>
    <w:rsid w:val="009142E3"/>
    <w:rsid w:val="00916498"/>
    <w:rsid w:val="009201BA"/>
    <w:rsid w:val="00922E45"/>
    <w:rsid w:val="00924609"/>
    <w:rsid w:val="009258B0"/>
    <w:rsid w:val="00926E7D"/>
    <w:rsid w:val="009344C9"/>
    <w:rsid w:val="00934A3C"/>
    <w:rsid w:val="00934E03"/>
    <w:rsid w:val="00934E60"/>
    <w:rsid w:val="0093714D"/>
    <w:rsid w:val="009413E3"/>
    <w:rsid w:val="009432D0"/>
    <w:rsid w:val="0094383F"/>
    <w:rsid w:val="009438A6"/>
    <w:rsid w:val="009444BC"/>
    <w:rsid w:val="009444CB"/>
    <w:rsid w:val="00944B4D"/>
    <w:rsid w:val="00945E6C"/>
    <w:rsid w:val="00946764"/>
    <w:rsid w:val="00946A53"/>
    <w:rsid w:val="009479ED"/>
    <w:rsid w:val="009510BD"/>
    <w:rsid w:val="00952185"/>
    <w:rsid w:val="009532B2"/>
    <w:rsid w:val="00957775"/>
    <w:rsid w:val="00960D38"/>
    <w:rsid w:val="00961B0F"/>
    <w:rsid w:val="00962A39"/>
    <w:rsid w:val="00963B9B"/>
    <w:rsid w:val="00964FE8"/>
    <w:rsid w:val="00966430"/>
    <w:rsid w:val="00967C46"/>
    <w:rsid w:val="00967C57"/>
    <w:rsid w:val="009714B7"/>
    <w:rsid w:val="00973B4B"/>
    <w:rsid w:val="009744FD"/>
    <w:rsid w:val="00974BAD"/>
    <w:rsid w:val="0098055B"/>
    <w:rsid w:val="0098062C"/>
    <w:rsid w:val="00980DC6"/>
    <w:rsid w:val="00982893"/>
    <w:rsid w:val="00983E24"/>
    <w:rsid w:val="0098587A"/>
    <w:rsid w:val="00985F53"/>
    <w:rsid w:val="00987328"/>
    <w:rsid w:val="00990909"/>
    <w:rsid w:val="00993C49"/>
    <w:rsid w:val="00994071"/>
    <w:rsid w:val="009955AE"/>
    <w:rsid w:val="00995853"/>
    <w:rsid w:val="00995E28"/>
    <w:rsid w:val="00995E86"/>
    <w:rsid w:val="0099652B"/>
    <w:rsid w:val="0099738D"/>
    <w:rsid w:val="009A0452"/>
    <w:rsid w:val="009A1508"/>
    <w:rsid w:val="009A16EA"/>
    <w:rsid w:val="009A26FA"/>
    <w:rsid w:val="009A2CED"/>
    <w:rsid w:val="009B11A6"/>
    <w:rsid w:val="009B175F"/>
    <w:rsid w:val="009B17D4"/>
    <w:rsid w:val="009B2A15"/>
    <w:rsid w:val="009B2CD5"/>
    <w:rsid w:val="009B2E1A"/>
    <w:rsid w:val="009B5874"/>
    <w:rsid w:val="009B767C"/>
    <w:rsid w:val="009B7A70"/>
    <w:rsid w:val="009C07F3"/>
    <w:rsid w:val="009C09CA"/>
    <w:rsid w:val="009C2133"/>
    <w:rsid w:val="009C59FE"/>
    <w:rsid w:val="009C7623"/>
    <w:rsid w:val="009C7ACE"/>
    <w:rsid w:val="009D139A"/>
    <w:rsid w:val="009D4B1C"/>
    <w:rsid w:val="009D546B"/>
    <w:rsid w:val="009D5664"/>
    <w:rsid w:val="009D69D1"/>
    <w:rsid w:val="009D6B25"/>
    <w:rsid w:val="009D7373"/>
    <w:rsid w:val="009E2B8A"/>
    <w:rsid w:val="009E2E24"/>
    <w:rsid w:val="009E2EF3"/>
    <w:rsid w:val="009E3B38"/>
    <w:rsid w:val="009E46C0"/>
    <w:rsid w:val="009E4921"/>
    <w:rsid w:val="009E4C0A"/>
    <w:rsid w:val="009E6759"/>
    <w:rsid w:val="009E71CD"/>
    <w:rsid w:val="009E7ED7"/>
    <w:rsid w:val="009F1748"/>
    <w:rsid w:val="009F1D6A"/>
    <w:rsid w:val="009F4F70"/>
    <w:rsid w:val="009F58F3"/>
    <w:rsid w:val="009F5FCF"/>
    <w:rsid w:val="009F6FDE"/>
    <w:rsid w:val="00A001A4"/>
    <w:rsid w:val="00A00899"/>
    <w:rsid w:val="00A01032"/>
    <w:rsid w:val="00A03B08"/>
    <w:rsid w:val="00A04A73"/>
    <w:rsid w:val="00A04EFD"/>
    <w:rsid w:val="00A055C1"/>
    <w:rsid w:val="00A05F25"/>
    <w:rsid w:val="00A13BC1"/>
    <w:rsid w:val="00A162E3"/>
    <w:rsid w:val="00A220A6"/>
    <w:rsid w:val="00A2235C"/>
    <w:rsid w:val="00A22B4C"/>
    <w:rsid w:val="00A23654"/>
    <w:rsid w:val="00A25888"/>
    <w:rsid w:val="00A27F5B"/>
    <w:rsid w:val="00A31387"/>
    <w:rsid w:val="00A31B6D"/>
    <w:rsid w:val="00A31CAD"/>
    <w:rsid w:val="00A36088"/>
    <w:rsid w:val="00A37E9B"/>
    <w:rsid w:val="00A41D6A"/>
    <w:rsid w:val="00A44B46"/>
    <w:rsid w:val="00A4511C"/>
    <w:rsid w:val="00A467AE"/>
    <w:rsid w:val="00A47F00"/>
    <w:rsid w:val="00A5352B"/>
    <w:rsid w:val="00A5523F"/>
    <w:rsid w:val="00A55C95"/>
    <w:rsid w:val="00A55F77"/>
    <w:rsid w:val="00A56820"/>
    <w:rsid w:val="00A56F84"/>
    <w:rsid w:val="00A57408"/>
    <w:rsid w:val="00A63553"/>
    <w:rsid w:val="00A67588"/>
    <w:rsid w:val="00A675DF"/>
    <w:rsid w:val="00A714FD"/>
    <w:rsid w:val="00A76675"/>
    <w:rsid w:val="00A768E9"/>
    <w:rsid w:val="00A77FE2"/>
    <w:rsid w:val="00A839F4"/>
    <w:rsid w:val="00A845C4"/>
    <w:rsid w:val="00A872C4"/>
    <w:rsid w:val="00A8763C"/>
    <w:rsid w:val="00A916E7"/>
    <w:rsid w:val="00A93A21"/>
    <w:rsid w:val="00A948A2"/>
    <w:rsid w:val="00A949CE"/>
    <w:rsid w:val="00A957C8"/>
    <w:rsid w:val="00A964CC"/>
    <w:rsid w:val="00AA0597"/>
    <w:rsid w:val="00AA10D0"/>
    <w:rsid w:val="00AA150F"/>
    <w:rsid w:val="00AA37D3"/>
    <w:rsid w:val="00AA40D7"/>
    <w:rsid w:val="00AA57A1"/>
    <w:rsid w:val="00AA6710"/>
    <w:rsid w:val="00AB12AE"/>
    <w:rsid w:val="00AB1DA6"/>
    <w:rsid w:val="00AB2877"/>
    <w:rsid w:val="00AB3CB1"/>
    <w:rsid w:val="00AB4F47"/>
    <w:rsid w:val="00AB614C"/>
    <w:rsid w:val="00AB6BA2"/>
    <w:rsid w:val="00AB6CAD"/>
    <w:rsid w:val="00AB7133"/>
    <w:rsid w:val="00AB7FB2"/>
    <w:rsid w:val="00AC0A38"/>
    <w:rsid w:val="00AC0DF6"/>
    <w:rsid w:val="00AC4766"/>
    <w:rsid w:val="00AC5F45"/>
    <w:rsid w:val="00AC76F1"/>
    <w:rsid w:val="00AC7BC0"/>
    <w:rsid w:val="00AD1A5A"/>
    <w:rsid w:val="00AD2FA7"/>
    <w:rsid w:val="00AD4120"/>
    <w:rsid w:val="00AD44B2"/>
    <w:rsid w:val="00AD5963"/>
    <w:rsid w:val="00AE3595"/>
    <w:rsid w:val="00AE3641"/>
    <w:rsid w:val="00AE4321"/>
    <w:rsid w:val="00AE5C4D"/>
    <w:rsid w:val="00AE710B"/>
    <w:rsid w:val="00AF256A"/>
    <w:rsid w:val="00B0022E"/>
    <w:rsid w:val="00B00273"/>
    <w:rsid w:val="00B00AAC"/>
    <w:rsid w:val="00B03CAE"/>
    <w:rsid w:val="00B04D22"/>
    <w:rsid w:val="00B0742E"/>
    <w:rsid w:val="00B11436"/>
    <w:rsid w:val="00B125EC"/>
    <w:rsid w:val="00B126A7"/>
    <w:rsid w:val="00B13BF7"/>
    <w:rsid w:val="00B1676B"/>
    <w:rsid w:val="00B2031F"/>
    <w:rsid w:val="00B20539"/>
    <w:rsid w:val="00B2112F"/>
    <w:rsid w:val="00B2212D"/>
    <w:rsid w:val="00B232E7"/>
    <w:rsid w:val="00B26628"/>
    <w:rsid w:val="00B27F90"/>
    <w:rsid w:val="00B31CD9"/>
    <w:rsid w:val="00B32074"/>
    <w:rsid w:val="00B32988"/>
    <w:rsid w:val="00B32994"/>
    <w:rsid w:val="00B330A1"/>
    <w:rsid w:val="00B34276"/>
    <w:rsid w:val="00B345A3"/>
    <w:rsid w:val="00B3618D"/>
    <w:rsid w:val="00B36603"/>
    <w:rsid w:val="00B37790"/>
    <w:rsid w:val="00B436C3"/>
    <w:rsid w:val="00B439CF"/>
    <w:rsid w:val="00B45F72"/>
    <w:rsid w:val="00B47FAD"/>
    <w:rsid w:val="00B50891"/>
    <w:rsid w:val="00B52713"/>
    <w:rsid w:val="00B527DD"/>
    <w:rsid w:val="00B543C3"/>
    <w:rsid w:val="00B5693D"/>
    <w:rsid w:val="00B57E45"/>
    <w:rsid w:val="00B60FBF"/>
    <w:rsid w:val="00B6176F"/>
    <w:rsid w:val="00B62DDE"/>
    <w:rsid w:val="00B63536"/>
    <w:rsid w:val="00B7156B"/>
    <w:rsid w:val="00B73391"/>
    <w:rsid w:val="00B73AED"/>
    <w:rsid w:val="00B744F3"/>
    <w:rsid w:val="00B75329"/>
    <w:rsid w:val="00B76690"/>
    <w:rsid w:val="00B76803"/>
    <w:rsid w:val="00B76D98"/>
    <w:rsid w:val="00B7775F"/>
    <w:rsid w:val="00B77927"/>
    <w:rsid w:val="00B80F9C"/>
    <w:rsid w:val="00B84322"/>
    <w:rsid w:val="00B8597A"/>
    <w:rsid w:val="00B87D08"/>
    <w:rsid w:val="00B91883"/>
    <w:rsid w:val="00BA1F1D"/>
    <w:rsid w:val="00BA6AF5"/>
    <w:rsid w:val="00BA758C"/>
    <w:rsid w:val="00BB0E7A"/>
    <w:rsid w:val="00BB4C36"/>
    <w:rsid w:val="00BB51E6"/>
    <w:rsid w:val="00BB532E"/>
    <w:rsid w:val="00BB62F5"/>
    <w:rsid w:val="00BB769E"/>
    <w:rsid w:val="00BB7862"/>
    <w:rsid w:val="00BC31C9"/>
    <w:rsid w:val="00BC4FAB"/>
    <w:rsid w:val="00BC5270"/>
    <w:rsid w:val="00BC7377"/>
    <w:rsid w:val="00BD1C10"/>
    <w:rsid w:val="00BD2C4F"/>
    <w:rsid w:val="00BD4BB1"/>
    <w:rsid w:val="00BD4C5F"/>
    <w:rsid w:val="00BD4D2B"/>
    <w:rsid w:val="00BD7962"/>
    <w:rsid w:val="00BE06A9"/>
    <w:rsid w:val="00BE61B2"/>
    <w:rsid w:val="00BE6BFB"/>
    <w:rsid w:val="00BE70B7"/>
    <w:rsid w:val="00BE7712"/>
    <w:rsid w:val="00BF03FC"/>
    <w:rsid w:val="00BF1CD1"/>
    <w:rsid w:val="00BF2887"/>
    <w:rsid w:val="00BF44D5"/>
    <w:rsid w:val="00BF548D"/>
    <w:rsid w:val="00BF597A"/>
    <w:rsid w:val="00BF7DCF"/>
    <w:rsid w:val="00C014E9"/>
    <w:rsid w:val="00C01A46"/>
    <w:rsid w:val="00C027AE"/>
    <w:rsid w:val="00C1124F"/>
    <w:rsid w:val="00C12571"/>
    <w:rsid w:val="00C129B1"/>
    <w:rsid w:val="00C1459F"/>
    <w:rsid w:val="00C14C37"/>
    <w:rsid w:val="00C17B50"/>
    <w:rsid w:val="00C2147C"/>
    <w:rsid w:val="00C21D46"/>
    <w:rsid w:val="00C22F26"/>
    <w:rsid w:val="00C23B8C"/>
    <w:rsid w:val="00C26407"/>
    <w:rsid w:val="00C2720A"/>
    <w:rsid w:val="00C27629"/>
    <w:rsid w:val="00C347BA"/>
    <w:rsid w:val="00C35716"/>
    <w:rsid w:val="00C37718"/>
    <w:rsid w:val="00C41667"/>
    <w:rsid w:val="00C43FD2"/>
    <w:rsid w:val="00C50E3C"/>
    <w:rsid w:val="00C55349"/>
    <w:rsid w:val="00C556BF"/>
    <w:rsid w:val="00C56478"/>
    <w:rsid w:val="00C61654"/>
    <w:rsid w:val="00C62326"/>
    <w:rsid w:val="00C62FD2"/>
    <w:rsid w:val="00C635A4"/>
    <w:rsid w:val="00C654C1"/>
    <w:rsid w:val="00C673D0"/>
    <w:rsid w:val="00C70101"/>
    <w:rsid w:val="00C7039A"/>
    <w:rsid w:val="00C70D63"/>
    <w:rsid w:val="00C73718"/>
    <w:rsid w:val="00C73823"/>
    <w:rsid w:val="00C758BD"/>
    <w:rsid w:val="00C76E04"/>
    <w:rsid w:val="00C82771"/>
    <w:rsid w:val="00C85B65"/>
    <w:rsid w:val="00C86053"/>
    <w:rsid w:val="00C8611C"/>
    <w:rsid w:val="00C87189"/>
    <w:rsid w:val="00C90B08"/>
    <w:rsid w:val="00C91452"/>
    <w:rsid w:val="00C91953"/>
    <w:rsid w:val="00C9204C"/>
    <w:rsid w:val="00C95C21"/>
    <w:rsid w:val="00CA15C7"/>
    <w:rsid w:val="00CA2FAC"/>
    <w:rsid w:val="00CA6493"/>
    <w:rsid w:val="00CA6CE5"/>
    <w:rsid w:val="00CA78BE"/>
    <w:rsid w:val="00CB3625"/>
    <w:rsid w:val="00CB410B"/>
    <w:rsid w:val="00CB6701"/>
    <w:rsid w:val="00CB69A6"/>
    <w:rsid w:val="00CB6D8D"/>
    <w:rsid w:val="00CB6EA1"/>
    <w:rsid w:val="00CB77F1"/>
    <w:rsid w:val="00CC009B"/>
    <w:rsid w:val="00CC2605"/>
    <w:rsid w:val="00CC376B"/>
    <w:rsid w:val="00CC4492"/>
    <w:rsid w:val="00CC4955"/>
    <w:rsid w:val="00CC64AC"/>
    <w:rsid w:val="00CC6FE5"/>
    <w:rsid w:val="00CD0685"/>
    <w:rsid w:val="00CD128D"/>
    <w:rsid w:val="00CD1C98"/>
    <w:rsid w:val="00CD3F6C"/>
    <w:rsid w:val="00CE012D"/>
    <w:rsid w:val="00CE370C"/>
    <w:rsid w:val="00CE3E1B"/>
    <w:rsid w:val="00CE3E95"/>
    <w:rsid w:val="00CE4620"/>
    <w:rsid w:val="00CF1F78"/>
    <w:rsid w:val="00CF34D6"/>
    <w:rsid w:val="00D00E59"/>
    <w:rsid w:val="00D00EFD"/>
    <w:rsid w:val="00D01D6A"/>
    <w:rsid w:val="00D02AD4"/>
    <w:rsid w:val="00D03205"/>
    <w:rsid w:val="00D05D8F"/>
    <w:rsid w:val="00D067CC"/>
    <w:rsid w:val="00D106EF"/>
    <w:rsid w:val="00D12444"/>
    <w:rsid w:val="00D12582"/>
    <w:rsid w:val="00D12D77"/>
    <w:rsid w:val="00D14C96"/>
    <w:rsid w:val="00D1537A"/>
    <w:rsid w:val="00D15D1B"/>
    <w:rsid w:val="00D160B5"/>
    <w:rsid w:val="00D16867"/>
    <w:rsid w:val="00D17791"/>
    <w:rsid w:val="00D17A86"/>
    <w:rsid w:val="00D17CBE"/>
    <w:rsid w:val="00D20C62"/>
    <w:rsid w:val="00D214B3"/>
    <w:rsid w:val="00D214E5"/>
    <w:rsid w:val="00D21AC7"/>
    <w:rsid w:val="00D225B7"/>
    <w:rsid w:val="00D24606"/>
    <w:rsid w:val="00D26E4D"/>
    <w:rsid w:val="00D30130"/>
    <w:rsid w:val="00D30450"/>
    <w:rsid w:val="00D32181"/>
    <w:rsid w:val="00D328E9"/>
    <w:rsid w:val="00D433FA"/>
    <w:rsid w:val="00D436FA"/>
    <w:rsid w:val="00D4378F"/>
    <w:rsid w:val="00D4383E"/>
    <w:rsid w:val="00D43863"/>
    <w:rsid w:val="00D44231"/>
    <w:rsid w:val="00D46F06"/>
    <w:rsid w:val="00D51C9D"/>
    <w:rsid w:val="00D5417F"/>
    <w:rsid w:val="00D55CC7"/>
    <w:rsid w:val="00D56AE5"/>
    <w:rsid w:val="00D6017A"/>
    <w:rsid w:val="00D61A02"/>
    <w:rsid w:val="00D62216"/>
    <w:rsid w:val="00D672D2"/>
    <w:rsid w:val="00D67A42"/>
    <w:rsid w:val="00D71CF1"/>
    <w:rsid w:val="00D730CF"/>
    <w:rsid w:val="00D73683"/>
    <w:rsid w:val="00D73CE1"/>
    <w:rsid w:val="00D7497E"/>
    <w:rsid w:val="00D74A70"/>
    <w:rsid w:val="00D74F1A"/>
    <w:rsid w:val="00D76093"/>
    <w:rsid w:val="00D764C6"/>
    <w:rsid w:val="00D769E3"/>
    <w:rsid w:val="00D76D98"/>
    <w:rsid w:val="00D77386"/>
    <w:rsid w:val="00D77C16"/>
    <w:rsid w:val="00D77F75"/>
    <w:rsid w:val="00D81593"/>
    <w:rsid w:val="00D81844"/>
    <w:rsid w:val="00D82CD7"/>
    <w:rsid w:val="00D85790"/>
    <w:rsid w:val="00D86E54"/>
    <w:rsid w:val="00D90882"/>
    <w:rsid w:val="00D90E20"/>
    <w:rsid w:val="00D92FEF"/>
    <w:rsid w:val="00D9556C"/>
    <w:rsid w:val="00D97B8F"/>
    <w:rsid w:val="00DA2CB9"/>
    <w:rsid w:val="00DA3644"/>
    <w:rsid w:val="00DA6336"/>
    <w:rsid w:val="00DA71BF"/>
    <w:rsid w:val="00DB38B4"/>
    <w:rsid w:val="00DB4DA8"/>
    <w:rsid w:val="00DB7EDC"/>
    <w:rsid w:val="00DC077A"/>
    <w:rsid w:val="00DC2692"/>
    <w:rsid w:val="00DC2B00"/>
    <w:rsid w:val="00DC4F6E"/>
    <w:rsid w:val="00DC7B0D"/>
    <w:rsid w:val="00DC7E25"/>
    <w:rsid w:val="00DC7F6E"/>
    <w:rsid w:val="00DD5F3A"/>
    <w:rsid w:val="00DE01A7"/>
    <w:rsid w:val="00DE2511"/>
    <w:rsid w:val="00DE3984"/>
    <w:rsid w:val="00DE4040"/>
    <w:rsid w:val="00DE410B"/>
    <w:rsid w:val="00DE49FD"/>
    <w:rsid w:val="00DE7F62"/>
    <w:rsid w:val="00DF03B2"/>
    <w:rsid w:val="00DF14F1"/>
    <w:rsid w:val="00DF212C"/>
    <w:rsid w:val="00DF2960"/>
    <w:rsid w:val="00DF3378"/>
    <w:rsid w:val="00DF4D77"/>
    <w:rsid w:val="00DF50C8"/>
    <w:rsid w:val="00DF6293"/>
    <w:rsid w:val="00E01AAD"/>
    <w:rsid w:val="00E02BDD"/>
    <w:rsid w:val="00E03FC9"/>
    <w:rsid w:val="00E04529"/>
    <w:rsid w:val="00E04CB0"/>
    <w:rsid w:val="00E06664"/>
    <w:rsid w:val="00E1230A"/>
    <w:rsid w:val="00E13CD6"/>
    <w:rsid w:val="00E14CB8"/>
    <w:rsid w:val="00E15A18"/>
    <w:rsid w:val="00E161F6"/>
    <w:rsid w:val="00E16528"/>
    <w:rsid w:val="00E20510"/>
    <w:rsid w:val="00E269DA"/>
    <w:rsid w:val="00E27816"/>
    <w:rsid w:val="00E27991"/>
    <w:rsid w:val="00E27A8F"/>
    <w:rsid w:val="00E32373"/>
    <w:rsid w:val="00E32693"/>
    <w:rsid w:val="00E330FF"/>
    <w:rsid w:val="00E34A18"/>
    <w:rsid w:val="00E37BEF"/>
    <w:rsid w:val="00E40E46"/>
    <w:rsid w:val="00E41077"/>
    <w:rsid w:val="00E41DB3"/>
    <w:rsid w:val="00E4310B"/>
    <w:rsid w:val="00E4351F"/>
    <w:rsid w:val="00E45CAB"/>
    <w:rsid w:val="00E4621F"/>
    <w:rsid w:val="00E46221"/>
    <w:rsid w:val="00E50C2B"/>
    <w:rsid w:val="00E51C14"/>
    <w:rsid w:val="00E523F4"/>
    <w:rsid w:val="00E52C35"/>
    <w:rsid w:val="00E54D0E"/>
    <w:rsid w:val="00E57641"/>
    <w:rsid w:val="00E60C18"/>
    <w:rsid w:val="00E639A9"/>
    <w:rsid w:val="00E63F13"/>
    <w:rsid w:val="00E646FA"/>
    <w:rsid w:val="00E65870"/>
    <w:rsid w:val="00E6728D"/>
    <w:rsid w:val="00E67B7C"/>
    <w:rsid w:val="00E71C6D"/>
    <w:rsid w:val="00E73E95"/>
    <w:rsid w:val="00E75960"/>
    <w:rsid w:val="00E77D21"/>
    <w:rsid w:val="00E807EC"/>
    <w:rsid w:val="00E81CE8"/>
    <w:rsid w:val="00E82DF1"/>
    <w:rsid w:val="00E82F1F"/>
    <w:rsid w:val="00E96CE8"/>
    <w:rsid w:val="00EA1191"/>
    <w:rsid w:val="00EA3D04"/>
    <w:rsid w:val="00EA5183"/>
    <w:rsid w:val="00EA6300"/>
    <w:rsid w:val="00EA67A3"/>
    <w:rsid w:val="00EA691A"/>
    <w:rsid w:val="00EA6FA7"/>
    <w:rsid w:val="00EA70AB"/>
    <w:rsid w:val="00EB083A"/>
    <w:rsid w:val="00EB0CE9"/>
    <w:rsid w:val="00EB1095"/>
    <w:rsid w:val="00EB1846"/>
    <w:rsid w:val="00EB1C98"/>
    <w:rsid w:val="00EB40AA"/>
    <w:rsid w:val="00EB5AE8"/>
    <w:rsid w:val="00EB7F53"/>
    <w:rsid w:val="00EC101C"/>
    <w:rsid w:val="00EC1B7B"/>
    <w:rsid w:val="00EC2AEA"/>
    <w:rsid w:val="00EC41A8"/>
    <w:rsid w:val="00ED0D42"/>
    <w:rsid w:val="00ED1119"/>
    <w:rsid w:val="00ED383B"/>
    <w:rsid w:val="00ED399D"/>
    <w:rsid w:val="00ED47C4"/>
    <w:rsid w:val="00ED58E3"/>
    <w:rsid w:val="00ED5DAE"/>
    <w:rsid w:val="00ED602A"/>
    <w:rsid w:val="00ED699A"/>
    <w:rsid w:val="00ED6D49"/>
    <w:rsid w:val="00EE1C11"/>
    <w:rsid w:val="00EE31E0"/>
    <w:rsid w:val="00EE3797"/>
    <w:rsid w:val="00EE386C"/>
    <w:rsid w:val="00EE675A"/>
    <w:rsid w:val="00EE7C1D"/>
    <w:rsid w:val="00EE7FA4"/>
    <w:rsid w:val="00EF0ADD"/>
    <w:rsid w:val="00EF2C25"/>
    <w:rsid w:val="00EF2F62"/>
    <w:rsid w:val="00EF38E0"/>
    <w:rsid w:val="00EF678F"/>
    <w:rsid w:val="00EF752A"/>
    <w:rsid w:val="00F000B4"/>
    <w:rsid w:val="00F02352"/>
    <w:rsid w:val="00F02945"/>
    <w:rsid w:val="00F04032"/>
    <w:rsid w:val="00F057FB"/>
    <w:rsid w:val="00F05EFD"/>
    <w:rsid w:val="00F06940"/>
    <w:rsid w:val="00F06D4E"/>
    <w:rsid w:val="00F14E6E"/>
    <w:rsid w:val="00F154E6"/>
    <w:rsid w:val="00F16012"/>
    <w:rsid w:val="00F25A72"/>
    <w:rsid w:val="00F27A9D"/>
    <w:rsid w:val="00F30A38"/>
    <w:rsid w:val="00F31F8E"/>
    <w:rsid w:val="00F32AC0"/>
    <w:rsid w:val="00F35804"/>
    <w:rsid w:val="00F362F9"/>
    <w:rsid w:val="00F36D79"/>
    <w:rsid w:val="00F40043"/>
    <w:rsid w:val="00F41B6B"/>
    <w:rsid w:val="00F42286"/>
    <w:rsid w:val="00F42B1F"/>
    <w:rsid w:val="00F4305C"/>
    <w:rsid w:val="00F45CB6"/>
    <w:rsid w:val="00F45EEE"/>
    <w:rsid w:val="00F464FE"/>
    <w:rsid w:val="00F5070E"/>
    <w:rsid w:val="00F5491F"/>
    <w:rsid w:val="00F5639D"/>
    <w:rsid w:val="00F57E83"/>
    <w:rsid w:val="00F630EC"/>
    <w:rsid w:val="00F67737"/>
    <w:rsid w:val="00F74008"/>
    <w:rsid w:val="00F7419D"/>
    <w:rsid w:val="00F747FE"/>
    <w:rsid w:val="00F74CD5"/>
    <w:rsid w:val="00F75056"/>
    <w:rsid w:val="00F764A8"/>
    <w:rsid w:val="00F77A05"/>
    <w:rsid w:val="00F80966"/>
    <w:rsid w:val="00F81033"/>
    <w:rsid w:val="00F81FFF"/>
    <w:rsid w:val="00F82F4C"/>
    <w:rsid w:val="00F8351C"/>
    <w:rsid w:val="00F83D43"/>
    <w:rsid w:val="00F8402B"/>
    <w:rsid w:val="00F86096"/>
    <w:rsid w:val="00F863B8"/>
    <w:rsid w:val="00F87445"/>
    <w:rsid w:val="00F91B16"/>
    <w:rsid w:val="00F92CAE"/>
    <w:rsid w:val="00F9422D"/>
    <w:rsid w:val="00F952B1"/>
    <w:rsid w:val="00F961F5"/>
    <w:rsid w:val="00F96478"/>
    <w:rsid w:val="00FA01EE"/>
    <w:rsid w:val="00FA285E"/>
    <w:rsid w:val="00FA45D5"/>
    <w:rsid w:val="00FA47E2"/>
    <w:rsid w:val="00FA47E9"/>
    <w:rsid w:val="00FA505B"/>
    <w:rsid w:val="00FA691D"/>
    <w:rsid w:val="00FA780F"/>
    <w:rsid w:val="00FA7CBD"/>
    <w:rsid w:val="00FB698B"/>
    <w:rsid w:val="00FC01A3"/>
    <w:rsid w:val="00FC1D17"/>
    <w:rsid w:val="00FD31DD"/>
    <w:rsid w:val="00FD4C58"/>
    <w:rsid w:val="00FD5E4C"/>
    <w:rsid w:val="00FD750C"/>
    <w:rsid w:val="00FE1093"/>
    <w:rsid w:val="00FE1349"/>
    <w:rsid w:val="00FE2126"/>
    <w:rsid w:val="00FE24A9"/>
    <w:rsid w:val="00FE394C"/>
    <w:rsid w:val="00FE4A66"/>
    <w:rsid w:val="00FE62A8"/>
    <w:rsid w:val="00FE7CB5"/>
    <w:rsid w:val="00FF35CD"/>
    <w:rsid w:val="00FF38F2"/>
    <w:rsid w:val="00FF61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C4"/>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5A56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001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nhideWhenUsed/>
    <w:rsid w:val="00BD1C10"/>
  </w:style>
  <w:style w:type="paragraph" w:styleId="ListParagraph">
    <w:name w:val="List Paragraph"/>
    <w:basedOn w:val="Normal"/>
    <w:uiPriority w:val="34"/>
    <w:qFormat/>
    <w:rsid w:val="00FD31DD"/>
    <w:pPr>
      <w:ind w:left="720"/>
      <w:contextualSpacing/>
    </w:pPr>
  </w:style>
  <w:style w:type="character" w:styleId="Hyperlink">
    <w:name w:val="Hyperlink"/>
    <w:basedOn w:val="DefaultParagraphFont"/>
    <w:uiPriority w:val="99"/>
    <w:unhideWhenUsed/>
    <w:rsid w:val="00093D20"/>
    <w:rPr>
      <w:color w:val="0000FF" w:themeColor="hyperlink"/>
      <w:u w:val="single"/>
    </w:rPr>
  </w:style>
  <w:style w:type="character" w:styleId="CommentReference">
    <w:name w:val="annotation reference"/>
    <w:basedOn w:val="DefaultParagraphFont"/>
    <w:uiPriority w:val="99"/>
    <w:semiHidden/>
    <w:unhideWhenUsed/>
    <w:rsid w:val="00036A53"/>
    <w:rPr>
      <w:sz w:val="16"/>
      <w:szCs w:val="16"/>
    </w:rPr>
  </w:style>
  <w:style w:type="paragraph" w:styleId="CommentText">
    <w:name w:val="annotation text"/>
    <w:basedOn w:val="Normal"/>
    <w:link w:val="CommentTextChar"/>
    <w:uiPriority w:val="99"/>
    <w:semiHidden/>
    <w:unhideWhenUsed/>
    <w:rsid w:val="00036A53"/>
    <w:rPr>
      <w:sz w:val="20"/>
      <w:szCs w:val="20"/>
    </w:rPr>
  </w:style>
  <w:style w:type="character" w:customStyle="1" w:styleId="CommentTextChar">
    <w:name w:val="Comment Text Char"/>
    <w:basedOn w:val="DefaultParagraphFont"/>
    <w:link w:val="CommentText"/>
    <w:uiPriority w:val="99"/>
    <w:semiHidden/>
    <w:rsid w:val="00036A53"/>
    <w:rPr>
      <w:sz w:val="20"/>
      <w:szCs w:val="20"/>
    </w:rPr>
  </w:style>
  <w:style w:type="paragraph" w:styleId="CommentSubject">
    <w:name w:val="annotation subject"/>
    <w:basedOn w:val="CommentText"/>
    <w:next w:val="CommentText"/>
    <w:link w:val="CommentSubjectChar"/>
    <w:uiPriority w:val="99"/>
    <w:semiHidden/>
    <w:unhideWhenUsed/>
    <w:rsid w:val="00036A53"/>
    <w:rPr>
      <w:b/>
      <w:bCs/>
    </w:rPr>
  </w:style>
  <w:style w:type="character" w:customStyle="1" w:styleId="CommentSubjectChar">
    <w:name w:val="Comment Subject Char"/>
    <w:basedOn w:val="CommentTextChar"/>
    <w:link w:val="CommentSubject"/>
    <w:uiPriority w:val="99"/>
    <w:semiHidden/>
    <w:rsid w:val="00036A53"/>
    <w:rPr>
      <w:b/>
      <w:bCs/>
      <w:sz w:val="20"/>
      <w:szCs w:val="20"/>
    </w:rPr>
  </w:style>
  <w:style w:type="paragraph" w:styleId="BalloonText">
    <w:name w:val="Balloon Text"/>
    <w:basedOn w:val="Normal"/>
    <w:link w:val="BalloonTextChar"/>
    <w:uiPriority w:val="99"/>
    <w:semiHidden/>
    <w:unhideWhenUsed/>
    <w:rsid w:val="00036A53"/>
    <w:rPr>
      <w:rFonts w:ascii="Tahoma" w:hAnsi="Tahoma" w:cs="Tahoma"/>
      <w:sz w:val="16"/>
      <w:szCs w:val="16"/>
    </w:rPr>
  </w:style>
  <w:style w:type="character" w:customStyle="1" w:styleId="BalloonTextChar">
    <w:name w:val="Balloon Text Char"/>
    <w:basedOn w:val="DefaultParagraphFont"/>
    <w:link w:val="BalloonText"/>
    <w:uiPriority w:val="99"/>
    <w:semiHidden/>
    <w:rsid w:val="00036A53"/>
    <w:rPr>
      <w:rFonts w:ascii="Tahoma" w:hAnsi="Tahoma" w:cs="Tahoma"/>
      <w:sz w:val="16"/>
      <w:szCs w:val="16"/>
    </w:rPr>
  </w:style>
  <w:style w:type="character" w:customStyle="1" w:styleId="Heading5Char">
    <w:name w:val="Heading 5 Char"/>
    <w:basedOn w:val="DefaultParagraphFont"/>
    <w:link w:val="Heading5"/>
    <w:uiPriority w:val="9"/>
    <w:semiHidden/>
    <w:rsid w:val="00A001A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439CF"/>
    <w:rPr>
      <w:color w:val="800080" w:themeColor="followedHyperlink"/>
      <w:u w:val="single"/>
    </w:rPr>
  </w:style>
  <w:style w:type="paragraph" w:styleId="NormalWeb">
    <w:name w:val="Normal (Web)"/>
    <w:basedOn w:val="Normal"/>
    <w:uiPriority w:val="99"/>
    <w:semiHidden/>
    <w:unhideWhenUsed/>
    <w:rsid w:val="0059508A"/>
    <w:rPr>
      <w:rFonts w:ascii="Times New Roman" w:hAnsi="Times New Roman" w:cs="Times New Roman"/>
    </w:rPr>
  </w:style>
  <w:style w:type="paragraph" w:styleId="Header">
    <w:name w:val="header"/>
    <w:basedOn w:val="Normal"/>
    <w:link w:val="HeaderChar"/>
    <w:uiPriority w:val="99"/>
    <w:unhideWhenUsed/>
    <w:rsid w:val="00F86096"/>
    <w:pPr>
      <w:tabs>
        <w:tab w:val="center" w:pos="4680"/>
        <w:tab w:val="right" w:pos="9360"/>
      </w:tabs>
    </w:pPr>
  </w:style>
  <w:style w:type="character" w:customStyle="1" w:styleId="HeaderChar">
    <w:name w:val="Header Char"/>
    <w:basedOn w:val="DefaultParagraphFont"/>
    <w:link w:val="Header"/>
    <w:uiPriority w:val="99"/>
    <w:rsid w:val="00F86096"/>
  </w:style>
  <w:style w:type="character" w:customStyle="1" w:styleId="Heading2Char">
    <w:name w:val="Heading 2 Char"/>
    <w:basedOn w:val="DefaultParagraphFont"/>
    <w:link w:val="Heading2"/>
    <w:uiPriority w:val="9"/>
    <w:semiHidden/>
    <w:rsid w:val="005A560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A560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5609"/>
    <w:rPr>
      <w:rFonts w:ascii="Times New Roman" w:eastAsia="Times New Roman" w:hAnsi="Times New Roman" w:cs="Times New Roman"/>
      <w:sz w:val="20"/>
      <w:szCs w:val="20"/>
    </w:rPr>
  </w:style>
  <w:style w:type="character" w:styleId="FootnoteReference">
    <w:name w:val="footnote reference"/>
    <w:basedOn w:val="DefaultParagraphFont"/>
    <w:semiHidden/>
    <w:rsid w:val="005A5609"/>
    <w:rPr>
      <w:vertAlign w:val="superscript"/>
    </w:rPr>
  </w:style>
  <w:style w:type="table" w:styleId="TableGrid">
    <w:name w:val="Table Grid"/>
    <w:basedOn w:val="TableNormal"/>
    <w:uiPriority w:val="59"/>
    <w:rsid w:val="0034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15D1B"/>
  </w:style>
</w:styles>
</file>

<file path=word/webSettings.xml><?xml version="1.0" encoding="utf-8"?>
<w:webSettings xmlns:r="http://schemas.openxmlformats.org/officeDocument/2006/relationships" xmlns:w="http://schemas.openxmlformats.org/wordprocessingml/2006/main">
  <w:divs>
    <w:div w:id="4287741">
      <w:bodyDiv w:val="1"/>
      <w:marLeft w:val="0"/>
      <w:marRight w:val="0"/>
      <w:marTop w:val="0"/>
      <w:marBottom w:val="5100"/>
      <w:divBdr>
        <w:top w:val="none" w:sz="0" w:space="0" w:color="auto"/>
        <w:left w:val="none" w:sz="0" w:space="0" w:color="auto"/>
        <w:bottom w:val="none" w:sz="0" w:space="0" w:color="auto"/>
        <w:right w:val="none" w:sz="0" w:space="0" w:color="auto"/>
      </w:divBdr>
      <w:divsChild>
        <w:div w:id="71700247">
          <w:marLeft w:val="0"/>
          <w:marRight w:val="0"/>
          <w:marTop w:val="0"/>
          <w:marBottom w:val="0"/>
          <w:divBdr>
            <w:top w:val="none" w:sz="0" w:space="0" w:color="auto"/>
            <w:left w:val="none" w:sz="0" w:space="0" w:color="auto"/>
            <w:bottom w:val="none" w:sz="0" w:space="0" w:color="auto"/>
            <w:right w:val="none" w:sz="0" w:space="0" w:color="auto"/>
          </w:divBdr>
          <w:divsChild>
            <w:div w:id="2136556836">
              <w:marLeft w:val="0"/>
              <w:marRight w:val="0"/>
              <w:marTop w:val="0"/>
              <w:marBottom w:val="0"/>
              <w:divBdr>
                <w:top w:val="none" w:sz="0" w:space="0" w:color="auto"/>
                <w:left w:val="none" w:sz="0" w:space="0" w:color="auto"/>
                <w:bottom w:val="none" w:sz="0" w:space="0" w:color="auto"/>
                <w:right w:val="none" w:sz="0" w:space="0" w:color="auto"/>
              </w:divBdr>
              <w:divsChild>
                <w:div w:id="118031287">
                  <w:marLeft w:val="0"/>
                  <w:marRight w:val="0"/>
                  <w:marTop w:val="0"/>
                  <w:marBottom w:val="0"/>
                  <w:divBdr>
                    <w:top w:val="none" w:sz="0" w:space="0" w:color="auto"/>
                    <w:left w:val="none" w:sz="0" w:space="0" w:color="auto"/>
                    <w:bottom w:val="none" w:sz="0" w:space="0" w:color="auto"/>
                    <w:right w:val="none" w:sz="0" w:space="0" w:color="auto"/>
                  </w:divBdr>
                  <w:divsChild>
                    <w:div w:id="1036269318">
                      <w:marLeft w:val="0"/>
                      <w:marRight w:val="0"/>
                      <w:marTop w:val="0"/>
                      <w:marBottom w:val="0"/>
                      <w:divBdr>
                        <w:top w:val="none" w:sz="0" w:space="0" w:color="auto"/>
                        <w:left w:val="none" w:sz="0" w:space="0" w:color="auto"/>
                        <w:bottom w:val="none" w:sz="0" w:space="0" w:color="auto"/>
                        <w:right w:val="none" w:sz="0" w:space="0" w:color="auto"/>
                      </w:divBdr>
                      <w:divsChild>
                        <w:div w:id="241915815">
                          <w:marLeft w:val="0"/>
                          <w:marRight w:val="0"/>
                          <w:marTop w:val="0"/>
                          <w:marBottom w:val="0"/>
                          <w:divBdr>
                            <w:top w:val="none" w:sz="0" w:space="0" w:color="auto"/>
                            <w:left w:val="none" w:sz="0" w:space="0" w:color="auto"/>
                            <w:bottom w:val="none" w:sz="0" w:space="0" w:color="auto"/>
                            <w:right w:val="none" w:sz="0" w:space="0" w:color="auto"/>
                          </w:divBdr>
                          <w:divsChild>
                            <w:div w:id="1527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53456">
      <w:bodyDiv w:val="1"/>
      <w:marLeft w:val="0"/>
      <w:marRight w:val="0"/>
      <w:marTop w:val="0"/>
      <w:marBottom w:val="0"/>
      <w:divBdr>
        <w:top w:val="none" w:sz="0" w:space="0" w:color="auto"/>
        <w:left w:val="none" w:sz="0" w:space="0" w:color="auto"/>
        <w:bottom w:val="none" w:sz="0" w:space="0" w:color="auto"/>
        <w:right w:val="none" w:sz="0" w:space="0" w:color="auto"/>
      </w:divBdr>
    </w:div>
    <w:div w:id="93206394">
      <w:bodyDiv w:val="1"/>
      <w:marLeft w:val="0"/>
      <w:marRight w:val="0"/>
      <w:marTop w:val="0"/>
      <w:marBottom w:val="0"/>
      <w:divBdr>
        <w:top w:val="none" w:sz="0" w:space="0" w:color="auto"/>
        <w:left w:val="none" w:sz="0" w:space="0" w:color="auto"/>
        <w:bottom w:val="none" w:sz="0" w:space="0" w:color="auto"/>
        <w:right w:val="none" w:sz="0" w:space="0" w:color="auto"/>
      </w:divBdr>
      <w:divsChild>
        <w:div w:id="845558487">
          <w:marLeft w:val="0"/>
          <w:marRight w:val="0"/>
          <w:marTop w:val="0"/>
          <w:marBottom w:val="0"/>
          <w:divBdr>
            <w:top w:val="none" w:sz="0" w:space="0" w:color="auto"/>
            <w:left w:val="none" w:sz="0" w:space="0" w:color="auto"/>
            <w:bottom w:val="none" w:sz="0" w:space="0" w:color="auto"/>
            <w:right w:val="none" w:sz="0" w:space="0" w:color="auto"/>
          </w:divBdr>
          <w:divsChild>
            <w:div w:id="1873421603">
              <w:marLeft w:val="0"/>
              <w:marRight w:val="0"/>
              <w:marTop w:val="0"/>
              <w:marBottom w:val="0"/>
              <w:divBdr>
                <w:top w:val="none" w:sz="0" w:space="0" w:color="auto"/>
                <w:left w:val="none" w:sz="0" w:space="0" w:color="auto"/>
                <w:bottom w:val="none" w:sz="0" w:space="0" w:color="auto"/>
                <w:right w:val="none" w:sz="0" w:space="0" w:color="auto"/>
              </w:divBdr>
              <w:divsChild>
                <w:div w:id="68302144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17592755">
      <w:bodyDiv w:val="1"/>
      <w:marLeft w:val="0"/>
      <w:marRight w:val="0"/>
      <w:marTop w:val="0"/>
      <w:marBottom w:val="0"/>
      <w:divBdr>
        <w:top w:val="none" w:sz="0" w:space="0" w:color="auto"/>
        <w:left w:val="none" w:sz="0" w:space="0" w:color="auto"/>
        <w:bottom w:val="none" w:sz="0" w:space="0" w:color="auto"/>
        <w:right w:val="none" w:sz="0" w:space="0" w:color="auto"/>
      </w:divBdr>
    </w:div>
    <w:div w:id="224951179">
      <w:bodyDiv w:val="1"/>
      <w:marLeft w:val="0"/>
      <w:marRight w:val="0"/>
      <w:marTop w:val="0"/>
      <w:marBottom w:val="0"/>
      <w:divBdr>
        <w:top w:val="none" w:sz="0" w:space="0" w:color="auto"/>
        <w:left w:val="none" w:sz="0" w:space="0" w:color="auto"/>
        <w:bottom w:val="none" w:sz="0" w:space="0" w:color="auto"/>
        <w:right w:val="none" w:sz="0" w:space="0" w:color="auto"/>
      </w:divBdr>
    </w:div>
    <w:div w:id="233664700">
      <w:bodyDiv w:val="1"/>
      <w:marLeft w:val="0"/>
      <w:marRight w:val="0"/>
      <w:marTop w:val="0"/>
      <w:marBottom w:val="0"/>
      <w:divBdr>
        <w:top w:val="none" w:sz="0" w:space="0" w:color="auto"/>
        <w:left w:val="none" w:sz="0" w:space="0" w:color="auto"/>
        <w:bottom w:val="none" w:sz="0" w:space="0" w:color="auto"/>
        <w:right w:val="none" w:sz="0" w:space="0" w:color="auto"/>
      </w:divBdr>
    </w:div>
    <w:div w:id="341207871">
      <w:bodyDiv w:val="1"/>
      <w:marLeft w:val="0"/>
      <w:marRight w:val="0"/>
      <w:marTop w:val="0"/>
      <w:marBottom w:val="0"/>
      <w:divBdr>
        <w:top w:val="none" w:sz="0" w:space="0" w:color="auto"/>
        <w:left w:val="none" w:sz="0" w:space="0" w:color="auto"/>
        <w:bottom w:val="none" w:sz="0" w:space="0" w:color="auto"/>
        <w:right w:val="none" w:sz="0" w:space="0" w:color="auto"/>
      </w:divBdr>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387924858">
      <w:bodyDiv w:val="1"/>
      <w:marLeft w:val="0"/>
      <w:marRight w:val="0"/>
      <w:marTop w:val="0"/>
      <w:marBottom w:val="0"/>
      <w:divBdr>
        <w:top w:val="none" w:sz="0" w:space="0" w:color="auto"/>
        <w:left w:val="none" w:sz="0" w:space="0" w:color="auto"/>
        <w:bottom w:val="none" w:sz="0" w:space="0" w:color="auto"/>
        <w:right w:val="none" w:sz="0" w:space="0" w:color="auto"/>
      </w:divBdr>
    </w:div>
    <w:div w:id="470292360">
      <w:bodyDiv w:val="1"/>
      <w:marLeft w:val="0"/>
      <w:marRight w:val="0"/>
      <w:marTop w:val="0"/>
      <w:marBottom w:val="0"/>
      <w:divBdr>
        <w:top w:val="none" w:sz="0" w:space="0" w:color="auto"/>
        <w:left w:val="none" w:sz="0" w:space="0" w:color="auto"/>
        <w:bottom w:val="none" w:sz="0" w:space="0" w:color="auto"/>
        <w:right w:val="none" w:sz="0" w:space="0" w:color="auto"/>
      </w:divBdr>
    </w:div>
    <w:div w:id="474294952">
      <w:bodyDiv w:val="1"/>
      <w:marLeft w:val="0"/>
      <w:marRight w:val="0"/>
      <w:marTop w:val="0"/>
      <w:marBottom w:val="0"/>
      <w:divBdr>
        <w:top w:val="none" w:sz="0" w:space="0" w:color="auto"/>
        <w:left w:val="none" w:sz="0" w:space="0" w:color="auto"/>
        <w:bottom w:val="none" w:sz="0" w:space="0" w:color="auto"/>
        <w:right w:val="none" w:sz="0" w:space="0" w:color="auto"/>
      </w:divBdr>
      <w:divsChild>
        <w:div w:id="930509512">
          <w:marLeft w:val="0"/>
          <w:marRight w:val="0"/>
          <w:marTop w:val="0"/>
          <w:marBottom w:val="0"/>
          <w:divBdr>
            <w:top w:val="none" w:sz="0" w:space="0" w:color="auto"/>
            <w:left w:val="none" w:sz="0" w:space="0" w:color="auto"/>
            <w:bottom w:val="none" w:sz="0" w:space="0" w:color="auto"/>
            <w:right w:val="none" w:sz="0" w:space="0" w:color="auto"/>
          </w:divBdr>
          <w:divsChild>
            <w:div w:id="1052536451">
              <w:marLeft w:val="0"/>
              <w:marRight w:val="0"/>
              <w:marTop w:val="0"/>
              <w:marBottom w:val="0"/>
              <w:divBdr>
                <w:top w:val="none" w:sz="0" w:space="0" w:color="auto"/>
                <w:left w:val="none" w:sz="0" w:space="0" w:color="auto"/>
                <w:bottom w:val="none" w:sz="0" w:space="0" w:color="auto"/>
                <w:right w:val="none" w:sz="0" w:space="0" w:color="auto"/>
              </w:divBdr>
              <w:divsChild>
                <w:div w:id="556361807">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618804282">
      <w:bodyDiv w:val="1"/>
      <w:marLeft w:val="0"/>
      <w:marRight w:val="0"/>
      <w:marTop w:val="0"/>
      <w:marBottom w:val="0"/>
      <w:divBdr>
        <w:top w:val="none" w:sz="0" w:space="0" w:color="auto"/>
        <w:left w:val="none" w:sz="0" w:space="0" w:color="auto"/>
        <w:bottom w:val="none" w:sz="0" w:space="0" w:color="auto"/>
        <w:right w:val="none" w:sz="0" w:space="0" w:color="auto"/>
      </w:divBdr>
    </w:div>
    <w:div w:id="735592282">
      <w:bodyDiv w:val="1"/>
      <w:marLeft w:val="0"/>
      <w:marRight w:val="0"/>
      <w:marTop w:val="0"/>
      <w:marBottom w:val="0"/>
      <w:divBdr>
        <w:top w:val="none" w:sz="0" w:space="0" w:color="auto"/>
        <w:left w:val="none" w:sz="0" w:space="0" w:color="auto"/>
        <w:bottom w:val="none" w:sz="0" w:space="0" w:color="auto"/>
        <w:right w:val="none" w:sz="0" w:space="0" w:color="auto"/>
      </w:divBdr>
      <w:divsChild>
        <w:div w:id="1249850419">
          <w:marLeft w:val="0"/>
          <w:marRight w:val="0"/>
          <w:marTop w:val="0"/>
          <w:marBottom w:val="0"/>
          <w:divBdr>
            <w:top w:val="none" w:sz="0" w:space="0" w:color="auto"/>
            <w:left w:val="none" w:sz="0" w:space="0" w:color="auto"/>
            <w:bottom w:val="none" w:sz="0" w:space="0" w:color="auto"/>
            <w:right w:val="none" w:sz="0" w:space="0" w:color="auto"/>
          </w:divBdr>
          <w:divsChild>
            <w:div w:id="2051874770">
              <w:marLeft w:val="0"/>
              <w:marRight w:val="0"/>
              <w:marTop w:val="0"/>
              <w:marBottom w:val="0"/>
              <w:divBdr>
                <w:top w:val="none" w:sz="0" w:space="0" w:color="auto"/>
                <w:left w:val="none" w:sz="0" w:space="0" w:color="auto"/>
                <w:bottom w:val="none" w:sz="0" w:space="0" w:color="auto"/>
                <w:right w:val="none" w:sz="0" w:space="0" w:color="auto"/>
              </w:divBdr>
              <w:divsChild>
                <w:div w:id="1254238074">
                  <w:marLeft w:val="0"/>
                  <w:marRight w:val="0"/>
                  <w:marTop w:val="0"/>
                  <w:marBottom w:val="0"/>
                  <w:divBdr>
                    <w:top w:val="none" w:sz="0" w:space="0" w:color="auto"/>
                    <w:left w:val="none" w:sz="0" w:space="0" w:color="auto"/>
                    <w:bottom w:val="none" w:sz="0" w:space="0" w:color="auto"/>
                    <w:right w:val="none" w:sz="0" w:space="0" w:color="auto"/>
                  </w:divBdr>
                  <w:divsChild>
                    <w:div w:id="18833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89844">
      <w:bodyDiv w:val="1"/>
      <w:marLeft w:val="0"/>
      <w:marRight w:val="5"/>
      <w:marTop w:val="0"/>
      <w:marBottom w:val="369"/>
      <w:divBdr>
        <w:top w:val="none" w:sz="0" w:space="0" w:color="auto"/>
        <w:left w:val="none" w:sz="0" w:space="0" w:color="auto"/>
        <w:bottom w:val="none" w:sz="0" w:space="0" w:color="auto"/>
        <w:right w:val="none" w:sz="0" w:space="0" w:color="auto"/>
      </w:divBdr>
      <w:divsChild>
        <w:div w:id="1425345218">
          <w:marLeft w:val="1394"/>
          <w:marRight w:val="0"/>
          <w:marTop w:val="277"/>
          <w:marBottom w:val="185"/>
          <w:divBdr>
            <w:top w:val="none" w:sz="0" w:space="0" w:color="auto"/>
            <w:left w:val="none" w:sz="0" w:space="0" w:color="auto"/>
            <w:bottom w:val="none" w:sz="0" w:space="0" w:color="auto"/>
            <w:right w:val="none" w:sz="0" w:space="0" w:color="auto"/>
          </w:divBdr>
          <w:divsChild>
            <w:div w:id="915819544">
              <w:marLeft w:val="0"/>
              <w:marRight w:val="55"/>
              <w:marTop w:val="0"/>
              <w:marBottom w:val="55"/>
              <w:divBdr>
                <w:top w:val="single" w:sz="6" w:space="0" w:color="CCCCCC"/>
                <w:left w:val="single" w:sz="6" w:space="0" w:color="CCCCCC"/>
                <w:bottom w:val="single" w:sz="6" w:space="0" w:color="CCCCCC"/>
                <w:right w:val="single" w:sz="6" w:space="0" w:color="CCCCCC"/>
              </w:divBdr>
            </w:div>
          </w:divsChild>
        </w:div>
      </w:divsChild>
    </w:div>
    <w:div w:id="795568178">
      <w:bodyDiv w:val="1"/>
      <w:marLeft w:val="0"/>
      <w:marRight w:val="0"/>
      <w:marTop w:val="0"/>
      <w:marBottom w:val="0"/>
      <w:divBdr>
        <w:top w:val="none" w:sz="0" w:space="0" w:color="auto"/>
        <w:left w:val="none" w:sz="0" w:space="0" w:color="auto"/>
        <w:bottom w:val="none" w:sz="0" w:space="0" w:color="auto"/>
        <w:right w:val="none" w:sz="0" w:space="0" w:color="auto"/>
      </w:divBdr>
      <w:divsChild>
        <w:div w:id="1123033482">
          <w:marLeft w:val="0"/>
          <w:marRight w:val="0"/>
          <w:marTop w:val="0"/>
          <w:marBottom w:val="0"/>
          <w:divBdr>
            <w:top w:val="none" w:sz="0" w:space="0" w:color="auto"/>
            <w:left w:val="none" w:sz="0" w:space="0" w:color="auto"/>
            <w:bottom w:val="none" w:sz="0" w:space="0" w:color="auto"/>
            <w:right w:val="none" w:sz="0" w:space="0" w:color="auto"/>
          </w:divBdr>
          <w:divsChild>
            <w:div w:id="1341011256">
              <w:marLeft w:val="0"/>
              <w:marRight w:val="0"/>
              <w:marTop w:val="0"/>
              <w:marBottom w:val="0"/>
              <w:divBdr>
                <w:top w:val="none" w:sz="0" w:space="0" w:color="auto"/>
                <w:left w:val="none" w:sz="0" w:space="0" w:color="auto"/>
                <w:bottom w:val="none" w:sz="0" w:space="0" w:color="auto"/>
                <w:right w:val="none" w:sz="0" w:space="0" w:color="auto"/>
              </w:divBdr>
              <w:divsChild>
                <w:div w:id="106190665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925303645">
      <w:bodyDiv w:val="1"/>
      <w:marLeft w:val="0"/>
      <w:marRight w:val="0"/>
      <w:marTop w:val="0"/>
      <w:marBottom w:val="0"/>
      <w:divBdr>
        <w:top w:val="none" w:sz="0" w:space="0" w:color="auto"/>
        <w:left w:val="none" w:sz="0" w:space="0" w:color="auto"/>
        <w:bottom w:val="none" w:sz="0" w:space="0" w:color="auto"/>
        <w:right w:val="none" w:sz="0" w:space="0" w:color="auto"/>
      </w:divBdr>
    </w:div>
    <w:div w:id="951479620">
      <w:bodyDiv w:val="1"/>
      <w:marLeft w:val="0"/>
      <w:marRight w:val="0"/>
      <w:marTop w:val="0"/>
      <w:marBottom w:val="0"/>
      <w:divBdr>
        <w:top w:val="none" w:sz="0" w:space="0" w:color="auto"/>
        <w:left w:val="none" w:sz="0" w:space="0" w:color="auto"/>
        <w:bottom w:val="none" w:sz="0" w:space="0" w:color="auto"/>
        <w:right w:val="none" w:sz="0" w:space="0" w:color="auto"/>
      </w:divBdr>
      <w:divsChild>
        <w:div w:id="1949507457">
          <w:marLeft w:val="0"/>
          <w:marRight w:val="0"/>
          <w:marTop w:val="0"/>
          <w:marBottom w:val="0"/>
          <w:divBdr>
            <w:top w:val="none" w:sz="0" w:space="0" w:color="auto"/>
            <w:left w:val="none" w:sz="0" w:space="0" w:color="auto"/>
            <w:bottom w:val="none" w:sz="0" w:space="0" w:color="auto"/>
            <w:right w:val="none" w:sz="0" w:space="0" w:color="auto"/>
          </w:divBdr>
          <w:divsChild>
            <w:div w:id="1219128364">
              <w:marLeft w:val="0"/>
              <w:marRight w:val="0"/>
              <w:marTop w:val="0"/>
              <w:marBottom w:val="0"/>
              <w:divBdr>
                <w:top w:val="none" w:sz="0" w:space="0" w:color="auto"/>
                <w:left w:val="none" w:sz="0" w:space="0" w:color="auto"/>
                <w:bottom w:val="none" w:sz="0" w:space="0" w:color="auto"/>
                <w:right w:val="none" w:sz="0" w:space="0" w:color="auto"/>
              </w:divBdr>
              <w:divsChild>
                <w:div w:id="2073038924">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953636969">
      <w:bodyDiv w:val="1"/>
      <w:marLeft w:val="0"/>
      <w:marRight w:val="0"/>
      <w:marTop w:val="0"/>
      <w:marBottom w:val="0"/>
      <w:divBdr>
        <w:top w:val="none" w:sz="0" w:space="0" w:color="auto"/>
        <w:left w:val="none" w:sz="0" w:space="0" w:color="auto"/>
        <w:bottom w:val="none" w:sz="0" w:space="0" w:color="auto"/>
        <w:right w:val="none" w:sz="0" w:space="0" w:color="auto"/>
      </w:divBdr>
    </w:div>
    <w:div w:id="971908985">
      <w:bodyDiv w:val="1"/>
      <w:marLeft w:val="0"/>
      <w:marRight w:val="0"/>
      <w:marTop w:val="0"/>
      <w:marBottom w:val="0"/>
      <w:divBdr>
        <w:top w:val="none" w:sz="0" w:space="0" w:color="auto"/>
        <w:left w:val="none" w:sz="0" w:space="0" w:color="auto"/>
        <w:bottom w:val="none" w:sz="0" w:space="0" w:color="auto"/>
        <w:right w:val="none" w:sz="0" w:space="0" w:color="auto"/>
      </w:divBdr>
    </w:div>
    <w:div w:id="1113129843">
      <w:bodyDiv w:val="1"/>
      <w:marLeft w:val="0"/>
      <w:marRight w:val="0"/>
      <w:marTop w:val="0"/>
      <w:marBottom w:val="0"/>
      <w:divBdr>
        <w:top w:val="none" w:sz="0" w:space="0" w:color="auto"/>
        <w:left w:val="none" w:sz="0" w:space="0" w:color="auto"/>
        <w:bottom w:val="none" w:sz="0" w:space="0" w:color="auto"/>
        <w:right w:val="none" w:sz="0" w:space="0" w:color="auto"/>
      </w:divBdr>
      <w:divsChild>
        <w:div w:id="412551687">
          <w:marLeft w:val="0"/>
          <w:marRight w:val="0"/>
          <w:marTop w:val="0"/>
          <w:marBottom w:val="0"/>
          <w:divBdr>
            <w:top w:val="none" w:sz="0" w:space="0" w:color="auto"/>
            <w:left w:val="none" w:sz="0" w:space="0" w:color="auto"/>
            <w:bottom w:val="none" w:sz="0" w:space="0" w:color="auto"/>
            <w:right w:val="none" w:sz="0" w:space="0" w:color="auto"/>
          </w:divBdr>
          <w:divsChild>
            <w:div w:id="116031461">
              <w:marLeft w:val="0"/>
              <w:marRight w:val="0"/>
              <w:marTop w:val="0"/>
              <w:marBottom w:val="0"/>
              <w:divBdr>
                <w:top w:val="none" w:sz="0" w:space="0" w:color="auto"/>
                <w:left w:val="none" w:sz="0" w:space="0" w:color="auto"/>
                <w:bottom w:val="none" w:sz="0" w:space="0" w:color="auto"/>
                <w:right w:val="none" w:sz="0" w:space="0" w:color="auto"/>
              </w:divBdr>
              <w:divsChild>
                <w:div w:id="385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2317">
      <w:bodyDiv w:val="1"/>
      <w:marLeft w:val="0"/>
      <w:marRight w:val="0"/>
      <w:marTop w:val="0"/>
      <w:marBottom w:val="0"/>
      <w:divBdr>
        <w:top w:val="none" w:sz="0" w:space="0" w:color="auto"/>
        <w:left w:val="none" w:sz="0" w:space="0" w:color="auto"/>
        <w:bottom w:val="none" w:sz="0" w:space="0" w:color="auto"/>
        <w:right w:val="none" w:sz="0" w:space="0" w:color="auto"/>
      </w:divBdr>
    </w:div>
    <w:div w:id="1159466657">
      <w:bodyDiv w:val="1"/>
      <w:marLeft w:val="0"/>
      <w:marRight w:val="0"/>
      <w:marTop w:val="0"/>
      <w:marBottom w:val="0"/>
      <w:divBdr>
        <w:top w:val="none" w:sz="0" w:space="0" w:color="auto"/>
        <w:left w:val="none" w:sz="0" w:space="0" w:color="auto"/>
        <w:bottom w:val="none" w:sz="0" w:space="0" w:color="auto"/>
        <w:right w:val="none" w:sz="0" w:space="0" w:color="auto"/>
      </w:divBdr>
      <w:divsChild>
        <w:div w:id="1016807237">
          <w:marLeft w:val="0"/>
          <w:marRight w:val="0"/>
          <w:marTop w:val="0"/>
          <w:marBottom w:val="0"/>
          <w:divBdr>
            <w:top w:val="none" w:sz="0" w:space="0" w:color="auto"/>
            <w:left w:val="none" w:sz="0" w:space="0" w:color="auto"/>
            <w:bottom w:val="none" w:sz="0" w:space="0" w:color="auto"/>
            <w:right w:val="none" w:sz="0" w:space="0" w:color="auto"/>
          </w:divBdr>
          <w:divsChild>
            <w:div w:id="378359972">
              <w:marLeft w:val="0"/>
              <w:marRight w:val="0"/>
              <w:marTop w:val="0"/>
              <w:marBottom w:val="0"/>
              <w:divBdr>
                <w:top w:val="none" w:sz="0" w:space="0" w:color="auto"/>
                <w:left w:val="none" w:sz="0" w:space="0" w:color="auto"/>
                <w:bottom w:val="none" w:sz="0" w:space="0" w:color="auto"/>
                <w:right w:val="none" w:sz="0" w:space="0" w:color="auto"/>
              </w:divBdr>
              <w:divsChild>
                <w:div w:id="954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1009">
      <w:bodyDiv w:val="1"/>
      <w:marLeft w:val="0"/>
      <w:marRight w:val="0"/>
      <w:marTop w:val="0"/>
      <w:marBottom w:val="0"/>
      <w:divBdr>
        <w:top w:val="none" w:sz="0" w:space="0" w:color="auto"/>
        <w:left w:val="none" w:sz="0" w:space="0" w:color="auto"/>
        <w:bottom w:val="none" w:sz="0" w:space="0" w:color="auto"/>
        <w:right w:val="none" w:sz="0" w:space="0" w:color="auto"/>
      </w:divBdr>
    </w:div>
    <w:div w:id="1211576021">
      <w:bodyDiv w:val="1"/>
      <w:marLeft w:val="0"/>
      <w:marRight w:val="0"/>
      <w:marTop w:val="0"/>
      <w:marBottom w:val="0"/>
      <w:divBdr>
        <w:top w:val="none" w:sz="0" w:space="0" w:color="auto"/>
        <w:left w:val="none" w:sz="0" w:space="0" w:color="auto"/>
        <w:bottom w:val="none" w:sz="0" w:space="0" w:color="auto"/>
        <w:right w:val="none" w:sz="0" w:space="0" w:color="auto"/>
      </w:divBdr>
    </w:div>
    <w:div w:id="1218009836">
      <w:bodyDiv w:val="1"/>
      <w:marLeft w:val="0"/>
      <w:marRight w:val="0"/>
      <w:marTop w:val="0"/>
      <w:marBottom w:val="0"/>
      <w:divBdr>
        <w:top w:val="none" w:sz="0" w:space="0" w:color="auto"/>
        <w:left w:val="none" w:sz="0" w:space="0" w:color="auto"/>
        <w:bottom w:val="none" w:sz="0" w:space="0" w:color="auto"/>
        <w:right w:val="none" w:sz="0" w:space="0" w:color="auto"/>
      </w:divBdr>
      <w:divsChild>
        <w:div w:id="1293975212">
          <w:marLeft w:val="0"/>
          <w:marRight w:val="0"/>
          <w:marTop w:val="0"/>
          <w:marBottom w:val="0"/>
          <w:divBdr>
            <w:top w:val="none" w:sz="0" w:space="0" w:color="auto"/>
            <w:left w:val="none" w:sz="0" w:space="0" w:color="auto"/>
            <w:bottom w:val="none" w:sz="0" w:space="0" w:color="auto"/>
            <w:right w:val="none" w:sz="0" w:space="0" w:color="auto"/>
          </w:divBdr>
          <w:divsChild>
            <w:div w:id="1313411722">
              <w:marLeft w:val="0"/>
              <w:marRight w:val="0"/>
              <w:marTop w:val="0"/>
              <w:marBottom w:val="0"/>
              <w:divBdr>
                <w:top w:val="none" w:sz="0" w:space="0" w:color="auto"/>
                <w:left w:val="none" w:sz="0" w:space="0" w:color="auto"/>
                <w:bottom w:val="none" w:sz="0" w:space="0" w:color="auto"/>
                <w:right w:val="none" w:sz="0" w:space="0" w:color="auto"/>
              </w:divBdr>
              <w:divsChild>
                <w:div w:id="2081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573">
      <w:bodyDiv w:val="1"/>
      <w:marLeft w:val="0"/>
      <w:marRight w:val="0"/>
      <w:marTop w:val="0"/>
      <w:marBottom w:val="0"/>
      <w:divBdr>
        <w:top w:val="none" w:sz="0" w:space="0" w:color="auto"/>
        <w:left w:val="none" w:sz="0" w:space="0" w:color="auto"/>
        <w:bottom w:val="none" w:sz="0" w:space="0" w:color="auto"/>
        <w:right w:val="none" w:sz="0" w:space="0" w:color="auto"/>
      </w:divBdr>
      <w:divsChild>
        <w:div w:id="2066492588">
          <w:marLeft w:val="0"/>
          <w:marRight w:val="0"/>
          <w:marTop w:val="0"/>
          <w:marBottom w:val="0"/>
          <w:divBdr>
            <w:top w:val="none" w:sz="0" w:space="0" w:color="auto"/>
            <w:left w:val="none" w:sz="0" w:space="0" w:color="auto"/>
            <w:bottom w:val="none" w:sz="0" w:space="0" w:color="auto"/>
            <w:right w:val="none" w:sz="0" w:space="0" w:color="auto"/>
          </w:divBdr>
          <w:divsChild>
            <w:div w:id="277569145">
              <w:marLeft w:val="0"/>
              <w:marRight w:val="0"/>
              <w:marTop w:val="0"/>
              <w:marBottom w:val="0"/>
              <w:divBdr>
                <w:top w:val="none" w:sz="0" w:space="0" w:color="auto"/>
                <w:left w:val="none" w:sz="0" w:space="0" w:color="auto"/>
                <w:bottom w:val="none" w:sz="0" w:space="0" w:color="auto"/>
                <w:right w:val="none" w:sz="0" w:space="0" w:color="auto"/>
              </w:divBdr>
              <w:divsChild>
                <w:div w:id="17499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46731">
      <w:bodyDiv w:val="1"/>
      <w:marLeft w:val="0"/>
      <w:marRight w:val="0"/>
      <w:marTop w:val="0"/>
      <w:marBottom w:val="0"/>
      <w:divBdr>
        <w:top w:val="none" w:sz="0" w:space="0" w:color="auto"/>
        <w:left w:val="none" w:sz="0" w:space="0" w:color="auto"/>
        <w:bottom w:val="none" w:sz="0" w:space="0" w:color="auto"/>
        <w:right w:val="none" w:sz="0" w:space="0" w:color="auto"/>
      </w:divBdr>
    </w:div>
    <w:div w:id="1371032549">
      <w:bodyDiv w:val="1"/>
      <w:marLeft w:val="0"/>
      <w:marRight w:val="5"/>
      <w:marTop w:val="0"/>
      <w:marBottom w:val="480"/>
      <w:divBdr>
        <w:top w:val="none" w:sz="0" w:space="0" w:color="auto"/>
        <w:left w:val="none" w:sz="0" w:space="0" w:color="auto"/>
        <w:bottom w:val="none" w:sz="0" w:space="0" w:color="auto"/>
        <w:right w:val="none" w:sz="0" w:space="0" w:color="auto"/>
      </w:divBdr>
      <w:divsChild>
        <w:div w:id="232198511">
          <w:marLeft w:val="1812"/>
          <w:marRight w:val="0"/>
          <w:marTop w:val="360"/>
          <w:marBottom w:val="240"/>
          <w:divBdr>
            <w:top w:val="none" w:sz="0" w:space="0" w:color="auto"/>
            <w:left w:val="none" w:sz="0" w:space="0" w:color="auto"/>
            <w:bottom w:val="none" w:sz="0" w:space="0" w:color="auto"/>
            <w:right w:val="none" w:sz="0" w:space="0" w:color="auto"/>
          </w:divBdr>
          <w:divsChild>
            <w:div w:id="1735470600">
              <w:marLeft w:val="0"/>
              <w:marRight w:val="72"/>
              <w:marTop w:val="0"/>
              <w:marBottom w:val="72"/>
              <w:divBdr>
                <w:top w:val="single" w:sz="12" w:space="0" w:color="CCCCCC"/>
                <w:left w:val="single" w:sz="12" w:space="0" w:color="CCCCCC"/>
                <w:bottom w:val="single" w:sz="12" w:space="0" w:color="CCCCCC"/>
                <w:right w:val="single" w:sz="12" w:space="0" w:color="CCCCCC"/>
              </w:divBdr>
            </w:div>
          </w:divsChild>
        </w:div>
      </w:divsChild>
    </w:div>
    <w:div w:id="1380204815">
      <w:bodyDiv w:val="1"/>
      <w:marLeft w:val="0"/>
      <w:marRight w:val="0"/>
      <w:marTop w:val="0"/>
      <w:marBottom w:val="0"/>
      <w:divBdr>
        <w:top w:val="none" w:sz="0" w:space="0" w:color="auto"/>
        <w:left w:val="none" w:sz="0" w:space="0" w:color="auto"/>
        <w:bottom w:val="none" w:sz="0" w:space="0" w:color="auto"/>
        <w:right w:val="none" w:sz="0" w:space="0" w:color="auto"/>
      </w:divBdr>
      <w:divsChild>
        <w:div w:id="766728667">
          <w:marLeft w:val="0"/>
          <w:marRight w:val="0"/>
          <w:marTop w:val="0"/>
          <w:marBottom w:val="0"/>
          <w:divBdr>
            <w:top w:val="none" w:sz="0" w:space="0" w:color="auto"/>
            <w:left w:val="none" w:sz="0" w:space="0" w:color="auto"/>
            <w:bottom w:val="none" w:sz="0" w:space="0" w:color="auto"/>
            <w:right w:val="none" w:sz="0" w:space="0" w:color="auto"/>
          </w:divBdr>
          <w:divsChild>
            <w:div w:id="1796096559">
              <w:marLeft w:val="0"/>
              <w:marRight w:val="0"/>
              <w:marTop w:val="0"/>
              <w:marBottom w:val="0"/>
              <w:divBdr>
                <w:top w:val="none" w:sz="0" w:space="0" w:color="auto"/>
                <w:left w:val="none" w:sz="0" w:space="0" w:color="auto"/>
                <w:bottom w:val="none" w:sz="0" w:space="0" w:color="auto"/>
                <w:right w:val="none" w:sz="0" w:space="0" w:color="auto"/>
              </w:divBdr>
              <w:divsChild>
                <w:div w:id="795564251">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1400129193">
      <w:bodyDiv w:val="1"/>
      <w:marLeft w:val="0"/>
      <w:marRight w:val="5"/>
      <w:marTop w:val="0"/>
      <w:marBottom w:val="480"/>
      <w:divBdr>
        <w:top w:val="none" w:sz="0" w:space="0" w:color="auto"/>
        <w:left w:val="none" w:sz="0" w:space="0" w:color="auto"/>
        <w:bottom w:val="none" w:sz="0" w:space="0" w:color="auto"/>
        <w:right w:val="none" w:sz="0" w:space="0" w:color="auto"/>
      </w:divBdr>
      <w:divsChild>
        <w:div w:id="282462718">
          <w:marLeft w:val="1812"/>
          <w:marRight w:val="0"/>
          <w:marTop w:val="360"/>
          <w:marBottom w:val="240"/>
          <w:divBdr>
            <w:top w:val="none" w:sz="0" w:space="0" w:color="auto"/>
            <w:left w:val="none" w:sz="0" w:space="0" w:color="auto"/>
            <w:bottom w:val="none" w:sz="0" w:space="0" w:color="auto"/>
            <w:right w:val="none" w:sz="0" w:space="0" w:color="auto"/>
          </w:divBdr>
        </w:div>
      </w:divsChild>
    </w:div>
    <w:div w:id="1445885566">
      <w:bodyDiv w:val="1"/>
      <w:marLeft w:val="0"/>
      <w:marRight w:val="5"/>
      <w:marTop w:val="0"/>
      <w:marBottom w:val="369"/>
      <w:divBdr>
        <w:top w:val="none" w:sz="0" w:space="0" w:color="auto"/>
        <w:left w:val="none" w:sz="0" w:space="0" w:color="auto"/>
        <w:bottom w:val="none" w:sz="0" w:space="0" w:color="auto"/>
        <w:right w:val="none" w:sz="0" w:space="0" w:color="auto"/>
      </w:divBdr>
      <w:divsChild>
        <w:div w:id="44111469">
          <w:marLeft w:val="1394"/>
          <w:marRight w:val="0"/>
          <w:marTop w:val="277"/>
          <w:marBottom w:val="185"/>
          <w:divBdr>
            <w:top w:val="none" w:sz="0" w:space="0" w:color="auto"/>
            <w:left w:val="none" w:sz="0" w:space="0" w:color="auto"/>
            <w:bottom w:val="none" w:sz="0" w:space="0" w:color="auto"/>
            <w:right w:val="none" w:sz="0" w:space="0" w:color="auto"/>
          </w:divBdr>
        </w:div>
      </w:divsChild>
    </w:div>
    <w:div w:id="1487014689">
      <w:bodyDiv w:val="1"/>
      <w:marLeft w:val="0"/>
      <w:marRight w:val="0"/>
      <w:marTop w:val="0"/>
      <w:marBottom w:val="0"/>
      <w:divBdr>
        <w:top w:val="none" w:sz="0" w:space="0" w:color="auto"/>
        <w:left w:val="none" w:sz="0" w:space="0" w:color="auto"/>
        <w:bottom w:val="none" w:sz="0" w:space="0" w:color="auto"/>
        <w:right w:val="none" w:sz="0" w:space="0" w:color="auto"/>
      </w:divBdr>
    </w:div>
    <w:div w:id="1524055029">
      <w:bodyDiv w:val="1"/>
      <w:marLeft w:val="0"/>
      <w:marRight w:val="0"/>
      <w:marTop w:val="0"/>
      <w:marBottom w:val="0"/>
      <w:divBdr>
        <w:top w:val="none" w:sz="0" w:space="0" w:color="auto"/>
        <w:left w:val="none" w:sz="0" w:space="0" w:color="auto"/>
        <w:bottom w:val="none" w:sz="0" w:space="0" w:color="auto"/>
        <w:right w:val="none" w:sz="0" w:space="0" w:color="auto"/>
      </w:divBdr>
    </w:div>
    <w:div w:id="1550797363">
      <w:bodyDiv w:val="1"/>
      <w:marLeft w:val="0"/>
      <w:marRight w:val="0"/>
      <w:marTop w:val="0"/>
      <w:marBottom w:val="0"/>
      <w:divBdr>
        <w:top w:val="none" w:sz="0" w:space="0" w:color="auto"/>
        <w:left w:val="none" w:sz="0" w:space="0" w:color="auto"/>
        <w:bottom w:val="none" w:sz="0" w:space="0" w:color="auto"/>
        <w:right w:val="none" w:sz="0" w:space="0" w:color="auto"/>
      </w:divBdr>
      <w:divsChild>
        <w:div w:id="1723943957">
          <w:marLeft w:val="0"/>
          <w:marRight w:val="0"/>
          <w:marTop w:val="0"/>
          <w:marBottom w:val="0"/>
          <w:divBdr>
            <w:top w:val="none" w:sz="0" w:space="0" w:color="auto"/>
            <w:left w:val="none" w:sz="0" w:space="0" w:color="auto"/>
            <w:bottom w:val="none" w:sz="0" w:space="0" w:color="auto"/>
            <w:right w:val="none" w:sz="0" w:space="0" w:color="auto"/>
          </w:divBdr>
          <w:divsChild>
            <w:div w:id="1787652826">
              <w:marLeft w:val="0"/>
              <w:marRight w:val="0"/>
              <w:marTop w:val="0"/>
              <w:marBottom w:val="0"/>
              <w:divBdr>
                <w:top w:val="none" w:sz="0" w:space="0" w:color="auto"/>
                <w:left w:val="none" w:sz="0" w:space="0" w:color="auto"/>
                <w:bottom w:val="none" w:sz="0" w:space="0" w:color="auto"/>
                <w:right w:val="none" w:sz="0" w:space="0" w:color="auto"/>
              </w:divBdr>
              <w:divsChild>
                <w:div w:id="36321284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73540491">
      <w:bodyDiv w:val="1"/>
      <w:marLeft w:val="0"/>
      <w:marRight w:val="0"/>
      <w:marTop w:val="0"/>
      <w:marBottom w:val="0"/>
      <w:divBdr>
        <w:top w:val="none" w:sz="0" w:space="0" w:color="auto"/>
        <w:left w:val="none" w:sz="0" w:space="0" w:color="auto"/>
        <w:bottom w:val="none" w:sz="0" w:space="0" w:color="auto"/>
        <w:right w:val="none" w:sz="0" w:space="0" w:color="auto"/>
      </w:divBdr>
    </w:div>
    <w:div w:id="1593471881">
      <w:bodyDiv w:val="1"/>
      <w:marLeft w:val="0"/>
      <w:marRight w:val="0"/>
      <w:marTop w:val="0"/>
      <w:marBottom w:val="0"/>
      <w:divBdr>
        <w:top w:val="none" w:sz="0" w:space="0" w:color="auto"/>
        <w:left w:val="none" w:sz="0" w:space="0" w:color="auto"/>
        <w:bottom w:val="none" w:sz="0" w:space="0" w:color="auto"/>
        <w:right w:val="none" w:sz="0" w:space="0" w:color="auto"/>
      </w:divBdr>
    </w:div>
    <w:div w:id="1595896561">
      <w:bodyDiv w:val="1"/>
      <w:marLeft w:val="0"/>
      <w:marRight w:val="0"/>
      <w:marTop w:val="0"/>
      <w:marBottom w:val="0"/>
      <w:divBdr>
        <w:top w:val="none" w:sz="0" w:space="0" w:color="auto"/>
        <w:left w:val="none" w:sz="0" w:space="0" w:color="auto"/>
        <w:bottom w:val="none" w:sz="0" w:space="0" w:color="auto"/>
        <w:right w:val="none" w:sz="0" w:space="0" w:color="auto"/>
      </w:divBdr>
    </w:div>
    <w:div w:id="1603797550">
      <w:bodyDiv w:val="1"/>
      <w:marLeft w:val="0"/>
      <w:marRight w:val="0"/>
      <w:marTop w:val="0"/>
      <w:marBottom w:val="0"/>
      <w:divBdr>
        <w:top w:val="none" w:sz="0" w:space="0" w:color="auto"/>
        <w:left w:val="none" w:sz="0" w:space="0" w:color="auto"/>
        <w:bottom w:val="none" w:sz="0" w:space="0" w:color="auto"/>
        <w:right w:val="none" w:sz="0" w:space="0" w:color="auto"/>
      </w:divBdr>
    </w:div>
    <w:div w:id="1628005121">
      <w:bodyDiv w:val="1"/>
      <w:marLeft w:val="0"/>
      <w:marRight w:val="0"/>
      <w:marTop w:val="0"/>
      <w:marBottom w:val="0"/>
      <w:divBdr>
        <w:top w:val="none" w:sz="0" w:space="0" w:color="auto"/>
        <w:left w:val="none" w:sz="0" w:space="0" w:color="auto"/>
        <w:bottom w:val="none" w:sz="0" w:space="0" w:color="auto"/>
        <w:right w:val="none" w:sz="0" w:space="0" w:color="auto"/>
      </w:divBdr>
    </w:div>
    <w:div w:id="1674601253">
      <w:bodyDiv w:val="1"/>
      <w:marLeft w:val="0"/>
      <w:marRight w:val="0"/>
      <w:marTop w:val="0"/>
      <w:marBottom w:val="0"/>
      <w:divBdr>
        <w:top w:val="none" w:sz="0" w:space="0" w:color="auto"/>
        <w:left w:val="none" w:sz="0" w:space="0" w:color="auto"/>
        <w:bottom w:val="none" w:sz="0" w:space="0" w:color="auto"/>
        <w:right w:val="none" w:sz="0" w:space="0" w:color="auto"/>
      </w:divBdr>
    </w:div>
    <w:div w:id="1759473960">
      <w:bodyDiv w:val="1"/>
      <w:marLeft w:val="0"/>
      <w:marRight w:val="0"/>
      <w:marTop w:val="0"/>
      <w:marBottom w:val="0"/>
      <w:divBdr>
        <w:top w:val="none" w:sz="0" w:space="0" w:color="auto"/>
        <w:left w:val="none" w:sz="0" w:space="0" w:color="auto"/>
        <w:bottom w:val="none" w:sz="0" w:space="0" w:color="auto"/>
        <w:right w:val="none" w:sz="0" w:space="0" w:color="auto"/>
      </w:divBdr>
    </w:div>
    <w:div w:id="1788815710">
      <w:bodyDiv w:val="1"/>
      <w:marLeft w:val="0"/>
      <w:marRight w:val="0"/>
      <w:marTop w:val="0"/>
      <w:marBottom w:val="0"/>
      <w:divBdr>
        <w:top w:val="none" w:sz="0" w:space="0" w:color="auto"/>
        <w:left w:val="none" w:sz="0" w:space="0" w:color="auto"/>
        <w:bottom w:val="none" w:sz="0" w:space="0" w:color="auto"/>
        <w:right w:val="none" w:sz="0" w:space="0" w:color="auto"/>
      </w:divBdr>
      <w:divsChild>
        <w:div w:id="432668955">
          <w:marLeft w:val="0"/>
          <w:marRight w:val="0"/>
          <w:marTop w:val="0"/>
          <w:marBottom w:val="0"/>
          <w:divBdr>
            <w:top w:val="none" w:sz="0" w:space="0" w:color="auto"/>
            <w:left w:val="none" w:sz="0" w:space="0" w:color="auto"/>
            <w:bottom w:val="none" w:sz="0" w:space="0" w:color="auto"/>
            <w:right w:val="none" w:sz="0" w:space="0" w:color="auto"/>
          </w:divBdr>
          <w:divsChild>
            <w:div w:id="168109243">
              <w:marLeft w:val="0"/>
              <w:marRight w:val="0"/>
              <w:marTop w:val="0"/>
              <w:marBottom w:val="0"/>
              <w:divBdr>
                <w:top w:val="none" w:sz="0" w:space="0" w:color="auto"/>
                <w:left w:val="none" w:sz="0" w:space="0" w:color="auto"/>
                <w:bottom w:val="none" w:sz="0" w:space="0" w:color="auto"/>
                <w:right w:val="none" w:sz="0" w:space="0" w:color="auto"/>
              </w:divBdr>
              <w:divsChild>
                <w:div w:id="3110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4363">
      <w:bodyDiv w:val="1"/>
      <w:marLeft w:val="0"/>
      <w:marRight w:val="0"/>
      <w:marTop w:val="0"/>
      <w:marBottom w:val="0"/>
      <w:divBdr>
        <w:top w:val="none" w:sz="0" w:space="0" w:color="auto"/>
        <w:left w:val="none" w:sz="0" w:space="0" w:color="auto"/>
        <w:bottom w:val="none" w:sz="0" w:space="0" w:color="auto"/>
        <w:right w:val="none" w:sz="0" w:space="0" w:color="auto"/>
      </w:divBdr>
    </w:div>
    <w:div w:id="1915429967">
      <w:bodyDiv w:val="1"/>
      <w:marLeft w:val="0"/>
      <w:marRight w:val="0"/>
      <w:marTop w:val="0"/>
      <w:marBottom w:val="0"/>
      <w:divBdr>
        <w:top w:val="none" w:sz="0" w:space="0" w:color="auto"/>
        <w:left w:val="none" w:sz="0" w:space="0" w:color="auto"/>
        <w:bottom w:val="none" w:sz="0" w:space="0" w:color="auto"/>
        <w:right w:val="none" w:sz="0" w:space="0" w:color="auto"/>
      </w:divBdr>
      <w:divsChild>
        <w:div w:id="523179780">
          <w:marLeft w:val="0"/>
          <w:marRight w:val="0"/>
          <w:marTop w:val="0"/>
          <w:marBottom w:val="0"/>
          <w:divBdr>
            <w:top w:val="none" w:sz="0" w:space="0" w:color="auto"/>
            <w:left w:val="none" w:sz="0" w:space="0" w:color="auto"/>
            <w:bottom w:val="none" w:sz="0" w:space="0" w:color="auto"/>
            <w:right w:val="none" w:sz="0" w:space="0" w:color="auto"/>
          </w:divBdr>
          <w:divsChild>
            <w:div w:id="867135760">
              <w:marLeft w:val="0"/>
              <w:marRight w:val="0"/>
              <w:marTop w:val="0"/>
              <w:marBottom w:val="0"/>
              <w:divBdr>
                <w:top w:val="none" w:sz="0" w:space="0" w:color="auto"/>
                <w:left w:val="none" w:sz="0" w:space="0" w:color="auto"/>
                <w:bottom w:val="none" w:sz="0" w:space="0" w:color="auto"/>
                <w:right w:val="none" w:sz="0" w:space="0" w:color="auto"/>
              </w:divBdr>
              <w:divsChild>
                <w:div w:id="685136937">
                  <w:marLeft w:val="0"/>
                  <w:marRight w:val="0"/>
                  <w:marTop w:val="0"/>
                  <w:marBottom w:val="0"/>
                  <w:divBdr>
                    <w:top w:val="none" w:sz="0" w:space="0" w:color="auto"/>
                    <w:left w:val="none" w:sz="0" w:space="0" w:color="auto"/>
                    <w:bottom w:val="none" w:sz="0" w:space="0" w:color="auto"/>
                    <w:right w:val="none" w:sz="0" w:space="0" w:color="auto"/>
                  </w:divBdr>
                  <w:divsChild>
                    <w:div w:id="302004883">
                      <w:marLeft w:val="0"/>
                      <w:marRight w:val="0"/>
                      <w:marTop w:val="0"/>
                      <w:marBottom w:val="0"/>
                      <w:divBdr>
                        <w:top w:val="none" w:sz="0" w:space="0" w:color="auto"/>
                        <w:left w:val="none" w:sz="0" w:space="0" w:color="auto"/>
                        <w:bottom w:val="none" w:sz="0" w:space="0" w:color="auto"/>
                        <w:right w:val="none" w:sz="0" w:space="0" w:color="auto"/>
                      </w:divBdr>
                      <w:divsChild>
                        <w:div w:id="1644383475">
                          <w:marLeft w:val="0"/>
                          <w:marRight w:val="0"/>
                          <w:marTop w:val="0"/>
                          <w:marBottom w:val="0"/>
                          <w:divBdr>
                            <w:top w:val="none" w:sz="0" w:space="0" w:color="auto"/>
                            <w:left w:val="none" w:sz="0" w:space="0" w:color="auto"/>
                            <w:bottom w:val="none" w:sz="0" w:space="0" w:color="auto"/>
                            <w:right w:val="none" w:sz="0" w:space="0" w:color="auto"/>
                          </w:divBdr>
                          <w:divsChild>
                            <w:div w:id="1989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81490">
      <w:bodyDiv w:val="1"/>
      <w:marLeft w:val="0"/>
      <w:marRight w:val="0"/>
      <w:marTop w:val="0"/>
      <w:marBottom w:val="0"/>
      <w:divBdr>
        <w:top w:val="none" w:sz="0" w:space="0" w:color="auto"/>
        <w:left w:val="none" w:sz="0" w:space="0" w:color="auto"/>
        <w:bottom w:val="none" w:sz="0" w:space="0" w:color="auto"/>
        <w:right w:val="none" w:sz="0" w:space="0" w:color="auto"/>
      </w:divBdr>
    </w:div>
    <w:div w:id="2045977494">
      <w:bodyDiv w:val="1"/>
      <w:marLeft w:val="0"/>
      <w:marRight w:val="0"/>
      <w:marTop w:val="0"/>
      <w:marBottom w:val="0"/>
      <w:divBdr>
        <w:top w:val="none" w:sz="0" w:space="0" w:color="auto"/>
        <w:left w:val="none" w:sz="0" w:space="0" w:color="auto"/>
        <w:bottom w:val="none" w:sz="0" w:space="0" w:color="auto"/>
        <w:right w:val="none" w:sz="0" w:space="0" w:color="auto"/>
      </w:divBdr>
    </w:div>
    <w:div w:id="2083526371">
      <w:bodyDiv w:val="1"/>
      <w:marLeft w:val="0"/>
      <w:marRight w:val="0"/>
      <w:marTop w:val="0"/>
      <w:marBottom w:val="0"/>
      <w:divBdr>
        <w:top w:val="none" w:sz="0" w:space="0" w:color="auto"/>
        <w:left w:val="none" w:sz="0" w:space="0" w:color="auto"/>
        <w:bottom w:val="none" w:sz="0" w:space="0" w:color="auto"/>
        <w:right w:val="none" w:sz="0" w:space="0" w:color="auto"/>
      </w:divBdr>
      <w:divsChild>
        <w:div w:id="143939226">
          <w:marLeft w:val="0"/>
          <w:marRight w:val="0"/>
          <w:marTop w:val="0"/>
          <w:marBottom w:val="0"/>
          <w:divBdr>
            <w:top w:val="none" w:sz="0" w:space="0" w:color="auto"/>
            <w:left w:val="none" w:sz="0" w:space="0" w:color="auto"/>
            <w:bottom w:val="none" w:sz="0" w:space="0" w:color="auto"/>
            <w:right w:val="none" w:sz="0" w:space="0" w:color="auto"/>
          </w:divBdr>
          <w:divsChild>
            <w:div w:id="1116875329">
              <w:marLeft w:val="0"/>
              <w:marRight w:val="0"/>
              <w:marTop w:val="0"/>
              <w:marBottom w:val="0"/>
              <w:divBdr>
                <w:top w:val="none" w:sz="0" w:space="0" w:color="auto"/>
                <w:left w:val="none" w:sz="0" w:space="0" w:color="auto"/>
                <w:bottom w:val="none" w:sz="0" w:space="0" w:color="auto"/>
                <w:right w:val="none" w:sz="0" w:space="0" w:color="auto"/>
              </w:divBdr>
              <w:divsChild>
                <w:div w:id="1082529398">
                  <w:marLeft w:val="0"/>
                  <w:marRight w:val="0"/>
                  <w:marTop w:val="0"/>
                  <w:marBottom w:val="0"/>
                  <w:divBdr>
                    <w:top w:val="none" w:sz="0" w:space="0" w:color="auto"/>
                    <w:left w:val="none" w:sz="0" w:space="0" w:color="auto"/>
                    <w:bottom w:val="none" w:sz="0" w:space="0" w:color="auto"/>
                    <w:right w:val="none" w:sz="0" w:space="0" w:color="auto"/>
                  </w:divBdr>
                  <w:divsChild>
                    <w:div w:id="520973001">
                      <w:marLeft w:val="0"/>
                      <w:marRight w:val="0"/>
                      <w:marTop w:val="0"/>
                      <w:marBottom w:val="0"/>
                      <w:divBdr>
                        <w:top w:val="none" w:sz="0" w:space="0" w:color="auto"/>
                        <w:left w:val="none" w:sz="0" w:space="0" w:color="auto"/>
                        <w:bottom w:val="none" w:sz="0" w:space="0" w:color="auto"/>
                        <w:right w:val="none" w:sz="0" w:space="0" w:color="auto"/>
                      </w:divBdr>
                      <w:divsChild>
                        <w:div w:id="101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41520">
      <w:bodyDiv w:val="1"/>
      <w:marLeft w:val="0"/>
      <w:marRight w:val="0"/>
      <w:marTop w:val="0"/>
      <w:marBottom w:val="0"/>
      <w:divBdr>
        <w:top w:val="none" w:sz="0" w:space="0" w:color="auto"/>
        <w:left w:val="none" w:sz="0" w:space="0" w:color="auto"/>
        <w:bottom w:val="none" w:sz="0" w:space="0" w:color="auto"/>
        <w:right w:val="none" w:sz="0" w:space="0" w:color="auto"/>
      </w:divBdr>
    </w:div>
    <w:div w:id="2100783977">
      <w:bodyDiv w:val="1"/>
      <w:marLeft w:val="0"/>
      <w:marRight w:val="0"/>
      <w:marTop w:val="0"/>
      <w:marBottom w:val="0"/>
      <w:divBdr>
        <w:top w:val="none" w:sz="0" w:space="0" w:color="auto"/>
        <w:left w:val="none" w:sz="0" w:space="0" w:color="auto"/>
        <w:bottom w:val="none" w:sz="0" w:space="0" w:color="auto"/>
        <w:right w:val="none" w:sz="0" w:space="0" w:color="auto"/>
      </w:divBdr>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EAE16-BE6D-4908-99B4-30DD2FB8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57</cp:revision>
  <cp:lastPrinted>2014-12-10T20:42:00Z</cp:lastPrinted>
  <dcterms:created xsi:type="dcterms:W3CDTF">2014-12-09T18:24:00Z</dcterms:created>
  <dcterms:modified xsi:type="dcterms:W3CDTF">2014-12-11T00:22:00Z</dcterms:modified>
</cp:coreProperties>
</file>