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742" w:rsidRDefault="00BD5884" w:rsidP="00FF7742">
      <w:pPr>
        <w:jc w:val="center"/>
        <w:rPr>
          <w:sz w:val="24"/>
          <w:szCs w:val="24"/>
          <w:lang w:bidi="en-US"/>
        </w:rPr>
      </w:pPr>
      <w:r w:rsidRPr="002868E5">
        <w:rPr>
          <w:sz w:val="24"/>
          <w:szCs w:val="24"/>
          <w:lang w:bidi="en-US"/>
        </w:rPr>
        <w:t xml:space="preserve">DEQ </w:t>
      </w:r>
      <w:r w:rsidR="00FF7742">
        <w:rPr>
          <w:sz w:val="24"/>
          <w:szCs w:val="24"/>
          <w:lang w:bidi="en-US"/>
        </w:rPr>
        <w:t xml:space="preserve">roadmap of significant/substantial proposed rule changes </w:t>
      </w:r>
    </w:p>
    <w:p w:rsidR="00BD5884" w:rsidRPr="002868E5" w:rsidRDefault="00FF7742" w:rsidP="00FF7742">
      <w:pPr>
        <w:jc w:val="center"/>
      </w:pPr>
      <w:r>
        <w:rPr>
          <w:sz w:val="24"/>
          <w:szCs w:val="24"/>
          <w:lang w:bidi="en-US"/>
        </w:rPr>
        <w:t xml:space="preserve">for </w:t>
      </w:r>
      <w:r w:rsidR="00BD5884" w:rsidRPr="002868E5">
        <w:rPr>
          <w:sz w:val="24"/>
          <w:szCs w:val="24"/>
          <w:lang w:bidi="en-US"/>
        </w:rPr>
        <w:t xml:space="preserve">the Environmental Quality Commission </w:t>
      </w:r>
    </w:p>
    <w:p w:rsidR="00BD5884" w:rsidRDefault="00BD5884" w:rsidP="00BD5884"/>
    <w:tbl>
      <w:tblPr>
        <w:tblStyle w:val="TableGrid"/>
        <w:tblW w:w="5455" w:type="pct"/>
        <w:jc w:val="center"/>
        <w:tblInd w:w="-17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970"/>
        <w:gridCol w:w="2340"/>
        <w:gridCol w:w="5031"/>
        <w:gridCol w:w="5034"/>
      </w:tblGrid>
      <w:tr w:rsidR="007E73F4" w:rsidRPr="007E73F4" w:rsidTr="00DA3FA9">
        <w:trPr>
          <w:tblHeader/>
          <w:jc w:val="center"/>
        </w:trPr>
        <w:tc>
          <w:tcPr>
            <w:tcW w:w="6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E73F4" w:rsidRPr="00254927" w:rsidRDefault="007E73F4" w:rsidP="00447AE6">
            <w:pPr>
              <w:jc w:val="center"/>
              <w:rPr>
                <w:b/>
              </w:rPr>
            </w:pPr>
            <w:r w:rsidRPr="00254927">
              <w:rPr>
                <w:b/>
              </w:rPr>
              <w:t>DEQ division/</w:t>
            </w:r>
          </w:p>
          <w:p w:rsidR="007E73F4" w:rsidRPr="00355303" w:rsidRDefault="007E73F4" w:rsidP="00447AE6">
            <w:pPr>
              <w:jc w:val="center"/>
              <w:rPr>
                <w:b/>
                <w:highlight w:val="yellow"/>
              </w:rPr>
            </w:pPr>
            <w:r w:rsidRPr="00254927">
              <w:rPr>
                <w:b/>
              </w:rPr>
              <w:t>rule (OAR)</w:t>
            </w:r>
          </w:p>
        </w:tc>
        <w:tc>
          <w:tcPr>
            <w:tcW w:w="814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E73F4" w:rsidRPr="007E73F4" w:rsidRDefault="007E73F4" w:rsidP="00447AE6">
            <w:pPr>
              <w:jc w:val="center"/>
              <w:rPr>
                <w:b/>
              </w:rPr>
            </w:pPr>
            <w:r w:rsidRPr="007E73F4">
              <w:rPr>
                <w:b/>
              </w:rPr>
              <w:t>Description</w:t>
            </w:r>
          </w:p>
        </w:tc>
        <w:tc>
          <w:tcPr>
            <w:tcW w:w="1750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E73F4" w:rsidRPr="007E73F4" w:rsidRDefault="007E73F4" w:rsidP="00FF7742">
            <w:pPr>
              <w:jc w:val="center"/>
              <w:rPr>
                <w:b/>
              </w:rPr>
            </w:pPr>
            <w:r w:rsidRPr="007E73F4">
              <w:rPr>
                <w:b/>
                <w:lang w:bidi="en-US"/>
              </w:rPr>
              <w:t>Significant/Substantial Proposed Rule Changes</w:t>
            </w:r>
          </w:p>
        </w:tc>
        <w:tc>
          <w:tcPr>
            <w:tcW w:w="175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E73F4" w:rsidRPr="007E73F4" w:rsidRDefault="007E73F4" w:rsidP="007E73F4">
            <w:pPr>
              <w:jc w:val="center"/>
              <w:rPr>
                <w:b/>
                <w:lang w:bidi="en-US"/>
              </w:rPr>
            </w:pPr>
            <w:r w:rsidRPr="007E73F4">
              <w:rPr>
                <w:b/>
                <w:lang w:bidi="en-US"/>
              </w:rPr>
              <w:t>Purpose</w:t>
            </w:r>
          </w:p>
        </w:tc>
      </w:tr>
      <w:tr w:rsidR="000E5271" w:rsidRPr="008869E7" w:rsidTr="00DA3FA9">
        <w:trPr>
          <w:jc w:val="center"/>
        </w:trPr>
        <w:tc>
          <w:tcPr>
            <w:tcW w:w="685" w:type="pct"/>
            <w:vMerge w:val="restart"/>
          </w:tcPr>
          <w:p w:rsidR="000E5271" w:rsidRPr="00355303" w:rsidRDefault="000E5271" w:rsidP="00447AE6">
            <w:pPr>
              <w:rPr>
                <w:b/>
                <w:sz w:val="24"/>
                <w:szCs w:val="24"/>
                <w:highlight w:val="yellow"/>
              </w:rPr>
            </w:pPr>
            <w:r w:rsidRPr="00254927">
              <w:rPr>
                <w:b/>
                <w:sz w:val="24"/>
                <w:szCs w:val="24"/>
              </w:rPr>
              <w:t xml:space="preserve">340-200-0020 </w:t>
            </w:r>
          </w:p>
        </w:tc>
        <w:tc>
          <w:tcPr>
            <w:tcW w:w="814" w:type="pct"/>
            <w:vMerge w:val="restart"/>
          </w:tcPr>
          <w:p w:rsidR="000E5271" w:rsidRPr="008869E7" w:rsidRDefault="000E5271" w:rsidP="00447AE6">
            <w:r w:rsidRPr="008869E7">
              <w:t>Definitions</w:t>
            </w:r>
          </w:p>
        </w:tc>
        <w:tc>
          <w:tcPr>
            <w:tcW w:w="1750" w:type="pct"/>
          </w:tcPr>
          <w:p w:rsidR="000E5271" w:rsidRPr="008869E7" w:rsidRDefault="000E5271" w:rsidP="00447AE6">
            <w:pPr>
              <w:spacing w:after="120"/>
            </w:pPr>
            <w:r w:rsidRPr="008869E7">
              <w:t>Definition of “categorically insignificant activity”</w:t>
            </w:r>
          </w:p>
          <w:p w:rsidR="000E5271" w:rsidRPr="008869E7" w:rsidRDefault="000E5271" w:rsidP="00447AE6">
            <w:pPr>
              <w:pStyle w:val="ListParagraph"/>
              <w:numPr>
                <w:ilvl w:val="0"/>
                <w:numId w:val="12"/>
              </w:numPr>
              <w:spacing w:after="120"/>
              <w:ind w:left="360"/>
            </w:pPr>
            <w:r>
              <w:t>F</w:t>
            </w:r>
            <w:r w:rsidRPr="008869E7">
              <w:t xml:space="preserve">uel and gas burning equipment </w:t>
            </w:r>
            <w:r>
              <w:t>should</w:t>
            </w:r>
            <w:r w:rsidRPr="008869E7">
              <w:t xml:space="preserve"> include the aggregate of all devices for determination of emissions.  </w:t>
            </w:r>
          </w:p>
          <w:p w:rsidR="000E5271" w:rsidRPr="008869E7" w:rsidRDefault="000E5271" w:rsidP="00447AE6">
            <w:pPr>
              <w:pStyle w:val="ListParagraph"/>
              <w:numPr>
                <w:ilvl w:val="0"/>
                <w:numId w:val="12"/>
              </w:numPr>
              <w:spacing w:after="120"/>
              <w:ind w:left="360"/>
            </w:pPr>
            <w:r w:rsidRPr="008869E7">
              <w:t>Emergency generator</w:t>
            </w:r>
            <w:r>
              <w:t>s</w:t>
            </w:r>
            <w:r w:rsidRPr="008869E7">
              <w:t xml:space="preserve"> and pump</w:t>
            </w:r>
            <w:r>
              <w:t>s</w:t>
            </w:r>
            <w:r w:rsidRPr="008869E7">
              <w:t xml:space="preserve"> </w:t>
            </w:r>
            <w:r>
              <w:t xml:space="preserve">should </w:t>
            </w:r>
            <w:r w:rsidRPr="008869E7">
              <w:t xml:space="preserve">include the aggregate of all devices for determination of the horsepower rating threshold(s).  </w:t>
            </w:r>
          </w:p>
          <w:p w:rsidR="000E5271" w:rsidRPr="008869E7" w:rsidRDefault="000E5271" w:rsidP="00CC772D">
            <w:pPr>
              <w:pStyle w:val="ListParagraph"/>
              <w:numPr>
                <w:ilvl w:val="0"/>
                <w:numId w:val="12"/>
              </w:numPr>
              <w:ind w:left="360"/>
            </w:pPr>
            <w:r w:rsidRPr="008869E7">
              <w:t xml:space="preserve">Oil/water separator </w:t>
            </w:r>
            <w:r>
              <w:t xml:space="preserve">equipment should </w:t>
            </w:r>
            <w:r w:rsidRPr="008869E7">
              <w:t xml:space="preserve">include the throughput for determination of emissions.  </w:t>
            </w:r>
          </w:p>
        </w:tc>
        <w:tc>
          <w:tcPr>
            <w:tcW w:w="1751" w:type="pct"/>
          </w:tcPr>
          <w:p w:rsidR="000E5271" w:rsidRDefault="000E5271" w:rsidP="00DA3FA9">
            <w:pPr>
              <w:spacing w:after="120"/>
            </w:pPr>
            <w:r>
              <w:rPr>
                <w:bCs/>
              </w:rPr>
              <w:t>Some equipment on the</w:t>
            </w:r>
            <w:r w:rsidRPr="00DA3FA9">
              <w:rPr>
                <w:bCs/>
              </w:rPr>
              <w:t xml:space="preserve"> categorically insignificant </w:t>
            </w:r>
            <w:r>
              <w:rPr>
                <w:bCs/>
              </w:rPr>
              <w:t>activity list have significant emissions</w:t>
            </w:r>
            <w:r w:rsidR="00696097">
              <w:rPr>
                <w:bCs/>
              </w:rPr>
              <w:t xml:space="preserve"> and s</w:t>
            </w:r>
            <w:r>
              <w:rPr>
                <w:bCs/>
              </w:rPr>
              <w:t>ome must comply with new EPA standards.</w:t>
            </w:r>
          </w:p>
          <w:p w:rsidR="000E5271" w:rsidRPr="00E35CED" w:rsidRDefault="000E5271" w:rsidP="00DA3FA9"/>
        </w:tc>
      </w:tr>
      <w:tr w:rsidR="000E5271" w:rsidRPr="008869E7" w:rsidTr="00DA3FA9">
        <w:trPr>
          <w:jc w:val="center"/>
        </w:trPr>
        <w:tc>
          <w:tcPr>
            <w:tcW w:w="685" w:type="pct"/>
            <w:vMerge/>
          </w:tcPr>
          <w:p w:rsidR="000E5271" w:rsidRPr="00355303" w:rsidRDefault="000E5271" w:rsidP="00447AE6">
            <w:pPr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14" w:type="pct"/>
            <w:vMerge/>
          </w:tcPr>
          <w:p w:rsidR="000E5271" w:rsidRPr="008869E7" w:rsidRDefault="000E5271" w:rsidP="00447AE6"/>
        </w:tc>
        <w:tc>
          <w:tcPr>
            <w:tcW w:w="1750" w:type="pct"/>
          </w:tcPr>
          <w:p w:rsidR="000E5271" w:rsidRPr="008869E7" w:rsidRDefault="000E5271" w:rsidP="00CB75BC">
            <w:pPr>
              <w:spacing w:after="120"/>
            </w:pPr>
            <w:r w:rsidRPr="00CB75BC">
              <w:t>Definition of “greenhouse gases”</w:t>
            </w:r>
          </w:p>
          <w:p w:rsidR="000E5271" w:rsidRPr="008869E7" w:rsidRDefault="000E5271" w:rsidP="00E93776">
            <w:r w:rsidRPr="008869E7">
              <w:t>Include carbon dioxide emission</w:t>
            </w:r>
            <w:r>
              <w:t>s</w:t>
            </w:r>
            <w:r w:rsidRPr="008869E7">
              <w:t xml:space="preserve"> from the combustion or decomposition of biomass</w:t>
            </w:r>
          </w:p>
        </w:tc>
        <w:tc>
          <w:tcPr>
            <w:tcW w:w="1751" w:type="pct"/>
          </w:tcPr>
          <w:p w:rsidR="000E5271" w:rsidRPr="00E35CED" w:rsidRDefault="000E5271" w:rsidP="00E93776">
            <w:r w:rsidRPr="00DA3FA9">
              <w:t>EPA’s biomass deferral of CO</w:t>
            </w:r>
            <w:r w:rsidRPr="00743E9E">
              <w:rPr>
                <w:vertAlign w:val="subscript"/>
              </w:rPr>
              <w:t>2</w:t>
            </w:r>
            <w:r w:rsidRPr="00DA3FA9">
              <w:t xml:space="preserve"> emissions from bioenergy and other biogenic sources ended on July 20, 2014. </w:t>
            </w:r>
            <w:r>
              <w:t>DEQ</w:t>
            </w:r>
            <w:r w:rsidR="00E93776">
              <w:t>’s permitting program</w:t>
            </w:r>
            <w:r>
              <w:t xml:space="preserve"> must </w:t>
            </w:r>
            <w:r w:rsidR="00E93776">
              <w:t>be as stringent as EPA’s.</w:t>
            </w:r>
          </w:p>
        </w:tc>
      </w:tr>
      <w:tr w:rsidR="000E5271" w:rsidRPr="008869E7" w:rsidTr="00DA3FA9">
        <w:trPr>
          <w:jc w:val="center"/>
        </w:trPr>
        <w:tc>
          <w:tcPr>
            <w:tcW w:w="685" w:type="pct"/>
            <w:vMerge/>
          </w:tcPr>
          <w:p w:rsidR="000E5271" w:rsidRPr="00355303" w:rsidRDefault="000E5271" w:rsidP="00447AE6">
            <w:pPr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14" w:type="pct"/>
            <w:vMerge/>
          </w:tcPr>
          <w:p w:rsidR="000E5271" w:rsidRPr="008869E7" w:rsidRDefault="000E5271" w:rsidP="00447AE6"/>
        </w:tc>
        <w:tc>
          <w:tcPr>
            <w:tcW w:w="1750" w:type="pct"/>
          </w:tcPr>
          <w:p w:rsidR="000E5271" w:rsidRDefault="006B14FB" w:rsidP="006B14FB">
            <w:pPr>
              <w:spacing w:after="120"/>
            </w:pPr>
            <w:r>
              <w:t>Definition of “federal major s</w:t>
            </w:r>
            <w:r w:rsidR="000E5271">
              <w:t>ource</w:t>
            </w:r>
            <w:r>
              <w:t>”</w:t>
            </w:r>
            <w:r w:rsidR="000E5271">
              <w:t xml:space="preserve"> and </w:t>
            </w:r>
            <w:r>
              <w:t>“major s</w:t>
            </w:r>
            <w:r w:rsidR="000E5271">
              <w:t>ource</w:t>
            </w:r>
            <w:r>
              <w:t>”</w:t>
            </w:r>
          </w:p>
          <w:p w:rsidR="00E93776" w:rsidRPr="00CB75BC" w:rsidRDefault="00E93776" w:rsidP="006B14FB">
            <w:pPr>
              <w:spacing w:after="120"/>
            </w:pPr>
            <w:r>
              <w:t>Revise/eliminate greenhouse gas thresholds</w:t>
            </w:r>
          </w:p>
        </w:tc>
        <w:tc>
          <w:tcPr>
            <w:tcW w:w="1751" w:type="pct"/>
          </w:tcPr>
          <w:p w:rsidR="000E5271" w:rsidRPr="00DA3FA9" w:rsidRDefault="006B14FB" w:rsidP="00D01C76">
            <w:r>
              <w:t>DEQ proposes rules to align with the Supreme Court decision not to require Prevention of Significant Deterioration or Title V permitting for greenhouse gas emissions alone.</w:t>
            </w:r>
          </w:p>
        </w:tc>
      </w:tr>
      <w:tr w:rsidR="00CB75BC" w:rsidRPr="00696CB7" w:rsidTr="00DA3FA9">
        <w:trPr>
          <w:jc w:val="center"/>
        </w:trPr>
        <w:tc>
          <w:tcPr>
            <w:tcW w:w="685" w:type="pct"/>
          </w:tcPr>
          <w:p w:rsidR="00CB75BC" w:rsidRPr="00254927" w:rsidRDefault="00CB75BC" w:rsidP="00447AE6">
            <w:pPr>
              <w:rPr>
                <w:b/>
                <w:sz w:val="24"/>
                <w:szCs w:val="24"/>
              </w:rPr>
            </w:pPr>
            <w:r w:rsidRPr="00254927">
              <w:rPr>
                <w:b/>
                <w:sz w:val="24"/>
                <w:szCs w:val="24"/>
              </w:rPr>
              <w:t xml:space="preserve">340-204-0300 </w:t>
            </w:r>
          </w:p>
          <w:p w:rsidR="00CB75BC" w:rsidRPr="00254927" w:rsidRDefault="00CB75BC" w:rsidP="00447AE6">
            <w:pPr>
              <w:rPr>
                <w:b/>
                <w:sz w:val="24"/>
                <w:szCs w:val="24"/>
              </w:rPr>
            </w:pPr>
          </w:p>
          <w:p w:rsidR="00CC772D" w:rsidRDefault="00CC772D" w:rsidP="00447AE6">
            <w:pPr>
              <w:rPr>
                <w:b/>
                <w:sz w:val="24"/>
                <w:szCs w:val="24"/>
              </w:rPr>
            </w:pPr>
          </w:p>
          <w:p w:rsidR="00CB75BC" w:rsidRPr="00254927" w:rsidRDefault="00CB75BC" w:rsidP="00447AE6">
            <w:pPr>
              <w:rPr>
                <w:b/>
                <w:sz w:val="24"/>
                <w:szCs w:val="24"/>
              </w:rPr>
            </w:pPr>
            <w:r w:rsidRPr="00254927">
              <w:rPr>
                <w:b/>
                <w:sz w:val="24"/>
                <w:szCs w:val="24"/>
              </w:rPr>
              <w:t>340-204-0310</w:t>
            </w:r>
          </w:p>
          <w:p w:rsidR="004C0036" w:rsidRPr="00254927" w:rsidRDefault="004C0036" w:rsidP="00447AE6">
            <w:pPr>
              <w:rPr>
                <w:b/>
                <w:sz w:val="24"/>
                <w:szCs w:val="24"/>
              </w:rPr>
            </w:pPr>
          </w:p>
          <w:p w:rsidR="00CB75BC" w:rsidRPr="00355303" w:rsidRDefault="00CB75BC" w:rsidP="00447AE6">
            <w:pPr>
              <w:rPr>
                <w:b/>
                <w:sz w:val="24"/>
                <w:szCs w:val="24"/>
                <w:highlight w:val="yellow"/>
              </w:rPr>
            </w:pPr>
            <w:r w:rsidRPr="00254927">
              <w:rPr>
                <w:b/>
                <w:sz w:val="24"/>
                <w:szCs w:val="24"/>
              </w:rPr>
              <w:t>340-204-0320</w:t>
            </w:r>
          </w:p>
        </w:tc>
        <w:tc>
          <w:tcPr>
            <w:tcW w:w="814" w:type="pct"/>
          </w:tcPr>
          <w:p w:rsidR="00CB75BC" w:rsidRPr="00696CB7" w:rsidRDefault="00CB75BC" w:rsidP="00447AE6">
            <w:r w:rsidRPr="00696CB7">
              <w:t>Designation of Sustainment Areas</w:t>
            </w:r>
          </w:p>
          <w:p w:rsidR="00CB75BC" w:rsidRPr="00696CB7" w:rsidRDefault="00CB75BC" w:rsidP="00447AE6"/>
          <w:p w:rsidR="00CB75BC" w:rsidRPr="00696CB7" w:rsidRDefault="00CB75BC" w:rsidP="00447AE6">
            <w:r w:rsidRPr="00696CB7">
              <w:t>Designation of Reattainment Areas</w:t>
            </w:r>
          </w:p>
          <w:p w:rsidR="00CB75BC" w:rsidRPr="00696CB7" w:rsidRDefault="00CB75BC" w:rsidP="00447AE6"/>
          <w:p w:rsidR="00CB75BC" w:rsidRPr="00696CB7" w:rsidRDefault="00CB75BC" w:rsidP="00447AE6">
            <w:r w:rsidRPr="00696CB7">
              <w:t>Priority Sources</w:t>
            </w:r>
          </w:p>
        </w:tc>
        <w:tc>
          <w:tcPr>
            <w:tcW w:w="1750" w:type="pct"/>
          </w:tcPr>
          <w:p w:rsidR="00CB75BC" w:rsidRDefault="00CB75BC" w:rsidP="008C774D">
            <w:pPr>
              <w:spacing w:after="120"/>
            </w:pPr>
            <w:r w:rsidRPr="00696CB7">
              <w:t>DEQ proposes establishing two new designations for the air quality in a localized area</w:t>
            </w:r>
            <w:r>
              <w:t xml:space="preserve"> - </w:t>
            </w:r>
            <w:r w:rsidRPr="00696CB7">
              <w:t>“</w:t>
            </w:r>
            <w:r w:rsidRPr="00696CB7">
              <w:rPr>
                <w:i/>
              </w:rPr>
              <w:t>Sustainment</w:t>
            </w:r>
            <w:r w:rsidRPr="00696CB7">
              <w:t>” and “</w:t>
            </w:r>
            <w:r w:rsidRPr="00696CB7">
              <w:rPr>
                <w:i/>
              </w:rPr>
              <w:t>Reattainment</w:t>
            </w:r>
            <w:r w:rsidRPr="00696CB7">
              <w:t>” areas.</w:t>
            </w:r>
          </w:p>
          <w:p w:rsidR="00840D4A" w:rsidRDefault="00840D4A" w:rsidP="008C774D">
            <w:pPr>
              <w:spacing w:after="120"/>
            </w:pPr>
          </w:p>
          <w:p w:rsidR="00D35A94" w:rsidRPr="00696CB7" w:rsidRDefault="00840D4A" w:rsidP="008C774D">
            <w:pPr>
              <w:spacing w:after="120"/>
            </w:pPr>
            <w:r>
              <w:t>DEQ</w:t>
            </w:r>
            <w:r w:rsidR="00D35A94">
              <w:t xml:space="preserve"> proposes that Lakeview be designated as a sustainment area.</w:t>
            </w:r>
          </w:p>
        </w:tc>
        <w:tc>
          <w:tcPr>
            <w:tcW w:w="1751" w:type="pct"/>
          </w:tcPr>
          <w:p w:rsidR="008C774D" w:rsidRDefault="00887CAC" w:rsidP="004A315D">
            <w:pPr>
              <w:spacing w:after="120"/>
            </w:pPr>
            <w:r>
              <w:t>Defining</w:t>
            </w:r>
            <w:r w:rsidR="004A315D" w:rsidRPr="004A315D">
              <w:t xml:space="preserve"> two new areas</w:t>
            </w:r>
            <w:r w:rsidR="008C774D">
              <w:t xml:space="preserve"> a</w:t>
            </w:r>
            <w:r>
              <w:t>re</w:t>
            </w:r>
            <w:r w:rsidR="008C774D">
              <w:t xml:space="preserve"> part of the larger changes to the New Source Review pre-construction permitting program</w:t>
            </w:r>
            <w:r w:rsidR="004A315D" w:rsidRPr="004A315D">
              <w:t xml:space="preserve">. These new areas will provide options for sources when constructing or modifying in these areas. </w:t>
            </w:r>
          </w:p>
          <w:p w:rsidR="004A315D" w:rsidRPr="00696CB7" w:rsidRDefault="004A315D" w:rsidP="00887CAC">
            <w:r w:rsidRPr="004A315D">
              <w:t>Lakeview currently exceeds the ambient air quality standard for PM</w:t>
            </w:r>
            <w:r w:rsidRPr="00743E9E">
              <w:rPr>
                <w:vertAlign w:val="subscript"/>
              </w:rPr>
              <w:t>2.5</w:t>
            </w:r>
            <w:r w:rsidRPr="004A315D">
              <w:t xml:space="preserve"> but is not designated as a nonattainment area. </w:t>
            </w:r>
            <w:r w:rsidR="00D35A94">
              <w:t xml:space="preserve">The sustainment designation for </w:t>
            </w:r>
            <w:r w:rsidRPr="004A315D">
              <w:t xml:space="preserve">Lakeview </w:t>
            </w:r>
            <w:r w:rsidR="00D35A94">
              <w:t>should</w:t>
            </w:r>
            <w:r w:rsidR="008C774D">
              <w:t xml:space="preserve"> </w:t>
            </w:r>
            <w:r w:rsidRPr="004A315D">
              <w:t xml:space="preserve">help reduce emissions and allow </w:t>
            </w:r>
            <w:r w:rsidR="008C774D">
              <w:t xml:space="preserve">facilities </w:t>
            </w:r>
            <w:r w:rsidRPr="004A315D">
              <w:t>to construct or modify if air quality is protected.</w:t>
            </w:r>
          </w:p>
        </w:tc>
      </w:tr>
      <w:tr w:rsidR="00463821" w:rsidRPr="00054060" w:rsidTr="00DA3FA9">
        <w:trPr>
          <w:jc w:val="center"/>
        </w:trPr>
        <w:tc>
          <w:tcPr>
            <w:tcW w:w="685" w:type="pct"/>
            <w:vMerge w:val="restart"/>
          </w:tcPr>
          <w:p w:rsidR="00463821" w:rsidRPr="00355303" w:rsidRDefault="00463821" w:rsidP="00447AE6">
            <w:pPr>
              <w:rPr>
                <w:b/>
                <w:sz w:val="24"/>
                <w:szCs w:val="24"/>
                <w:highlight w:val="yellow"/>
              </w:rPr>
            </w:pPr>
            <w:r w:rsidRPr="00254927">
              <w:rPr>
                <w:b/>
                <w:sz w:val="24"/>
                <w:szCs w:val="24"/>
              </w:rPr>
              <w:t>340-208-0110</w:t>
            </w:r>
          </w:p>
        </w:tc>
        <w:tc>
          <w:tcPr>
            <w:tcW w:w="814" w:type="pct"/>
            <w:vMerge w:val="restart"/>
          </w:tcPr>
          <w:p w:rsidR="00463821" w:rsidRPr="00054060" w:rsidRDefault="00463821" w:rsidP="00447AE6">
            <w:r w:rsidRPr="00054060">
              <w:t xml:space="preserve">Visible </w:t>
            </w:r>
            <w:r>
              <w:t>A</w:t>
            </w:r>
            <w:r w:rsidRPr="00054060">
              <w:t xml:space="preserve">ir </w:t>
            </w:r>
            <w:r>
              <w:t>Contaminant L</w:t>
            </w:r>
            <w:r w:rsidRPr="00054060">
              <w:t>imitations</w:t>
            </w:r>
          </w:p>
        </w:tc>
        <w:tc>
          <w:tcPr>
            <w:tcW w:w="1750" w:type="pct"/>
          </w:tcPr>
          <w:p w:rsidR="00463821" w:rsidRPr="006B551B" w:rsidRDefault="00463821" w:rsidP="00D0326B">
            <w:pPr>
              <w:spacing w:after="120"/>
              <w:rPr>
                <w:bCs/>
              </w:rPr>
            </w:pPr>
            <w:r>
              <w:t>DEQ is proposing lower opacity limits</w:t>
            </w:r>
            <w:r w:rsidRPr="00054060">
              <w:t xml:space="preserve"> for </w:t>
            </w:r>
            <w:r>
              <w:t xml:space="preserve">non-wood-fired and </w:t>
            </w:r>
            <w:r w:rsidRPr="00054060">
              <w:t xml:space="preserve">wood-fired </w:t>
            </w:r>
            <w:r>
              <w:t>boilers</w:t>
            </w:r>
            <w:r w:rsidRPr="00054060">
              <w:t xml:space="preserve"> </w:t>
            </w:r>
            <w:r w:rsidRPr="008329AF">
              <w:rPr>
                <w:bCs/>
              </w:rPr>
              <w:t>that e</w:t>
            </w:r>
            <w:r>
              <w:rPr>
                <w:bCs/>
              </w:rPr>
              <w:t>xisted prior to June 1, 1970.</w:t>
            </w:r>
          </w:p>
        </w:tc>
        <w:tc>
          <w:tcPr>
            <w:tcW w:w="1751" w:type="pct"/>
          </w:tcPr>
          <w:p w:rsidR="00463821" w:rsidRPr="008869E7" w:rsidRDefault="00463821" w:rsidP="002262BD">
            <w:r>
              <w:t>Emissions from older facilities subject to the particulate matter standards do not adequately protect air quality and can create barriers to economi</w:t>
            </w:r>
            <w:r w:rsidR="006B551B">
              <w:t>c development.</w:t>
            </w:r>
          </w:p>
        </w:tc>
      </w:tr>
      <w:tr w:rsidR="00463821" w:rsidRPr="00054060" w:rsidTr="00DA3FA9">
        <w:trPr>
          <w:jc w:val="center"/>
        </w:trPr>
        <w:tc>
          <w:tcPr>
            <w:tcW w:w="685" w:type="pct"/>
            <w:vMerge/>
          </w:tcPr>
          <w:p w:rsidR="00463821" w:rsidRPr="00254927" w:rsidRDefault="00463821" w:rsidP="00447AE6">
            <w:pPr>
              <w:rPr>
                <w:b/>
                <w:sz w:val="24"/>
                <w:szCs w:val="24"/>
              </w:rPr>
            </w:pPr>
          </w:p>
        </w:tc>
        <w:tc>
          <w:tcPr>
            <w:tcW w:w="814" w:type="pct"/>
            <w:vMerge/>
          </w:tcPr>
          <w:p w:rsidR="00463821" w:rsidRPr="00054060" w:rsidRDefault="00463821" w:rsidP="00447AE6"/>
        </w:tc>
        <w:tc>
          <w:tcPr>
            <w:tcW w:w="1750" w:type="pct"/>
          </w:tcPr>
          <w:p w:rsidR="00463821" w:rsidRDefault="00463821" w:rsidP="00887CAC">
            <w:r>
              <w:rPr>
                <w:bCs/>
              </w:rPr>
              <w:t xml:space="preserve">DEQ is proposing </w:t>
            </w:r>
            <w:r>
              <w:t xml:space="preserve">to change the averaging time of the standard from an aggregation of three minutes in any one hour to a 6-minute block average.  </w:t>
            </w:r>
          </w:p>
        </w:tc>
        <w:tc>
          <w:tcPr>
            <w:tcW w:w="1751" w:type="pct"/>
          </w:tcPr>
          <w:p w:rsidR="00463821" w:rsidRDefault="00463821" w:rsidP="00463821">
            <w:pPr>
              <w:spacing w:after="120"/>
            </w:pPr>
            <w:r w:rsidRPr="00E21153">
              <w:t>A reference compliance method has not been developed for the 3 minute standard.</w:t>
            </w:r>
          </w:p>
        </w:tc>
      </w:tr>
      <w:tr w:rsidR="00CB75BC" w:rsidRPr="00054060" w:rsidTr="00DA3FA9">
        <w:trPr>
          <w:jc w:val="center"/>
        </w:trPr>
        <w:tc>
          <w:tcPr>
            <w:tcW w:w="685" w:type="pct"/>
          </w:tcPr>
          <w:p w:rsidR="00CB75BC" w:rsidRPr="00355303" w:rsidRDefault="00CB75BC" w:rsidP="00447AE6">
            <w:pPr>
              <w:rPr>
                <w:b/>
                <w:sz w:val="24"/>
                <w:szCs w:val="24"/>
                <w:highlight w:val="yellow"/>
              </w:rPr>
            </w:pPr>
            <w:r w:rsidRPr="00254927">
              <w:rPr>
                <w:b/>
                <w:sz w:val="24"/>
                <w:szCs w:val="24"/>
              </w:rPr>
              <w:t>340-208-0210</w:t>
            </w:r>
          </w:p>
        </w:tc>
        <w:tc>
          <w:tcPr>
            <w:tcW w:w="814" w:type="pct"/>
          </w:tcPr>
          <w:p w:rsidR="00CB75BC" w:rsidRPr="00054060" w:rsidRDefault="00CB75BC" w:rsidP="00447AE6">
            <w:r>
              <w:t>Requirements</w:t>
            </w:r>
            <w:r w:rsidRPr="00054060">
              <w:t xml:space="preserve"> for </w:t>
            </w:r>
            <w:r>
              <w:t>F</w:t>
            </w:r>
            <w:r w:rsidRPr="00054060">
              <w:t xml:space="preserve">ugitive </w:t>
            </w:r>
            <w:r>
              <w:t>E</w:t>
            </w:r>
            <w:r w:rsidRPr="00054060">
              <w:t>missions</w:t>
            </w:r>
          </w:p>
        </w:tc>
        <w:tc>
          <w:tcPr>
            <w:tcW w:w="1750" w:type="pct"/>
          </w:tcPr>
          <w:p w:rsidR="00CB75BC" w:rsidRPr="00054060" w:rsidRDefault="00CB75BC" w:rsidP="007D728A">
            <w:pPr>
              <w:spacing w:after="120"/>
            </w:pPr>
            <w:r w:rsidRPr="00054060">
              <w:t xml:space="preserve">The proposed rule </w:t>
            </w:r>
            <w:r>
              <w:t xml:space="preserve">defines fugitive emissions and </w:t>
            </w:r>
            <w:r w:rsidRPr="00054060">
              <w:t>includ</w:t>
            </w:r>
            <w:r>
              <w:t>es additional requirements for v</w:t>
            </w:r>
            <w:r w:rsidRPr="00054060">
              <w:t xml:space="preserve">isible </w:t>
            </w:r>
            <w:r>
              <w:t>e</w:t>
            </w:r>
            <w:r w:rsidRPr="00054060">
              <w:t xml:space="preserve">mission monitoring.  </w:t>
            </w:r>
          </w:p>
        </w:tc>
        <w:tc>
          <w:tcPr>
            <w:tcW w:w="1751" w:type="pct"/>
          </w:tcPr>
          <w:p w:rsidR="00CB75BC" w:rsidRPr="00054060" w:rsidRDefault="00A62B9D" w:rsidP="002262BD">
            <w:r w:rsidRPr="00A62B9D">
              <w:t>It is very difficult to read opacity from fugitive emission sou</w:t>
            </w:r>
            <w:r w:rsidR="00735C21">
              <w:t>rces. Instead DEQ will require facilities</w:t>
            </w:r>
            <w:r w:rsidRPr="00A62B9D">
              <w:t xml:space="preserve"> to abate fugitive escaping from a source. </w:t>
            </w:r>
          </w:p>
        </w:tc>
      </w:tr>
      <w:tr w:rsidR="00CB75BC" w:rsidRPr="00054060" w:rsidTr="00DA3FA9">
        <w:trPr>
          <w:jc w:val="center"/>
        </w:trPr>
        <w:tc>
          <w:tcPr>
            <w:tcW w:w="685" w:type="pct"/>
          </w:tcPr>
          <w:p w:rsidR="00CB75BC" w:rsidRPr="00355303" w:rsidRDefault="00CB75BC" w:rsidP="00447AE6">
            <w:pPr>
              <w:rPr>
                <w:b/>
                <w:sz w:val="24"/>
                <w:szCs w:val="24"/>
                <w:highlight w:val="yellow"/>
              </w:rPr>
            </w:pPr>
            <w:r w:rsidRPr="00254927">
              <w:rPr>
                <w:b/>
                <w:sz w:val="24"/>
                <w:szCs w:val="24"/>
              </w:rPr>
              <w:t>340-208-0450</w:t>
            </w:r>
          </w:p>
        </w:tc>
        <w:tc>
          <w:tcPr>
            <w:tcW w:w="814" w:type="pct"/>
          </w:tcPr>
          <w:p w:rsidR="00CB75BC" w:rsidRPr="003567F6" w:rsidRDefault="00CB75BC" w:rsidP="00447AE6">
            <w:r w:rsidRPr="003567F6">
              <w:rPr>
                <w:bCs/>
              </w:rPr>
              <w:t>Particle Fallout Limitation</w:t>
            </w:r>
          </w:p>
          <w:p w:rsidR="00CB75BC" w:rsidRPr="003567F6" w:rsidRDefault="00CB75BC" w:rsidP="00447AE6"/>
        </w:tc>
        <w:tc>
          <w:tcPr>
            <w:tcW w:w="1750" w:type="pct"/>
          </w:tcPr>
          <w:p w:rsidR="00CB75BC" w:rsidRPr="00054060" w:rsidRDefault="00905CE6" w:rsidP="00905CE6">
            <w:pPr>
              <w:spacing w:after="120"/>
            </w:pPr>
            <w:r>
              <w:t>Delete t</w:t>
            </w:r>
            <w:r w:rsidR="00CB75BC" w:rsidRPr="009837AE">
              <w:t xml:space="preserve">he phrase “when notified by the department that the deposition exists and must be controlled” </w:t>
            </w:r>
            <w:r>
              <w:t xml:space="preserve">that </w:t>
            </w:r>
            <w:r w:rsidR="00CB75BC" w:rsidRPr="009837AE">
              <w:t xml:space="preserve">was added in </w:t>
            </w:r>
            <w:r w:rsidR="00CB75BC" w:rsidRPr="009837AE">
              <w:lastRenderedPageBreak/>
              <w:t xml:space="preserve">2001. </w:t>
            </w:r>
          </w:p>
        </w:tc>
        <w:tc>
          <w:tcPr>
            <w:tcW w:w="1751" w:type="pct"/>
          </w:tcPr>
          <w:p w:rsidR="00CB75BC" w:rsidRPr="009837AE" w:rsidRDefault="00905CE6" w:rsidP="002262BD">
            <w:r w:rsidRPr="009837AE">
              <w:lastRenderedPageBreak/>
              <w:t xml:space="preserve">This phrase results in an unusual rule that is interpreted as </w:t>
            </w:r>
            <w:r w:rsidR="00743E9E">
              <w:t>f</w:t>
            </w:r>
            <w:r w:rsidRPr="009837AE">
              <w:t xml:space="preserve">ollows: a source can only be in violation of this rule after </w:t>
            </w:r>
            <w:r w:rsidRPr="009837AE">
              <w:lastRenderedPageBreak/>
              <w:t>DEQ staff inform the source that the deposition exists and must be controlled. Normally, a rule itself serves as the notification that a certain acti</w:t>
            </w:r>
            <w:r w:rsidR="00743E9E">
              <w:t>vity or emission is not allowed</w:t>
            </w:r>
            <w:r w:rsidRPr="009837AE">
              <w:t xml:space="preserve"> and a second notification </w:t>
            </w:r>
            <w:r w:rsidR="002262BD">
              <w:t xml:space="preserve">is not required </w:t>
            </w:r>
            <w:r w:rsidRPr="009837AE">
              <w:t>before cit</w:t>
            </w:r>
            <w:r w:rsidR="002262BD">
              <w:t>ing</w:t>
            </w:r>
            <w:r w:rsidRPr="009837AE">
              <w:t xml:space="preserve"> a violation. </w:t>
            </w:r>
          </w:p>
        </w:tc>
      </w:tr>
      <w:tr w:rsidR="008A77D4" w:rsidRPr="00054060" w:rsidTr="00DA3FA9">
        <w:trPr>
          <w:jc w:val="center"/>
        </w:trPr>
        <w:tc>
          <w:tcPr>
            <w:tcW w:w="685" w:type="pct"/>
          </w:tcPr>
          <w:p w:rsidR="008A77D4" w:rsidRPr="00355303" w:rsidRDefault="008A77D4" w:rsidP="00447AE6">
            <w:pPr>
              <w:rPr>
                <w:b/>
                <w:sz w:val="24"/>
                <w:szCs w:val="24"/>
                <w:highlight w:val="yellow"/>
              </w:rPr>
            </w:pPr>
            <w:r w:rsidRPr="00355303">
              <w:rPr>
                <w:b/>
                <w:sz w:val="24"/>
                <w:szCs w:val="24"/>
              </w:rPr>
              <w:lastRenderedPageBreak/>
              <w:t>340-214-0114(5)</w:t>
            </w:r>
          </w:p>
        </w:tc>
        <w:tc>
          <w:tcPr>
            <w:tcW w:w="814" w:type="pct"/>
          </w:tcPr>
          <w:p w:rsidR="008A77D4" w:rsidRPr="00054060" w:rsidRDefault="008A77D4" w:rsidP="00447AE6">
            <w:r w:rsidRPr="00054060">
              <w:t xml:space="preserve">Records; </w:t>
            </w:r>
            <w:r>
              <w:t>M</w:t>
            </w:r>
            <w:r w:rsidRPr="00054060">
              <w:t xml:space="preserve">aintaining and </w:t>
            </w:r>
            <w:r>
              <w:t>R</w:t>
            </w:r>
            <w:r w:rsidRPr="00054060">
              <w:t>eporting</w:t>
            </w:r>
          </w:p>
        </w:tc>
        <w:tc>
          <w:tcPr>
            <w:tcW w:w="1750" w:type="pct"/>
          </w:tcPr>
          <w:p w:rsidR="008A77D4" w:rsidRPr="00054060" w:rsidRDefault="008A77D4" w:rsidP="00887CAC">
            <w:r w:rsidRPr="00054060">
              <w:t xml:space="preserve">The proposed </w:t>
            </w:r>
            <w:r>
              <w:t>rule</w:t>
            </w:r>
            <w:r w:rsidRPr="00054060">
              <w:t xml:space="preserve"> adds a requirement to existing recordkeeping rules specifying that records mu</w:t>
            </w:r>
            <w:r>
              <w:t xml:space="preserve">st be kept for at least five </w:t>
            </w:r>
            <w:r w:rsidRPr="00054060">
              <w:t xml:space="preserve">years.  </w:t>
            </w:r>
          </w:p>
        </w:tc>
        <w:tc>
          <w:tcPr>
            <w:tcW w:w="1751" w:type="pct"/>
          </w:tcPr>
          <w:p w:rsidR="008A77D4" w:rsidRPr="007E23E1" w:rsidRDefault="00E608FA" w:rsidP="00887CAC">
            <w:r>
              <w:t xml:space="preserve">Some permits require a two year recordkeeping period. </w:t>
            </w:r>
            <w:r w:rsidR="008A77D4" w:rsidRPr="008A77D4">
              <w:t xml:space="preserve">DEQ will change recordkeeping requirements for all </w:t>
            </w:r>
            <w:r>
              <w:t>facilitie</w:t>
            </w:r>
            <w:r w:rsidR="008A77D4" w:rsidRPr="008A77D4">
              <w:t>s to 5 years for consistency and to avoid confusion.</w:t>
            </w:r>
          </w:p>
        </w:tc>
      </w:tr>
      <w:tr w:rsidR="001C0BB0" w:rsidRPr="00054060" w:rsidTr="00447AE6">
        <w:trPr>
          <w:jc w:val="center"/>
        </w:trPr>
        <w:tc>
          <w:tcPr>
            <w:tcW w:w="685" w:type="pct"/>
          </w:tcPr>
          <w:p w:rsidR="001C0BB0" w:rsidRPr="00355303" w:rsidRDefault="001C0BB0" w:rsidP="00447AE6">
            <w:pPr>
              <w:rPr>
                <w:b/>
                <w:sz w:val="24"/>
                <w:szCs w:val="24"/>
                <w:highlight w:val="yellow"/>
              </w:rPr>
            </w:pPr>
            <w:bookmarkStart w:id="0" w:name="_GoBack"/>
            <w:bookmarkEnd w:id="0"/>
            <w:r w:rsidRPr="00F448A1">
              <w:rPr>
                <w:b/>
                <w:sz w:val="24"/>
                <w:szCs w:val="24"/>
              </w:rPr>
              <w:t>340-216-</w:t>
            </w:r>
            <w:r>
              <w:rPr>
                <w:b/>
                <w:sz w:val="24"/>
                <w:szCs w:val="24"/>
              </w:rPr>
              <w:t>0040</w:t>
            </w:r>
          </w:p>
        </w:tc>
        <w:tc>
          <w:tcPr>
            <w:tcW w:w="814" w:type="pct"/>
          </w:tcPr>
          <w:p w:rsidR="001C0BB0" w:rsidRPr="004C68CB" w:rsidRDefault="001C0BB0" w:rsidP="00447AE6">
            <w:r w:rsidRPr="001C0BB0">
              <w:rPr>
                <w:bCs/>
              </w:rPr>
              <w:t>Application Requirements</w:t>
            </w:r>
          </w:p>
        </w:tc>
        <w:tc>
          <w:tcPr>
            <w:tcW w:w="1750" w:type="pct"/>
          </w:tcPr>
          <w:p w:rsidR="001C0BB0" w:rsidRPr="00054060" w:rsidRDefault="001C0BB0" w:rsidP="00447AE6">
            <w:pPr>
              <w:spacing w:after="120"/>
            </w:pPr>
            <w:r>
              <w:t>The proposed rules specify dates when permit applications for new and renewed permits are due.</w:t>
            </w:r>
          </w:p>
        </w:tc>
        <w:tc>
          <w:tcPr>
            <w:tcW w:w="1751" w:type="pct"/>
          </w:tcPr>
          <w:p w:rsidR="001C0BB0" w:rsidRPr="007E23E1" w:rsidRDefault="001C0BB0" w:rsidP="00887CAC">
            <w:r>
              <w:t xml:space="preserve">In order to improve permit issuance timeliness, DEQ is requiring businesses to submit </w:t>
            </w:r>
            <w:r w:rsidR="009B4D6E">
              <w:t xml:space="preserve">renewal applications </w:t>
            </w:r>
            <w:r>
              <w:t xml:space="preserve">before the expiration date, giving DEQ enough time to issue the renewal.  </w:t>
            </w:r>
          </w:p>
        </w:tc>
      </w:tr>
      <w:tr w:rsidR="00355303" w:rsidRPr="00054060" w:rsidTr="00DA3FA9">
        <w:trPr>
          <w:jc w:val="center"/>
        </w:trPr>
        <w:tc>
          <w:tcPr>
            <w:tcW w:w="685" w:type="pct"/>
          </w:tcPr>
          <w:p w:rsidR="00355303" w:rsidRPr="00355303" w:rsidRDefault="00355303" w:rsidP="00447AE6">
            <w:pPr>
              <w:rPr>
                <w:b/>
                <w:sz w:val="24"/>
                <w:szCs w:val="24"/>
                <w:highlight w:val="yellow"/>
              </w:rPr>
            </w:pPr>
            <w:r w:rsidRPr="00F448A1">
              <w:rPr>
                <w:b/>
                <w:sz w:val="24"/>
                <w:szCs w:val="24"/>
              </w:rPr>
              <w:t>340-216-8010</w:t>
            </w:r>
          </w:p>
        </w:tc>
        <w:tc>
          <w:tcPr>
            <w:tcW w:w="814" w:type="pct"/>
          </w:tcPr>
          <w:p w:rsidR="00355303" w:rsidRDefault="00355303" w:rsidP="00447AE6">
            <w:pPr>
              <w:rPr>
                <w:bCs/>
              </w:rPr>
            </w:pPr>
            <w:r>
              <w:rPr>
                <w:bCs/>
              </w:rPr>
              <w:t>Table 1</w:t>
            </w:r>
          </w:p>
          <w:p w:rsidR="00355303" w:rsidRPr="004C68CB" w:rsidRDefault="00355303" w:rsidP="00447AE6">
            <w:r>
              <w:rPr>
                <w:bCs/>
              </w:rPr>
              <w:t>Activities and Sources</w:t>
            </w:r>
          </w:p>
        </w:tc>
        <w:tc>
          <w:tcPr>
            <w:tcW w:w="1750" w:type="pct"/>
          </w:tcPr>
          <w:p w:rsidR="00355303" w:rsidRPr="007E23E1" w:rsidRDefault="00355303" w:rsidP="00887CAC">
            <w:r w:rsidRPr="007E23E1">
              <w:t xml:space="preserve">The proposed Table 1 specifies </w:t>
            </w:r>
            <w:r>
              <w:t xml:space="preserve">permitting requirements for stationary internal combustion engines, recreational vehicle manufacturing, and portable sources and separates pathological waste incinerators from crematories.  </w:t>
            </w:r>
          </w:p>
        </w:tc>
        <w:tc>
          <w:tcPr>
            <w:tcW w:w="1751" w:type="pct"/>
          </w:tcPr>
          <w:p w:rsidR="00355303" w:rsidRPr="007E23E1" w:rsidRDefault="00F448A1" w:rsidP="00447AE6">
            <w:pPr>
              <w:spacing w:after="120"/>
            </w:pPr>
            <w:r>
              <w:t>DEQ has clarified some categories that require air permits</w:t>
            </w:r>
            <w:r w:rsidR="001C0BB0">
              <w:t xml:space="preserve"> and moved definitions out of the tables to the rules</w:t>
            </w:r>
            <w:r>
              <w:t>.</w:t>
            </w:r>
          </w:p>
        </w:tc>
      </w:tr>
      <w:tr w:rsidR="00355303" w:rsidRPr="00054060" w:rsidTr="00DA3FA9">
        <w:trPr>
          <w:jc w:val="center"/>
        </w:trPr>
        <w:tc>
          <w:tcPr>
            <w:tcW w:w="685" w:type="pct"/>
          </w:tcPr>
          <w:p w:rsidR="00355303" w:rsidRPr="00355303" w:rsidRDefault="00355303" w:rsidP="00447AE6">
            <w:pPr>
              <w:rPr>
                <w:b/>
                <w:sz w:val="24"/>
                <w:szCs w:val="24"/>
                <w:highlight w:val="yellow"/>
              </w:rPr>
            </w:pPr>
            <w:r w:rsidRPr="00447AE6">
              <w:rPr>
                <w:b/>
                <w:sz w:val="24"/>
                <w:szCs w:val="24"/>
              </w:rPr>
              <w:t>340-222-0041</w:t>
            </w:r>
          </w:p>
        </w:tc>
        <w:tc>
          <w:tcPr>
            <w:tcW w:w="814" w:type="pct"/>
          </w:tcPr>
          <w:p w:rsidR="00355303" w:rsidRPr="005C6D93" w:rsidRDefault="00355303" w:rsidP="00447AE6">
            <w:r w:rsidRPr="005C6D93">
              <w:rPr>
                <w:bCs/>
              </w:rPr>
              <w:t>Source Specific Annual PSEL</w:t>
            </w:r>
          </w:p>
        </w:tc>
        <w:tc>
          <w:tcPr>
            <w:tcW w:w="1750" w:type="pct"/>
          </w:tcPr>
          <w:p w:rsidR="00355303" w:rsidRPr="00054060" w:rsidRDefault="00355303" w:rsidP="00447AE6">
            <w:pPr>
              <w:spacing w:after="120"/>
            </w:pPr>
            <w:r w:rsidRPr="00054060">
              <w:t>The proposed r</w:t>
            </w:r>
            <w:r>
              <w:t>ules direct facilities to division 224 for increases in PSELs greater than the significant emission rate for Major and State New Source Review.</w:t>
            </w:r>
          </w:p>
        </w:tc>
        <w:tc>
          <w:tcPr>
            <w:tcW w:w="1751" w:type="pct"/>
          </w:tcPr>
          <w:p w:rsidR="00355303" w:rsidRPr="00B61A8C" w:rsidRDefault="00B61A8C" w:rsidP="002262BD">
            <w:r w:rsidRPr="00B61A8C">
              <w:t xml:space="preserve">DEQ </w:t>
            </w:r>
            <w:r w:rsidR="002262BD">
              <w:t xml:space="preserve">proposes </w:t>
            </w:r>
            <w:r w:rsidRPr="00B61A8C">
              <w:t xml:space="preserve">to separate the minor New Source Review program </w:t>
            </w:r>
            <w:r w:rsidR="00743E9E">
              <w:t xml:space="preserve">(some of which is contained in division 222) </w:t>
            </w:r>
            <w:r w:rsidRPr="00B61A8C">
              <w:t>from the major New Source Review program</w:t>
            </w:r>
            <w:r w:rsidR="00743E9E">
              <w:t xml:space="preserve"> because of extensive </w:t>
            </w:r>
            <w:r w:rsidR="00743E9E" w:rsidRPr="00B61A8C">
              <w:t>changes to the New Source Review program,</w:t>
            </w:r>
          </w:p>
        </w:tc>
      </w:tr>
      <w:tr w:rsidR="00355303" w:rsidRPr="00054060" w:rsidTr="00447AE6">
        <w:trPr>
          <w:jc w:val="center"/>
        </w:trPr>
        <w:tc>
          <w:tcPr>
            <w:tcW w:w="685" w:type="pct"/>
            <w:tcBorders>
              <w:bottom w:val="single" w:sz="4" w:space="0" w:color="auto"/>
            </w:tcBorders>
          </w:tcPr>
          <w:p w:rsidR="00355303" w:rsidRPr="00447AE6" w:rsidRDefault="00355303" w:rsidP="00447AE6">
            <w:pPr>
              <w:rPr>
                <w:b/>
                <w:sz w:val="24"/>
                <w:szCs w:val="24"/>
              </w:rPr>
            </w:pPr>
            <w:r w:rsidRPr="00447AE6">
              <w:rPr>
                <w:b/>
                <w:sz w:val="24"/>
                <w:szCs w:val="24"/>
              </w:rPr>
              <w:t>340-222-0046</w:t>
            </w:r>
          </w:p>
          <w:p w:rsidR="00355303" w:rsidRPr="00447AE6" w:rsidRDefault="00355303" w:rsidP="00447AE6">
            <w:pPr>
              <w:rPr>
                <w:b/>
                <w:sz w:val="24"/>
                <w:szCs w:val="24"/>
              </w:rPr>
            </w:pPr>
          </w:p>
          <w:p w:rsidR="00355303" w:rsidRPr="00447AE6" w:rsidRDefault="00355303" w:rsidP="00447AE6">
            <w:pPr>
              <w:rPr>
                <w:b/>
                <w:sz w:val="24"/>
                <w:szCs w:val="24"/>
              </w:rPr>
            </w:pPr>
            <w:r w:rsidRPr="00447AE6">
              <w:rPr>
                <w:b/>
                <w:sz w:val="24"/>
                <w:szCs w:val="24"/>
              </w:rPr>
              <w:t>340-222-0048</w:t>
            </w:r>
          </w:p>
          <w:p w:rsidR="00355303" w:rsidRPr="00447AE6" w:rsidRDefault="00355303" w:rsidP="00447AE6">
            <w:pPr>
              <w:rPr>
                <w:b/>
                <w:sz w:val="24"/>
                <w:szCs w:val="24"/>
              </w:rPr>
            </w:pPr>
          </w:p>
          <w:p w:rsidR="00355303" w:rsidRPr="00355303" w:rsidRDefault="00355303" w:rsidP="00447AE6">
            <w:pPr>
              <w:rPr>
                <w:b/>
                <w:sz w:val="24"/>
                <w:szCs w:val="24"/>
                <w:highlight w:val="yellow"/>
              </w:rPr>
            </w:pPr>
            <w:r w:rsidRPr="00447AE6">
              <w:rPr>
                <w:b/>
                <w:sz w:val="24"/>
                <w:szCs w:val="24"/>
              </w:rPr>
              <w:t>340-222-0051</w:t>
            </w:r>
          </w:p>
        </w:tc>
        <w:tc>
          <w:tcPr>
            <w:tcW w:w="814" w:type="pct"/>
            <w:tcBorders>
              <w:bottom w:val="single" w:sz="4" w:space="0" w:color="auto"/>
            </w:tcBorders>
          </w:tcPr>
          <w:p w:rsidR="00355303" w:rsidRPr="00215C76" w:rsidRDefault="00355303" w:rsidP="00447AE6">
            <w:r w:rsidRPr="00215C76">
              <w:t>Netting Basis</w:t>
            </w:r>
          </w:p>
          <w:p w:rsidR="00355303" w:rsidRPr="00215C76" w:rsidRDefault="00355303" w:rsidP="00447AE6"/>
          <w:p w:rsidR="00355303" w:rsidRPr="00215C76" w:rsidRDefault="00355303" w:rsidP="00447AE6">
            <w:r w:rsidRPr="00215C76">
              <w:t>Baseline Period and Baseline Emission Rate</w:t>
            </w:r>
          </w:p>
          <w:p w:rsidR="00355303" w:rsidRPr="00215C76" w:rsidRDefault="00355303" w:rsidP="00447AE6"/>
          <w:p w:rsidR="00355303" w:rsidRPr="00215C76" w:rsidRDefault="00355303" w:rsidP="00447AE6">
            <w:r w:rsidRPr="00215C76">
              <w:t>Actual Emissions</w:t>
            </w:r>
          </w:p>
        </w:tc>
        <w:tc>
          <w:tcPr>
            <w:tcW w:w="1750" w:type="pct"/>
            <w:tcBorders>
              <w:bottom w:val="single" w:sz="4" w:space="0" w:color="auto"/>
            </w:tcBorders>
          </w:tcPr>
          <w:p w:rsidR="00355303" w:rsidRDefault="00355303" w:rsidP="00447AE6">
            <w:pPr>
              <w:spacing w:after="120"/>
            </w:pPr>
            <w:r>
              <w:t xml:space="preserve">The proposed rules have been moved from the definitions in OAR 340-200-0020 and clarified. </w:t>
            </w:r>
          </w:p>
          <w:p w:rsidR="00355303" w:rsidRPr="00054060" w:rsidRDefault="00355303" w:rsidP="00447AE6">
            <w:pPr>
              <w:spacing w:after="120"/>
            </w:pPr>
          </w:p>
        </w:tc>
        <w:tc>
          <w:tcPr>
            <w:tcW w:w="1751" w:type="pct"/>
            <w:tcBorders>
              <w:bottom w:val="single" w:sz="4" w:space="0" w:color="auto"/>
            </w:tcBorders>
          </w:tcPr>
          <w:p w:rsidR="00355303" w:rsidRDefault="00447AE6" w:rsidP="00C85607">
            <w:pPr>
              <w:spacing w:after="120"/>
            </w:pPr>
            <w:r>
              <w:t xml:space="preserve">DEQ wants a clean of </w:t>
            </w:r>
            <w:r w:rsidR="00C85607">
              <w:t xml:space="preserve">set </w:t>
            </w:r>
            <w:r>
              <w:t>definitions that do not contain permitting procedural requirements.</w:t>
            </w:r>
          </w:p>
        </w:tc>
      </w:tr>
      <w:tr w:rsidR="00355303" w:rsidRPr="00054060" w:rsidTr="00447AE6">
        <w:trPr>
          <w:jc w:val="center"/>
        </w:trPr>
        <w:tc>
          <w:tcPr>
            <w:tcW w:w="685" w:type="pct"/>
            <w:tcBorders>
              <w:top w:val="single" w:sz="4" w:space="0" w:color="auto"/>
              <w:bottom w:val="single" w:sz="4" w:space="0" w:color="auto"/>
            </w:tcBorders>
          </w:tcPr>
          <w:p w:rsidR="00355303" w:rsidRPr="00355303" w:rsidRDefault="00355303" w:rsidP="00447AE6">
            <w:pPr>
              <w:rPr>
                <w:b/>
                <w:sz w:val="24"/>
                <w:szCs w:val="24"/>
                <w:highlight w:val="yellow"/>
              </w:rPr>
            </w:pPr>
            <w:r w:rsidRPr="006D616E">
              <w:rPr>
                <w:b/>
                <w:sz w:val="24"/>
                <w:szCs w:val="24"/>
              </w:rPr>
              <w:t>340-222-0090</w:t>
            </w:r>
          </w:p>
        </w:tc>
        <w:tc>
          <w:tcPr>
            <w:tcW w:w="814" w:type="pct"/>
            <w:tcBorders>
              <w:top w:val="single" w:sz="4" w:space="0" w:color="auto"/>
              <w:bottom w:val="single" w:sz="4" w:space="0" w:color="auto"/>
            </w:tcBorders>
          </w:tcPr>
          <w:p w:rsidR="00355303" w:rsidRPr="005616CC" w:rsidRDefault="00355303" w:rsidP="00447AE6">
            <w:r w:rsidRPr="005616CC">
              <w:rPr>
                <w:bCs/>
              </w:rPr>
              <w:t>Combining and Splitting Sources and Changing Primary SIC Code</w:t>
            </w:r>
          </w:p>
        </w:tc>
        <w:tc>
          <w:tcPr>
            <w:tcW w:w="1750" w:type="pct"/>
            <w:tcBorders>
              <w:top w:val="single" w:sz="4" w:space="0" w:color="auto"/>
              <w:bottom w:val="single" w:sz="4" w:space="0" w:color="auto"/>
            </w:tcBorders>
          </w:tcPr>
          <w:p w:rsidR="00447AE6" w:rsidRPr="00447AE6" w:rsidRDefault="00447AE6" w:rsidP="00447AE6">
            <w:pPr>
              <w:spacing w:after="120"/>
            </w:pPr>
            <w:r w:rsidRPr="00054060">
              <w:t>The proposed r</w:t>
            </w:r>
            <w:r>
              <w:t>ule</w:t>
            </w:r>
            <w:r w:rsidRPr="00054060">
              <w:t xml:space="preserve"> limits the scope of changes to a facility where the netting basis is allotted between two combining and/or splitting sources by the inclusion of a primary SIC code criteria.  </w:t>
            </w:r>
          </w:p>
          <w:p w:rsidR="00355303" w:rsidRPr="00447AE6" w:rsidRDefault="00355303" w:rsidP="00447AE6">
            <w:pPr>
              <w:spacing w:after="120"/>
              <w:rPr>
                <w:highlight w:val="cyan"/>
              </w:rPr>
            </w:pPr>
          </w:p>
        </w:tc>
        <w:tc>
          <w:tcPr>
            <w:tcW w:w="1751" w:type="pct"/>
            <w:tcBorders>
              <w:top w:val="single" w:sz="4" w:space="0" w:color="auto"/>
              <w:bottom w:val="single" w:sz="4" w:space="0" w:color="auto"/>
            </w:tcBorders>
          </w:tcPr>
          <w:p w:rsidR="00355303" w:rsidRPr="006D616E" w:rsidRDefault="00447AE6" w:rsidP="002262BD">
            <w:r w:rsidRPr="006D616E">
              <w:t xml:space="preserve">DEQ proposes to prevent unrelated facilities </w:t>
            </w:r>
            <w:r w:rsidR="006D616E">
              <w:t xml:space="preserve">from combining </w:t>
            </w:r>
            <w:r w:rsidRPr="006D616E">
              <w:t>and avoid</w:t>
            </w:r>
            <w:r w:rsidR="006D616E">
              <w:t>ing</w:t>
            </w:r>
            <w:r w:rsidRPr="006D616E">
              <w:t xml:space="preserve"> New Source Review by requiring that the combining sources have activities (2-digit SIC codes) in common, and that the </w:t>
            </w:r>
            <w:r w:rsidR="002262BD">
              <w:t xml:space="preserve">resulting </w:t>
            </w:r>
            <w:r w:rsidR="006D616E">
              <w:t>f</w:t>
            </w:r>
            <w:r w:rsidR="00C11796">
              <w:t>a</w:t>
            </w:r>
            <w:r w:rsidR="006D616E">
              <w:t>cility</w:t>
            </w:r>
            <w:r w:rsidRPr="006D616E">
              <w:t xml:space="preserve"> has the same primary 2-digit SIC as one of the </w:t>
            </w:r>
            <w:r w:rsidR="006D616E">
              <w:t>facilities</w:t>
            </w:r>
            <w:r w:rsidRPr="006D616E">
              <w:t xml:space="preserve"> that are combining.</w:t>
            </w:r>
          </w:p>
        </w:tc>
      </w:tr>
      <w:tr w:rsidR="00355303" w:rsidRPr="00054060" w:rsidTr="00447AE6">
        <w:trPr>
          <w:jc w:val="center"/>
        </w:trPr>
        <w:tc>
          <w:tcPr>
            <w:tcW w:w="685" w:type="pct"/>
            <w:tcBorders>
              <w:top w:val="single" w:sz="4" w:space="0" w:color="auto"/>
            </w:tcBorders>
          </w:tcPr>
          <w:p w:rsidR="00355303" w:rsidRPr="00355303" w:rsidRDefault="00355303" w:rsidP="00447AE6">
            <w:pPr>
              <w:rPr>
                <w:b/>
                <w:sz w:val="24"/>
                <w:szCs w:val="24"/>
                <w:highlight w:val="yellow"/>
              </w:rPr>
            </w:pPr>
            <w:r w:rsidRPr="00BE6087">
              <w:rPr>
                <w:b/>
                <w:sz w:val="24"/>
                <w:szCs w:val="24"/>
              </w:rPr>
              <w:t>Division 224</w:t>
            </w:r>
          </w:p>
        </w:tc>
        <w:tc>
          <w:tcPr>
            <w:tcW w:w="814" w:type="pct"/>
            <w:tcBorders>
              <w:top w:val="single" w:sz="4" w:space="0" w:color="auto"/>
            </w:tcBorders>
          </w:tcPr>
          <w:p w:rsidR="00355303" w:rsidRPr="00054060" w:rsidRDefault="00355303" w:rsidP="00447AE6">
            <w:r w:rsidRPr="00054060">
              <w:t>New Source Review</w:t>
            </w:r>
          </w:p>
        </w:tc>
        <w:tc>
          <w:tcPr>
            <w:tcW w:w="1750" w:type="pct"/>
            <w:tcBorders>
              <w:top w:val="single" w:sz="4" w:space="0" w:color="auto"/>
            </w:tcBorders>
          </w:tcPr>
          <w:p w:rsidR="00355303" w:rsidRDefault="00355303" w:rsidP="007D728A">
            <w:pPr>
              <w:spacing w:after="120"/>
              <w:rPr>
                <w:bCs/>
              </w:rPr>
            </w:pPr>
            <w:r w:rsidRPr="00CB713C">
              <w:rPr>
                <w:bCs/>
              </w:rPr>
              <w:t xml:space="preserve">The </w:t>
            </w:r>
            <w:r>
              <w:rPr>
                <w:bCs/>
              </w:rPr>
              <w:t>N</w:t>
            </w:r>
            <w:r w:rsidRPr="00CB713C">
              <w:rPr>
                <w:bCs/>
              </w:rPr>
              <w:t>ew</w:t>
            </w:r>
            <w:r>
              <w:rPr>
                <w:bCs/>
              </w:rPr>
              <w:t xml:space="preserve"> Source R</w:t>
            </w:r>
            <w:r w:rsidRPr="00CB713C">
              <w:rPr>
                <w:bCs/>
              </w:rPr>
              <w:t>eview program consists of two disti</w:t>
            </w:r>
            <w:r>
              <w:rPr>
                <w:bCs/>
              </w:rPr>
              <w:t xml:space="preserve">nct components, </w:t>
            </w:r>
            <w:r w:rsidRPr="00CB713C">
              <w:rPr>
                <w:bCs/>
              </w:rPr>
              <w:t>Major New Source Review</w:t>
            </w:r>
            <w:r w:rsidR="008F7D26">
              <w:rPr>
                <w:bCs/>
              </w:rPr>
              <w:t xml:space="preserve"> (major sources) and </w:t>
            </w:r>
            <w:r w:rsidR="00BE6087">
              <w:rPr>
                <w:bCs/>
              </w:rPr>
              <w:t>State New Source Review</w:t>
            </w:r>
            <w:r w:rsidR="008F7D26">
              <w:rPr>
                <w:bCs/>
              </w:rPr>
              <w:t xml:space="preserve"> (minor sources).</w:t>
            </w:r>
            <w:r w:rsidR="00BE6087">
              <w:rPr>
                <w:bCs/>
              </w:rPr>
              <w:t xml:space="preserve"> </w:t>
            </w:r>
          </w:p>
          <w:p w:rsidR="00355303" w:rsidRPr="00CB713C" w:rsidRDefault="00586EA2" w:rsidP="00447AE6">
            <w:pPr>
              <w:spacing w:after="120"/>
              <w:rPr>
                <w:bCs/>
              </w:rPr>
            </w:pPr>
            <w:r w:rsidRPr="00586EA2">
              <w:rPr>
                <w:bCs/>
              </w:rPr>
              <w:t xml:space="preserve">DEQ is redefining Net Air Quality Benefit for all sources in all areas. </w:t>
            </w:r>
            <w:r w:rsidR="00355303">
              <w:rPr>
                <w:bCs/>
              </w:rPr>
              <w:t xml:space="preserve"> </w:t>
            </w:r>
          </w:p>
        </w:tc>
        <w:tc>
          <w:tcPr>
            <w:tcW w:w="1751" w:type="pct"/>
            <w:tcBorders>
              <w:top w:val="single" w:sz="4" w:space="0" w:color="auto"/>
            </w:tcBorders>
          </w:tcPr>
          <w:p w:rsidR="00355303" w:rsidRDefault="00BE6087" w:rsidP="006115B7">
            <w:pPr>
              <w:spacing w:after="120"/>
              <w:rPr>
                <w:bCs/>
              </w:rPr>
            </w:pPr>
            <w:r>
              <w:rPr>
                <w:bCs/>
              </w:rPr>
              <w:t>The proposed r</w:t>
            </w:r>
            <w:r w:rsidR="00355303" w:rsidRPr="006115B7">
              <w:rPr>
                <w:bCs/>
              </w:rPr>
              <w:t>ule changes were made to increase permitting flexibility, remove roadblocks</w:t>
            </w:r>
            <w:r>
              <w:rPr>
                <w:bCs/>
              </w:rPr>
              <w:t xml:space="preserve"> and improve air quality.</w:t>
            </w:r>
          </w:p>
          <w:p w:rsidR="00F46E40" w:rsidRPr="00CB713C" w:rsidRDefault="00F46E40" w:rsidP="00887CAC">
            <w:pPr>
              <w:rPr>
                <w:bCs/>
              </w:rPr>
            </w:pPr>
            <w:r w:rsidRPr="00F46E40">
              <w:rPr>
                <w:bCs/>
              </w:rPr>
              <w:t xml:space="preserve">DEQ’s rules currently have two criteria for determining whether </w:t>
            </w:r>
            <w:r w:rsidR="008276FF">
              <w:rPr>
                <w:bCs/>
              </w:rPr>
              <w:t xml:space="preserve">emission </w:t>
            </w:r>
            <w:r w:rsidRPr="00F46E40">
              <w:rPr>
                <w:bCs/>
              </w:rPr>
              <w:t xml:space="preserve">offsets </w:t>
            </w:r>
            <w:r w:rsidR="008276FF">
              <w:rPr>
                <w:bCs/>
              </w:rPr>
              <w:t xml:space="preserve">from a new or modified facility </w:t>
            </w:r>
            <w:r w:rsidRPr="00F46E40">
              <w:rPr>
                <w:bCs/>
              </w:rPr>
              <w:t>provide a net air quality benefit that are virtually impossible to meet</w:t>
            </w:r>
            <w:r w:rsidR="003313FE">
              <w:rPr>
                <w:bCs/>
              </w:rPr>
              <w:t>.</w:t>
            </w:r>
            <w:r w:rsidRPr="00F46E40">
              <w:rPr>
                <w:bCs/>
              </w:rPr>
              <w:t xml:space="preserve">  </w:t>
            </w:r>
          </w:p>
        </w:tc>
      </w:tr>
      <w:tr w:rsidR="00E5366E" w:rsidRPr="00054060" w:rsidTr="00DA3FA9">
        <w:trPr>
          <w:jc w:val="center"/>
        </w:trPr>
        <w:tc>
          <w:tcPr>
            <w:tcW w:w="685" w:type="pct"/>
          </w:tcPr>
          <w:p w:rsidR="00E5366E" w:rsidRPr="003268E0" w:rsidRDefault="00E5366E" w:rsidP="00447AE6">
            <w:pPr>
              <w:rPr>
                <w:b/>
                <w:sz w:val="24"/>
                <w:szCs w:val="24"/>
              </w:rPr>
            </w:pPr>
            <w:r w:rsidRPr="003268E0">
              <w:rPr>
                <w:b/>
                <w:sz w:val="24"/>
                <w:szCs w:val="24"/>
              </w:rPr>
              <w:t>340-225-</w:t>
            </w:r>
            <w:r w:rsidRPr="003268E0">
              <w:rPr>
                <w:b/>
                <w:sz w:val="24"/>
                <w:szCs w:val="24"/>
              </w:rPr>
              <w:lastRenderedPageBreak/>
              <w:t>0070(4)(b) and (7)</w:t>
            </w:r>
          </w:p>
        </w:tc>
        <w:tc>
          <w:tcPr>
            <w:tcW w:w="814" w:type="pct"/>
          </w:tcPr>
          <w:p w:rsidR="00E5366E" w:rsidRPr="00054060" w:rsidRDefault="00E5366E" w:rsidP="00447AE6">
            <w:r w:rsidRPr="003268E0">
              <w:lastRenderedPageBreak/>
              <w:t xml:space="preserve">Requirements for </w:t>
            </w:r>
            <w:r w:rsidRPr="003268E0">
              <w:lastRenderedPageBreak/>
              <w:t>Demonstrating Compliance with Air Quality Related Values Protection</w:t>
            </w:r>
          </w:p>
        </w:tc>
        <w:tc>
          <w:tcPr>
            <w:tcW w:w="1750" w:type="pct"/>
          </w:tcPr>
          <w:p w:rsidR="00E5366E" w:rsidRPr="00054060" w:rsidRDefault="00E5366E" w:rsidP="00840D4A">
            <w:pPr>
              <w:spacing w:after="120"/>
            </w:pPr>
            <w:r w:rsidRPr="00327C16">
              <w:lastRenderedPageBreak/>
              <w:t xml:space="preserve">DEQ is making a visibility </w:t>
            </w:r>
            <w:r>
              <w:t>and deposition analyse</w:t>
            </w:r>
            <w:r w:rsidRPr="00327C16">
              <w:t xml:space="preserve">s on the </w:t>
            </w:r>
            <w:r w:rsidRPr="00327C16">
              <w:lastRenderedPageBreak/>
              <w:t>Columbia River Gorge National Scenic Area mandatory if affected by the source</w:t>
            </w:r>
            <w:r>
              <w:t>.</w:t>
            </w:r>
          </w:p>
        </w:tc>
        <w:tc>
          <w:tcPr>
            <w:tcW w:w="1751" w:type="pct"/>
          </w:tcPr>
          <w:p w:rsidR="00E5366E" w:rsidRPr="00327C16" w:rsidRDefault="002262BD" w:rsidP="002262BD">
            <w:r>
              <w:rPr>
                <w:bCs/>
              </w:rPr>
              <w:lastRenderedPageBreak/>
              <w:t>T</w:t>
            </w:r>
            <w:r w:rsidR="00E5366E" w:rsidRPr="00327C16">
              <w:rPr>
                <w:bCs/>
              </w:rPr>
              <w:t xml:space="preserve">he </w:t>
            </w:r>
            <w:r w:rsidR="00E5366E" w:rsidRPr="00E5366E">
              <w:rPr>
                <w:bCs/>
              </w:rPr>
              <w:t>Columbia River Gorge Air Study and Strategy</w:t>
            </w:r>
            <w:r>
              <w:rPr>
                <w:bCs/>
              </w:rPr>
              <w:t xml:space="preserve"> </w:t>
            </w:r>
            <w:r w:rsidR="00E5366E" w:rsidRPr="00E5366E">
              <w:rPr>
                <w:bCs/>
              </w:rPr>
              <w:t xml:space="preserve">uses the </w:t>
            </w:r>
            <w:r w:rsidR="00E5366E" w:rsidRPr="00E5366E">
              <w:rPr>
                <w:bCs/>
              </w:rPr>
              <w:lastRenderedPageBreak/>
              <w:t>requirements of the federal Regional Haze Program</w:t>
            </w:r>
            <w:r w:rsidR="00E5366E" w:rsidRPr="00327C16">
              <w:rPr>
                <w:bCs/>
              </w:rPr>
              <w:t xml:space="preserve"> to improve visibility in the Gorge. Therefore, </w:t>
            </w:r>
            <w:r>
              <w:rPr>
                <w:bCs/>
              </w:rPr>
              <w:t xml:space="preserve">the </w:t>
            </w:r>
            <w:r w:rsidR="00E5366E" w:rsidRPr="00327C16">
              <w:rPr>
                <w:bCs/>
              </w:rPr>
              <w:t xml:space="preserve">mandatory visibility </w:t>
            </w:r>
            <w:r w:rsidR="00E5366E">
              <w:rPr>
                <w:bCs/>
              </w:rPr>
              <w:t>and deposition analyses on the Columbia River Gorge are</w:t>
            </w:r>
            <w:r w:rsidR="00E5366E" w:rsidRPr="00327C16">
              <w:rPr>
                <w:bCs/>
              </w:rPr>
              <w:t xml:space="preserve"> an important part of that strategy. </w:t>
            </w:r>
          </w:p>
        </w:tc>
      </w:tr>
      <w:tr w:rsidR="00840D4A" w:rsidRPr="00054060" w:rsidTr="00DA3FA9">
        <w:trPr>
          <w:jc w:val="center"/>
        </w:trPr>
        <w:tc>
          <w:tcPr>
            <w:tcW w:w="685" w:type="pct"/>
          </w:tcPr>
          <w:p w:rsidR="00840D4A" w:rsidRPr="00D0326B" w:rsidRDefault="00840D4A" w:rsidP="00447AE6">
            <w:pPr>
              <w:rPr>
                <w:b/>
                <w:sz w:val="24"/>
                <w:szCs w:val="24"/>
              </w:rPr>
            </w:pPr>
            <w:r w:rsidRPr="00D0326B">
              <w:rPr>
                <w:b/>
                <w:sz w:val="24"/>
                <w:szCs w:val="24"/>
              </w:rPr>
              <w:lastRenderedPageBreak/>
              <w:t>340-226-0210</w:t>
            </w:r>
          </w:p>
          <w:p w:rsidR="00840D4A" w:rsidRPr="00D0326B" w:rsidRDefault="00840D4A" w:rsidP="00447AE6">
            <w:pPr>
              <w:rPr>
                <w:b/>
                <w:sz w:val="24"/>
                <w:szCs w:val="24"/>
              </w:rPr>
            </w:pPr>
          </w:p>
        </w:tc>
        <w:tc>
          <w:tcPr>
            <w:tcW w:w="814" w:type="pct"/>
          </w:tcPr>
          <w:p w:rsidR="00840D4A" w:rsidRPr="00054060" w:rsidRDefault="00840D4A" w:rsidP="00447AE6">
            <w:r w:rsidRPr="00054060">
              <w:t>Particulate Emission Limitations for Sources Other Than Fuel Burning, and Refuse Burning Equipment and Fugitive Emissions</w:t>
            </w:r>
          </w:p>
        </w:tc>
        <w:tc>
          <w:tcPr>
            <w:tcW w:w="1750" w:type="pct"/>
          </w:tcPr>
          <w:p w:rsidR="00840D4A" w:rsidRPr="00054060" w:rsidRDefault="00840D4A" w:rsidP="0074157B">
            <w:pPr>
              <w:spacing w:after="120"/>
            </w:pPr>
            <w:r>
              <w:t>DEQ is proposing lower grain loading limits</w:t>
            </w:r>
            <w:r w:rsidRPr="00054060">
              <w:t xml:space="preserve"> for </w:t>
            </w:r>
            <w:r>
              <w:t xml:space="preserve">non-wood-fired and </w:t>
            </w:r>
            <w:r w:rsidRPr="00054060">
              <w:t xml:space="preserve">wood-fired </w:t>
            </w:r>
            <w:r>
              <w:t>boilers</w:t>
            </w:r>
            <w:r w:rsidRPr="00054060">
              <w:t xml:space="preserve"> </w:t>
            </w:r>
            <w:r w:rsidRPr="008329AF">
              <w:rPr>
                <w:bCs/>
              </w:rPr>
              <w:t>that e</w:t>
            </w:r>
            <w:r>
              <w:rPr>
                <w:bCs/>
              </w:rPr>
              <w:t xml:space="preserve">xisted prior to June 1, 1970. </w:t>
            </w:r>
          </w:p>
        </w:tc>
        <w:tc>
          <w:tcPr>
            <w:tcW w:w="1751" w:type="pct"/>
          </w:tcPr>
          <w:p w:rsidR="00840D4A" w:rsidRPr="008869E7" w:rsidRDefault="00840D4A" w:rsidP="002262BD">
            <w:r>
              <w:t>Emissions from older facilities subject to the particulate matter standards do not adequately protect air quality and can create barriers to economic development.</w:t>
            </w:r>
          </w:p>
        </w:tc>
      </w:tr>
      <w:tr w:rsidR="00840D4A" w:rsidRPr="00054060" w:rsidTr="00DA3FA9">
        <w:trPr>
          <w:jc w:val="center"/>
        </w:trPr>
        <w:tc>
          <w:tcPr>
            <w:tcW w:w="685" w:type="pct"/>
          </w:tcPr>
          <w:p w:rsidR="00840D4A" w:rsidRPr="00D0326B" w:rsidRDefault="00840D4A" w:rsidP="00447AE6">
            <w:pPr>
              <w:rPr>
                <w:b/>
                <w:sz w:val="24"/>
                <w:szCs w:val="24"/>
              </w:rPr>
            </w:pPr>
            <w:r w:rsidRPr="00D0326B">
              <w:rPr>
                <w:b/>
                <w:sz w:val="24"/>
                <w:szCs w:val="24"/>
              </w:rPr>
              <w:t>340-228-0210</w:t>
            </w:r>
          </w:p>
        </w:tc>
        <w:tc>
          <w:tcPr>
            <w:tcW w:w="814" w:type="pct"/>
          </w:tcPr>
          <w:p w:rsidR="00840D4A" w:rsidRPr="00054060" w:rsidRDefault="00840D4A" w:rsidP="00447AE6">
            <w:r w:rsidRPr="00054060">
              <w:t>Grain loading standards (for fuel burning equipment)</w:t>
            </w:r>
          </w:p>
        </w:tc>
        <w:tc>
          <w:tcPr>
            <w:tcW w:w="1750" w:type="pct"/>
          </w:tcPr>
          <w:p w:rsidR="00840D4A" w:rsidRPr="00054060" w:rsidRDefault="00840D4A" w:rsidP="00D0326B">
            <w:pPr>
              <w:spacing w:after="120"/>
            </w:pPr>
            <w:r>
              <w:t>DEQ is proposing lower grain loading limits</w:t>
            </w:r>
            <w:r w:rsidRPr="00054060">
              <w:t xml:space="preserve"> for wood-fired </w:t>
            </w:r>
            <w:r>
              <w:t>boilers</w:t>
            </w:r>
            <w:r w:rsidRPr="00054060">
              <w:t xml:space="preserve"> </w:t>
            </w:r>
            <w:r w:rsidRPr="008329AF">
              <w:rPr>
                <w:bCs/>
              </w:rPr>
              <w:t>that e</w:t>
            </w:r>
            <w:r>
              <w:rPr>
                <w:bCs/>
              </w:rPr>
              <w:t xml:space="preserve">xisted prior to June 1, 1970. </w:t>
            </w:r>
          </w:p>
        </w:tc>
        <w:tc>
          <w:tcPr>
            <w:tcW w:w="1751" w:type="pct"/>
          </w:tcPr>
          <w:p w:rsidR="00840D4A" w:rsidRPr="00054060" w:rsidRDefault="00840D4A" w:rsidP="00447AE6">
            <w:pPr>
              <w:spacing w:after="120"/>
            </w:pPr>
            <w:r>
              <w:t>See above</w:t>
            </w:r>
          </w:p>
        </w:tc>
      </w:tr>
      <w:tr w:rsidR="00840D4A" w:rsidRPr="00054060" w:rsidTr="00DA3FA9">
        <w:trPr>
          <w:jc w:val="center"/>
        </w:trPr>
        <w:tc>
          <w:tcPr>
            <w:tcW w:w="685" w:type="pct"/>
          </w:tcPr>
          <w:p w:rsidR="00840D4A" w:rsidRPr="00D0326B" w:rsidRDefault="00A90EAC" w:rsidP="00447AE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340-</w:t>
            </w:r>
            <w:r w:rsidR="00840D4A">
              <w:rPr>
                <w:b/>
                <w:sz w:val="24"/>
                <w:szCs w:val="24"/>
              </w:rPr>
              <w:t>232</w:t>
            </w:r>
            <w:r>
              <w:rPr>
                <w:b/>
                <w:sz w:val="24"/>
                <w:szCs w:val="24"/>
              </w:rPr>
              <w:t>-0110</w:t>
            </w:r>
          </w:p>
        </w:tc>
        <w:tc>
          <w:tcPr>
            <w:tcW w:w="814" w:type="pct"/>
          </w:tcPr>
          <w:p w:rsidR="00840D4A" w:rsidRPr="00054060" w:rsidRDefault="00840D4A" w:rsidP="00067569">
            <w:r>
              <w:t>Loading Gasoline or Volatile Organic Compound Liquids onto Marine Tank Vessels</w:t>
            </w:r>
          </w:p>
        </w:tc>
        <w:tc>
          <w:tcPr>
            <w:tcW w:w="1750" w:type="pct"/>
          </w:tcPr>
          <w:p w:rsidR="00840D4A" w:rsidRDefault="00840D4A" w:rsidP="00D0326B">
            <w:pPr>
              <w:spacing w:after="120"/>
            </w:pPr>
            <w:r>
              <w:t>George?</w:t>
            </w:r>
          </w:p>
        </w:tc>
        <w:tc>
          <w:tcPr>
            <w:tcW w:w="1751" w:type="pct"/>
          </w:tcPr>
          <w:p w:rsidR="00840D4A" w:rsidRDefault="00840D4A" w:rsidP="00447AE6">
            <w:pPr>
              <w:spacing w:after="120"/>
            </w:pPr>
          </w:p>
        </w:tc>
      </w:tr>
      <w:tr w:rsidR="00840D4A" w:rsidRPr="00054060" w:rsidTr="00DA3FA9">
        <w:trPr>
          <w:jc w:val="center"/>
        </w:trPr>
        <w:tc>
          <w:tcPr>
            <w:tcW w:w="685" w:type="pct"/>
          </w:tcPr>
          <w:p w:rsidR="00840D4A" w:rsidRDefault="00840D4A" w:rsidP="00447AE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340-240-0550</w:t>
            </w:r>
          </w:p>
        </w:tc>
        <w:tc>
          <w:tcPr>
            <w:tcW w:w="814" w:type="pct"/>
          </w:tcPr>
          <w:p w:rsidR="00840D4A" w:rsidRPr="003B11AC" w:rsidRDefault="00840D4A" w:rsidP="00067569">
            <w:r w:rsidRPr="003B11AC">
              <w:rPr>
                <w:bCs/>
              </w:rPr>
              <w:t xml:space="preserve">Requirements for New Sources When Using Residential Wood Fuel-Fired Device Offsets  </w:t>
            </w:r>
          </w:p>
        </w:tc>
        <w:tc>
          <w:tcPr>
            <w:tcW w:w="1750" w:type="pct"/>
          </w:tcPr>
          <w:p w:rsidR="00840D4A" w:rsidRDefault="00840D4A" w:rsidP="00D0326B">
            <w:pPr>
              <w:spacing w:after="120"/>
            </w:pPr>
            <w:r>
              <w:t>Allow facilities in all areas of the state to use woodstove offsets</w:t>
            </w:r>
          </w:p>
        </w:tc>
        <w:tc>
          <w:tcPr>
            <w:tcW w:w="1751" w:type="pct"/>
          </w:tcPr>
          <w:p w:rsidR="00840D4A" w:rsidRDefault="00840D4A" w:rsidP="003B11AC">
            <w:pPr>
              <w:spacing w:after="120"/>
            </w:pPr>
            <w:r>
              <w:t xml:space="preserve">Other areas besides Klamath Falls have marginal to poor air quality because of woodstove emissions.  </w:t>
            </w:r>
          </w:p>
        </w:tc>
      </w:tr>
    </w:tbl>
    <w:p w:rsidR="00BD5884" w:rsidRDefault="00BD5884" w:rsidP="00840D4A"/>
    <w:sectPr w:rsidR="00BD5884" w:rsidSect="00840D4A">
      <w:footerReference w:type="default" r:id="rId9"/>
      <w:pgSz w:w="15840" w:h="12240" w:orient="landscape"/>
      <w:pgMar w:top="1008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AE6" w:rsidRDefault="00447AE6" w:rsidP="00A445D3">
      <w:r>
        <w:separator/>
      </w:r>
    </w:p>
  </w:endnote>
  <w:endnote w:type="continuationSeparator" w:id="0">
    <w:p w:rsidR="00447AE6" w:rsidRDefault="00447AE6" w:rsidP="00A44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85654"/>
      <w:docPartObj>
        <w:docPartGallery w:val="Page Numbers (Bottom of Page)"/>
        <w:docPartUnique/>
      </w:docPartObj>
    </w:sdtPr>
    <w:sdtEndPr/>
    <w:sdtContent>
      <w:p w:rsidR="00447AE6" w:rsidRDefault="00F062C8">
        <w:pPr>
          <w:pStyle w:val="Footer"/>
          <w:jc w:val="right"/>
        </w:pPr>
        <w:r>
          <w:fldChar w:fldCharType="begin"/>
        </w:r>
        <w:r w:rsidR="009B4D6E">
          <w:instrText xml:space="preserve"> PAGE   \* MERGEFORMAT </w:instrText>
        </w:r>
        <w:r>
          <w:fldChar w:fldCharType="separate"/>
        </w:r>
        <w:r w:rsidR="0078018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47AE6" w:rsidRDefault="00447AE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AE6" w:rsidRDefault="00447AE6" w:rsidP="00A445D3">
      <w:r>
        <w:separator/>
      </w:r>
    </w:p>
  </w:footnote>
  <w:footnote w:type="continuationSeparator" w:id="0">
    <w:p w:rsidR="00447AE6" w:rsidRDefault="00447AE6" w:rsidP="00A445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614EF"/>
    <w:multiLevelType w:val="hybridMultilevel"/>
    <w:tmpl w:val="890C01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2F026CC"/>
    <w:multiLevelType w:val="hybridMultilevel"/>
    <w:tmpl w:val="1DD61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826A87"/>
    <w:multiLevelType w:val="hybridMultilevel"/>
    <w:tmpl w:val="2FD8D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8F52D5"/>
    <w:multiLevelType w:val="hybridMultilevel"/>
    <w:tmpl w:val="00CC0F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27D6FFE"/>
    <w:multiLevelType w:val="multilevel"/>
    <w:tmpl w:val="954277A6"/>
    <w:lvl w:ilvl="0">
      <w:start w:val="1"/>
      <w:numFmt w:val="decimal"/>
      <w:pStyle w:val="Heading1"/>
      <w:lvlText w:val="%1."/>
      <w:legacy w:legacy="1" w:legacySpace="0" w:legacyIndent="432"/>
      <w:lvlJc w:val="left"/>
      <w:pPr>
        <w:ind w:left="432" w:hanging="432"/>
      </w:pPr>
      <w:rPr>
        <w:rFonts w:hint="default"/>
        <w:b w:val="0"/>
        <w:i w:val="0"/>
        <w:sz w:val="20"/>
      </w:rPr>
    </w:lvl>
    <w:lvl w:ilvl="1">
      <w:start w:val="1"/>
      <w:numFmt w:val="bullet"/>
      <w:pStyle w:val="Heading2"/>
      <w:lvlText w:val=""/>
      <w:lvlJc w:val="left"/>
      <w:pPr>
        <w:ind w:left="1152" w:hanging="720"/>
      </w:pPr>
      <w:rPr>
        <w:rFonts w:ascii="Symbol" w:hAnsi="Symbol" w:hint="default"/>
      </w:rPr>
    </w:lvl>
    <w:lvl w:ilvl="2">
      <w:start w:val="1"/>
      <w:numFmt w:val="lowerRoman"/>
      <w:pStyle w:val="Heading3"/>
      <w:lvlText w:val="%1.%2.%3."/>
      <w:legacy w:legacy="1" w:legacySpace="0" w:legacyIndent="720"/>
      <w:lvlJc w:val="left"/>
      <w:pPr>
        <w:ind w:left="1872" w:hanging="720"/>
      </w:pPr>
      <w:rPr>
        <w:rFonts w:hint="default"/>
      </w:rPr>
    </w:lvl>
    <w:lvl w:ilvl="3">
      <w:start w:val="1"/>
      <w:numFmt w:val="upperLetter"/>
      <w:pStyle w:val="Heading4"/>
      <w:lvlText w:val="%1.%2.%3.%4."/>
      <w:legacy w:legacy="1" w:legacySpace="0" w:legacyIndent="1008"/>
      <w:lvlJc w:val="left"/>
      <w:pPr>
        <w:ind w:left="2016" w:hanging="1008"/>
      </w:pPr>
      <w:rPr>
        <w:rFonts w:hint="default"/>
      </w:rPr>
    </w:lvl>
    <w:lvl w:ilvl="4">
      <w:start w:val="1"/>
      <w:numFmt w:val="decimal"/>
      <w:pStyle w:val="Heading5"/>
      <w:lvlText w:val="%1.%2.%3.%4.(%5)"/>
      <w:legacy w:legacy="1" w:legacySpace="0" w:legacyIndent="1152"/>
      <w:lvlJc w:val="left"/>
      <w:pPr>
        <w:ind w:left="2736" w:hanging="1152"/>
      </w:pPr>
      <w:rPr>
        <w:rFonts w:hint="default"/>
      </w:rPr>
    </w:lvl>
    <w:lvl w:ilvl="5">
      <w:start w:val="1"/>
      <w:numFmt w:val="lowerLetter"/>
      <w:pStyle w:val="Heading6"/>
      <w:lvlText w:val="%1.%2.%3.%4.(%5)(%6)"/>
      <w:legacy w:legacy="1" w:legacySpace="0" w:legacyIndent="1296"/>
      <w:lvlJc w:val="left"/>
      <w:pPr>
        <w:ind w:left="3456" w:hanging="1296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4176" w:hanging="72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4896" w:hanging="72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5616" w:hanging="720"/>
      </w:pPr>
      <w:rPr>
        <w:rFonts w:hint="default"/>
      </w:rPr>
    </w:lvl>
  </w:abstractNum>
  <w:abstractNum w:abstractNumId="5">
    <w:nsid w:val="42BE32E5"/>
    <w:multiLevelType w:val="hybridMultilevel"/>
    <w:tmpl w:val="60A4E98E"/>
    <w:lvl w:ilvl="0" w:tplc="7D4C5F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CAD4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003C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EC82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40C1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8C50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EC5E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4492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DAF0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4C8A1EA5"/>
    <w:multiLevelType w:val="hybridMultilevel"/>
    <w:tmpl w:val="B5FE4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5D3D9A"/>
    <w:multiLevelType w:val="hybridMultilevel"/>
    <w:tmpl w:val="437A07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7F2FD1"/>
    <w:multiLevelType w:val="hybridMultilevel"/>
    <w:tmpl w:val="7E8E8CF2"/>
    <w:lvl w:ilvl="0" w:tplc="0409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7"/>
  </w:num>
  <w:num w:numId="11">
    <w:abstractNumId w:val="8"/>
  </w:num>
  <w:num w:numId="12">
    <w:abstractNumId w:val="1"/>
  </w:num>
  <w:num w:numId="13">
    <w:abstractNumId w:val="3"/>
  </w:num>
  <w:num w:numId="14">
    <w:abstractNumId w:val="2"/>
  </w:num>
  <w:num w:numId="15">
    <w:abstractNumId w:val="5"/>
  </w:num>
  <w:num w:numId="16">
    <w:abstractNumId w:val="0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060"/>
    <w:rsid w:val="000050F7"/>
    <w:rsid w:val="00011F9B"/>
    <w:rsid w:val="00027A3C"/>
    <w:rsid w:val="000459F4"/>
    <w:rsid w:val="00054060"/>
    <w:rsid w:val="00060120"/>
    <w:rsid w:val="00060806"/>
    <w:rsid w:val="00067040"/>
    <w:rsid w:val="00067569"/>
    <w:rsid w:val="000A239E"/>
    <w:rsid w:val="000B4697"/>
    <w:rsid w:val="000B5E93"/>
    <w:rsid w:val="000D5C02"/>
    <w:rsid w:val="000E5271"/>
    <w:rsid w:val="00104AC6"/>
    <w:rsid w:val="00105A51"/>
    <w:rsid w:val="0012633D"/>
    <w:rsid w:val="001410B9"/>
    <w:rsid w:val="00146C92"/>
    <w:rsid w:val="00147547"/>
    <w:rsid w:val="00151827"/>
    <w:rsid w:val="001559E2"/>
    <w:rsid w:val="00176EEF"/>
    <w:rsid w:val="001838BD"/>
    <w:rsid w:val="00195444"/>
    <w:rsid w:val="00195FC2"/>
    <w:rsid w:val="00197570"/>
    <w:rsid w:val="001A2062"/>
    <w:rsid w:val="001A22A5"/>
    <w:rsid w:val="001B4C01"/>
    <w:rsid w:val="001C0BB0"/>
    <w:rsid w:val="001C5A74"/>
    <w:rsid w:val="001D19AE"/>
    <w:rsid w:val="001D70E9"/>
    <w:rsid w:val="001F0DB6"/>
    <w:rsid w:val="001F0FD8"/>
    <w:rsid w:val="001F4127"/>
    <w:rsid w:val="001F4426"/>
    <w:rsid w:val="001F6108"/>
    <w:rsid w:val="0020056E"/>
    <w:rsid w:val="0020509F"/>
    <w:rsid w:val="00215C76"/>
    <w:rsid w:val="002262BD"/>
    <w:rsid w:val="00254927"/>
    <w:rsid w:val="002616A5"/>
    <w:rsid w:val="002826A1"/>
    <w:rsid w:val="002855E2"/>
    <w:rsid w:val="002868E5"/>
    <w:rsid w:val="002A3E73"/>
    <w:rsid w:val="002A506D"/>
    <w:rsid w:val="002C6524"/>
    <w:rsid w:val="002D5E18"/>
    <w:rsid w:val="002D698C"/>
    <w:rsid w:val="0031116B"/>
    <w:rsid w:val="00312201"/>
    <w:rsid w:val="003268E0"/>
    <w:rsid w:val="003313FE"/>
    <w:rsid w:val="00340C2A"/>
    <w:rsid w:val="003419DD"/>
    <w:rsid w:val="0035471E"/>
    <w:rsid w:val="00355303"/>
    <w:rsid w:val="003567F6"/>
    <w:rsid w:val="00367F76"/>
    <w:rsid w:val="0037020C"/>
    <w:rsid w:val="00375414"/>
    <w:rsid w:val="00394250"/>
    <w:rsid w:val="0039781C"/>
    <w:rsid w:val="003A1E7B"/>
    <w:rsid w:val="003A2167"/>
    <w:rsid w:val="003A60DE"/>
    <w:rsid w:val="003B11AC"/>
    <w:rsid w:val="003B54E8"/>
    <w:rsid w:val="003B6FED"/>
    <w:rsid w:val="003C2C6E"/>
    <w:rsid w:val="003D37E3"/>
    <w:rsid w:val="003E7AB6"/>
    <w:rsid w:val="00400586"/>
    <w:rsid w:val="00404C18"/>
    <w:rsid w:val="00414F67"/>
    <w:rsid w:val="0043117D"/>
    <w:rsid w:val="00432365"/>
    <w:rsid w:val="00447AE6"/>
    <w:rsid w:val="00451F91"/>
    <w:rsid w:val="00463821"/>
    <w:rsid w:val="00465517"/>
    <w:rsid w:val="004A315D"/>
    <w:rsid w:val="004A35C7"/>
    <w:rsid w:val="004A69AF"/>
    <w:rsid w:val="004B2364"/>
    <w:rsid w:val="004C0036"/>
    <w:rsid w:val="004C0F0A"/>
    <w:rsid w:val="004C3DD3"/>
    <w:rsid w:val="004C68CB"/>
    <w:rsid w:val="004D578D"/>
    <w:rsid w:val="004F506B"/>
    <w:rsid w:val="004F5981"/>
    <w:rsid w:val="005015D1"/>
    <w:rsid w:val="00515305"/>
    <w:rsid w:val="00516616"/>
    <w:rsid w:val="00526BD8"/>
    <w:rsid w:val="00550EF6"/>
    <w:rsid w:val="005575A3"/>
    <w:rsid w:val="005616CC"/>
    <w:rsid w:val="005622D1"/>
    <w:rsid w:val="00583080"/>
    <w:rsid w:val="00586EA2"/>
    <w:rsid w:val="0058737B"/>
    <w:rsid w:val="005A4F7A"/>
    <w:rsid w:val="005A5C21"/>
    <w:rsid w:val="005B3E72"/>
    <w:rsid w:val="005C5C0E"/>
    <w:rsid w:val="005C6D93"/>
    <w:rsid w:val="005D01AC"/>
    <w:rsid w:val="005D4E89"/>
    <w:rsid w:val="005D7215"/>
    <w:rsid w:val="005F1CC9"/>
    <w:rsid w:val="005F2679"/>
    <w:rsid w:val="00600138"/>
    <w:rsid w:val="00605E0A"/>
    <w:rsid w:val="006115B7"/>
    <w:rsid w:val="00621182"/>
    <w:rsid w:val="00644A33"/>
    <w:rsid w:val="00661193"/>
    <w:rsid w:val="00663619"/>
    <w:rsid w:val="00665BB2"/>
    <w:rsid w:val="0066636C"/>
    <w:rsid w:val="00691FFD"/>
    <w:rsid w:val="00696097"/>
    <w:rsid w:val="00696202"/>
    <w:rsid w:val="00696CB7"/>
    <w:rsid w:val="006A1C1A"/>
    <w:rsid w:val="006A72B3"/>
    <w:rsid w:val="006B14FB"/>
    <w:rsid w:val="006B551B"/>
    <w:rsid w:val="006D616E"/>
    <w:rsid w:val="006E21FA"/>
    <w:rsid w:val="006E23E4"/>
    <w:rsid w:val="006E4A30"/>
    <w:rsid w:val="006F3699"/>
    <w:rsid w:val="006F65EA"/>
    <w:rsid w:val="006F6D02"/>
    <w:rsid w:val="007142DA"/>
    <w:rsid w:val="007260E4"/>
    <w:rsid w:val="0072678D"/>
    <w:rsid w:val="00732F05"/>
    <w:rsid w:val="00734469"/>
    <w:rsid w:val="00735C21"/>
    <w:rsid w:val="00743E9E"/>
    <w:rsid w:val="00746642"/>
    <w:rsid w:val="007665B5"/>
    <w:rsid w:val="0078018E"/>
    <w:rsid w:val="00785139"/>
    <w:rsid w:val="00791DB9"/>
    <w:rsid w:val="00796081"/>
    <w:rsid w:val="007A03B3"/>
    <w:rsid w:val="007A1F83"/>
    <w:rsid w:val="007B704E"/>
    <w:rsid w:val="007C644B"/>
    <w:rsid w:val="007D1534"/>
    <w:rsid w:val="007D728A"/>
    <w:rsid w:val="007E2042"/>
    <w:rsid w:val="007E23E1"/>
    <w:rsid w:val="007E73F4"/>
    <w:rsid w:val="008055E4"/>
    <w:rsid w:val="008114C7"/>
    <w:rsid w:val="00822FC3"/>
    <w:rsid w:val="008276FF"/>
    <w:rsid w:val="00831174"/>
    <w:rsid w:val="008329AF"/>
    <w:rsid w:val="00840D4A"/>
    <w:rsid w:val="00844B9F"/>
    <w:rsid w:val="00847786"/>
    <w:rsid w:val="00882A13"/>
    <w:rsid w:val="008869E7"/>
    <w:rsid w:val="00887CAC"/>
    <w:rsid w:val="00897F86"/>
    <w:rsid w:val="008A12AC"/>
    <w:rsid w:val="008A1D3D"/>
    <w:rsid w:val="008A5039"/>
    <w:rsid w:val="008A77D4"/>
    <w:rsid w:val="008A7A14"/>
    <w:rsid w:val="008C5BB7"/>
    <w:rsid w:val="008C774D"/>
    <w:rsid w:val="008D48FD"/>
    <w:rsid w:val="008D4FD1"/>
    <w:rsid w:val="008E0A7D"/>
    <w:rsid w:val="008E1BC1"/>
    <w:rsid w:val="008F7D26"/>
    <w:rsid w:val="008F7F7D"/>
    <w:rsid w:val="00901561"/>
    <w:rsid w:val="00905CE6"/>
    <w:rsid w:val="00914DBC"/>
    <w:rsid w:val="009206BF"/>
    <w:rsid w:val="00942A04"/>
    <w:rsid w:val="00945019"/>
    <w:rsid w:val="00946703"/>
    <w:rsid w:val="00960279"/>
    <w:rsid w:val="00961A5C"/>
    <w:rsid w:val="00976FAD"/>
    <w:rsid w:val="00983606"/>
    <w:rsid w:val="009837AE"/>
    <w:rsid w:val="00983FEA"/>
    <w:rsid w:val="00997CC4"/>
    <w:rsid w:val="00997E45"/>
    <w:rsid w:val="009A5673"/>
    <w:rsid w:val="009B3E5A"/>
    <w:rsid w:val="009B4D6E"/>
    <w:rsid w:val="009B6D46"/>
    <w:rsid w:val="009F1A8C"/>
    <w:rsid w:val="009F2E6A"/>
    <w:rsid w:val="009F5924"/>
    <w:rsid w:val="00A23746"/>
    <w:rsid w:val="00A445D3"/>
    <w:rsid w:val="00A5254F"/>
    <w:rsid w:val="00A62B9D"/>
    <w:rsid w:val="00A6495A"/>
    <w:rsid w:val="00A74511"/>
    <w:rsid w:val="00A75B68"/>
    <w:rsid w:val="00A83CC4"/>
    <w:rsid w:val="00A84B2B"/>
    <w:rsid w:val="00A90EAC"/>
    <w:rsid w:val="00A931E0"/>
    <w:rsid w:val="00AA2DB5"/>
    <w:rsid w:val="00AB27FD"/>
    <w:rsid w:val="00AD2D39"/>
    <w:rsid w:val="00AE1F83"/>
    <w:rsid w:val="00AE630B"/>
    <w:rsid w:val="00B03D23"/>
    <w:rsid w:val="00B041D2"/>
    <w:rsid w:val="00B35138"/>
    <w:rsid w:val="00B40AFA"/>
    <w:rsid w:val="00B45EA8"/>
    <w:rsid w:val="00B517E5"/>
    <w:rsid w:val="00B54B70"/>
    <w:rsid w:val="00B61A8C"/>
    <w:rsid w:val="00B80CC8"/>
    <w:rsid w:val="00BA746E"/>
    <w:rsid w:val="00BB2762"/>
    <w:rsid w:val="00BC167F"/>
    <w:rsid w:val="00BC407B"/>
    <w:rsid w:val="00BD28BC"/>
    <w:rsid w:val="00BD5884"/>
    <w:rsid w:val="00BE33CA"/>
    <w:rsid w:val="00BE6087"/>
    <w:rsid w:val="00C11796"/>
    <w:rsid w:val="00C12C21"/>
    <w:rsid w:val="00C1423B"/>
    <w:rsid w:val="00C2695F"/>
    <w:rsid w:val="00C34A32"/>
    <w:rsid w:val="00C47403"/>
    <w:rsid w:val="00C64DB1"/>
    <w:rsid w:val="00C75249"/>
    <w:rsid w:val="00C85607"/>
    <w:rsid w:val="00CB3E5D"/>
    <w:rsid w:val="00CB5269"/>
    <w:rsid w:val="00CB57AD"/>
    <w:rsid w:val="00CB713C"/>
    <w:rsid w:val="00CB75BC"/>
    <w:rsid w:val="00CC772D"/>
    <w:rsid w:val="00CF0D39"/>
    <w:rsid w:val="00CF18E6"/>
    <w:rsid w:val="00CF2E54"/>
    <w:rsid w:val="00D01C76"/>
    <w:rsid w:val="00D0326B"/>
    <w:rsid w:val="00D127AE"/>
    <w:rsid w:val="00D3170B"/>
    <w:rsid w:val="00D35A94"/>
    <w:rsid w:val="00D52EBF"/>
    <w:rsid w:val="00D677B1"/>
    <w:rsid w:val="00D77555"/>
    <w:rsid w:val="00D8232D"/>
    <w:rsid w:val="00D83263"/>
    <w:rsid w:val="00D866AB"/>
    <w:rsid w:val="00D94BBA"/>
    <w:rsid w:val="00DA0F01"/>
    <w:rsid w:val="00DA3FA9"/>
    <w:rsid w:val="00DB02AF"/>
    <w:rsid w:val="00DD3752"/>
    <w:rsid w:val="00DD4B5D"/>
    <w:rsid w:val="00DE5C61"/>
    <w:rsid w:val="00DF05EA"/>
    <w:rsid w:val="00E172A9"/>
    <w:rsid w:val="00E21153"/>
    <w:rsid w:val="00E21A48"/>
    <w:rsid w:val="00E251A8"/>
    <w:rsid w:val="00E470A3"/>
    <w:rsid w:val="00E5366E"/>
    <w:rsid w:val="00E60434"/>
    <w:rsid w:val="00E608FA"/>
    <w:rsid w:val="00E93776"/>
    <w:rsid w:val="00E939D0"/>
    <w:rsid w:val="00E966A8"/>
    <w:rsid w:val="00EA1896"/>
    <w:rsid w:val="00EB4211"/>
    <w:rsid w:val="00EC7C87"/>
    <w:rsid w:val="00ED5A52"/>
    <w:rsid w:val="00EE2D66"/>
    <w:rsid w:val="00EE7408"/>
    <w:rsid w:val="00EE7544"/>
    <w:rsid w:val="00EF19FA"/>
    <w:rsid w:val="00EF382C"/>
    <w:rsid w:val="00EF4C04"/>
    <w:rsid w:val="00F004DB"/>
    <w:rsid w:val="00F00626"/>
    <w:rsid w:val="00F032C1"/>
    <w:rsid w:val="00F062C8"/>
    <w:rsid w:val="00F21A48"/>
    <w:rsid w:val="00F24902"/>
    <w:rsid w:val="00F367C5"/>
    <w:rsid w:val="00F37F61"/>
    <w:rsid w:val="00F40738"/>
    <w:rsid w:val="00F448A1"/>
    <w:rsid w:val="00F469F5"/>
    <w:rsid w:val="00F46E40"/>
    <w:rsid w:val="00F51849"/>
    <w:rsid w:val="00F52E7E"/>
    <w:rsid w:val="00F74672"/>
    <w:rsid w:val="00F76319"/>
    <w:rsid w:val="00F83269"/>
    <w:rsid w:val="00FA69E6"/>
    <w:rsid w:val="00FB3F17"/>
    <w:rsid w:val="00FC1EB7"/>
    <w:rsid w:val="00FC6C23"/>
    <w:rsid w:val="00FD0784"/>
    <w:rsid w:val="00FD4C65"/>
    <w:rsid w:val="00FD6D64"/>
    <w:rsid w:val="00FE4B85"/>
    <w:rsid w:val="00FF58A9"/>
    <w:rsid w:val="00FF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469"/>
  </w:style>
  <w:style w:type="paragraph" w:styleId="Heading1">
    <w:name w:val="heading 1"/>
    <w:basedOn w:val="Normal"/>
    <w:next w:val="Normal"/>
    <w:link w:val="Heading1Char"/>
    <w:qFormat/>
    <w:rsid w:val="00734469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link w:val="Heading2Char"/>
    <w:qFormat/>
    <w:rsid w:val="00734469"/>
    <w:pPr>
      <w:numPr>
        <w:ilvl w:val="1"/>
        <w:numId w:val="9"/>
      </w:numPr>
      <w:outlineLvl w:val="1"/>
    </w:pPr>
  </w:style>
  <w:style w:type="paragraph" w:styleId="Heading3">
    <w:name w:val="heading 3"/>
    <w:basedOn w:val="Normal"/>
    <w:next w:val="Normal"/>
    <w:link w:val="Heading3Char"/>
    <w:qFormat/>
    <w:rsid w:val="00734469"/>
    <w:pPr>
      <w:numPr>
        <w:ilvl w:val="2"/>
        <w:numId w:val="9"/>
      </w:numPr>
      <w:tabs>
        <w:tab w:val="left" w:pos="-1440"/>
        <w:tab w:val="left" w:pos="-720"/>
        <w:tab w:val="left" w:pos="0"/>
        <w:tab w:val="left" w:pos="439"/>
        <w:tab w:val="left" w:pos="878"/>
        <w:tab w:val="left" w:pos="1244"/>
        <w:tab w:val="left" w:pos="1610"/>
        <w:tab w:val="left" w:pos="1976"/>
        <w:tab w:val="left" w:pos="2342"/>
        <w:tab w:val="left" w:pos="2880"/>
      </w:tabs>
      <w:suppressAutoHyphens/>
      <w:outlineLvl w:val="2"/>
    </w:pPr>
    <w:rPr>
      <w:rFonts w:ascii="CG Times" w:hAnsi="CG Times"/>
    </w:rPr>
  </w:style>
  <w:style w:type="paragraph" w:styleId="Heading4">
    <w:name w:val="heading 4"/>
    <w:basedOn w:val="Normal"/>
    <w:next w:val="Normal"/>
    <w:link w:val="Heading4Char"/>
    <w:qFormat/>
    <w:rsid w:val="00734469"/>
    <w:pPr>
      <w:numPr>
        <w:ilvl w:val="3"/>
        <w:numId w:val="9"/>
      </w:numPr>
      <w:outlineLvl w:val="3"/>
    </w:pPr>
    <w:rPr>
      <w:rFonts w:ascii="CG Times (W1)" w:hAnsi="CG Times (W1)"/>
    </w:rPr>
  </w:style>
  <w:style w:type="paragraph" w:styleId="Heading5">
    <w:name w:val="heading 5"/>
    <w:basedOn w:val="Normal"/>
    <w:next w:val="Normal"/>
    <w:link w:val="Heading5Char"/>
    <w:qFormat/>
    <w:rsid w:val="00734469"/>
    <w:pPr>
      <w:numPr>
        <w:ilvl w:val="4"/>
        <w:numId w:val="9"/>
      </w:numPr>
      <w:outlineLvl w:val="4"/>
    </w:pPr>
    <w:rPr>
      <w:rFonts w:ascii="CG Times (W1)" w:hAnsi="CG Times (W1)"/>
    </w:rPr>
  </w:style>
  <w:style w:type="paragraph" w:styleId="Heading6">
    <w:name w:val="heading 6"/>
    <w:basedOn w:val="Normal"/>
    <w:next w:val="Normal"/>
    <w:link w:val="Heading6Char"/>
    <w:qFormat/>
    <w:rsid w:val="00734469"/>
    <w:pPr>
      <w:numPr>
        <w:ilvl w:val="5"/>
        <w:numId w:val="9"/>
      </w:numPr>
      <w:outlineLvl w:val="5"/>
    </w:pPr>
    <w:rPr>
      <w:rFonts w:ascii="CG Times (W1)" w:hAnsi="CG Times (W1)"/>
    </w:rPr>
  </w:style>
  <w:style w:type="paragraph" w:styleId="Heading7">
    <w:name w:val="heading 7"/>
    <w:basedOn w:val="Normal"/>
    <w:next w:val="Normal"/>
    <w:link w:val="Heading7Char"/>
    <w:qFormat/>
    <w:rsid w:val="00734469"/>
    <w:pPr>
      <w:numPr>
        <w:ilvl w:val="6"/>
        <w:numId w:val="9"/>
      </w:numPr>
      <w:outlineLvl w:val="6"/>
    </w:pPr>
    <w:rPr>
      <w:rFonts w:ascii="CG Times (W1)" w:hAnsi="CG Times (W1)"/>
    </w:rPr>
  </w:style>
  <w:style w:type="paragraph" w:styleId="Heading8">
    <w:name w:val="heading 8"/>
    <w:basedOn w:val="Normal"/>
    <w:next w:val="Normal"/>
    <w:link w:val="Heading8Char"/>
    <w:qFormat/>
    <w:rsid w:val="00734469"/>
    <w:pPr>
      <w:numPr>
        <w:ilvl w:val="7"/>
        <w:numId w:val="9"/>
      </w:numPr>
      <w:outlineLvl w:val="7"/>
    </w:pPr>
    <w:rPr>
      <w:rFonts w:ascii="CG Times (W1)" w:hAnsi="CG Times (W1)"/>
    </w:rPr>
  </w:style>
  <w:style w:type="paragraph" w:styleId="Heading9">
    <w:name w:val="heading 9"/>
    <w:basedOn w:val="Normal"/>
    <w:next w:val="Normal"/>
    <w:link w:val="Heading9Char"/>
    <w:qFormat/>
    <w:rsid w:val="00734469"/>
    <w:pPr>
      <w:numPr>
        <w:ilvl w:val="8"/>
        <w:numId w:val="9"/>
      </w:numPr>
      <w:spacing w:before="240" w:after="60"/>
      <w:outlineLvl w:val="8"/>
    </w:pPr>
    <w:rPr>
      <w:rFonts w:ascii="CG Times (W1)" w:hAnsi="CG Times (W1)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34469"/>
  </w:style>
  <w:style w:type="character" w:customStyle="1" w:styleId="Heading2Char">
    <w:name w:val="Heading 2 Char"/>
    <w:basedOn w:val="DefaultParagraphFont"/>
    <w:link w:val="Heading2"/>
    <w:rsid w:val="00734469"/>
  </w:style>
  <w:style w:type="character" w:customStyle="1" w:styleId="Heading3Char">
    <w:name w:val="Heading 3 Char"/>
    <w:basedOn w:val="DefaultParagraphFont"/>
    <w:link w:val="Heading3"/>
    <w:rsid w:val="00734469"/>
    <w:rPr>
      <w:rFonts w:ascii="CG Times" w:hAnsi="CG Times"/>
    </w:rPr>
  </w:style>
  <w:style w:type="character" w:customStyle="1" w:styleId="Heading4Char">
    <w:name w:val="Heading 4 Char"/>
    <w:basedOn w:val="DefaultParagraphFont"/>
    <w:link w:val="Heading4"/>
    <w:rsid w:val="00734469"/>
    <w:rPr>
      <w:rFonts w:ascii="CG Times (W1)" w:hAnsi="CG Times (W1)"/>
    </w:rPr>
  </w:style>
  <w:style w:type="character" w:customStyle="1" w:styleId="Heading5Char">
    <w:name w:val="Heading 5 Char"/>
    <w:basedOn w:val="DefaultParagraphFont"/>
    <w:link w:val="Heading5"/>
    <w:rsid w:val="00734469"/>
    <w:rPr>
      <w:rFonts w:ascii="CG Times (W1)" w:hAnsi="CG Times (W1)"/>
    </w:rPr>
  </w:style>
  <w:style w:type="character" w:customStyle="1" w:styleId="Heading6Char">
    <w:name w:val="Heading 6 Char"/>
    <w:basedOn w:val="DefaultParagraphFont"/>
    <w:link w:val="Heading6"/>
    <w:rsid w:val="00734469"/>
    <w:rPr>
      <w:rFonts w:ascii="CG Times (W1)" w:hAnsi="CG Times (W1)"/>
    </w:rPr>
  </w:style>
  <w:style w:type="character" w:customStyle="1" w:styleId="Heading7Char">
    <w:name w:val="Heading 7 Char"/>
    <w:basedOn w:val="DefaultParagraphFont"/>
    <w:link w:val="Heading7"/>
    <w:rsid w:val="00734469"/>
    <w:rPr>
      <w:rFonts w:ascii="CG Times (W1)" w:hAnsi="CG Times (W1)"/>
    </w:rPr>
  </w:style>
  <w:style w:type="character" w:customStyle="1" w:styleId="Heading8Char">
    <w:name w:val="Heading 8 Char"/>
    <w:basedOn w:val="DefaultParagraphFont"/>
    <w:link w:val="Heading8"/>
    <w:rsid w:val="00734469"/>
    <w:rPr>
      <w:rFonts w:ascii="CG Times (W1)" w:hAnsi="CG Times (W1)"/>
    </w:rPr>
  </w:style>
  <w:style w:type="character" w:customStyle="1" w:styleId="Heading9Char">
    <w:name w:val="Heading 9 Char"/>
    <w:basedOn w:val="DefaultParagraphFont"/>
    <w:link w:val="Heading9"/>
    <w:rsid w:val="00734469"/>
    <w:rPr>
      <w:rFonts w:ascii="CG Times (W1)" w:hAnsi="CG Times (W1)"/>
    </w:rPr>
  </w:style>
  <w:style w:type="paragraph" w:styleId="Title">
    <w:name w:val="Title"/>
    <w:basedOn w:val="Normal"/>
    <w:link w:val="TitleChar"/>
    <w:qFormat/>
    <w:rsid w:val="00734469"/>
    <w:pPr>
      <w:jc w:val="center"/>
    </w:pPr>
    <w:rPr>
      <w:rFonts w:ascii="Arial Black" w:hAnsi="Arial Black"/>
      <w:sz w:val="24"/>
    </w:rPr>
  </w:style>
  <w:style w:type="character" w:customStyle="1" w:styleId="TitleChar">
    <w:name w:val="Title Char"/>
    <w:basedOn w:val="DefaultParagraphFont"/>
    <w:link w:val="Title"/>
    <w:rsid w:val="00734469"/>
    <w:rPr>
      <w:rFonts w:ascii="Arial Black" w:hAnsi="Arial Black"/>
      <w:sz w:val="24"/>
    </w:rPr>
  </w:style>
  <w:style w:type="character" w:styleId="Strong">
    <w:name w:val="Strong"/>
    <w:basedOn w:val="DefaultParagraphFont"/>
    <w:uiPriority w:val="22"/>
    <w:qFormat/>
    <w:rsid w:val="00734469"/>
    <w:rPr>
      <w:b/>
      <w:bCs/>
    </w:rPr>
  </w:style>
  <w:style w:type="paragraph" w:styleId="ListParagraph">
    <w:name w:val="List Paragraph"/>
    <w:basedOn w:val="Normal"/>
    <w:uiPriority w:val="34"/>
    <w:qFormat/>
    <w:rsid w:val="00734469"/>
    <w:pPr>
      <w:ind w:left="720"/>
      <w:contextualSpacing/>
    </w:pPr>
  </w:style>
  <w:style w:type="table" w:styleId="TableGrid">
    <w:name w:val="Table Grid"/>
    <w:basedOn w:val="TableNormal"/>
    <w:uiPriority w:val="59"/>
    <w:rsid w:val="000540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5406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46642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567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67F6"/>
    <w:pPr>
      <w:spacing w:after="200"/>
    </w:pPr>
    <w:rPr>
      <w:rFonts w:eastAsiaTheme="minorHAnsi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67F6"/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67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67F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445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445D3"/>
  </w:style>
  <w:style w:type="paragraph" w:styleId="Footer">
    <w:name w:val="footer"/>
    <w:basedOn w:val="Normal"/>
    <w:link w:val="FooterChar"/>
    <w:uiPriority w:val="99"/>
    <w:unhideWhenUsed/>
    <w:rsid w:val="00A445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45D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6202"/>
    <w:pPr>
      <w:spacing w:after="0"/>
    </w:pPr>
    <w:rPr>
      <w:rFonts w:eastAsia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6202"/>
    <w:rPr>
      <w:rFonts w:eastAsiaTheme="minorHAnsi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469"/>
  </w:style>
  <w:style w:type="paragraph" w:styleId="Heading1">
    <w:name w:val="heading 1"/>
    <w:basedOn w:val="Normal"/>
    <w:next w:val="Normal"/>
    <w:link w:val="Heading1Char"/>
    <w:qFormat/>
    <w:rsid w:val="00734469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link w:val="Heading2Char"/>
    <w:qFormat/>
    <w:rsid w:val="00734469"/>
    <w:pPr>
      <w:numPr>
        <w:ilvl w:val="1"/>
        <w:numId w:val="9"/>
      </w:numPr>
      <w:outlineLvl w:val="1"/>
    </w:pPr>
  </w:style>
  <w:style w:type="paragraph" w:styleId="Heading3">
    <w:name w:val="heading 3"/>
    <w:basedOn w:val="Normal"/>
    <w:next w:val="Normal"/>
    <w:link w:val="Heading3Char"/>
    <w:qFormat/>
    <w:rsid w:val="00734469"/>
    <w:pPr>
      <w:numPr>
        <w:ilvl w:val="2"/>
        <w:numId w:val="9"/>
      </w:numPr>
      <w:tabs>
        <w:tab w:val="left" w:pos="-1440"/>
        <w:tab w:val="left" w:pos="-720"/>
        <w:tab w:val="left" w:pos="0"/>
        <w:tab w:val="left" w:pos="439"/>
        <w:tab w:val="left" w:pos="878"/>
        <w:tab w:val="left" w:pos="1244"/>
        <w:tab w:val="left" w:pos="1610"/>
        <w:tab w:val="left" w:pos="1976"/>
        <w:tab w:val="left" w:pos="2342"/>
        <w:tab w:val="left" w:pos="2880"/>
      </w:tabs>
      <w:suppressAutoHyphens/>
      <w:outlineLvl w:val="2"/>
    </w:pPr>
    <w:rPr>
      <w:rFonts w:ascii="CG Times" w:hAnsi="CG Times"/>
    </w:rPr>
  </w:style>
  <w:style w:type="paragraph" w:styleId="Heading4">
    <w:name w:val="heading 4"/>
    <w:basedOn w:val="Normal"/>
    <w:next w:val="Normal"/>
    <w:link w:val="Heading4Char"/>
    <w:qFormat/>
    <w:rsid w:val="00734469"/>
    <w:pPr>
      <w:numPr>
        <w:ilvl w:val="3"/>
        <w:numId w:val="9"/>
      </w:numPr>
      <w:outlineLvl w:val="3"/>
    </w:pPr>
    <w:rPr>
      <w:rFonts w:ascii="CG Times (W1)" w:hAnsi="CG Times (W1)"/>
    </w:rPr>
  </w:style>
  <w:style w:type="paragraph" w:styleId="Heading5">
    <w:name w:val="heading 5"/>
    <w:basedOn w:val="Normal"/>
    <w:next w:val="Normal"/>
    <w:link w:val="Heading5Char"/>
    <w:qFormat/>
    <w:rsid w:val="00734469"/>
    <w:pPr>
      <w:numPr>
        <w:ilvl w:val="4"/>
        <w:numId w:val="9"/>
      </w:numPr>
      <w:outlineLvl w:val="4"/>
    </w:pPr>
    <w:rPr>
      <w:rFonts w:ascii="CG Times (W1)" w:hAnsi="CG Times (W1)"/>
    </w:rPr>
  </w:style>
  <w:style w:type="paragraph" w:styleId="Heading6">
    <w:name w:val="heading 6"/>
    <w:basedOn w:val="Normal"/>
    <w:next w:val="Normal"/>
    <w:link w:val="Heading6Char"/>
    <w:qFormat/>
    <w:rsid w:val="00734469"/>
    <w:pPr>
      <w:numPr>
        <w:ilvl w:val="5"/>
        <w:numId w:val="9"/>
      </w:numPr>
      <w:outlineLvl w:val="5"/>
    </w:pPr>
    <w:rPr>
      <w:rFonts w:ascii="CG Times (W1)" w:hAnsi="CG Times (W1)"/>
    </w:rPr>
  </w:style>
  <w:style w:type="paragraph" w:styleId="Heading7">
    <w:name w:val="heading 7"/>
    <w:basedOn w:val="Normal"/>
    <w:next w:val="Normal"/>
    <w:link w:val="Heading7Char"/>
    <w:qFormat/>
    <w:rsid w:val="00734469"/>
    <w:pPr>
      <w:numPr>
        <w:ilvl w:val="6"/>
        <w:numId w:val="9"/>
      </w:numPr>
      <w:outlineLvl w:val="6"/>
    </w:pPr>
    <w:rPr>
      <w:rFonts w:ascii="CG Times (W1)" w:hAnsi="CG Times (W1)"/>
    </w:rPr>
  </w:style>
  <w:style w:type="paragraph" w:styleId="Heading8">
    <w:name w:val="heading 8"/>
    <w:basedOn w:val="Normal"/>
    <w:next w:val="Normal"/>
    <w:link w:val="Heading8Char"/>
    <w:qFormat/>
    <w:rsid w:val="00734469"/>
    <w:pPr>
      <w:numPr>
        <w:ilvl w:val="7"/>
        <w:numId w:val="9"/>
      </w:numPr>
      <w:outlineLvl w:val="7"/>
    </w:pPr>
    <w:rPr>
      <w:rFonts w:ascii="CG Times (W1)" w:hAnsi="CG Times (W1)"/>
    </w:rPr>
  </w:style>
  <w:style w:type="paragraph" w:styleId="Heading9">
    <w:name w:val="heading 9"/>
    <w:basedOn w:val="Normal"/>
    <w:next w:val="Normal"/>
    <w:link w:val="Heading9Char"/>
    <w:qFormat/>
    <w:rsid w:val="00734469"/>
    <w:pPr>
      <w:numPr>
        <w:ilvl w:val="8"/>
        <w:numId w:val="9"/>
      </w:numPr>
      <w:spacing w:before="240" w:after="60"/>
      <w:outlineLvl w:val="8"/>
    </w:pPr>
    <w:rPr>
      <w:rFonts w:ascii="CG Times (W1)" w:hAnsi="CG Times (W1)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34469"/>
  </w:style>
  <w:style w:type="character" w:customStyle="1" w:styleId="Heading2Char">
    <w:name w:val="Heading 2 Char"/>
    <w:basedOn w:val="DefaultParagraphFont"/>
    <w:link w:val="Heading2"/>
    <w:rsid w:val="00734469"/>
  </w:style>
  <w:style w:type="character" w:customStyle="1" w:styleId="Heading3Char">
    <w:name w:val="Heading 3 Char"/>
    <w:basedOn w:val="DefaultParagraphFont"/>
    <w:link w:val="Heading3"/>
    <w:rsid w:val="00734469"/>
    <w:rPr>
      <w:rFonts w:ascii="CG Times" w:hAnsi="CG Times"/>
    </w:rPr>
  </w:style>
  <w:style w:type="character" w:customStyle="1" w:styleId="Heading4Char">
    <w:name w:val="Heading 4 Char"/>
    <w:basedOn w:val="DefaultParagraphFont"/>
    <w:link w:val="Heading4"/>
    <w:rsid w:val="00734469"/>
    <w:rPr>
      <w:rFonts w:ascii="CG Times (W1)" w:hAnsi="CG Times (W1)"/>
    </w:rPr>
  </w:style>
  <w:style w:type="character" w:customStyle="1" w:styleId="Heading5Char">
    <w:name w:val="Heading 5 Char"/>
    <w:basedOn w:val="DefaultParagraphFont"/>
    <w:link w:val="Heading5"/>
    <w:rsid w:val="00734469"/>
    <w:rPr>
      <w:rFonts w:ascii="CG Times (W1)" w:hAnsi="CG Times (W1)"/>
    </w:rPr>
  </w:style>
  <w:style w:type="character" w:customStyle="1" w:styleId="Heading6Char">
    <w:name w:val="Heading 6 Char"/>
    <w:basedOn w:val="DefaultParagraphFont"/>
    <w:link w:val="Heading6"/>
    <w:rsid w:val="00734469"/>
    <w:rPr>
      <w:rFonts w:ascii="CG Times (W1)" w:hAnsi="CG Times (W1)"/>
    </w:rPr>
  </w:style>
  <w:style w:type="character" w:customStyle="1" w:styleId="Heading7Char">
    <w:name w:val="Heading 7 Char"/>
    <w:basedOn w:val="DefaultParagraphFont"/>
    <w:link w:val="Heading7"/>
    <w:rsid w:val="00734469"/>
    <w:rPr>
      <w:rFonts w:ascii="CG Times (W1)" w:hAnsi="CG Times (W1)"/>
    </w:rPr>
  </w:style>
  <w:style w:type="character" w:customStyle="1" w:styleId="Heading8Char">
    <w:name w:val="Heading 8 Char"/>
    <w:basedOn w:val="DefaultParagraphFont"/>
    <w:link w:val="Heading8"/>
    <w:rsid w:val="00734469"/>
    <w:rPr>
      <w:rFonts w:ascii="CG Times (W1)" w:hAnsi="CG Times (W1)"/>
    </w:rPr>
  </w:style>
  <w:style w:type="character" w:customStyle="1" w:styleId="Heading9Char">
    <w:name w:val="Heading 9 Char"/>
    <w:basedOn w:val="DefaultParagraphFont"/>
    <w:link w:val="Heading9"/>
    <w:rsid w:val="00734469"/>
    <w:rPr>
      <w:rFonts w:ascii="CG Times (W1)" w:hAnsi="CG Times (W1)"/>
    </w:rPr>
  </w:style>
  <w:style w:type="paragraph" w:styleId="Title">
    <w:name w:val="Title"/>
    <w:basedOn w:val="Normal"/>
    <w:link w:val="TitleChar"/>
    <w:qFormat/>
    <w:rsid w:val="00734469"/>
    <w:pPr>
      <w:jc w:val="center"/>
    </w:pPr>
    <w:rPr>
      <w:rFonts w:ascii="Arial Black" w:hAnsi="Arial Black"/>
      <w:sz w:val="24"/>
    </w:rPr>
  </w:style>
  <w:style w:type="character" w:customStyle="1" w:styleId="TitleChar">
    <w:name w:val="Title Char"/>
    <w:basedOn w:val="DefaultParagraphFont"/>
    <w:link w:val="Title"/>
    <w:rsid w:val="00734469"/>
    <w:rPr>
      <w:rFonts w:ascii="Arial Black" w:hAnsi="Arial Black"/>
      <w:sz w:val="24"/>
    </w:rPr>
  </w:style>
  <w:style w:type="character" w:styleId="Strong">
    <w:name w:val="Strong"/>
    <w:basedOn w:val="DefaultParagraphFont"/>
    <w:uiPriority w:val="22"/>
    <w:qFormat/>
    <w:rsid w:val="00734469"/>
    <w:rPr>
      <w:b/>
      <w:bCs/>
    </w:rPr>
  </w:style>
  <w:style w:type="paragraph" w:styleId="ListParagraph">
    <w:name w:val="List Paragraph"/>
    <w:basedOn w:val="Normal"/>
    <w:uiPriority w:val="34"/>
    <w:qFormat/>
    <w:rsid w:val="00734469"/>
    <w:pPr>
      <w:ind w:left="720"/>
      <w:contextualSpacing/>
    </w:pPr>
  </w:style>
  <w:style w:type="table" w:styleId="TableGrid">
    <w:name w:val="Table Grid"/>
    <w:basedOn w:val="TableNormal"/>
    <w:uiPriority w:val="59"/>
    <w:rsid w:val="000540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5406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46642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567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67F6"/>
    <w:pPr>
      <w:spacing w:after="200"/>
    </w:pPr>
    <w:rPr>
      <w:rFonts w:eastAsiaTheme="minorHAnsi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67F6"/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67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67F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445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445D3"/>
  </w:style>
  <w:style w:type="paragraph" w:styleId="Footer">
    <w:name w:val="footer"/>
    <w:basedOn w:val="Normal"/>
    <w:link w:val="FooterChar"/>
    <w:uiPriority w:val="99"/>
    <w:unhideWhenUsed/>
    <w:rsid w:val="00A445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45D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6202"/>
    <w:pPr>
      <w:spacing w:after="0"/>
    </w:pPr>
    <w:rPr>
      <w:rFonts w:eastAsia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6202"/>
    <w:rPr>
      <w:rFonts w:eastAsia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03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41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103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7A4F1-DC0F-4FA1-B4DE-2B25C6F95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1179</Words>
  <Characters>6722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7886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jinahar</dc:creator>
  <cp:lastModifiedBy>Mark</cp:lastModifiedBy>
  <cp:revision>2</cp:revision>
  <dcterms:created xsi:type="dcterms:W3CDTF">2015-01-21T23:55:00Z</dcterms:created>
  <dcterms:modified xsi:type="dcterms:W3CDTF">2015-01-21T23:55:00Z</dcterms:modified>
</cp:coreProperties>
</file>