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432" w:type="dxa"/>
        <w:tblLook w:val="04A0"/>
      </w:tblPr>
      <w:tblGrid>
        <w:gridCol w:w="2970"/>
        <w:gridCol w:w="1440"/>
        <w:gridCol w:w="1170"/>
        <w:gridCol w:w="1530"/>
        <w:gridCol w:w="1260"/>
        <w:gridCol w:w="1123"/>
      </w:tblGrid>
      <w:tr w:rsidR="008337CC" w:rsidRPr="008337CC" w:rsidTr="007051DC">
        <w:tc>
          <w:tcPr>
            <w:tcW w:w="2970" w:type="dxa"/>
          </w:tcPr>
          <w:p w:rsidR="008337CC" w:rsidRPr="008337CC" w:rsidRDefault="008337CC" w:rsidP="008337CC">
            <w:pPr>
              <w:jc w:val="center"/>
              <w:rPr>
                <w:b/>
                <w:sz w:val="24"/>
                <w:szCs w:val="24"/>
              </w:rPr>
            </w:pPr>
            <w:r w:rsidRPr="008337CC">
              <w:rPr>
                <w:b/>
                <w:sz w:val="24"/>
                <w:szCs w:val="24"/>
              </w:rPr>
              <w:t>Commissioner</w:t>
            </w:r>
          </w:p>
        </w:tc>
        <w:tc>
          <w:tcPr>
            <w:tcW w:w="1440" w:type="dxa"/>
          </w:tcPr>
          <w:p w:rsidR="008337CC" w:rsidRPr="008337CC" w:rsidRDefault="008337CC" w:rsidP="008337CC">
            <w:pPr>
              <w:jc w:val="center"/>
              <w:rPr>
                <w:b/>
                <w:sz w:val="24"/>
                <w:szCs w:val="24"/>
              </w:rPr>
            </w:pPr>
            <w:r w:rsidRPr="008337CC">
              <w:rPr>
                <w:b/>
                <w:sz w:val="24"/>
                <w:szCs w:val="24"/>
              </w:rPr>
              <w:t>Armstrong</w:t>
            </w:r>
          </w:p>
        </w:tc>
        <w:tc>
          <w:tcPr>
            <w:tcW w:w="1170" w:type="dxa"/>
          </w:tcPr>
          <w:p w:rsidR="008337CC" w:rsidRPr="008337CC" w:rsidRDefault="008337CC" w:rsidP="008337CC">
            <w:pPr>
              <w:jc w:val="center"/>
              <w:rPr>
                <w:b/>
                <w:sz w:val="24"/>
                <w:szCs w:val="24"/>
              </w:rPr>
            </w:pPr>
            <w:r w:rsidRPr="008337CC">
              <w:rPr>
                <w:b/>
                <w:sz w:val="24"/>
                <w:szCs w:val="24"/>
              </w:rPr>
              <w:t>Eden</w:t>
            </w:r>
          </w:p>
        </w:tc>
        <w:tc>
          <w:tcPr>
            <w:tcW w:w="1530" w:type="dxa"/>
          </w:tcPr>
          <w:p w:rsidR="008337CC" w:rsidRPr="008337CC" w:rsidRDefault="008337CC" w:rsidP="008337CC">
            <w:pPr>
              <w:jc w:val="center"/>
              <w:rPr>
                <w:b/>
                <w:sz w:val="24"/>
                <w:szCs w:val="24"/>
              </w:rPr>
            </w:pPr>
            <w:r w:rsidRPr="008337CC">
              <w:rPr>
                <w:b/>
                <w:sz w:val="24"/>
                <w:szCs w:val="24"/>
              </w:rPr>
              <w:t>Johnson</w:t>
            </w:r>
          </w:p>
        </w:tc>
        <w:tc>
          <w:tcPr>
            <w:tcW w:w="1260" w:type="dxa"/>
          </w:tcPr>
          <w:p w:rsidR="008337CC" w:rsidRPr="008337CC" w:rsidRDefault="008337CC" w:rsidP="008337CC">
            <w:pPr>
              <w:jc w:val="center"/>
              <w:rPr>
                <w:b/>
                <w:sz w:val="24"/>
                <w:szCs w:val="24"/>
              </w:rPr>
            </w:pPr>
            <w:r w:rsidRPr="008337CC">
              <w:rPr>
                <w:b/>
                <w:sz w:val="24"/>
                <w:szCs w:val="24"/>
              </w:rPr>
              <w:t>O’Keeffe</w:t>
            </w:r>
          </w:p>
        </w:tc>
        <w:tc>
          <w:tcPr>
            <w:tcW w:w="1123" w:type="dxa"/>
          </w:tcPr>
          <w:p w:rsidR="008337CC" w:rsidRPr="008337CC" w:rsidRDefault="008337CC" w:rsidP="008337CC">
            <w:pPr>
              <w:jc w:val="center"/>
              <w:rPr>
                <w:b/>
                <w:sz w:val="24"/>
                <w:szCs w:val="24"/>
              </w:rPr>
            </w:pPr>
            <w:r w:rsidRPr="008337CC">
              <w:rPr>
                <w:b/>
                <w:sz w:val="24"/>
                <w:szCs w:val="24"/>
              </w:rPr>
              <w:t>Rider</w:t>
            </w:r>
          </w:p>
        </w:tc>
      </w:tr>
      <w:tr w:rsidR="008337CC" w:rsidRPr="008337CC" w:rsidTr="007051DC">
        <w:tc>
          <w:tcPr>
            <w:tcW w:w="2970" w:type="dxa"/>
          </w:tcPr>
          <w:p w:rsidR="008337CC" w:rsidRPr="008337CC" w:rsidRDefault="008337CC">
            <w:pPr>
              <w:rPr>
                <w:sz w:val="24"/>
                <w:szCs w:val="24"/>
              </w:rPr>
            </w:pPr>
            <w:r>
              <w:rPr>
                <w:sz w:val="24"/>
                <w:szCs w:val="24"/>
              </w:rPr>
              <w:t>Hardcopy</w:t>
            </w:r>
          </w:p>
        </w:tc>
        <w:tc>
          <w:tcPr>
            <w:tcW w:w="1440" w:type="dxa"/>
          </w:tcPr>
          <w:p w:rsidR="008337CC" w:rsidRPr="008337CC" w:rsidRDefault="008337CC" w:rsidP="008337CC">
            <w:pPr>
              <w:jc w:val="center"/>
              <w:rPr>
                <w:sz w:val="24"/>
                <w:szCs w:val="24"/>
              </w:rPr>
            </w:pPr>
            <w:r>
              <w:rPr>
                <w:sz w:val="24"/>
                <w:szCs w:val="24"/>
              </w:rPr>
              <w:t>Yes</w:t>
            </w:r>
          </w:p>
        </w:tc>
        <w:tc>
          <w:tcPr>
            <w:tcW w:w="1170" w:type="dxa"/>
          </w:tcPr>
          <w:p w:rsidR="008337CC" w:rsidRPr="008337CC" w:rsidRDefault="008337CC" w:rsidP="008337CC">
            <w:pPr>
              <w:jc w:val="center"/>
              <w:rPr>
                <w:sz w:val="24"/>
                <w:szCs w:val="24"/>
              </w:rPr>
            </w:pPr>
          </w:p>
        </w:tc>
        <w:tc>
          <w:tcPr>
            <w:tcW w:w="1530" w:type="dxa"/>
          </w:tcPr>
          <w:p w:rsidR="008337CC" w:rsidRPr="008337CC" w:rsidRDefault="008337CC" w:rsidP="008337CC">
            <w:pPr>
              <w:jc w:val="center"/>
              <w:rPr>
                <w:sz w:val="24"/>
                <w:szCs w:val="24"/>
              </w:rPr>
            </w:pPr>
            <w:r>
              <w:rPr>
                <w:sz w:val="24"/>
                <w:szCs w:val="24"/>
              </w:rPr>
              <w:t>No</w:t>
            </w:r>
          </w:p>
        </w:tc>
        <w:tc>
          <w:tcPr>
            <w:tcW w:w="1260" w:type="dxa"/>
          </w:tcPr>
          <w:p w:rsidR="008337CC" w:rsidRPr="008337CC" w:rsidRDefault="008337CC" w:rsidP="008337CC">
            <w:pPr>
              <w:jc w:val="center"/>
              <w:rPr>
                <w:sz w:val="24"/>
                <w:szCs w:val="24"/>
              </w:rPr>
            </w:pPr>
          </w:p>
        </w:tc>
        <w:tc>
          <w:tcPr>
            <w:tcW w:w="1123" w:type="dxa"/>
          </w:tcPr>
          <w:p w:rsidR="008337CC" w:rsidRPr="008337CC" w:rsidRDefault="008337CC" w:rsidP="008337CC">
            <w:pPr>
              <w:jc w:val="center"/>
              <w:rPr>
                <w:sz w:val="24"/>
                <w:szCs w:val="24"/>
              </w:rPr>
            </w:pPr>
            <w:r>
              <w:rPr>
                <w:sz w:val="24"/>
                <w:szCs w:val="24"/>
              </w:rPr>
              <w:t>Yes</w:t>
            </w:r>
          </w:p>
        </w:tc>
      </w:tr>
      <w:tr w:rsidR="008A6EB2" w:rsidRPr="008337CC" w:rsidTr="007051DC">
        <w:tc>
          <w:tcPr>
            <w:tcW w:w="2970" w:type="dxa"/>
          </w:tcPr>
          <w:p w:rsidR="008A6EB2" w:rsidRPr="008337CC" w:rsidRDefault="008A6EB2">
            <w:pPr>
              <w:rPr>
                <w:sz w:val="24"/>
                <w:szCs w:val="24"/>
              </w:rPr>
            </w:pPr>
            <w:r>
              <w:rPr>
                <w:sz w:val="24"/>
                <w:szCs w:val="24"/>
              </w:rPr>
              <w:t>Individual Meeting</w:t>
            </w:r>
          </w:p>
        </w:tc>
        <w:tc>
          <w:tcPr>
            <w:tcW w:w="1440" w:type="dxa"/>
          </w:tcPr>
          <w:p w:rsidR="008A6EB2" w:rsidRDefault="008A6EB2" w:rsidP="008337CC">
            <w:pPr>
              <w:jc w:val="center"/>
              <w:rPr>
                <w:sz w:val="24"/>
                <w:szCs w:val="24"/>
              </w:rPr>
            </w:pPr>
            <w:r>
              <w:rPr>
                <w:sz w:val="24"/>
                <w:szCs w:val="24"/>
              </w:rPr>
              <w:t>Yes</w:t>
            </w:r>
          </w:p>
          <w:p w:rsidR="008A6EB2" w:rsidRPr="008A6EB2" w:rsidRDefault="008A6EB2" w:rsidP="008337CC">
            <w:pPr>
              <w:jc w:val="center"/>
              <w:rPr>
                <w:sz w:val="16"/>
                <w:szCs w:val="16"/>
              </w:rPr>
            </w:pPr>
            <w:r>
              <w:rPr>
                <w:sz w:val="16"/>
                <w:szCs w:val="16"/>
              </w:rPr>
              <w:t>Week of 3/15 or 3/29?</w:t>
            </w:r>
          </w:p>
        </w:tc>
        <w:tc>
          <w:tcPr>
            <w:tcW w:w="1170" w:type="dxa"/>
          </w:tcPr>
          <w:p w:rsidR="008A6EB2" w:rsidRPr="008A6EB2" w:rsidRDefault="008A6EB2" w:rsidP="008337CC">
            <w:pPr>
              <w:jc w:val="center"/>
              <w:rPr>
                <w:sz w:val="16"/>
                <w:szCs w:val="16"/>
              </w:rPr>
            </w:pPr>
            <w:r>
              <w:rPr>
                <w:sz w:val="16"/>
                <w:szCs w:val="16"/>
              </w:rPr>
              <w:t>Re-ask by 02/10</w:t>
            </w:r>
          </w:p>
        </w:tc>
        <w:tc>
          <w:tcPr>
            <w:tcW w:w="1530" w:type="dxa"/>
          </w:tcPr>
          <w:p w:rsidR="008A6EB2" w:rsidRDefault="008A6EB2" w:rsidP="008337CC">
            <w:pPr>
              <w:jc w:val="center"/>
              <w:rPr>
                <w:sz w:val="24"/>
                <w:szCs w:val="24"/>
              </w:rPr>
            </w:pPr>
            <w:r>
              <w:rPr>
                <w:sz w:val="24"/>
                <w:szCs w:val="24"/>
              </w:rPr>
              <w:t xml:space="preserve">Yes </w:t>
            </w:r>
          </w:p>
          <w:p w:rsidR="008A6EB2" w:rsidRPr="008337CC" w:rsidRDefault="008A6EB2" w:rsidP="008337CC">
            <w:pPr>
              <w:jc w:val="center"/>
              <w:rPr>
                <w:sz w:val="16"/>
                <w:szCs w:val="16"/>
              </w:rPr>
            </w:pPr>
            <w:r w:rsidRPr="008337CC">
              <w:rPr>
                <w:sz w:val="16"/>
                <w:szCs w:val="16"/>
              </w:rPr>
              <w:t>1</w:t>
            </w:r>
            <w:r w:rsidRPr="008337CC">
              <w:rPr>
                <w:sz w:val="16"/>
                <w:szCs w:val="16"/>
                <w:vertAlign w:val="superscript"/>
              </w:rPr>
              <w:t>st</w:t>
            </w:r>
            <w:r w:rsidRPr="008337CC">
              <w:rPr>
                <w:sz w:val="16"/>
                <w:szCs w:val="16"/>
              </w:rPr>
              <w:t xml:space="preserve"> week of April</w:t>
            </w:r>
          </w:p>
        </w:tc>
        <w:tc>
          <w:tcPr>
            <w:tcW w:w="1260" w:type="dxa"/>
          </w:tcPr>
          <w:p w:rsidR="008A6EB2" w:rsidRPr="008A6EB2" w:rsidRDefault="008A6EB2" w:rsidP="00661260">
            <w:pPr>
              <w:jc w:val="center"/>
              <w:rPr>
                <w:sz w:val="16"/>
                <w:szCs w:val="16"/>
              </w:rPr>
            </w:pPr>
            <w:r>
              <w:rPr>
                <w:sz w:val="16"/>
                <w:szCs w:val="16"/>
              </w:rPr>
              <w:t>Re-ask by 02/10</w:t>
            </w:r>
          </w:p>
        </w:tc>
        <w:tc>
          <w:tcPr>
            <w:tcW w:w="1123" w:type="dxa"/>
          </w:tcPr>
          <w:p w:rsidR="008A6EB2" w:rsidRDefault="008A6EB2" w:rsidP="00661260">
            <w:pPr>
              <w:jc w:val="center"/>
              <w:rPr>
                <w:sz w:val="24"/>
                <w:szCs w:val="24"/>
              </w:rPr>
            </w:pPr>
            <w:r>
              <w:rPr>
                <w:sz w:val="24"/>
                <w:szCs w:val="24"/>
              </w:rPr>
              <w:t>Yes</w:t>
            </w:r>
          </w:p>
          <w:p w:rsidR="008A6EB2" w:rsidRPr="008A6EB2" w:rsidRDefault="008A6EB2" w:rsidP="00661260">
            <w:pPr>
              <w:jc w:val="center"/>
              <w:rPr>
                <w:sz w:val="16"/>
                <w:szCs w:val="16"/>
              </w:rPr>
            </w:pPr>
            <w:r>
              <w:rPr>
                <w:sz w:val="16"/>
                <w:szCs w:val="16"/>
              </w:rPr>
              <w:t>Week of 3/15 or 3/29?</w:t>
            </w:r>
          </w:p>
        </w:tc>
      </w:tr>
      <w:tr w:rsidR="008A6EB2" w:rsidRPr="008337CC" w:rsidTr="004154D9">
        <w:tc>
          <w:tcPr>
            <w:tcW w:w="9493" w:type="dxa"/>
            <w:gridSpan w:val="6"/>
          </w:tcPr>
          <w:p w:rsidR="008A6EB2" w:rsidRPr="008337CC" w:rsidRDefault="008A6EB2">
            <w:pPr>
              <w:rPr>
                <w:sz w:val="24"/>
                <w:szCs w:val="24"/>
              </w:rPr>
            </w:pPr>
            <w:r>
              <w:rPr>
                <w:sz w:val="24"/>
                <w:szCs w:val="24"/>
              </w:rPr>
              <w:t>David C, Jeffrey, George, Jill to meet with commissioners</w:t>
            </w:r>
          </w:p>
        </w:tc>
      </w:tr>
    </w:tbl>
    <w:p w:rsidR="008A5039" w:rsidRDefault="008A5039"/>
    <w:p w:rsidR="007051DC" w:rsidRPr="007051DC" w:rsidRDefault="007051DC">
      <w:pPr>
        <w:rPr>
          <w:sz w:val="24"/>
          <w:szCs w:val="24"/>
        </w:rPr>
      </w:pPr>
      <w:r w:rsidRPr="007051DC">
        <w:rPr>
          <w:sz w:val="24"/>
          <w:szCs w:val="24"/>
        </w:rPr>
        <w:t>Outstanding Questions:</w:t>
      </w:r>
    </w:p>
    <w:p w:rsidR="007051DC" w:rsidRPr="00D66CE3" w:rsidRDefault="00D66CE3" w:rsidP="007051DC">
      <w:pPr>
        <w:pStyle w:val="ListParagraph"/>
        <w:numPr>
          <w:ilvl w:val="0"/>
          <w:numId w:val="10"/>
        </w:numPr>
        <w:rPr>
          <w:b/>
          <w:sz w:val="24"/>
          <w:szCs w:val="24"/>
          <w:u w:val="single"/>
        </w:rPr>
      </w:pPr>
      <w:r w:rsidRPr="00D66CE3">
        <w:rPr>
          <w:b/>
          <w:sz w:val="24"/>
          <w:szCs w:val="24"/>
          <w:u w:val="single"/>
        </w:rPr>
        <w:t xml:space="preserve">Is it necessary to keep </w:t>
      </w:r>
      <w:r w:rsidR="007051DC" w:rsidRPr="00D66CE3">
        <w:rPr>
          <w:b/>
          <w:sz w:val="24"/>
          <w:szCs w:val="24"/>
          <w:u w:val="single"/>
        </w:rPr>
        <w:t>N</w:t>
      </w:r>
      <w:r w:rsidRPr="00D66CE3">
        <w:rPr>
          <w:b/>
          <w:sz w:val="24"/>
          <w:szCs w:val="24"/>
          <w:u w:val="single"/>
        </w:rPr>
        <w:t xml:space="preserve">et </w:t>
      </w:r>
      <w:r w:rsidR="007051DC" w:rsidRPr="00D66CE3">
        <w:rPr>
          <w:b/>
          <w:sz w:val="24"/>
          <w:szCs w:val="24"/>
          <w:u w:val="single"/>
        </w:rPr>
        <w:t>A</w:t>
      </w:r>
      <w:r w:rsidRPr="00D66CE3">
        <w:rPr>
          <w:b/>
          <w:sz w:val="24"/>
          <w:szCs w:val="24"/>
          <w:u w:val="single"/>
        </w:rPr>
        <w:t xml:space="preserve">ir </w:t>
      </w:r>
      <w:r w:rsidR="007051DC" w:rsidRPr="00D66CE3">
        <w:rPr>
          <w:b/>
          <w:sz w:val="24"/>
          <w:szCs w:val="24"/>
          <w:u w:val="single"/>
        </w:rPr>
        <w:t>Q</w:t>
      </w:r>
      <w:r w:rsidRPr="00D66CE3">
        <w:rPr>
          <w:b/>
          <w:sz w:val="24"/>
          <w:szCs w:val="24"/>
          <w:u w:val="single"/>
        </w:rPr>
        <w:t xml:space="preserve">uality </w:t>
      </w:r>
      <w:r w:rsidR="007051DC" w:rsidRPr="00D66CE3">
        <w:rPr>
          <w:b/>
          <w:sz w:val="24"/>
          <w:szCs w:val="24"/>
          <w:u w:val="single"/>
        </w:rPr>
        <w:t>B</w:t>
      </w:r>
      <w:r w:rsidRPr="00D66CE3">
        <w:rPr>
          <w:b/>
          <w:sz w:val="24"/>
          <w:szCs w:val="24"/>
          <w:u w:val="single"/>
        </w:rPr>
        <w:t>enefit if it isn’t workable?</w:t>
      </w:r>
    </w:p>
    <w:p w:rsidR="00D66CE3" w:rsidRPr="00D66CE3" w:rsidRDefault="00D66CE3" w:rsidP="00D66CE3">
      <w:pPr>
        <w:ind w:left="360"/>
        <w:rPr>
          <w:i/>
          <w:sz w:val="24"/>
          <w:szCs w:val="24"/>
        </w:rPr>
      </w:pPr>
      <w:r w:rsidRPr="00D66CE3">
        <w:rPr>
          <w:i/>
          <w:sz w:val="24"/>
          <w:szCs w:val="24"/>
        </w:rPr>
        <w:t xml:space="preserve">DEQ staff spoke with EPA on 01/22/15 regarding net air quality benefit.  Region 10 staff is still waiting for an answer from EPA headquarters on the question of eliminating net air quality benefit from DEQ’s rules.  Region 10 said that DEQ’s original New Source Review rules adopted in 1981 point to the 40 CFR Appendix S Emission Offset Interpretive Ruling, requiring modeling to show a net air quality benefit.  The modeling requirement was not included in EPA’s Permit Requirement rules in 40 CFR §51.165.  Therefore, Region 10 needs an interpretation from headquarters before allowing such a change. </w:t>
      </w:r>
    </w:p>
    <w:p w:rsidR="00D66CE3" w:rsidRPr="00D66CE3" w:rsidRDefault="00D66CE3" w:rsidP="00D66CE3">
      <w:pPr>
        <w:ind w:left="360"/>
        <w:rPr>
          <w:i/>
          <w:sz w:val="24"/>
          <w:szCs w:val="24"/>
        </w:rPr>
      </w:pPr>
    </w:p>
    <w:p w:rsidR="00D66CE3" w:rsidRPr="00D66CE3" w:rsidRDefault="00D66CE3" w:rsidP="00D66CE3">
      <w:pPr>
        <w:ind w:left="360"/>
        <w:rPr>
          <w:i/>
          <w:sz w:val="24"/>
          <w:szCs w:val="24"/>
        </w:rPr>
      </w:pPr>
      <w:r w:rsidRPr="00D66CE3">
        <w:rPr>
          <w:i/>
          <w:sz w:val="24"/>
          <w:szCs w:val="24"/>
        </w:rPr>
        <w:t>DEQ made net air quality benefit a requirement for facilities building or expanding in nonattainment or maintenance areas so as not to make air quality in these areas even worse. The Clean Air Act has a General Savings Clause in section 193 that states:</w:t>
      </w:r>
    </w:p>
    <w:p w:rsidR="00D66CE3" w:rsidRPr="00D66CE3" w:rsidRDefault="00D66CE3" w:rsidP="00D66CE3">
      <w:pPr>
        <w:ind w:left="360"/>
        <w:rPr>
          <w:i/>
          <w:sz w:val="24"/>
          <w:szCs w:val="24"/>
        </w:rPr>
      </w:pPr>
    </w:p>
    <w:p w:rsidR="00D66CE3" w:rsidRPr="00D66CE3" w:rsidRDefault="00D66CE3" w:rsidP="00D66CE3">
      <w:pPr>
        <w:ind w:left="360"/>
        <w:rPr>
          <w:i/>
          <w:sz w:val="24"/>
          <w:szCs w:val="24"/>
        </w:rPr>
      </w:pPr>
      <w:r w:rsidRPr="00D66CE3">
        <w:rPr>
          <w:i/>
          <w:sz w:val="24"/>
          <w:szCs w:val="24"/>
        </w:rPr>
        <w:t>Each regulation, standard, rule, notice, order and guidance promulgated or issued by the Administrator under this chapter, as in effect before November 15, 1990, shall remain in effect according to its terms, except to the extent otherwise provided under this chapter, inconsistent with any provision of this chapter, or revised by the Administrator. No control requirement in effect, or required to be adopted by an order, settlement agreement, or plan in effect before November 15, 1990, in any area which is a nonattainment area for any air pollutant may be modified after November 15, 1990, in any manner unless the modification insures equivalent or greater emission reductions of such air pollutant.</w:t>
      </w:r>
    </w:p>
    <w:p w:rsidR="00D66CE3" w:rsidRPr="00D66CE3" w:rsidRDefault="00D66CE3" w:rsidP="00D66CE3">
      <w:pPr>
        <w:ind w:left="360"/>
        <w:rPr>
          <w:i/>
          <w:sz w:val="24"/>
          <w:szCs w:val="24"/>
        </w:rPr>
      </w:pPr>
    </w:p>
    <w:p w:rsidR="00D66CE3" w:rsidRPr="00D66CE3" w:rsidRDefault="00D66CE3" w:rsidP="00D66CE3">
      <w:pPr>
        <w:ind w:left="360"/>
        <w:rPr>
          <w:i/>
          <w:sz w:val="24"/>
          <w:szCs w:val="24"/>
        </w:rPr>
      </w:pPr>
      <w:r w:rsidRPr="00D66CE3">
        <w:rPr>
          <w:i/>
          <w:sz w:val="24"/>
          <w:szCs w:val="24"/>
        </w:rPr>
        <w:t xml:space="preserve">In order for DEQ to remove net air quality benefit from our rules, we would have to make a showing that this removal would not be considered a relaxation, which would be a high hurdle according to EPA Region 10 staff. EPA staff agrees that the current rule language is unworkable in most cases because of the shift toward PM2.5 nonattainment areas.  Back when the rule language was adopted, ozone and total particulate were the pollutants of concern and showing a net air quality benefit was doable.  EPA is willing to work with DEQ to improve the language, making it workable for PM2.5 nonattainment areas.  DEQ agrees that this is the correct approach to take in order to protect air quality in nonattainment and maintenance areas.  </w:t>
      </w:r>
    </w:p>
    <w:p w:rsidR="00D66CE3" w:rsidRPr="00D66CE3" w:rsidRDefault="00D66CE3" w:rsidP="00D66CE3">
      <w:pPr>
        <w:ind w:left="360"/>
        <w:rPr>
          <w:i/>
          <w:sz w:val="24"/>
          <w:szCs w:val="24"/>
        </w:rPr>
      </w:pPr>
    </w:p>
    <w:p w:rsidR="007051DC" w:rsidRPr="00D66CE3" w:rsidRDefault="007051DC" w:rsidP="007051DC">
      <w:pPr>
        <w:pStyle w:val="ListParagraph"/>
        <w:numPr>
          <w:ilvl w:val="0"/>
          <w:numId w:val="10"/>
        </w:numPr>
        <w:rPr>
          <w:b/>
          <w:sz w:val="24"/>
          <w:szCs w:val="24"/>
          <w:u w:val="single"/>
        </w:rPr>
      </w:pPr>
      <w:r w:rsidRPr="00D66CE3">
        <w:rPr>
          <w:b/>
          <w:sz w:val="24"/>
          <w:szCs w:val="24"/>
          <w:u w:val="single"/>
        </w:rPr>
        <w:t xml:space="preserve">Designating Priority Sources </w:t>
      </w:r>
    </w:p>
    <w:p w:rsidR="007051DC" w:rsidRPr="007051DC" w:rsidRDefault="007051DC" w:rsidP="007051DC">
      <w:pPr>
        <w:ind w:left="360"/>
        <w:rPr>
          <w:i/>
          <w:sz w:val="24"/>
          <w:szCs w:val="24"/>
        </w:rPr>
      </w:pPr>
      <w:r w:rsidRPr="007051DC">
        <w:rPr>
          <w:i/>
          <w:sz w:val="24"/>
          <w:szCs w:val="24"/>
        </w:rPr>
        <w:t>DEQ would have a detailed analysis in the source’s review report saying that they have to get XX amount of tons of offsets from XX amount of woodstove changeouts. There are two possible methods that could be used to track the woodstove offsets:</w:t>
      </w:r>
    </w:p>
    <w:p w:rsidR="007051DC" w:rsidRPr="007051DC" w:rsidRDefault="007051DC" w:rsidP="007051DC">
      <w:pPr>
        <w:ind w:left="360"/>
        <w:rPr>
          <w:i/>
          <w:sz w:val="24"/>
          <w:szCs w:val="24"/>
        </w:rPr>
      </w:pPr>
    </w:p>
    <w:p w:rsidR="007051DC" w:rsidRPr="007051DC" w:rsidRDefault="007051DC" w:rsidP="007051DC">
      <w:pPr>
        <w:numPr>
          <w:ilvl w:val="0"/>
          <w:numId w:val="11"/>
        </w:numPr>
        <w:rPr>
          <w:i/>
          <w:sz w:val="24"/>
          <w:szCs w:val="24"/>
        </w:rPr>
      </w:pPr>
      <w:r w:rsidRPr="007051DC">
        <w:rPr>
          <w:i/>
          <w:sz w:val="24"/>
          <w:szCs w:val="24"/>
        </w:rPr>
        <w:t xml:space="preserve">Officially identify a government or quasi-government agency or other entity to serve as the “Bank” and develop procedures to meet the intent of the rule.  </w:t>
      </w:r>
    </w:p>
    <w:p w:rsidR="007051DC" w:rsidRPr="007051DC" w:rsidRDefault="007051DC" w:rsidP="007051DC">
      <w:pPr>
        <w:numPr>
          <w:ilvl w:val="0"/>
          <w:numId w:val="11"/>
        </w:numPr>
        <w:rPr>
          <w:i/>
          <w:sz w:val="24"/>
          <w:szCs w:val="24"/>
        </w:rPr>
      </w:pPr>
      <w:r w:rsidRPr="007051DC">
        <w:rPr>
          <w:i/>
          <w:sz w:val="24"/>
          <w:szCs w:val="24"/>
        </w:rPr>
        <w:lastRenderedPageBreak/>
        <w:t>Issue an Emission Reduction Credit (ERC) permit to a government entity or other entity with the requirements to address woodstove offsets.  </w:t>
      </w:r>
    </w:p>
    <w:p w:rsidR="007051DC" w:rsidRPr="007051DC" w:rsidRDefault="007051DC" w:rsidP="007051DC">
      <w:pPr>
        <w:ind w:left="360"/>
        <w:rPr>
          <w:i/>
          <w:sz w:val="24"/>
          <w:szCs w:val="24"/>
        </w:rPr>
      </w:pPr>
    </w:p>
    <w:p w:rsidR="007051DC" w:rsidRPr="007051DC" w:rsidRDefault="007051DC" w:rsidP="007051DC">
      <w:pPr>
        <w:ind w:left="360"/>
        <w:rPr>
          <w:i/>
          <w:sz w:val="24"/>
          <w:szCs w:val="24"/>
        </w:rPr>
      </w:pPr>
      <w:r w:rsidRPr="007051DC">
        <w:rPr>
          <w:i/>
          <w:sz w:val="24"/>
          <w:szCs w:val="24"/>
        </w:rPr>
        <w:t>In either case, a government agency or entity needs to be the “Bank” to hold the credits. There will be an accounting of each stove replaced and an emission assigned to each stove removed.  DEQ will approve each stove removed and replaced and will track the following information that was gathered in a similar woodstove changeout program:</w:t>
      </w:r>
    </w:p>
    <w:p w:rsidR="007051DC" w:rsidRPr="007051DC" w:rsidRDefault="007051DC" w:rsidP="007051DC">
      <w:pPr>
        <w:ind w:left="360"/>
        <w:rPr>
          <w:i/>
          <w:sz w:val="24"/>
          <w:szCs w:val="24"/>
        </w:rPr>
      </w:pPr>
    </w:p>
    <w:p w:rsidR="007051DC" w:rsidRPr="007051DC" w:rsidRDefault="007051DC" w:rsidP="007051DC">
      <w:pPr>
        <w:numPr>
          <w:ilvl w:val="0"/>
          <w:numId w:val="12"/>
        </w:numPr>
        <w:rPr>
          <w:i/>
          <w:sz w:val="24"/>
          <w:szCs w:val="24"/>
        </w:rPr>
      </w:pPr>
      <w:r w:rsidRPr="007051DC">
        <w:rPr>
          <w:i/>
          <w:sz w:val="24"/>
          <w:szCs w:val="24"/>
        </w:rPr>
        <w:t xml:space="preserve">name, address and phone number of the homeowner (renter) receiving the installation; </w:t>
      </w:r>
    </w:p>
    <w:p w:rsidR="007051DC" w:rsidRPr="007051DC" w:rsidRDefault="007051DC" w:rsidP="007051DC">
      <w:pPr>
        <w:numPr>
          <w:ilvl w:val="0"/>
          <w:numId w:val="12"/>
        </w:numPr>
        <w:rPr>
          <w:i/>
          <w:sz w:val="24"/>
          <w:szCs w:val="24"/>
        </w:rPr>
      </w:pPr>
      <w:r w:rsidRPr="007051DC">
        <w:rPr>
          <w:i/>
          <w:sz w:val="24"/>
          <w:szCs w:val="24"/>
        </w:rPr>
        <w:t xml:space="preserve">type of the old stove removed; </w:t>
      </w:r>
    </w:p>
    <w:p w:rsidR="007051DC" w:rsidRPr="007051DC" w:rsidRDefault="007051DC" w:rsidP="007051DC">
      <w:pPr>
        <w:numPr>
          <w:ilvl w:val="0"/>
          <w:numId w:val="12"/>
        </w:numPr>
        <w:rPr>
          <w:i/>
          <w:sz w:val="24"/>
          <w:szCs w:val="24"/>
        </w:rPr>
      </w:pPr>
      <w:r w:rsidRPr="007051DC">
        <w:rPr>
          <w:i/>
          <w:sz w:val="24"/>
          <w:szCs w:val="24"/>
        </w:rPr>
        <w:t xml:space="preserve">affidavit (receipt) of the stove being destroyed; </w:t>
      </w:r>
    </w:p>
    <w:p w:rsidR="007051DC" w:rsidRPr="007051DC" w:rsidRDefault="007051DC" w:rsidP="007051DC">
      <w:pPr>
        <w:numPr>
          <w:ilvl w:val="0"/>
          <w:numId w:val="12"/>
        </w:numPr>
        <w:rPr>
          <w:i/>
          <w:sz w:val="24"/>
          <w:szCs w:val="24"/>
        </w:rPr>
      </w:pPr>
      <w:r w:rsidRPr="007051DC">
        <w:rPr>
          <w:i/>
          <w:sz w:val="24"/>
          <w:szCs w:val="24"/>
        </w:rPr>
        <w:t xml:space="preserve">installer; </w:t>
      </w:r>
    </w:p>
    <w:p w:rsidR="007051DC" w:rsidRPr="007051DC" w:rsidRDefault="007051DC" w:rsidP="007051DC">
      <w:pPr>
        <w:numPr>
          <w:ilvl w:val="0"/>
          <w:numId w:val="12"/>
        </w:numPr>
        <w:rPr>
          <w:i/>
          <w:sz w:val="24"/>
          <w:szCs w:val="24"/>
        </w:rPr>
      </w:pPr>
      <w:r w:rsidRPr="007051DC">
        <w:rPr>
          <w:i/>
          <w:sz w:val="24"/>
          <w:szCs w:val="24"/>
        </w:rPr>
        <w:t xml:space="preserve">type of stove or heating device installed; </w:t>
      </w:r>
    </w:p>
    <w:p w:rsidR="007051DC" w:rsidRPr="007051DC" w:rsidRDefault="007051DC" w:rsidP="007051DC">
      <w:pPr>
        <w:numPr>
          <w:ilvl w:val="0"/>
          <w:numId w:val="12"/>
        </w:numPr>
        <w:rPr>
          <w:i/>
          <w:sz w:val="24"/>
          <w:szCs w:val="24"/>
        </w:rPr>
      </w:pPr>
      <w:r w:rsidRPr="007051DC">
        <w:rPr>
          <w:i/>
          <w:sz w:val="24"/>
          <w:szCs w:val="24"/>
        </w:rPr>
        <w:t>cost of the stove and installation;</w:t>
      </w:r>
    </w:p>
    <w:p w:rsidR="007051DC" w:rsidRPr="007051DC" w:rsidRDefault="007051DC" w:rsidP="007051DC">
      <w:pPr>
        <w:numPr>
          <w:ilvl w:val="0"/>
          <w:numId w:val="12"/>
        </w:numPr>
        <w:rPr>
          <w:i/>
          <w:sz w:val="24"/>
          <w:szCs w:val="24"/>
        </w:rPr>
      </w:pPr>
      <w:r w:rsidRPr="007051DC">
        <w:rPr>
          <w:i/>
          <w:sz w:val="24"/>
          <w:szCs w:val="24"/>
        </w:rPr>
        <w:t xml:space="preserve">energy reduction or savings; and </w:t>
      </w:r>
    </w:p>
    <w:p w:rsidR="007051DC" w:rsidRPr="007051DC" w:rsidRDefault="007051DC" w:rsidP="007051DC">
      <w:pPr>
        <w:numPr>
          <w:ilvl w:val="0"/>
          <w:numId w:val="12"/>
        </w:numPr>
        <w:rPr>
          <w:i/>
          <w:sz w:val="24"/>
          <w:szCs w:val="24"/>
        </w:rPr>
      </w:pPr>
      <w:proofErr w:type="gramStart"/>
      <w:r w:rsidRPr="007051DC">
        <w:rPr>
          <w:i/>
          <w:sz w:val="24"/>
          <w:szCs w:val="24"/>
        </w:rPr>
        <w:t>emissions</w:t>
      </w:r>
      <w:proofErr w:type="gramEnd"/>
      <w:r w:rsidRPr="007051DC">
        <w:rPr>
          <w:i/>
          <w:sz w:val="24"/>
          <w:szCs w:val="24"/>
        </w:rPr>
        <w:t xml:space="preserve"> reduction from each replacement.  </w:t>
      </w:r>
    </w:p>
    <w:p w:rsidR="007051DC" w:rsidRPr="007051DC" w:rsidRDefault="007051DC" w:rsidP="007051DC">
      <w:pPr>
        <w:ind w:left="360"/>
        <w:rPr>
          <w:i/>
          <w:sz w:val="24"/>
          <w:szCs w:val="24"/>
        </w:rPr>
      </w:pPr>
    </w:p>
    <w:p w:rsidR="007051DC" w:rsidRPr="007051DC" w:rsidRDefault="007051DC" w:rsidP="007051DC">
      <w:pPr>
        <w:ind w:left="360"/>
        <w:rPr>
          <w:i/>
          <w:sz w:val="24"/>
          <w:szCs w:val="24"/>
        </w:rPr>
      </w:pPr>
      <w:r w:rsidRPr="007051DC">
        <w:rPr>
          <w:i/>
          <w:sz w:val="24"/>
          <w:szCs w:val="24"/>
        </w:rPr>
        <w:t>In the similar woodstove changeout program, DEQ also had the local agency keep records of building permits, any lead paint removal, State Historic Preservation Office requirements, and pictures of the destroyed stove and the replacement heating device. Inspection reports and permits were attached and program audit were performed each year.  All that is the responsibility of the “Bank” to satisfy both the purchaser of the offsets and DEQ that the stoves are removed and the installation of the new device is legally installed. The source would be required to get some kind of documentation from the “Bank” to verify the amount of woodstoves and offset emissions.</w:t>
      </w:r>
    </w:p>
    <w:p w:rsidR="007051DC" w:rsidRDefault="007051DC" w:rsidP="007051DC">
      <w:pPr>
        <w:ind w:left="360"/>
        <w:rPr>
          <w:sz w:val="24"/>
          <w:szCs w:val="24"/>
        </w:rPr>
      </w:pPr>
    </w:p>
    <w:p w:rsidR="00BA7C30" w:rsidRPr="00BA7C30" w:rsidRDefault="00BA7C30" w:rsidP="00BA7C30">
      <w:pPr>
        <w:pStyle w:val="ListParagraph"/>
        <w:numPr>
          <w:ilvl w:val="0"/>
          <w:numId w:val="10"/>
        </w:numPr>
        <w:rPr>
          <w:sz w:val="24"/>
          <w:szCs w:val="24"/>
        </w:rPr>
      </w:pPr>
      <w:r w:rsidRPr="00BA7C30">
        <w:rPr>
          <w:sz w:val="24"/>
          <w:szCs w:val="24"/>
        </w:rPr>
        <w:t>One of the questions that has been forming in my mind is how do each of the rules such as Clean Fuels, etc. work together to support overall air quality and looking to the future do these rules provide protection for population growth in our urban areas which are beginning to have new air quality challenges?</w:t>
      </w:r>
    </w:p>
    <w:p w:rsidR="007051DC" w:rsidRPr="00BA7C30" w:rsidRDefault="007051DC" w:rsidP="00BA7C30">
      <w:pPr>
        <w:pStyle w:val="ListParagraph"/>
        <w:ind w:left="360"/>
        <w:rPr>
          <w:sz w:val="24"/>
          <w:szCs w:val="24"/>
        </w:rPr>
      </w:pPr>
    </w:p>
    <w:sectPr w:rsidR="007051DC" w:rsidRPr="00BA7C30" w:rsidSect="008A50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E3E" w:rsidRDefault="00E82E3E" w:rsidP="00E82E3E">
      <w:r>
        <w:separator/>
      </w:r>
    </w:p>
  </w:endnote>
  <w:endnote w:type="continuationSeparator" w:id="0">
    <w:p w:rsidR="00E82E3E" w:rsidRDefault="00E82E3E" w:rsidP="00E82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3E" w:rsidRDefault="00E82E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3E" w:rsidRDefault="00E82E3E">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r>
      <w:rPr>
        <w:rFonts w:asciiTheme="majorHAnsi" w:hAnsiTheme="majorHAnsi"/>
        <w:noProof/>
      </w:rPr>
      <w:t>1/29/2015 3:40 PM</w:t>
    </w:r>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fldSimple w:instr=" PAGE   \* MERGEFORMAT ">
      <w:r w:rsidRPr="00E82E3E">
        <w:rPr>
          <w:rFonts w:asciiTheme="majorHAnsi" w:hAnsiTheme="majorHAnsi"/>
          <w:noProof/>
        </w:rPr>
        <w:t>1</w:t>
      </w:r>
    </w:fldSimple>
  </w:p>
  <w:p w:rsidR="00E82E3E" w:rsidRDefault="00E82E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3E" w:rsidRDefault="00E82E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E3E" w:rsidRDefault="00E82E3E" w:rsidP="00E82E3E">
      <w:r>
        <w:separator/>
      </w:r>
    </w:p>
  </w:footnote>
  <w:footnote w:type="continuationSeparator" w:id="0">
    <w:p w:rsidR="00E82E3E" w:rsidRDefault="00E82E3E" w:rsidP="00E82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3E" w:rsidRDefault="00E82E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3E" w:rsidRDefault="00E82E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3E" w:rsidRDefault="00E82E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45A46642"/>
    <w:multiLevelType w:val="hybridMultilevel"/>
    <w:tmpl w:val="780CF1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9B6F3A"/>
    <w:multiLevelType w:val="hybridMultilevel"/>
    <w:tmpl w:val="A3242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F17C37"/>
    <w:multiLevelType w:val="hybridMultilevel"/>
    <w:tmpl w:val="3DBE1B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337CC"/>
    <w:rsid w:val="000050F7"/>
    <w:rsid w:val="000459F4"/>
    <w:rsid w:val="00060120"/>
    <w:rsid w:val="00067040"/>
    <w:rsid w:val="000B4697"/>
    <w:rsid w:val="000B5E93"/>
    <w:rsid w:val="000D5C02"/>
    <w:rsid w:val="000E162A"/>
    <w:rsid w:val="00104AC6"/>
    <w:rsid w:val="001410B9"/>
    <w:rsid w:val="00146C92"/>
    <w:rsid w:val="00147547"/>
    <w:rsid w:val="001559E2"/>
    <w:rsid w:val="001646FD"/>
    <w:rsid w:val="00176EEF"/>
    <w:rsid w:val="001838BD"/>
    <w:rsid w:val="00195444"/>
    <w:rsid w:val="00195FC2"/>
    <w:rsid w:val="00197570"/>
    <w:rsid w:val="001A22A5"/>
    <w:rsid w:val="001B4C01"/>
    <w:rsid w:val="001C5A74"/>
    <w:rsid w:val="001C5DFD"/>
    <w:rsid w:val="001D19AE"/>
    <w:rsid w:val="001F0FD8"/>
    <w:rsid w:val="001F4127"/>
    <w:rsid w:val="001F4426"/>
    <w:rsid w:val="001F6108"/>
    <w:rsid w:val="0020056E"/>
    <w:rsid w:val="0020509F"/>
    <w:rsid w:val="002616A5"/>
    <w:rsid w:val="002855E2"/>
    <w:rsid w:val="002920D1"/>
    <w:rsid w:val="002A506D"/>
    <w:rsid w:val="002D5E18"/>
    <w:rsid w:val="002D698C"/>
    <w:rsid w:val="002E6FB1"/>
    <w:rsid w:val="00312201"/>
    <w:rsid w:val="00340C2A"/>
    <w:rsid w:val="003419DD"/>
    <w:rsid w:val="0035471E"/>
    <w:rsid w:val="0037020C"/>
    <w:rsid w:val="00394250"/>
    <w:rsid w:val="0039781C"/>
    <w:rsid w:val="003A1E7B"/>
    <w:rsid w:val="003A2167"/>
    <w:rsid w:val="003A60DE"/>
    <w:rsid w:val="003B54E8"/>
    <w:rsid w:val="003C2C6E"/>
    <w:rsid w:val="003D37E3"/>
    <w:rsid w:val="00400586"/>
    <w:rsid w:val="00414F67"/>
    <w:rsid w:val="0042472D"/>
    <w:rsid w:val="0043117D"/>
    <w:rsid w:val="00432365"/>
    <w:rsid w:val="00451F91"/>
    <w:rsid w:val="004A35C7"/>
    <w:rsid w:val="004A69AF"/>
    <w:rsid w:val="004B2364"/>
    <w:rsid w:val="004C0F0A"/>
    <w:rsid w:val="004D578D"/>
    <w:rsid w:val="004F506B"/>
    <w:rsid w:val="005015D1"/>
    <w:rsid w:val="00503CDF"/>
    <w:rsid w:val="00515305"/>
    <w:rsid w:val="00516616"/>
    <w:rsid w:val="00526BD8"/>
    <w:rsid w:val="00550EF6"/>
    <w:rsid w:val="005575A3"/>
    <w:rsid w:val="00583080"/>
    <w:rsid w:val="0058737B"/>
    <w:rsid w:val="005A4F7A"/>
    <w:rsid w:val="005B3E72"/>
    <w:rsid w:val="005D4E89"/>
    <w:rsid w:val="005D7215"/>
    <w:rsid w:val="005F2679"/>
    <w:rsid w:val="00621182"/>
    <w:rsid w:val="00665BB2"/>
    <w:rsid w:val="0066636C"/>
    <w:rsid w:val="00670552"/>
    <w:rsid w:val="00691FFD"/>
    <w:rsid w:val="006A1C1A"/>
    <w:rsid w:val="006A72B3"/>
    <w:rsid w:val="006E23E4"/>
    <w:rsid w:val="006E4A30"/>
    <w:rsid w:val="006F4FFD"/>
    <w:rsid w:val="006F65EA"/>
    <w:rsid w:val="006F6D02"/>
    <w:rsid w:val="007051DC"/>
    <w:rsid w:val="007142DA"/>
    <w:rsid w:val="007260E4"/>
    <w:rsid w:val="0072678D"/>
    <w:rsid w:val="00732F05"/>
    <w:rsid w:val="00734469"/>
    <w:rsid w:val="00785139"/>
    <w:rsid w:val="00791DB9"/>
    <w:rsid w:val="00796081"/>
    <w:rsid w:val="007B704E"/>
    <w:rsid w:val="007C644B"/>
    <w:rsid w:val="007E2042"/>
    <w:rsid w:val="008009ED"/>
    <w:rsid w:val="008114C7"/>
    <w:rsid w:val="00822FC3"/>
    <w:rsid w:val="008337CC"/>
    <w:rsid w:val="00844B9F"/>
    <w:rsid w:val="00882A13"/>
    <w:rsid w:val="008A12AC"/>
    <w:rsid w:val="008A1D3D"/>
    <w:rsid w:val="008A5039"/>
    <w:rsid w:val="008A6EB2"/>
    <w:rsid w:val="008A7A14"/>
    <w:rsid w:val="008B4C71"/>
    <w:rsid w:val="008C5BB7"/>
    <w:rsid w:val="008D48FD"/>
    <w:rsid w:val="008F7F7D"/>
    <w:rsid w:val="009206BF"/>
    <w:rsid w:val="00942A04"/>
    <w:rsid w:val="00946703"/>
    <w:rsid w:val="00983606"/>
    <w:rsid w:val="00997E45"/>
    <w:rsid w:val="009B3E5A"/>
    <w:rsid w:val="009F2E6A"/>
    <w:rsid w:val="009F5924"/>
    <w:rsid w:val="00A74511"/>
    <w:rsid w:val="00A75B68"/>
    <w:rsid w:val="00A931E0"/>
    <w:rsid w:val="00AA2DB5"/>
    <w:rsid w:val="00AA3FE4"/>
    <w:rsid w:val="00AD2D39"/>
    <w:rsid w:val="00AE1F83"/>
    <w:rsid w:val="00AE630B"/>
    <w:rsid w:val="00B03D23"/>
    <w:rsid w:val="00B35138"/>
    <w:rsid w:val="00B45EA8"/>
    <w:rsid w:val="00B517E5"/>
    <w:rsid w:val="00B54B70"/>
    <w:rsid w:val="00B80CC8"/>
    <w:rsid w:val="00BA746E"/>
    <w:rsid w:val="00BA7C30"/>
    <w:rsid w:val="00BB2762"/>
    <w:rsid w:val="00BC407B"/>
    <w:rsid w:val="00BD28BC"/>
    <w:rsid w:val="00BE33CA"/>
    <w:rsid w:val="00C2296F"/>
    <w:rsid w:val="00C25F04"/>
    <w:rsid w:val="00C2695F"/>
    <w:rsid w:val="00C34A32"/>
    <w:rsid w:val="00C47403"/>
    <w:rsid w:val="00C64DB1"/>
    <w:rsid w:val="00C75249"/>
    <w:rsid w:val="00CB3E5D"/>
    <w:rsid w:val="00CB5269"/>
    <w:rsid w:val="00CB57AD"/>
    <w:rsid w:val="00CC390A"/>
    <w:rsid w:val="00CF0D39"/>
    <w:rsid w:val="00CF18E6"/>
    <w:rsid w:val="00CF2E54"/>
    <w:rsid w:val="00D127AE"/>
    <w:rsid w:val="00D17A56"/>
    <w:rsid w:val="00D3170B"/>
    <w:rsid w:val="00D52EBF"/>
    <w:rsid w:val="00D61E12"/>
    <w:rsid w:val="00D66CE3"/>
    <w:rsid w:val="00D677B1"/>
    <w:rsid w:val="00D83263"/>
    <w:rsid w:val="00D866AB"/>
    <w:rsid w:val="00DA0F01"/>
    <w:rsid w:val="00DB2B20"/>
    <w:rsid w:val="00DD3752"/>
    <w:rsid w:val="00DD72D8"/>
    <w:rsid w:val="00DF05EA"/>
    <w:rsid w:val="00E21A48"/>
    <w:rsid w:val="00E439A4"/>
    <w:rsid w:val="00E60434"/>
    <w:rsid w:val="00E63540"/>
    <w:rsid w:val="00E82E3E"/>
    <w:rsid w:val="00E939D0"/>
    <w:rsid w:val="00E966A8"/>
    <w:rsid w:val="00EA1896"/>
    <w:rsid w:val="00EB4211"/>
    <w:rsid w:val="00EC7C87"/>
    <w:rsid w:val="00ED5A52"/>
    <w:rsid w:val="00EE7408"/>
    <w:rsid w:val="00EE7544"/>
    <w:rsid w:val="00EF19FA"/>
    <w:rsid w:val="00EF4C04"/>
    <w:rsid w:val="00F004DB"/>
    <w:rsid w:val="00F00626"/>
    <w:rsid w:val="00F032C1"/>
    <w:rsid w:val="00F21A48"/>
    <w:rsid w:val="00F24902"/>
    <w:rsid w:val="00F367C5"/>
    <w:rsid w:val="00F40738"/>
    <w:rsid w:val="00F469F5"/>
    <w:rsid w:val="00F52E7E"/>
    <w:rsid w:val="00F54A7C"/>
    <w:rsid w:val="00F76319"/>
    <w:rsid w:val="00FA69E6"/>
    <w:rsid w:val="00FC1EB7"/>
    <w:rsid w:val="00FC6C23"/>
    <w:rsid w:val="00FD0784"/>
    <w:rsid w:val="00FD4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833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09ED"/>
    <w:rPr>
      <w:rFonts w:ascii="Tahoma" w:hAnsi="Tahoma" w:cs="Tahoma"/>
      <w:sz w:val="16"/>
      <w:szCs w:val="16"/>
    </w:rPr>
  </w:style>
  <w:style w:type="character" w:customStyle="1" w:styleId="BalloonTextChar">
    <w:name w:val="Balloon Text Char"/>
    <w:basedOn w:val="DefaultParagraphFont"/>
    <w:link w:val="BalloonText"/>
    <w:uiPriority w:val="99"/>
    <w:semiHidden/>
    <w:rsid w:val="008009ED"/>
    <w:rPr>
      <w:rFonts w:ascii="Tahoma" w:hAnsi="Tahoma" w:cs="Tahoma"/>
      <w:sz w:val="16"/>
      <w:szCs w:val="16"/>
    </w:rPr>
  </w:style>
  <w:style w:type="paragraph" w:styleId="Header">
    <w:name w:val="header"/>
    <w:basedOn w:val="Normal"/>
    <w:link w:val="HeaderChar"/>
    <w:uiPriority w:val="99"/>
    <w:semiHidden/>
    <w:unhideWhenUsed/>
    <w:rsid w:val="00E82E3E"/>
    <w:pPr>
      <w:tabs>
        <w:tab w:val="center" w:pos="4680"/>
        <w:tab w:val="right" w:pos="9360"/>
      </w:tabs>
    </w:pPr>
  </w:style>
  <w:style w:type="character" w:customStyle="1" w:styleId="HeaderChar">
    <w:name w:val="Header Char"/>
    <w:basedOn w:val="DefaultParagraphFont"/>
    <w:link w:val="Header"/>
    <w:uiPriority w:val="99"/>
    <w:semiHidden/>
    <w:rsid w:val="00E82E3E"/>
  </w:style>
  <w:style w:type="paragraph" w:styleId="Footer">
    <w:name w:val="footer"/>
    <w:basedOn w:val="Normal"/>
    <w:link w:val="FooterChar"/>
    <w:uiPriority w:val="99"/>
    <w:unhideWhenUsed/>
    <w:rsid w:val="00E82E3E"/>
    <w:pPr>
      <w:tabs>
        <w:tab w:val="center" w:pos="4680"/>
        <w:tab w:val="right" w:pos="9360"/>
      </w:tabs>
    </w:pPr>
  </w:style>
  <w:style w:type="character" w:customStyle="1" w:styleId="FooterChar">
    <w:name w:val="Footer Char"/>
    <w:basedOn w:val="DefaultParagraphFont"/>
    <w:link w:val="Footer"/>
    <w:uiPriority w:val="99"/>
    <w:rsid w:val="00E82E3E"/>
  </w:style>
</w:styles>
</file>

<file path=word/webSettings.xml><?xml version="1.0" encoding="utf-8"?>
<w:webSettings xmlns:r="http://schemas.openxmlformats.org/officeDocument/2006/relationships" xmlns:w="http://schemas.openxmlformats.org/wordprocessingml/2006/main">
  <w:divs>
    <w:div w:id="271935971">
      <w:bodyDiv w:val="1"/>
      <w:marLeft w:val="0"/>
      <w:marRight w:val="0"/>
      <w:marTop w:val="0"/>
      <w:marBottom w:val="0"/>
      <w:divBdr>
        <w:top w:val="none" w:sz="0" w:space="0" w:color="auto"/>
        <w:left w:val="none" w:sz="0" w:space="0" w:color="auto"/>
        <w:bottom w:val="none" w:sz="0" w:space="0" w:color="auto"/>
        <w:right w:val="none" w:sz="0" w:space="0" w:color="auto"/>
      </w:divBdr>
    </w:div>
    <w:div w:id="506677043">
      <w:bodyDiv w:val="1"/>
      <w:marLeft w:val="0"/>
      <w:marRight w:val="0"/>
      <w:marTop w:val="0"/>
      <w:marBottom w:val="0"/>
      <w:divBdr>
        <w:top w:val="none" w:sz="0" w:space="0" w:color="auto"/>
        <w:left w:val="none" w:sz="0" w:space="0" w:color="auto"/>
        <w:bottom w:val="none" w:sz="0" w:space="0" w:color="auto"/>
        <w:right w:val="none" w:sz="0" w:space="0" w:color="auto"/>
      </w:divBdr>
    </w:div>
    <w:div w:id="844825810">
      <w:bodyDiv w:val="1"/>
      <w:marLeft w:val="0"/>
      <w:marRight w:val="0"/>
      <w:marTop w:val="0"/>
      <w:marBottom w:val="0"/>
      <w:divBdr>
        <w:top w:val="none" w:sz="0" w:space="0" w:color="auto"/>
        <w:left w:val="none" w:sz="0" w:space="0" w:color="auto"/>
        <w:bottom w:val="none" w:sz="0" w:space="0" w:color="auto"/>
        <w:right w:val="none" w:sz="0" w:space="0" w:color="auto"/>
      </w:divBdr>
    </w:div>
    <w:div w:id="18513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6</cp:revision>
  <cp:lastPrinted>2015-01-29T23:39:00Z</cp:lastPrinted>
  <dcterms:created xsi:type="dcterms:W3CDTF">2015-01-26T20:56:00Z</dcterms:created>
  <dcterms:modified xsi:type="dcterms:W3CDTF">2015-01-29T23:40:00Z</dcterms:modified>
</cp:coreProperties>
</file>