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432" w:type="dxa"/>
        <w:tblLook w:val="04A0"/>
      </w:tblPr>
      <w:tblGrid>
        <w:gridCol w:w="2970"/>
        <w:gridCol w:w="1440"/>
        <w:gridCol w:w="1170"/>
        <w:gridCol w:w="1530"/>
        <w:gridCol w:w="1260"/>
        <w:gridCol w:w="1123"/>
      </w:tblGrid>
      <w:tr w:rsidR="008337CC" w:rsidRPr="008337CC" w:rsidTr="007051DC">
        <w:tc>
          <w:tcPr>
            <w:tcW w:w="2970" w:type="dxa"/>
          </w:tcPr>
          <w:p w:rsidR="008337CC" w:rsidRPr="008337CC" w:rsidRDefault="008337CC" w:rsidP="008337CC">
            <w:pPr>
              <w:jc w:val="center"/>
              <w:rPr>
                <w:b/>
                <w:sz w:val="24"/>
                <w:szCs w:val="24"/>
              </w:rPr>
            </w:pPr>
            <w:r w:rsidRPr="008337CC">
              <w:rPr>
                <w:b/>
                <w:sz w:val="24"/>
                <w:szCs w:val="24"/>
              </w:rPr>
              <w:t>Commissioner</w:t>
            </w:r>
          </w:p>
        </w:tc>
        <w:tc>
          <w:tcPr>
            <w:tcW w:w="1440" w:type="dxa"/>
          </w:tcPr>
          <w:p w:rsidR="008337CC" w:rsidRPr="008337CC" w:rsidRDefault="008337CC" w:rsidP="008337CC">
            <w:pPr>
              <w:jc w:val="center"/>
              <w:rPr>
                <w:b/>
                <w:sz w:val="24"/>
                <w:szCs w:val="24"/>
              </w:rPr>
            </w:pPr>
            <w:r w:rsidRPr="008337CC">
              <w:rPr>
                <w:b/>
                <w:sz w:val="24"/>
                <w:szCs w:val="24"/>
              </w:rPr>
              <w:t>Armstrong</w:t>
            </w:r>
          </w:p>
        </w:tc>
        <w:tc>
          <w:tcPr>
            <w:tcW w:w="1170" w:type="dxa"/>
          </w:tcPr>
          <w:p w:rsidR="008337CC" w:rsidRPr="008337CC" w:rsidRDefault="008337CC" w:rsidP="008337CC">
            <w:pPr>
              <w:jc w:val="center"/>
              <w:rPr>
                <w:b/>
                <w:sz w:val="24"/>
                <w:szCs w:val="24"/>
              </w:rPr>
            </w:pPr>
            <w:r w:rsidRPr="008337CC">
              <w:rPr>
                <w:b/>
                <w:sz w:val="24"/>
                <w:szCs w:val="24"/>
              </w:rPr>
              <w:t>Eden</w:t>
            </w:r>
          </w:p>
        </w:tc>
        <w:tc>
          <w:tcPr>
            <w:tcW w:w="1530" w:type="dxa"/>
          </w:tcPr>
          <w:p w:rsidR="008337CC" w:rsidRPr="008337CC" w:rsidRDefault="008337CC" w:rsidP="008337CC">
            <w:pPr>
              <w:jc w:val="center"/>
              <w:rPr>
                <w:b/>
                <w:sz w:val="24"/>
                <w:szCs w:val="24"/>
              </w:rPr>
            </w:pPr>
            <w:r w:rsidRPr="008337CC">
              <w:rPr>
                <w:b/>
                <w:sz w:val="24"/>
                <w:szCs w:val="24"/>
              </w:rPr>
              <w:t>Johnson</w:t>
            </w:r>
          </w:p>
        </w:tc>
        <w:tc>
          <w:tcPr>
            <w:tcW w:w="1260" w:type="dxa"/>
          </w:tcPr>
          <w:p w:rsidR="008337CC" w:rsidRPr="008337CC" w:rsidRDefault="008337CC" w:rsidP="008337CC">
            <w:pPr>
              <w:jc w:val="center"/>
              <w:rPr>
                <w:b/>
                <w:sz w:val="24"/>
                <w:szCs w:val="24"/>
              </w:rPr>
            </w:pPr>
            <w:r w:rsidRPr="008337CC">
              <w:rPr>
                <w:b/>
                <w:sz w:val="24"/>
                <w:szCs w:val="24"/>
              </w:rPr>
              <w:t>O’Keeffe</w:t>
            </w:r>
          </w:p>
        </w:tc>
        <w:tc>
          <w:tcPr>
            <w:tcW w:w="1123" w:type="dxa"/>
          </w:tcPr>
          <w:p w:rsidR="008337CC" w:rsidRPr="008337CC" w:rsidRDefault="008337CC" w:rsidP="008337CC">
            <w:pPr>
              <w:jc w:val="center"/>
              <w:rPr>
                <w:b/>
                <w:sz w:val="24"/>
                <w:szCs w:val="24"/>
              </w:rPr>
            </w:pPr>
            <w:r w:rsidRPr="008337CC">
              <w:rPr>
                <w:b/>
                <w:sz w:val="24"/>
                <w:szCs w:val="24"/>
              </w:rPr>
              <w:t>Rider</w:t>
            </w:r>
          </w:p>
        </w:tc>
      </w:tr>
      <w:tr w:rsidR="008337CC" w:rsidRPr="008337CC" w:rsidTr="007051DC">
        <w:tc>
          <w:tcPr>
            <w:tcW w:w="2970" w:type="dxa"/>
          </w:tcPr>
          <w:p w:rsidR="008337CC" w:rsidRPr="008337CC" w:rsidRDefault="008337CC">
            <w:pPr>
              <w:rPr>
                <w:sz w:val="24"/>
                <w:szCs w:val="24"/>
              </w:rPr>
            </w:pPr>
            <w:r>
              <w:rPr>
                <w:sz w:val="24"/>
                <w:szCs w:val="24"/>
              </w:rPr>
              <w:t>Hardcopy</w:t>
            </w:r>
          </w:p>
        </w:tc>
        <w:tc>
          <w:tcPr>
            <w:tcW w:w="1440" w:type="dxa"/>
          </w:tcPr>
          <w:p w:rsidR="008337CC" w:rsidRPr="008337CC" w:rsidRDefault="008337CC" w:rsidP="008337CC">
            <w:pPr>
              <w:jc w:val="center"/>
              <w:rPr>
                <w:sz w:val="24"/>
                <w:szCs w:val="24"/>
              </w:rPr>
            </w:pPr>
            <w:r>
              <w:rPr>
                <w:sz w:val="24"/>
                <w:szCs w:val="24"/>
              </w:rPr>
              <w:t>Yes</w:t>
            </w:r>
          </w:p>
        </w:tc>
        <w:tc>
          <w:tcPr>
            <w:tcW w:w="1170" w:type="dxa"/>
          </w:tcPr>
          <w:p w:rsidR="008337CC" w:rsidRPr="008337CC" w:rsidRDefault="008337CC" w:rsidP="008337CC">
            <w:pPr>
              <w:jc w:val="center"/>
              <w:rPr>
                <w:sz w:val="24"/>
                <w:szCs w:val="24"/>
              </w:rPr>
            </w:pPr>
          </w:p>
        </w:tc>
        <w:tc>
          <w:tcPr>
            <w:tcW w:w="1530" w:type="dxa"/>
          </w:tcPr>
          <w:p w:rsidR="008337CC" w:rsidRPr="008337CC" w:rsidRDefault="008337CC" w:rsidP="008337CC">
            <w:pPr>
              <w:jc w:val="center"/>
              <w:rPr>
                <w:sz w:val="24"/>
                <w:szCs w:val="24"/>
              </w:rPr>
            </w:pPr>
            <w:r>
              <w:rPr>
                <w:sz w:val="24"/>
                <w:szCs w:val="24"/>
              </w:rPr>
              <w:t>No</w:t>
            </w:r>
          </w:p>
        </w:tc>
        <w:tc>
          <w:tcPr>
            <w:tcW w:w="1260" w:type="dxa"/>
          </w:tcPr>
          <w:p w:rsidR="008337CC" w:rsidRPr="008337CC" w:rsidRDefault="008337CC" w:rsidP="008337CC">
            <w:pPr>
              <w:jc w:val="center"/>
              <w:rPr>
                <w:sz w:val="24"/>
                <w:szCs w:val="24"/>
              </w:rPr>
            </w:pPr>
          </w:p>
        </w:tc>
        <w:tc>
          <w:tcPr>
            <w:tcW w:w="1123" w:type="dxa"/>
          </w:tcPr>
          <w:p w:rsidR="008337CC" w:rsidRPr="008337CC" w:rsidRDefault="008337CC" w:rsidP="008337CC">
            <w:pPr>
              <w:jc w:val="center"/>
              <w:rPr>
                <w:sz w:val="24"/>
                <w:szCs w:val="24"/>
              </w:rPr>
            </w:pPr>
            <w:r>
              <w:rPr>
                <w:sz w:val="24"/>
                <w:szCs w:val="24"/>
              </w:rPr>
              <w:t>Yes</w:t>
            </w:r>
          </w:p>
        </w:tc>
      </w:tr>
      <w:tr w:rsidR="008A6EB2" w:rsidRPr="008337CC" w:rsidTr="007051DC">
        <w:tc>
          <w:tcPr>
            <w:tcW w:w="2970" w:type="dxa"/>
          </w:tcPr>
          <w:p w:rsidR="008A6EB2" w:rsidRPr="008337CC" w:rsidRDefault="008A6EB2">
            <w:pPr>
              <w:rPr>
                <w:sz w:val="24"/>
                <w:szCs w:val="24"/>
              </w:rPr>
            </w:pPr>
            <w:r>
              <w:rPr>
                <w:sz w:val="24"/>
                <w:szCs w:val="24"/>
              </w:rPr>
              <w:t>Individual Meeting</w:t>
            </w:r>
          </w:p>
        </w:tc>
        <w:tc>
          <w:tcPr>
            <w:tcW w:w="1440" w:type="dxa"/>
          </w:tcPr>
          <w:p w:rsidR="008A6EB2" w:rsidRDefault="008A6EB2" w:rsidP="008337CC">
            <w:pPr>
              <w:jc w:val="center"/>
              <w:rPr>
                <w:sz w:val="24"/>
                <w:szCs w:val="24"/>
              </w:rPr>
            </w:pPr>
            <w:r>
              <w:rPr>
                <w:sz w:val="24"/>
                <w:szCs w:val="24"/>
              </w:rPr>
              <w:t>Yes</w:t>
            </w:r>
          </w:p>
          <w:p w:rsidR="008A6EB2" w:rsidRPr="008A6EB2" w:rsidRDefault="008A6EB2" w:rsidP="008337CC">
            <w:pPr>
              <w:jc w:val="center"/>
              <w:rPr>
                <w:sz w:val="16"/>
                <w:szCs w:val="16"/>
              </w:rPr>
            </w:pPr>
            <w:r>
              <w:rPr>
                <w:sz w:val="16"/>
                <w:szCs w:val="16"/>
              </w:rPr>
              <w:t>Week of 3/15 or 3/29?</w:t>
            </w:r>
          </w:p>
        </w:tc>
        <w:tc>
          <w:tcPr>
            <w:tcW w:w="1170" w:type="dxa"/>
          </w:tcPr>
          <w:p w:rsidR="008A6EB2" w:rsidRPr="008A6EB2" w:rsidRDefault="008A6EB2" w:rsidP="008337CC">
            <w:pPr>
              <w:jc w:val="center"/>
              <w:rPr>
                <w:sz w:val="16"/>
                <w:szCs w:val="16"/>
              </w:rPr>
            </w:pPr>
            <w:r>
              <w:rPr>
                <w:sz w:val="16"/>
                <w:szCs w:val="16"/>
              </w:rPr>
              <w:t>Re-ask by 02/10</w:t>
            </w:r>
          </w:p>
        </w:tc>
        <w:tc>
          <w:tcPr>
            <w:tcW w:w="1530" w:type="dxa"/>
          </w:tcPr>
          <w:p w:rsidR="008A6EB2" w:rsidRDefault="008A6EB2" w:rsidP="008337CC">
            <w:pPr>
              <w:jc w:val="center"/>
              <w:rPr>
                <w:sz w:val="24"/>
                <w:szCs w:val="24"/>
              </w:rPr>
            </w:pPr>
            <w:r>
              <w:rPr>
                <w:sz w:val="24"/>
                <w:szCs w:val="24"/>
              </w:rPr>
              <w:t xml:space="preserve">Yes </w:t>
            </w:r>
          </w:p>
          <w:p w:rsidR="008A6EB2" w:rsidRPr="008337CC" w:rsidRDefault="008A6EB2" w:rsidP="008337CC">
            <w:pPr>
              <w:jc w:val="center"/>
              <w:rPr>
                <w:sz w:val="16"/>
                <w:szCs w:val="16"/>
              </w:rPr>
            </w:pPr>
            <w:r w:rsidRPr="008337CC">
              <w:rPr>
                <w:sz w:val="16"/>
                <w:szCs w:val="16"/>
              </w:rPr>
              <w:t>1</w:t>
            </w:r>
            <w:r w:rsidRPr="008337CC">
              <w:rPr>
                <w:sz w:val="16"/>
                <w:szCs w:val="16"/>
                <w:vertAlign w:val="superscript"/>
              </w:rPr>
              <w:t>st</w:t>
            </w:r>
            <w:r w:rsidRPr="008337CC">
              <w:rPr>
                <w:sz w:val="16"/>
                <w:szCs w:val="16"/>
              </w:rPr>
              <w:t xml:space="preserve"> week of April</w:t>
            </w:r>
          </w:p>
        </w:tc>
        <w:tc>
          <w:tcPr>
            <w:tcW w:w="1260" w:type="dxa"/>
          </w:tcPr>
          <w:p w:rsidR="008A6EB2" w:rsidRPr="008A6EB2" w:rsidRDefault="008A6EB2" w:rsidP="00661260">
            <w:pPr>
              <w:jc w:val="center"/>
              <w:rPr>
                <w:sz w:val="16"/>
                <w:szCs w:val="16"/>
              </w:rPr>
            </w:pPr>
            <w:r>
              <w:rPr>
                <w:sz w:val="16"/>
                <w:szCs w:val="16"/>
              </w:rPr>
              <w:t>Re-ask by 02/10</w:t>
            </w:r>
          </w:p>
        </w:tc>
        <w:tc>
          <w:tcPr>
            <w:tcW w:w="1123" w:type="dxa"/>
          </w:tcPr>
          <w:p w:rsidR="008A6EB2" w:rsidRDefault="008A6EB2" w:rsidP="00661260">
            <w:pPr>
              <w:jc w:val="center"/>
              <w:rPr>
                <w:sz w:val="24"/>
                <w:szCs w:val="24"/>
              </w:rPr>
            </w:pPr>
            <w:r>
              <w:rPr>
                <w:sz w:val="24"/>
                <w:szCs w:val="24"/>
              </w:rPr>
              <w:t>Yes</w:t>
            </w:r>
          </w:p>
          <w:p w:rsidR="008A6EB2" w:rsidRPr="008A6EB2" w:rsidRDefault="008A6EB2" w:rsidP="00661260">
            <w:pPr>
              <w:jc w:val="center"/>
              <w:rPr>
                <w:sz w:val="16"/>
                <w:szCs w:val="16"/>
              </w:rPr>
            </w:pPr>
            <w:r>
              <w:rPr>
                <w:sz w:val="16"/>
                <w:szCs w:val="16"/>
              </w:rPr>
              <w:t>Week of 3/15 or 3/29?</w:t>
            </w:r>
          </w:p>
        </w:tc>
      </w:tr>
      <w:tr w:rsidR="008A6EB2" w:rsidRPr="008337CC" w:rsidTr="004154D9">
        <w:tc>
          <w:tcPr>
            <w:tcW w:w="9493" w:type="dxa"/>
            <w:gridSpan w:val="6"/>
          </w:tcPr>
          <w:p w:rsidR="008A6EB2" w:rsidRPr="008337CC" w:rsidRDefault="008A6EB2">
            <w:pPr>
              <w:rPr>
                <w:sz w:val="24"/>
                <w:szCs w:val="24"/>
              </w:rPr>
            </w:pPr>
            <w:r>
              <w:rPr>
                <w:sz w:val="24"/>
                <w:szCs w:val="24"/>
              </w:rPr>
              <w:t>David C, Jeffrey, George, Jill to meet with commissioners</w:t>
            </w:r>
          </w:p>
        </w:tc>
      </w:tr>
    </w:tbl>
    <w:p w:rsidR="008A5039" w:rsidRDefault="008A5039"/>
    <w:p w:rsidR="007051DC" w:rsidRPr="007051DC" w:rsidRDefault="007051DC">
      <w:pPr>
        <w:rPr>
          <w:sz w:val="24"/>
          <w:szCs w:val="24"/>
        </w:rPr>
      </w:pPr>
      <w:r w:rsidRPr="007051DC">
        <w:rPr>
          <w:sz w:val="24"/>
          <w:szCs w:val="24"/>
        </w:rPr>
        <w:t>Outstanding Questions:</w:t>
      </w:r>
    </w:p>
    <w:p w:rsidR="007051DC" w:rsidRPr="00D66CE3" w:rsidRDefault="00D66CE3" w:rsidP="007051DC">
      <w:pPr>
        <w:pStyle w:val="ListParagraph"/>
        <w:numPr>
          <w:ilvl w:val="0"/>
          <w:numId w:val="10"/>
        </w:numPr>
        <w:rPr>
          <w:b/>
          <w:sz w:val="24"/>
          <w:szCs w:val="24"/>
          <w:u w:val="single"/>
        </w:rPr>
      </w:pPr>
      <w:r w:rsidRPr="00D66CE3">
        <w:rPr>
          <w:b/>
          <w:sz w:val="24"/>
          <w:szCs w:val="24"/>
          <w:u w:val="single"/>
        </w:rPr>
        <w:t xml:space="preserve">Is it necessary to keep </w:t>
      </w:r>
      <w:r w:rsidR="007051DC" w:rsidRPr="00D66CE3">
        <w:rPr>
          <w:b/>
          <w:sz w:val="24"/>
          <w:szCs w:val="24"/>
          <w:u w:val="single"/>
        </w:rPr>
        <w:t>N</w:t>
      </w:r>
      <w:r w:rsidRPr="00D66CE3">
        <w:rPr>
          <w:b/>
          <w:sz w:val="24"/>
          <w:szCs w:val="24"/>
          <w:u w:val="single"/>
        </w:rPr>
        <w:t xml:space="preserve">et </w:t>
      </w:r>
      <w:r w:rsidR="007051DC" w:rsidRPr="00D66CE3">
        <w:rPr>
          <w:b/>
          <w:sz w:val="24"/>
          <w:szCs w:val="24"/>
          <w:u w:val="single"/>
        </w:rPr>
        <w:t>A</w:t>
      </w:r>
      <w:r w:rsidRPr="00D66CE3">
        <w:rPr>
          <w:b/>
          <w:sz w:val="24"/>
          <w:szCs w:val="24"/>
          <w:u w:val="single"/>
        </w:rPr>
        <w:t xml:space="preserve">ir </w:t>
      </w:r>
      <w:r w:rsidR="007051DC" w:rsidRPr="00D66CE3">
        <w:rPr>
          <w:b/>
          <w:sz w:val="24"/>
          <w:szCs w:val="24"/>
          <w:u w:val="single"/>
        </w:rPr>
        <w:t>Q</w:t>
      </w:r>
      <w:r w:rsidRPr="00D66CE3">
        <w:rPr>
          <w:b/>
          <w:sz w:val="24"/>
          <w:szCs w:val="24"/>
          <w:u w:val="single"/>
        </w:rPr>
        <w:t xml:space="preserve">uality </w:t>
      </w:r>
      <w:r w:rsidR="007051DC" w:rsidRPr="00D66CE3">
        <w:rPr>
          <w:b/>
          <w:sz w:val="24"/>
          <w:szCs w:val="24"/>
          <w:u w:val="single"/>
        </w:rPr>
        <w:t>B</w:t>
      </w:r>
      <w:r w:rsidRPr="00D66CE3">
        <w:rPr>
          <w:b/>
          <w:sz w:val="24"/>
          <w:szCs w:val="24"/>
          <w:u w:val="single"/>
        </w:rPr>
        <w:t>enefit if it isn’t workable?</w:t>
      </w:r>
    </w:p>
    <w:p w:rsidR="00772B9A" w:rsidRDefault="00772B9A" w:rsidP="00D66CE3">
      <w:pPr>
        <w:ind w:left="360"/>
        <w:rPr>
          <w:i/>
          <w:sz w:val="24"/>
          <w:szCs w:val="24"/>
        </w:rPr>
      </w:pPr>
    </w:p>
    <w:p w:rsidR="00772B9A" w:rsidRDefault="00772B9A" w:rsidP="00D66CE3">
      <w:pPr>
        <w:ind w:left="360"/>
        <w:rPr>
          <w:i/>
          <w:sz w:val="24"/>
          <w:szCs w:val="24"/>
        </w:rPr>
      </w:pPr>
      <w:r>
        <w:rPr>
          <w:i/>
          <w:sz w:val="24"/>
          <w:szCs w:val="24"/>
        </w:rPr>
        <w:t xml:space="preserve">Net Air Quality Benefit has been an important part of DEQ’s New Source Review program since its inception in the early 1980s.  For areas where air quality is marginal or poor, we wanted to provide facilities the opportunity to construct or modify as long as they could improve overall air quality in the area.  </w:t>
      </w:r>
    </w:p>
    <w:p w:rsidR="00772B9A" w:rsidRDefault="00772B9A" w:rsidP="00D66CE3">
      <w:pPr>
        <w:ind w:left="360"/>
        <w:rPr>
          <w:i/>
          <w:sz w:val="24"/>
          <w:szCs w:val="24"/>
        </w:rPr>
      </w:pPr>
    </w:p>
    <w:p w:rsidR="00772B9A" w:rsidRDefault="00772B9A" w:rsidP="00D66CE3">
      <w:pPr>
        <w:ind w:left="360"/>
        <w:rPr>
          <w:i/>
          <w:sz w:val="24"/>
          <w:szCs w:val="24"/>
        </w:rPr>
      </w:pPr>
      <w:r>
        <w:rPr>
          <w:i/>
          <w:sz w:val="24"/>
          <w:szCs w:val="24"/>
        </w:rPr>
        <w:t xml:space="preserve">When total particulate was the pollutant of concern, facilities were able to get offsets from other industrial facilities and show a Net </w:t>
      </w:r>
      <w:r w:rsidRPr="00772B9A">
        <w:rPr>
          <w:i/>
          <w:sz w:val="24"/>
          <w:szCs w:val="24"/>
        </w:rPr>
        <w:t>Air Quality Benefit</w:t>
      </w:r>
      <w:r>
        <w:rPr>
          <w:i/>
          <w:sz w:val="24"/>
          <w:szCs w:val="24"/>
        </w:rPr>
        <w:t xml:space="preserve">.  Now that PM2.5 is the issue, caused mostly by woodstoves, our test for </w:t>
      </w:r>
      <w:r w:rsidRPr="00772B9A">
        <w:rPr>
          <w:i/>
          <w:sz w:val="24"/>
          <w:szCs w:val="24"/>
        </w:rPr>
        <w:t>Net Air Quality Benefit</w:t>
      </w:r>
      <w:r>
        <w:rPr>
          <w:i/>
          <w:sz w:val="24"/>
          <w:szCs w:val="24"/>
        </w:rPr>
        <w:t xml:space="preserve"> is no longer workable. So we want tweak the requirements of </w:t>
      </w:r>
      <w:r w:rsidRPr="00772B9A">
        <w:rPr>
          <w:i/>
          <w:sz w:val="24"/>
          <w:szCs w:val="24"/>
        </w:rPr>
        <w:t>Net Air Quality Benefit</w:t>
      </w:r>
      <w:r>
        <w:rPr>
          <w:i/>
          <w:sz w:val="24"/>
          <w:szCs w:val="24"/>
        </w:rPr>
        <w:t xml:space="preserve"> to ensure that facilities can still </w:t>
      </w:r>
      <w:r w:rsidRPr="00772B9A">
        <w:rPr>
          <w:i/>
          <w:sz w:val="24"/>
          <w:szCs w:val="24"/>
        </w:rPr>
        <w:t>construct or modify</w:t>
      </w:r>
      <w:r>
        <w:rPr>
          <w:i/>
          <w:sz w:val="24"/>
          <w:szCs w:val="24"/>
        </w:rPr>
        <w:t xml:space="preserve"> and improve air quality at the same time. </w:t>
      </w:r>
    </w:p>
    <w:p w:rsidR="00772B9A" w:rsidRPr="00D66CE3" w:rsidRDefault="00772B9A" w:rsidP="00D66CE3">
      <w:pPr>
        <w:ind w:left="360"/>
        <w:rPr>
          <w:i/>
          <w:sz w:val="24"/>
          <w:szCs w:val="24"/>
        </w:rPr>
      </w:pPr>
    </w:p>
    <w:p w:rsidR="00D66CE3" w:rsidRDefault="00772B9A" w:rsidP="00D66CE3">
      <w:pPr>
        <w:ind w:left="360"/>
        <w:rPr>
          <w:i/>
          <w:sz w:val="24"/>
          <w:szCs w:val="24"/>
        </w:rPr>
      </w:pPr>
      <w:r>
        <w:rPr>
          <w:i/>
          <w:sz w:val="24"/>
          <w:szCs w:val="24"/>
        </w:rPr>
        <w:t xml:space="preserve">If we ever wanted to remove </w:t>
      </w:r>
      <w:r w:rsidR="00D66CE3" w:rsidRPr="00D66CE3">
        <w:rPr>
          <w:i/>
          <w:sz w:val="24"/>
          <w:szCs w:val="24"/>
        </w:rPr>
        <w:t xml:space="preserve">net air quality benefit from our rules, we would have to make a showing that this removal would not be considered a relaxation, which would be a high hurdle according to EPA Region 10 staff. EPA </w:t>
      </w:r>
      <w:r>
        <w:rPr>
          <w:i/>
          <w:sz w:val="24"/>
          <w:szCs w:val="24"/>
        </w:rPr>
        <w:t xml:space="preserve">has </w:t>
      </w:r>
      <w:r w:rsidR="00D66CE3" w:rsidRPr="00D66CE3">
        <w:rPr>
          <w:i/>
          <w:sz w:val="24"/>
          <w:szCs w:val="24"/>
        </w:rPr>
        <w:t>work</w:t>
      </w:r>
      <w:r>
        <w:rPr>
          <w:i/>
          <w:sz w:val="24"/>
          <w:szCs w:val="24"/>
        </w:rPr>
        <w:t>ed</w:t>
      </w:r>
      <w:r w:rsidR="00D66CE3" w:rsidRPr="00D66CE3">
        <w:rPr>
          <w:i/>
          <w:sz w:val="24"/>
          <w:szCs w:val="24"/>
        </w:rPr>
        <w:t xml:space="preserve"> with DEQ to improve the language, making it workable for PM2.5 nonattainment areas.  </w:t>
      </w:r>
    </w:p>
    <w:p w:rsidR="00772B9A" w:rsidRPr="00D66CE3" w:rsidRDefault="00772B9A" w:rsidP="00D66CE3">
      <w:pPr>
        <w:ind w:left="360"/>
        <w:rPr>
          <w:i/>
          <w:sz w:val="24"/>
          <w:szCs w:val="24"/>
        </w:rPr>
      </w:pPr>
    </w:p>
    <w:p w:rsidR="007051DC" w:rsidRPr="00B76BF5" w:rsidRDefault="00DA40E7" w:rsidP="007051DC">
      <w:pPr>
        <w:pStyle w:val="ListParagraph"/>
        <w:numPr>
          <w:ilvl w:val="0"/>
          <w:numId w:val="10"/>
        </w:numPr>
        <w:rPr>
          <w:b/>
          <w:sz w:val="24"/>
          <w:szCs w:val="24"/>
          <w:highlight w:val="cyan"/>
          <w:u w:val="single"/>
        </w:rPr>
      </w:pPr>
      <w:r>
        <w:rPr>
          <w:b/>
          <w:sz w:val="24"/>
          <w:szCs w:val="24"/>
          <w:u w:val="single"/>
        </w:rPr>
        <w:t xml:space="preserve">How do you track woodstove changeouts and link those offsets to industrial emission increases?  Where does the funding come from?  </w:t>
      </w:r>
      <w:r w:rsidRPr="00B76BF5">
        <w:rPr>
          <w:b/>
          <w:sz w:val="24"/>
          <w:szCs w:val="24"/>
          <w:highlight w:val="cyan"/>
          <w:u w:val="single"/>
        </w:rPr>
        <w:t xml:space="preserve">How do you tie </w:t>
      </w:r>
      <w:proofErr w:type="gramStart"/>
      <w:r w:rsidRPr="00B76BF5">
        <w:rPr>
          <w:b/>
          <w:sz w:val="24"/>
          <w:szCs w:val="24"/>
          <w:highlight w:val="cyan"/>
          <w:u w:val="single"/>
        </w:rPr>
        <w:t>the befits</w:t>
      </w:r>
      <w:proofErr w:type="gramEnd"/>
      <w:r w:rsidRPr="00B76BF5">
        <w:rPr>
          <w:b/>
          <w:sz w:val="24"/>
          <w:szCs w:val="24"/>
          <w:highlight w:val="cyan"/>
          <w:u w:val="single"/>
        </w:rPr>
        <w:t xml:space="preserve"> and outcomes to the permit program? </w:t>
      </w:r>
    </w:p>
    <w:p w:rsidR="00A452A8" w:rsidRPr="00D66CE3" w:rsidRDefault="00A452A8" w:rsidP="00A452A8">
      <w:pPr>
        <w:pStyle w:val="ListParagraph"/>
        <w:ind w:left="360"/>
        <w:rPr>
          <w:b/>
          <w:sz w:val="24"/>
          <w:szCs w:val="24"/>
          <w:u w:val="single"/>
        </w:rPr>
      </w:pPr>
    </w:p>
    <w:p w:rsidR="00A452A8" w:rsidRDefault="00A452A8" w:rsidP="007051DC">
      <w:pPr>
        <w:ind w:left="360"/>
        <w:rPr>
          <w:i/>
          <w:sz w:val="24"/>
          <w:szCs w:val="24"/>
        </w:rPr>
      </w:pPr>
      <w:r>
        <w:rPr>
          <w:i/>
          <w:sz w:val="24"/>
          <w:szCs w:val="24"/>
        </w:rPr>
        <w:t xml:space="preserve">In designating priority sources, DEQ is </w:t>
      </w:r>
      <w:r w:rsidR="007C30EA">
        <w:rPr>
          <w:i/>
          <w:sz w:val="24"/>
          <w:szCs w:val="24"/>
        </w:rPr>
        <w:t xml:space="preserve">providing incentives to </w:t>
      </w:r>
      <w:r>
        <w:rPr>
          <w:i/>
          <w:sz w:val="24"/>
          <w:szCs w:val="24"/>
        </w:rPr>
        <w:t xml:space="preserve">facilities to improve air quality in the area by reducing emissions from the cause of the problem, which are woodstoves in Lakeview. Achieving all the offsets from woodstoves may be difficult so offsets from other industrial facilities are also an option. </w:t>
      </w:r>
    </w:p>
    <w:p w:rsidR="00A452A8" w:rsidRDefault="00A452A8" w:rsidP="007051DC">
      <w:pPr>
        <w:ind w:left="360"/>
        <w:rPr>
          <w:i/>
          <w:sz w:val="24"/>
          <w:szCs w:val="24"/>
        </w:rPr>
      </w:pPr>
    </w:p>
    <w:p w:rsidR="00A452A8" w:rsidRDefault="007051DC" w:rsidP="007051DC">
      <w:pPr>
        <w:ind w:left="360"/>
        <w:rPr>
          <w:i/>
          <w:sz w:val="24"/>
          <w:szCs w:val="24"/>
        </w:rPr>
      </w:pPr>
      <w:r w:rsidRPr="007051DC">
        <w:rPr>
          <w:i/>
          <w:sz w:val="24"/>
          <w:szCs w:val="24"/>
        </w:rPr>
        <w:t xml:space="preserve">DEQ </w:t>
      </w:r>
      <w:r w:rsidR="00A452A8">
        <w:rPr>
          <w:i/>
          <w:sz w:val="24"/>
          <w:szCs w:val="24"/>
        </w:rPr>
        <w:t>will include permit conditions detailing how many woodstove replacements would be required to offset the new/modified facility’s increased emissions. These permit conditions would ensure that woodstove offsets are permanent, quantifiable, and enforceable.  If the facility did not comply with the requirement to replace X amount of woodstoves, DEQ would take enforcement action for the</w:t>
      </w:r>
      <w:r w:rsidR="00387505">
        <w:rPr>
          <w:i/>
          <w:sz w:val="24"/>
          <w:szCs w:val="24"/>
        </w:rPr>
        <w:t xml:space="preserve"> permit violation.</w:t>
      </w:r>
      <w:r w:rsidR="00A452A8">
        <w:rPr>
          <w:i/>
          <w:sz w:val="24"/>
          <w:szCs w:val="24"/>
        </w:rPr>
        <w:t xml:space="preserve"> </w:t>
      </w:r>
      <w:r w:rsidR="00A43143">
        <w:rPr>
          <w:i/>
          <w:sz w:val="24"/>
          <w:szCs w:val="24"/>
        </w:rPr>
        <w:t>If industrial offsets are used, DEQ would modify the permit of the offsetting facility to ensure compliance.</w:t>
      </w:r>
    </w:p>
    <w:p w:rsidR="00A452A8" w:rsidRDefault="00A452A8" w:rsidP="007051DC">
      <w:pPr>
        <w:ind w:left="360"/>
        <w:rPr>
          <w:i/>
          <w:sz w:val="24"/>
          <w:szCs w:val="24"/>
        </w:rPr>
      </w:pPr>
    </w:p>
    <w:p w:rsidR="00A43143" w:rsidRDefault="00DA40E7" w:rsidP="00DA40E7">
      <w:pPr>
        <w:ind w:left="360"/>
        <w:rPr>
          <w:i/>
          <w:sz w:val="24"/>
          <w:szCs w:val="24"/>
        </w:rPr>
      </w:pPr>
      <w:r>
        <w:rPr>
          <w:i/>
          <w:sz w:val="24"/>
          <w:szCs w:val="24"/>
        </w:rPr>
        <w:t>DEQ would</w:t>
      </w:r>
      <w:r w:rsidR="007051DC" w:rsidRPr="007051DC">
        <w:rPr>
          <w:i/>
          <w:sz w:val="24"/>
          <w:szCs w:val="24"/>
        </w:rPr>
        <w:t xml:space="preserve"> track the woodstove offsets</w:t>
      </w:r>
      <w:r>
        <w:rPr>
          <w:i/>
          <w:sz w:val="24"/>
          <w:szCs w:val="24"/>
        </w:rPr>
        <w:t xml:space="preserve"> by i</w:t>
      </w:r>
      <w:r w:rsidR="007051DC" w:rsidRPr="007051DC">
        <w:rPr>
          <w:i/>
          <w:sz w:val="24"/>
          <w:szCs w:val="24"/>
        </w:rPr>
        <w:t>dentify</w:t>
      </w:r>
      <w:r>
        <w:rPr>
          <w:i/>
          <w:sz w:val="24"/>
          <w:szCs w:val="24"/>
        </w:rPr>
        <w:t>ing</w:t>
      </w:r>
      <w:r w:rsidR="007051DC" w:rsidRPr="007051DC">
        <w:rPr>
          <w:i/>
          <w:sz w:val="24"/>
          <w:szCs w:val="24"/>
        </w:rPr>
        <w:t xml:space="preserve"> a government agency or other entity to serve as the “Bank” and develop procedures to meet the intent of the rule. </w:t>
      </w:r>
      <w:r>
        <w:rPr>
          <w:i/>
          <w:sz w:val="24"/>
          <w:szCs w:val="24"/>
        </w:rPr>
        <w:t>If grant money is available, the</w:t>
      </w:r>
      <w:r w:rsidR="007051DC" w:rsidRPr="007051DC">
        <w:rPr>
          <w:i/>
          <w:sz w:val="24"/>
          <w:szCs w:val="24"/>
        </w:rPr>
        <w:t xml:space="preserve"> “Bank” </w:t>
      </w:r>
      <w:r>
        <w:rPr>
          <w:i/>
          <w:sz w:val="24"/>
          <w:szCs w:val="24"/>
        </w:rPr>
        <w:t xml:space="preserve">could initiate the woodstove changeout program, </w:t>
      </w:r>
      <w:r w:rsidR="007051DC" w:rsidRPr="007051DC">
        <w:rPr>
          <w:i/>
          <w:sz w:val="24"/>
          <w:szCs w:val="24"/>
        </w:rPr>
        <w:t>hold the credits</w:t>
      </w:r>
      <w:r w:rsidR="00A452A8">
        <w:rPr>
          <w:i/>
          <w:sz w:val="24"/>
          <w:szCs w:val="24"/>
        </w:rPr>
        <w:t xml:space="preserve"> and </w:t>
      </w:r>
      <w:r w:rsidR="002E09EE">
        <w:rPr>
          <w:i/>
          <w:sz w:val="24"/>
          <w:szCs w:val="24"/>
        </w:rPr>
        <w:t xml:space="preserve">sell </w:t>
      </w:r>
      <w:r w:rsidR="00A452A8">
        <w:rPr>
          <w:i/>
          <w:sz w:val="24"/>
          <w:szCs w:val="24"/>
        </w:rPr>
        <w:t>them to the facility that wants to construct or modify</w:t>
      </w:r>
      <w:r w:rsidR="007051DC" w:rsidRPr="007051DC">
        <w:rPr>
          <w:i/>
          <w:sz w:val="24"/>
          <w:szCs w:val="24"/>
        </w:rPr>
        <w:t xml:space="preserve">. </w:t>
      </w:r>
      <w:r w:rsidR="002E09EE">
        <w:rPr>
          <w:i/>
          <w:sz w:val="24"/>
          <w:szCs w:val="24"/>
        </w:rPr>
        <w:t xml:space="preserve">If grant money was not available, the new or modified facility would provide funding. </w:t>
      </w:r>
      <w:r w:rsidR="007051DC" w:rsidRPr="007051DC">
        <w:rPr>
          <w:i/>
          <w:sz w:val="24"/>
          <w:szCs w:val="24"/>
        </w:rPr>
        <w:t xml:space="preserve">There </w:t>
      </w:r>
      <w:r w:rsidR="002E09EE">
        <w:rPr>
          <w:i/>
          <w:sz w:val="24"/>
          <w:szCs w:val="24"/>
        </w:rPr>
        <w:t xml:space="preserve">would </w:t>
      </w:r>
      <w:r w:rsidR="007051DC" w:rsidRPr="007051DC">
        <w:rPr>
          <w:i/>
          <w:sz w:val="24"/>
          <w:szCs w:val="24"/>
        </w:rPr>
        <w:t>be a</w:t>
      </w:r>
      <w:r>
        <w:rPr>
          <w:i/>
          <w:sz w:val="24"/>
          <w:szCs w:val="24"/>
        </w:rPr>
        <w:t xml:space="preserve"> detailed </w:t>
      </w:r>
      <w:r w:rsidR="007051DC" w:rsidRPr="007051DC">
        <w:rPr>
          <w:i/>
          <w:sz w:val="24"/>
          <w:szCs w:val="24"/>
        </w:rPr>
        <w:t xml:space="preserve">accounting of </w:t>
      </w:r>
      <w:r w:rsidR="00857C31">
        <w:rPr>
          <w:i/>
          <w:sz w:val="24"/>
          <w:szCs w:val="24"/>
        </w:rPr>
        <w:t>the number of wood</w:t>
      </w:r>
      <w:r w:rsidR="007051DC" w:rsidRPr="007051DC">
        <w:rPr>
          <w:i/>
          <w:sz w:val="24"/>
          <w:szCs w:val="24"/>
        </w:rPr>
        <w:t>stove</w:t>
      </w:r>
      <w:r w:rsidR="00857C31">
        <w:rPr>
          <w:i/>
          <w:sz w:val="24"/>
          <w:szCs w:val="24"/>
        </w:rPr>
        <w:t>s</w:t>
      </w:r>
      <w:r w:rsidR="007051DC" w:rsidRPr="007051DC">
        <w:rPr>
          <w:i/>
          <w:sz w:val="24"/>
          <w:szCs w:val="24"/>
        </w:rPr>
        <w:t xml:space="preserve"> </w:t>
      </w:r>
      <w:r w:rsidR="00857C31">
        <w:rPr>
          <w:i/>
          <w:sz w:val="24"/>
          <w:szCs w:val="24"/>
        </w:rPr>
        <w:t xml:space="preserve">removed </w:t>
      </w:r>
      <w:r w:rsidR="007051DC" w:rsidRPr="007051DC">
        <w:rPr>
          <w:i/>
          <w:sz w:val="24"/>
          <w:szCs w:val="24"/>
        </w:rPr>
        <w:t xml:space="preserve">and </w:t>
      </w:r>
      <w:r w:rsidR="00857C31">
        <w:rPr>
          <w:i/>
          <w:sz w:val="24"/>
          <w:szCs w:val="24"/>
        </w:rPr>
        <w:t xml:space="preserve">the </w:t>
      </w:r>
      <w:r w:rsidR="007051DC" w:rsidRPr="007051DC">
        <w:rPr>
          <w:i/>
          <w:sz w:val="24"/>
          <w:szCs w:val="24"/>
        </w:rPr>
        <w:t xml:space="preserve">emission </w:t>
      </w:r>
      <w:r w:rsidR="00857C31">
        <w:rPr>
          <w:i/>
          <w:sz w:val="24"/>
          <w:szCs w:val="24"/>
        </w:rPr>
        <w:t xml:space="preserve">from </w:t>
      </w:r>
      <w:r w:rsidR="007051DC" w:rsidRPr="007051DC">
        <w:rPr>
          <w:i/>
          <w:sz w:val="24"/>
          <w:szCs w:val="24"/>
        </w:rPr>
        <w:t>each</w:t>
      </w:r>
      <w:r w:rsidR="00857C31">
        <w:rPr>
          <w:i/>
          <w:sz w:val="24"/>
          <w:szCs w:val="24"/>
        </w:rPr>
        <w:t xml:space="preserve"> changeout</w:t>
      </w:r>
      <w:r w:rsidR="007051DC" w:rsidRPr="007051DC">
        <w:rPr>
          <w:i/>
          <w:sz w:val="24"/>
          <w:szCs w:val="24"/>
        </w:rPr>
        <w:t xml:space="preserve">.  </w:t>
      </w:r>
      <w:r w:rsidRPr="00A43143">
        <w:rPr>
          <w:i/>
          <w:sz w:val="24"/>
          <w:szCs w:val="24"/>
        </w:rPr>
        <w:t xml:space="preserve">The </w:t>
      </w:r>
      <w:r>
        <w:rPr>
          <w:i/>
          <w:sz w:val="24"/>
          <w:szCs w:val="24"/>
        </w:rPr>
        <w:t xml:space="preserve">purchaser </w:t>
      </w:r>
      <w:r w:rsidRPr="00A43143">
        <w:rPr>
          <w:i/>
          <w:sz w:val="24"/>
          <w:szCs w:val="24"/>
        </w:rPr>
        <w:t xml:space="preserve">would be required to get documentation from the “Bank” </w:t>
      </w:r>
      <w:r w:rsidR="00857C31">
        <w:rPr>
          <w:i/>
          <w:sz w:val="24"/>
          <w:szCs w:val="24"/>
        </w:rPr>
        <w:t xml:space="preserve">for DEQ </w:t>
      </w:r>
      <w:r w:rsidRPr="00A43143">
        <w:rPr>
          <w:i/>
          <w:sz w:val="24"/>
          <w:szCs w:val="24"/>
        </w:rPr>
        <w:t xml:space="preserve">to verify the </w:t>
      </w:r>
      <w:r w:rsidR="00857C31">
        <w:rPr>
          <w:i/>
          <w:sz w:val="24"/>
          <w:szCs w:val="24"/>
        </w:rPr>
        <w:t xml:space="preserve">emission </w:t>
      </w:r>
      <w:r w:rsidRPr="00A43143">
        <w:rPr>
          <w:i/>
          <w:sz w:val="24"/>
          <w:szCs w:val="24"/>
        </w:rPr>
        <w:t>offset</w:t>
      </w:r>
      <w:r w:rsidR="00857C31">
        <w:rPr>
          <w:i/>
          <w:sz w:val="24"/>
          <w:szCs w:val="24"/>
        </w:rPr>
        <w:t>s</w:t>
      </w:r>
      <w:r w:rsidRPr="00A43143">
        <w:rPr>
          <w:i/>
          <w:sz w:val="24"/>
          <w:szCs w:val="24"/>
        </w:rPr>
        <w:t>.</w:t>
      </w:r>
    </w:p>
    <w:p w:rsidR="007051DC" w:rsidRDefault="007051DC" w:rsidP="00DA40E7">
      <w:pPr>
        <w:rPr>
          <w:sz w:val="24"/>
          <w:szCs w:val="24"/>
        </w:rPr>
      </w:pPr>
    </w:p>
    <w:p w:rsidR="00BA7C30" w:rsidRPr="00BA7C30" w:rsidRDefault="00BA7C30" w:rsidP="00BA7C30">
      <w:pPr>
        <w:pStyle w:val="ListParagraph"/>
        <w:numPr>
          <w:ilvl w:val="0"/>
          <w:numId w:val="10"/>
        </w:numPr>
        <w:rPr>
          <w:sz w:val="24"/>
          <w:szCs w:val="24"/>
        </w:rPr>
      </w:pPr>
      <w:r w:rsidRPr="00BA7C30">
        <w:rPr>
          <w:sz w:val="24"/>
          <w:szCs w:val="24"/>
        </w:rPr>
        <w:t>One of the questions that has been forming in my mind is how do each of the rules such as Clean Fuels, etc. work together to support overall air quality and looking to the future do these rules provide protection for population growth in our urban areas which are beginning to have new air quality challenges?</w:t>
      </w:r>
    </w:p>
    <w:p w:rsidR="007051DC" w:rsidRPr="00BA7C30" w:rsidRDefault="007051DC" w:rsidP="00BA7C30">
      <w:pPr>
        <w:pStyle w:val="ListParagraph"/>
        <w:ind w:left="360"/>
        <w:rPr>
          <w:sz w:val="24"/>
          <w:szCs w:val="24"/>
        </w:rPr>
      </w:pPr>
    </w:p>
    <w:sectPr w:rsidR="007051DC" w:rsidRPr="00BA7C30"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E3E" w:rsidRDefault="00E82E3E" w:rsidP="00E82E3E">
      <w:r>
        <w:separator/>
      </w:r>
    </w:p>
  </w:endnote>
  <w:endnote w:type="continuationSeparator" w:id="0">
    <w:p w:rsidR="00E82E3E" w:rsidRDefault="00E82E3E" w:rsidP="00E82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3E" w:rsidRDefault="00E82E3E">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r w:rsidR="00F02525">
      <w:rPr>
        <w:rFonts w:asciiTheme="majorHAnsi" w:hAnsiTheme="majorHAnsi"/>
        <w:noProof/>
      </w:rPr>
      <w:t>1/29/2015 5:40 PM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fldSimple w:instr=" PAGE   \* MERGEFORMAT ">
      <w:r w:rsidR="00B76BF5" w:rsidRPr="00B76BF5">
        <w:rPr>
          <w:rFonts w:asciiTheme="majorHAnsi" w:hAnsiTheme="majorHAnsi"/>
          <w:noProof/>
        </w:rPr>
        <w:t>1</w:t>
      </w:r>
    </w:fldSimple>
  </w:p>
  <w:p w:rsidR="00E82E3E" w:rsidRDefault="00E82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E3E" w:rsidRDefault="00E82E3E" w:rsidP="00E82E3E">
      <w:r>
        <w:separator/>
      </w:r>
    </w:p>
  </w:footnote>
  <w:footnote w:type="continuationSeparator" w:id="0">
    <w:p w:rsidR="00E82E3E" w:rsidRDefault="00E82E3E" w:rsidP="00E82E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45A46642"/>
    <w:multiLevelType w:val="hybridMultilevel"/>
    <w:tmpl w:val="780CF1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9B6F3A"/>
    <w:multiLevelType w:val="hybridMultilevel"/>
    <w:tmpl w:val="A3242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F17C37"/>
    <w:multiLevelType w:val="hybridMultilevel"/>
    <w:tmpl w:val="3DBE1B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337CC"/>
    <w:rsid w:val="000050F7"/>
    <w:rsid w:val="000459F4"/>
    <w:rsid w:val="00060120"/>
    <w:rsid w:val="00067040"/>
    <w:rsid w:val="000B4697"/>
    <w:rsid w:val="000B5E93"/>
    <w:rsid w:val="000D5C02"/>
    <w:rsid w:val="000E162A"/>
    <w:rsid w:val="00104AC6"/>
    <w:rsid w:val="0012353B"/>
    <w:rsid w:val="001410B9"/>
    <w:rsid w:val="00146C92"/>
    <w:rsid w:val="00147547"/>
    <w:rsid w:val="001559E2"/>
    <w:rsid w:val="001646FD"/>
    <w:rsid w:val="00172F63"/>
    <w:rsid w:val="00176EEF"/>
    <w:rsid w:val="001838BD"/>
    <w:rsid w:val="00195444"/>
    <w:rsid w:val="00195FC2"/>
    <w:rsid w:val="00197570"/>
    <w:rsid w:val="001A22A5"/>
    <w:rsid w:val="001B4C01"/>
    <w:rsid w:val="001C5A74"/>
    <w:rsid w:val="001C5DFD"/>
    <w:rsid w:val="001D19AE"/>
    <w:rsid w:val="001F0FD8"/>
    <w:rsid w:val="001F4127"/>
    <w:rsid w:val="001F4426"/>
    <w:rsid w:val="001F6108"/>
    <w:rsid w:val="0020056E"/>
    <w:rsid w:val="0020509F"/>
    <w:rsid w:val="0021223B"/>
    <w:rsid w:val="002616A5"/>
    <w:rsid w:val="002855E2"/>
    <w:rsid w:val="002920D1"/>
    <w:rsid w:val="002A506D"/>
    <w:rsid w:val="002D5E18"/>
    <w:rsid w:val="002D698C"/>
    <w:rsid w:val="002E09EE"/>
    <w:rsid w:val="002E6FB1"/>
    <w:rsid w:val="00312201"/>
    <w:rsid w:val="00340C2A"/>
    <w:rsid w:val="003419DD"/>
    <w:rsid w:val="0035471E"/>
    <w:rsid w:val="0037020C"/>
    <w:rsid w:val="00387505"/>
    <w:rsid w:val="00394250"/>
    <w:rsid w:val="0039781C"/>
    <w:rsid w:val="003A1E7B"/>
    <w:rsid w:val="003A2167"/>
    <w:rsid w:val="003A60DE"/>
    <w:rsid w:val="003B54E8"/>
    <w:rsid w:val="003C2C6E"/>
    <w:rsid w:val="003D37E3"/>
    <w:rsid w:val="00400586"/>
    <w:rsid w:val="00414F67"/>
    <w:rsid w:val="0042472D"/>
    <w:rsid w:val="0043117D"/>
    <w:rsid w:val="00432365"/>
    <w:rsid w:val="00451F91"/>
    <w:rsid w:val="004A35C7"/>
    <w:rsid w:val="004A69AF"/>
    <w:rsid w:val="004B2364"/>
    <w:rsid w:val="004C0F0A"/>
    <w:rsid w:val="004D578D"/>
    <w:rsid w:val="004F506B"/>
    <w:rsid w:val="005015D1"/>
    <w:rsid w:val="00503CDF"/>
    <w:rsid w:val="00515305"/>
    <w:rsid w:val="00516616"/>
    <w:rsid w:val="00526BD8"/>
    <w:rsid w:val="00550EF6"/>
    <w:rsid w:val="005575A3"/>
    <w:rsid w:val="00583080"/>
    <w:rsid w:val="0058737B"/>
    <w:rsid w:val="005A4F7A"/>
    <w:rsid w:val="005B3E72"/>
    <w:rsid w:val="005D4E89"/>
    <w:rsid w:val="005D7215"/>
    <w:rsid w:val="005F2679"/>
    <w:rsid w:val="00621182"/>
    <w:rsid w:val="00665BB2"/>
    <w:rsid w:val="0066636C"/>
    <w:rsid w:val="00670552"/>
    <w:rsid w:val="00691FFD"/>
    <w:rsid w:val="006A1C1A"/>
    <w:rsid w:val="006A72B3"/>
    <w:rsid w:val="006E23E4"/>
    <w:rsid w:val="006E4A30"/>
    <w:rsid w:val="006F4FFD"/>
    <w:rsid w:val="006F65EA"/>
    <w:rsid w:val="006F6D02"/>
    <w:rsid w:val="007051DC"/>
    <w:rsid w:val="007142DA"/>
    <w:rsid w:val="00715E91"/>
    <w:rsid w:val="007260E4"/>
    <w:rsid w:val="0072678D"/>
    <w:rsid w:val="00732F05"/>
    <w:rsid w:val="00734469"/>
    <w:rsid w:val="00772B9A"/>
    <w:rsid w:val="00785139"/>
    <w:rsid w:val="00791DB9"/>
    <w:rsid w:val="00796081"/>
    <w:rsid w:val="007B704E"/>
    <w:rsid w:val="007C30EA"/>
    <w:rsid w:val="007C644B"/>
    <w:rsid w:val="007E2042"/>
    <w:rsid w:val="008009ED"/>
    <w:rsid w:val="008114C7"/>
    <w:rsid w:val="00822FC3"/>
    <w:rsid w:val="008337CC"/>
    <w:rsid w:val="00841DBC"/>
    <w:rsid w:val="00844B9F"/>
    <w:rsid w:val="00857C31"/>
    <w:rsid w:val="00882A13"/>
    <w:rsid w:val="008A12AC"/>
    <w:rsid w:val="008A1D3D"/>
    <w:rsid w:val="008A5039"/>
    <w:rsid w:val="008A6EB2"/>
    <w:rsid w:val="008A7A14"/>
    <w:rsid w:val="008B4C71"/>
    <w:rsid w:val="008C5BB7"/>
    <w:rsid w:val="008D48FD"/>
    <w:rsid w:val="008F7F7D"/>
    <w:rsid w:val="009206BF"/>
    <w:rsid w:val="00942A04"/>
    <w:rsid w:val="00946703"/>
    <w:rsid w:val="00983606"/>
    <w:rsid w:val="00997E45"/>
    <w:rsid w:val="009B3E5A"/>
    <w:rsid w:val="009F2E6A"/>
    <w:rsid w:val="009F5924"/>
    <w:rsid w:val="00A43143"/>
    <w:rsid w:val="00A452A8"/>
    <w:rsid w:val="00A74511"/>
    <w:rsid w:val="00A75B68"/>
    <w:rsid w:val="00A931E0"/>
    <w:rsid w:val="00AA2DB5"/>
    <w:rsid w:val="00AA3FE4"/>
    <w:rsid w:val="00AD2D39"/>
    <w:rsid w:val="00AE1F83"/>
    <w:rsid w:val="00AE630B"/>
    <w:rsid w:val="00B03D23"/>
    <w:rsid w:val="00B04278"/>
    <w:rsid w:val="00B35138"/>
    <w:rsid w:val="00B45EA8"/>
    <w:rsid w:val="00B517E5"/>
    <w:rsid w:val="00B54B70"/>
    <w:rsid w:val="00B76BF5"/>
    <w:rsid w:val="00B80CC8"/>
    <w:rsid w:val="00BA746E"/>
    <w:rsid w:val="00BA7C30"/>
    <w:rsid w:val="00BB2762"/>
    <w:rsid w:val="00BC407B"/>
    <w:rsid w:val="00BD28BC"/>
    <w:rsid w:val="00BE33CA"/>
    <w:rsid w:val="00C2296F"/>
    <w:rsid w:val="00C25F04"/>
    <w:rsid w:val="00C2695F"/>
    <w:rsid w:val="00C34A32"/>
    <w:rsid w:val="00C47403"/>
    <w:rsid w:val="00C64DB1"/>
    <w:rsid w:val="00C75249"/>
    <w:rsid w:val="00CB3E5D"/>
    <w:rsid w:val="00CB5269"/>
    <w:rsid w:val="00CB57AD"/>
    <w:rsid w:val="00CC390A"/>
    <w:rsid w:val="00CF0D39"/>
    <w:rsid w:val="00CF18E6"/>
    <w:rsid w:val="00CF2E54"/>
    <w:rsid w:val="00D127AE"/>
    <w:rsid w:val="00D17A56"/>
    <w:rsid w:val="00D3170B"/>
    <w:rsid w:val="00D52EBF"/>
    <w:rsid w:val="00D61E12"/>
    <w:rsid w:val="00D66CE3"/>
    <w:rsid w:val="00D677B1"/>
    <w:rsid w:val="00D83263"/>
    <w:rsid w:val="00D866AB"/>
    <w:rsid w:val="00DA0F01"/>
    <w:rsid w:val="00DA40E7"/>
    <w:rsid w:val="00DB2B20"/>
    <w:rsid w:val="00DD3752"/>
    <w:rsid w:val="00DD72D8"/>
    <w:rsid w:val="00DF05EA"/>
    <w:rsid w:val="00E21A48"/>
    <w:rsid w:val="00E439A4"/>
    <w:rsid w:val="00E60434"/>
    <w:rsid w:val="00E63540"/>
    <w:rsid w:val="00E82E3E"/>
    <w:rsid w:val="00E939D0"/>
    <w:rsid w:val="00E966A8"/>
    <w:rsid w:val="00EA1896"/>
    <w:rsid w:val="00EB4211"/>
    <w:rsid w:val="00EC7C87"/>
    <w:rsid w:val="00ED5A52"/>
    <w:rsid w:val="00EE7408"/>
    <w:rsid w:val="00EE7544"/>
    <w:rsid w:val="00EF19FA"/>
    <w:rsid w:val="00EF4C04"/>
    <w:rsid w:val="00F004DB"/>
    <w:rsid w:val="00F00626"/>
    <w:rsid w:val="00F02525"/>
    <w:rsid w:val="00F032C1"/>
    <w:rsid w:val="00F21A48"/>
    <w:rsid w:val="00F24902"/>
    <w:rsid w:val="00F367C5"/>
    <w:rsid w:val="00F40738"/>
    <w:rsid w:val="00F469F5"/>
    <w:rsid w:val="00F52E7E"/>
    <w:rsid w:val="00F54A7C"/>
    <w:rsid w:val="00F76319"/>
    <w:rsid w:val="00FA69E6"/>
    <w:rsid w:val="00FC1EB7"/>
    <w:rsid w:val="00FC6C23"/>
    <w:rsid w:val="00FD0784"/>
    <w:rsid w:val="00FD4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833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09ED"/>
    <w:rPr>
      <w:rFonts w:ascii="Tahoma" w:hAnsi="Tahoma" w:cs="Tahoma"/>
      <w:sz w:val="16"/>
      <w:szCs w:val="16"/>
    </w:rPr>
  </w:style>
  <w:style w:type="character" w:customStyle="1" w:styleId="BalloonTextChar">
    <w:name w:val="Balloon Text Char"/>
    <w:basedOn w:val="DefaultParagraphFont"/>
    <w:link w:val="BalloonText"/>
    <w:uiPriority w:val="99"/>
    <w:semiHidden/>
    <w:rsid w:val="008009ED"/>
    <w:rPr>
      <w:rFonts w:ascii="Tahoma" w:hAnsi="Tahoma" w:cs="Tahoma"/>
      <w:sz w:val="16"/>
      <w:szCs w:val="16"/>
    </w:rPr>
  </w:style>
  <w:style w:type="paragraph" w:styleId="Header">
    <w:name w:val="header"/>
    <w:basedOn w:val="Normal"/>
    <w:link w:val="HeaderChar"/>
    <w:uiPriority w:val="99"/>
    <w:semiHidden/>
    <w:unhideWhenUsed/>
    <w:rsid w:val="00E82E3E"/>
    <w:pPr>
      <w:tabs>
        <w:tab w:val="center" w:pos="4680"/>
        <w:tab w:val="right" w:pos="9360"/>
      </w:tabs>
    </w:pPr>
  </w:style>
  <w:style w:type="character" w:customStyle="1" w:styleId="HeaderChar">
    <w:name w:val="Header Char"/>
    <w:basedOn w:val="DefaultParagraphFont"/>
    <w:link w:val="Header"/>
    <w:uiPriority w:val="99"/>
    <w:semiHidden/>
    <w:rsid w:val="00E82E3E"/>
  </w:style>
  <w:style w:type="paragraph" w:styleId="Footer">
    <w:name w:val="footer"/>
    <w:basedOn w:val="Normal"/>
    <w:link w:val="FooterChar"/>
    <w:uiPriority w:val="99"/>
    <w:unhideWhenUsed/>
    <w:rsid w:val="00E82E3E"/>
    <w:pPr>
      <w:tabs>
        <w:tab w:val="center" w:pos="4680"/>
        <w:tab w:val="right" w:pos="9360"/>
      </w:tabs>
    </w:pPr>
  </w:style>
  <w:style w:type="character" w:customStyle="1" w:styleId="FooterChar">
    <w:name w:val="Footer Char"/>
    <w:basedOn w:val="DefaultParagraphFont"/>
    <w:link w:val="Footer"/>
    <w:uiPriority w:val="99"/>
    <w:rsid w:val="00E82E3E"/>
  </w:style>
</w:styles>
</file>

<file path=word/webSettings.xml><?xml version="1.0" encoding="utf-8"?>
<w:webSettings xmlns:r="http://schemas.openxmlformats.org/officeDocument/2006/relationships" xmlns:w="http://schemas.openxmlformats.org/wordprocessingml/2006/main">
  <w:divs>
    <w:div w:id="271935971">
      <w:bodyDiv w:val="1"/>
      <w:marLeft w:val="0"/>
      <w:marRight w:val="0"/>
      <w:marTop w:val="0"/>
      <w:marBottom w:val="0"/>
      <w:divBdr>
        <w:top w:val="none" w:sz="0" w:space="0" w:color="auto"/>
        <w:left w:val="none" w:sz="0" w:space="0" w:color="auto"/>
        <w:bottom w:val="none" w:sz="0" w:space="0" w:color="auto"/>
        <w:right w:val="none" w:sz="0" w:space="0" w:color="auto"/>
      </w:divBdr>
    </w:div>
    <w:div w:id="506677043">
      <w:bodyDiv w:val="1"/>
      <w:marLeft w:val="0"/>
      <w:marRight w:val="0"/>
      <w:marTop w:val="0"/>
      <w:marBottom w:val="0"/>
      <w:divBdr>
        <w:top w:val="none" w:sz="0" w:space="0" w:color="auto"/>
        <w:left w:val="none" w:sz="0" w:space="0" w:color="auto"/>
        <w:bottom w:val="none" w:sz="0" w:space="0" w:color="auto"/>
        <w:right w:val="none" w:sz="0" w:space="0" w:color="auto"/>
      </w:divBdr>
    </w:div>
    <w:div w:id="844825810">
      <w:bodyDiv w:val="1"/>
      <w:marLeft w:val="0"/>
      <w:marRight w:val="0"/>
      <w:marTop w:val="0"/>
      <w:marBottom w:val="0"/>
      <w:divBdr>
        <w:top w:val="none" w:sz="0" w:space="0" w:color="auto"/>
        <w:left w:val="none" w:sz="0" w:space="0" w:color="auto"/>
        <w:bottom w:val="none" w:sz="0" w:space="0" w:color="auto"/>
        <w:right w:val="none" w:sz="0" w:space="0" w:color="auto"/>
      </w:divBdr>
    </w:div>
    <w:div w:id="18513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16</cp:revision>
  <cp:lastPrinted>2015-01-29T23:40:00Z</cp:lastPrinted>
  <dcterms:created xsi:type="dcterms:W3CDTF">2015-01-30T01:06:00Z</dcterms:created>
  <dcterms:modified xsi:type="dcterms:W3CDTF">2015-01-30T02:22:00Z</dcterms:modified>
</cp:coreProperties>
</file>