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 xml:space="preserve">[ED. NOTE: Table referenced </w:t>
            </w:r>
            <w:proofErr w:type="gramStart"/>
            <w:r w:rsidRPr="00021265">
              <w:rPr>
                <w:bCs/>
              </w:rPr>
              <w:t>are</w:t>
            </w:r>
            <w:proofErr w:type="gramEnd"/>
            <w:r w:rsidRPr="00021265">
              <w:rPr>
                <w:bCs/>
              </w:rPr>
              <w:t xml:space="preserv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This equipment can be split into two groups:  1</w:t>
            </w:r>
            <w:proofErr w:type="gramStart"/>
            <w:r w:rsidRPr="00E35CED">
              <w:t>.  A</w:t>
            </w:r>
            <w:proofErr w:type="gramEnd"/>
            <w:r w:rsidRPr="00E35CED">
              <w:t xml:space="preserve">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w:t>
            </w:r>
            <w:proofErr w:type="gramStart"/>
            <w:r w:rsidRPr="00E35CED">
              <w:t xml:space="preserve">and </w:t>
            </w:r>
            <w:r w:rsidR="00863D7C" w:rsidRPr="00E35CED">
              <w:t xml:space="preserve"> </w:t>
            </w:r>
            <w:r w:rsidRPr="00E35CED">
              <w:t>are</w:t>
            </w:r>
            <w:proofErr w:type="gramEnd"/>
            <w:r w:rsidRPr="00E35CED">
              <w:t xml:space="preserv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lastRenderedPageBreak/>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lastRenderedPageBreak/>
              <w:t>Clarification</w:t>
            </w:r>
            <w:r>
              <w:t xml:space="preserve">. </w:t>
            </w:r>
            <w:r w:rsidRPr="00596E83">
              <w:t xml:space="preserve">There has been confusion among the </w:t>
            </w:r>
            <w:r w:rsidRPr="00596E83">
              <w:lastRenderedPageBreak/>
              <w:t>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lastRenderedPageBreak/>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w:t>
            </w:r>
            <w:r w:rsidRPr="006E233D">
              <w:lastRenderedPageBreak/>
              <w:t xml:space="preserve">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 xml:space="preserve">(A) Fugitive emissions and insignificant activity </w:t>
            </w:r>
            <w:r w:rsidRPr="009B16A7">
              <w:lastRenderedPageBreak/>
              <w:t>emissions; and</w:t>
            </w:r>
            <w:r>
              <w:t>”</w:t>
            </w:r>
          </w:p>
        </w:tc>
        <w:tc>
          <w:tcPr>
            <w:tcW w:w="4320" w:type="dxa"/>
          </w:tcPr>
          <w:p w:rsidR="007B151A" w:rsidRDefault="007B151A" w:rsidP="006F523F">
            <w:r>
              <w:lastRenderedPageBreak/>
              <w:t>C</w:t>
            </w:r>
            <w:r w:rsidRPr="006E233D">
              <w:t>larification</w:t>
            </w:r>
            <w:r>
              <w:t>.</w:t>
            </w:r>
            <w:r w:rsidRPr="006E233D">
              <w:t xml:space="preserve"> Clarify that fugitive emissions from insignificant activities must be included in the </w:t>
            </w:r>
            <w:r w:rsidRPr="006E233D">
              <w:lastRenderedPageBreak/>
              <w:t>determination of a federal major source</w:t>
            </w:r>
          </w:p>
          <w:p w:rsidR="007B151A" w:rsidRPr="006E233D" w:rsidRDefault="007B151A" w:rsidP="00146F2E"/>
        </w:tc>
        <w:tc>
          <w:tcPr>
            <w:tcW w:w="787" w:type="dxa"/>
          </w:tcPr>
          <w:p w:rsidR="007B151A" w:rsidRPr="006E233D" w:rsidRDefault="007B151A" w:rsidP="00146F2E">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rsidR="00550FC7">
              <w:t xml:space="preserve">(a) and </w:t>
            </w:r>
            <w:r>
              <w:t>(b)</w:t>
            </w:r>
          </w:p>
        </w:tc>
        <w:tc>
          <w:tcPr>
            <w:tcW w:w="990" w:type="dxa"/>
          </w:tcPr>
          <w:p w:rsidR="007B151A" w:rsidRPr="006E233D" w:rsidRDefault="00550FC7" w:rsidP="00CD5DF9">
            <w:r>
              <w:t>200</w:t>
            </w:r>
          </w:p>
        </w:tc>
        <w:tc>
          <w:tcPr>
            <w:tcW w:w="1350" w:type="dxa"/>
          </w:tcPr>
          <w:p w:rsidR="007B151A" w:rsidRPr="006E233D" w:rsidRDefault="00550FC7" w:rsidP="00CD5DF9">
            <w:r>
              <w:t>0020(73)</w:t>
            </w:r>
          </w:p>
        </w:tc>
        <w:tc>
          <w:tcPr>
            <w:tcW w:w="4860" w:type="dxa"/>
          </w:tcPr>
          <w:p w:rsidR="00550FC7" w:rsidRDefault="007B151A" w:rsidP="00550FC7">
            <w:r>
              <w:t>Change to:</w:t>
            </w:r>
          </w:p>
          <w:p w:rsidR="007B151A" w:rsidRPr="006E233D" w:rsidRDefault="00550FC7" w:rsidP="00CD5DF9">
            <w:r w:rsidRPr="00550FC7">
              <w:t xml:space="preserve"> "Greenhouse gases" or "GHGs" means the aggregate group of the following six gases: carbon dioxide, nitrous oxide, methane, hydrofluorocarbons, perfluorocarbons, and sulfur hexafluoride. Each gas is also individually a greenhouse gas.</w:t>
            </w:r>
            <w:r>
              <w:t>”</w:t>
            </w:r>
            <w:r w:rsidRPr="00550FC7">
              <w:t xml:space="preserve"> </w:t>
            </w:r>
          </w:p>
        </w:tc>
        <w:tc>
          <w:tcPr>
            <w:tcW w:w="4320" w:type="dxa"/>
          </w:tcPr>
          <w:p w:rsidR="007B151A" w:rsidRPr="006E233D" w:rsidRDefault="007B151A" w:rsidP="00CA7E8D">
            <w:r>
              <w:t xml:space="preserve">EPA’s biomass deferral, the deferral of CO2 emissions from bioenergy and other biogenic sources under the Prevention of Significant Deterioration and Title V programs, ended on July 20, 2014.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lastRenderedPageBreak/>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 xml:space="preserve">Defined in division 202 </w:t>
            </w:r>
            <w:r w:rsidRPr="009414AA">
              <w:lastRenderedPageBreak/>
              <w:t>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t>
            </w:r>
            <w:r w:rsidRPr="006E233D">
              <w:lastRenderedPageBreak/>
              <w:t xml:space="preserve">whether a source makes a major modification </w:t>
            </w:r>
            <w:r>
              <w:t>to the definition of “major modification”</w:t>
            </w:r>
          </w:p>
        </w:tc>
        <w:tc>
          <w:tcPr>
            <w:tcW w:w="4320" w:type="dxa"/>
          </w:tcPr>
          <w:p w:rsidR="007B151A" w:rsidRPr="006E233D" w:rsidRDefault="007B151A" w:rsidP="00754252">
            <w:r w:rsidRPr="006E233D">
              <w:lastRenderedPageBreak/>
              <w:t>Move procedural requirements out of definitions</w:t>
            </w:r>
            <w:r>
              <w:t xml:space="preserve">. </w:t>
            </w:r>
            <w:r w:rsidRPr="006E233D">
              <w:lastRenderedPageBreak/>
              <w:t>Determination of  whether a source makes a  major modification should be in division 224 New Source Review</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w:t>
            </w:r>
            <w:r>
              <w:lastRenderedPageBreak/>
              <w:t>B)(xx)</w:t>
            </w:r>
          </w:p>
        </w:tc>
        <w:tc>
          <w:tcPr>
            <w:tcW w:w="990" w:type="dxa"/>
          </w:tcPr>
          <w:p w:rsidR="007B151A" w:rsidRPr="006E233D" w:rsidRDefault="007B151A" w:rsidP="00A66AE8">
            <w:r w:rsidRPr="006E233D">
              <w:lastRenderedPageBreak/>
              <w:t>200</w:t>
            </w:r>
          </w:p>
        </w:tc>
        <w:tc>
          <w:tcPr>
            <w:tcW w:w="1350" w:type="dxa"/>
          </w:tcPr>
          <w:p w:rsidR="007B151A" w:rsidRPr="006E233D" w:rsidRDefault="007B151A" w:rsidP="00712AE9">
            <w:r w:rsidRPr="006E233D">
              <w:t>0020(</w:t>
            </w:r>
            <w:r>
              <w:t>91)(b)(</w:t>
            </w:r>
            <w:r>
              <w:lastRenderedPageBreak/>
              <w:t>B)(xx</w:t>
            </w:r>
            <w:r w:rsidRPr="006E233D">
              <w:t>)</w:t>
            </w:r>
          </w:p>
        </w:tc>
        <w:tc>
          <w:tcPr>
            <w:tcW w:w="4860" w:type="dxa"/>
          </w:tcPr>
          <w:p w:rsidR="007B151A" w:rsidRPr="006E233D" w:rsidRDefault="007B151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7B151A" w:rsidRPr="006E233D" w:rsidRDefault="007B151A"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lastRenderedPageBreak/>
              <w:t>SIP</w:t>
            </w:r>
          </w:p>
        </w:tc>
      </w:tr>
      <w:tr w:rsidR="007B151A" w:rsidRPr="006E233D" w:rsidTr="00B41634">
        <w:tc>
          <w:tcPr>
            <w:tcW w:w="918" w:type="dxa"/>
          </w:tcPr>
          <w:p w:rsidR="007B151A" w:rsidRPr="006E233D" w:rsidRDefault="007B151A" w:rsidP="00B41634">
            <w:r w:rsidRPr="006E233D">
              <w:lastRenderedPageBreak/>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lastRenderedPageBreak/>
              <w:t>240</w:t>
            </w:r>
          </w:p>
        </w:tc>
        <w:tc>
          <w:tcPr>
            <w:tcW w:w="1350" w:type="dxa"/>
          </w:tcPr>
          <w:p w:rsidR="007B151A" w:rsidRPr="006E233D" w:rsidRDefault="007B151A" w:rsidP="00A65851">
            <w:r w:rsidRPr="006E233D">
              <w:lastRenderedPageBreak/>
              <w:t>0010(8)</w:t>
            </w:r>
          </w:p>
          <w:p w:rsidR="007B151A" w:rsidRPr="006E233D" w:rsidRDefault="007B151A" w:rsidP="00A65851">
            <w:r w:rsidRPr="006E233D">
              <w:lastRenderedPageBreak/>
              <w:t>0030(28)</w:t>
            </w:r>
          </w:p>
        </w:tc>
        <w:tc>
          <w:tcPr>
            <w:tcW w:w="990" w:type="dxa"/>
          </w:tcPr>
          <w:p w:rsidR="007B151A" w:rsidRPr="006E233D" w:rsidRDefault="007B151A" w:rsidP="00A65851">
            <w:r w:rsidRPr="006E233D">
              <w:lastRenderedPageBreak/>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lastRenderedPageBreak/>
              <w:t>"Odor" means that property of an air contaminant that affects the sense of smell.</w:t>
            </w:r>
          </w:p>
        </w:tc>
        <w:tc>
          <w:tcPr>
            <w:tcW w:w="4320" w:type="dxa"/>
          </w:tcPr>
          <w:p w:rsidR="007B151A" w:rsidRPr="006E233D" w:rsidRDefault="007B151A" w:rsidP="002A2B93">
            <w:r w:rsidRPr="006E233D">
              <w:rPr>
                <w:bCs/>
              </w:rPr>
              <w:lastRenderedPageBreak/>
              <w:t>340-208-0010</w:t>
            </w:r>
            <w:r w:rsidRPr="006E233D">
              <w:t xml:space="preserve">(8) "Odor" means that property of an </w:t>
            </w:r>
            <w:r w:rsidRPr="006E233D">
              <w:lastRenderedPageBreak/>
              <w:t>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lastRenderedPageBreak/>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lastRenderedPageBreak/>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 xml:space="preserve">(9) "Person" means the federal </w:t>
            </w:r>
            <w:r w:rsidRPr="00A05C6C">
              <w:lastRenderedPageBreak/>
              <w:t>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 xml:space="preserve">(a) When used in the context of direct PM2.5 emissions, </w:t>
            </w:r>
            <w:r w:rsidRPr="00006DD3">
              <w:lastRenderedPageBreak/>
              <w:t>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lastRenderedPageBreak/>
              <w:t>Include test methods with limit in specific rules or permits</w:t>
            </w:r>
            <w:r>
              <w:t xml:space="preserve">. </w:t>
            </w:r>
            <w:r w:rsidRPr="006E233D">
              <w:t xml:space="preserve">Delete the reference to EPA reference </w:t>
            </w:r>
            <w:r w:rsidRPr="006E233D">
              <w:lastRenderedPageBreak/>
              <w:t>methods 201A and 20</w:t>
            </w:r>
            <w:r>
              <w:t>2 in 40 CFR Part 51, appendix M</w:t>
            </w:r>
            <w:r w:rsidRPr="001F097C">
              <w: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w:t>
            </w:r>
            <w:proofErr w:type="gramStart"/>
            <w:r w:rsidRPr="00451BC5">
              <w:rPr>
                <w:bCs/>
              </w:rPr>
              <w:t>portable</w:t>
            </w:r>
            <w:proofErr w:type="gramEnd"/>
            <w:r w:rsidRPr="00451BC5">
              <w:rPr>
                <w:bCs/>
              </w:rPr>
              <w:t xml:space="preserv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B97A43"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 xml:space="preserve">(b) The maximum allowable regulated pollutant </w:t>
            </w:r>
            <w:r w:rsidRPr="00112C55">
              <w:lastRenderedPageBreak/>
              <w:t>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lastRenderedPageBreak/>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w:t>
            </w:r>
            <w:r w:rsidRPr="00DA0AB7">
              <w:rPr>
                <w:color w:val="000000"/>
              </w:rPr>
              <w:lastRenderedPageBreak/>
              <w:t xml:space="preserve">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lastRenderedPageBreak/>
              <w:t xml:space="preserve">Define new area for </w:t>
            </w:r>
            <w:r>
              <w:t xml:space="preserve">New Source Review. </w:t>
            </w:r>
            <w:r w:rsidRPr="006E233D">
              <w:t xml:space="preserve">Reattainment areas are those that were </w:t>
            </w:r>
            <w:r w:rsidRPr="006E233D">
              <w:lastRenderedPageBreak/>
              <w:t>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lastRenderedPageBreak/>
              <w:t>SIP</w:t>
            </w:r>
          </w:p>
        </w:tc>
      </w:tr>
      <w:tr w:rsidR="007B151A" w:rsidRPr="006E233D" w:rsidTr="00D66578">
        <w:trPr>
          <w:trHeight w:val="315"/>
        </w:trPr>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lastRenderedPageBreak/>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have an impact on such area equal to or greater than 1 ug/m3 (24 hour average) is emitting at a significant </w:t>
            </w:r>
            <w:r w:rsidRPr="00D03941">
              <w:rPr>
                <w:bCs/>
              </w:rPr>
              <w:lastRenderedPageBreak/>
              <w:t>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lastRenderedPageBreak/>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w:t>
            </w:r>
            <w:proofErr w:type="gramStart"/>
            <w:r w:rsidRPr="00513F8A">
              <w:t>"  means</w:t>
            </w:r>
            <w:proofErr w:type="gramEnd"/>
            <w:r w:rsidRPr="00513F8A">
              <w:t xml:space="preserve">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 xml:space="preserve">Significant impact level” or “SIL” means the ambient air quality concentrations listed </w:t>
            </w:r>
            <w:proofErr w:type="gramStart"/>
            <w:r w:rsidRPr="000449DF">
              <w:t>below .</w:t>
            </w:r>
            <w:proofErr w:type="gramEnd"/>
            <w:r w:rsidRPr="000449DF">
              <w:t xml:space="preserve"> The threshold concentrations listed </w:t>
            </w:r>
            <w:proofErr w:type="gramStart"/>
            <w:r w:rsidRPr="000449DF">
              <w:t>below  are</w:t>
            </w:r>
            <w:proofErr w:type="gramEnd"/>
            <w:r w:rsidRPr="000449DF">
              <w:t xml:space="preserv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lastRenderedPageBreak/>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lastRenderedPageBreak/>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lastRenderedPageBreak/>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lastRenderedPageBreak/>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w:t>
            </w:r>
            <w:proofErr w:type="gramStart"/>
            <w:r>
              <w:t>)(</w:t>
            </w:r>
            <w:proofErr w:type="gramEnd"/>
            <w:r>
              <w:t>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w:t>
            </w:r>
            <w:r w:rsidRPr="00BE4D51">
              <w:lastRenderedPageBreak/>
              <w:t>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lastRenderedPageBreak/>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w:t>
            </w:r>
            <w:proofErr w:type="gramStart"/>
            <w:r w:rsidRPr="00E90ECA">
              <w:t>unclassified</w:t>
            </w:r>
            <w:proofErr w:type="gramEnd"/>
            <w:r w:rsidRPr="00E90ECA">
              <w:t xml:space="preserve">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w:t>
            </w:r>
            <w:r w:rsidRPr="006E233D">
              <w:lastRenderedPageBreak/>
              <w:t xml:space="preserve">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w:t>
            </w:r>
            <w:proofErr w:type="gramStart"/>
            <w:r w:rsidRPr="00CB0A6F">
              <w:t xml:space="preserve">regulatory </w:t>
            </w:r>
            <w:r>
              <w:t xml:space="preserve"> </w:t>
            </w:r>
            <w:r w:rsidRPr="00CB0A6F">
              <w:t>definition</w:t>
            </w:r>
            <w:proofErr w:type="gramEnd"/>
            <w:r w:rsidRPr="00CB0A6F">
              <w:t xml:space="preserve">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 xml:space="preserve">"Wood Fired Veneer Dryer" means a veneer </w:t>
            </w:r>
            <w:proofErr w:type="gramStart"/>
            <w:r w:rsidRPr="006E233D">
              <w:t>dryer</w:t>
            </w:r>
            <w:r>
              <w:t>,</w:t>
            </w:r>
            <w:r w:rsidRPr="006E233D">
              <w:t xml:space="preserve">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 xml:space="preserve">d) Heating equipment in or used in connection with residences used exclusively as dwellings for not more than four families, except woodstoves which shall be subject to regulation under OAR 340 divisions 240 and </w:t>
            </w:r>
            <w:r w:rsidRPr="00002547">
              <w:lastRenderedPageBreak/>
              <w:t>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lastRenderedPageBreak/>
              <w:t xml:space="preserve">Correction and clarification. The heating equipment exception is contained in </w:t>
            </w:r>
            <w:r w:rsidRPr="00B54FA7">
              <w:t xml:space="preserve">ORS </w:t>
            </w:r>
            <w:proofErr w:type="gramStart"/>
            <w:r w:rsidRPr="00B54FA7">
              <w:t>468A.020(</w:t>
            </w:r>
            <w:proofErr w:type="gramEnd"/>
            <w:r w:rsidRPr="00B54FA7">
              <w:t xml:space="preserve">1)(d) </w:t>
            </w:r>
            <w:r>
              <w:t xml:space="preserve">so just list that instead of the individual references to the ORS listed in </w:t>
            </w:r>
            <w:r w:rsidRPr="00B54FA7">
              <w:t>ORS 468A.020(1)(d)</w:t>
            </w:r>
            <w:r>
              <w:t xml:space="preserve">. Divisions 240 and 262 regulate </w:t>
            </w:r>
            <w:r>
              <w:lastRenderedPageBreak/>
              <w:t xml:space="preserve">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 xml:space="preserve">New significant figures and rounding </w:t>
            </w:r>
            <w:r w:rsidRPr="00071966">
              <w:lastRenderedPageBreak/>
              <w:t>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w:t>
            </w:r>
            <w:r w:rsidRPr="006A1734">
              <w:rPr>
                <w:color w:val="000000"/>
              </w:rPr>
              <w:lastRenderedPageBreak/>
              <w:t xml:space="preserve">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lastRenderedPageBreak/>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lastRenderedPageBreak/>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w:t>
            </w:r>
            <w:r w:rsidRPr="003076FE">
              <w:rPr>
                <w:color w:val="000000"/>
              </w:rPr>
              <w:lastRenderedPageBreak/>
              <w:t>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lastRenderedPageBreak/>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lastRenderedPageBreak/>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w:t>
            </w:r>
            <w:proofErr w:type="gramStart"/>
            <w:r w:rsidRPr="004A287A">
              <w:t>ppm</w:t>
            </w:r>
            <w:proofErr w:type="gramEnd"/>
            <w:r w:rsidRPr="004A287A">
              <w:t>"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7B151A" w:rsidRPr="005A5027" w:rsidRDefault="007B151A" w:rsidP="00A8758F">
            <w:r>
              <w:lastRenderedPageBreak/>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lastRenderedPageBreak/>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 xml:space="preserve">In a carbon monoxide maintenance area, an air quality </w:t>
            </w:r>
            <w:r w:rsidRPr="00DC4532">
              <w:lastRenderedPageBreak/>
              <w:t>impact less than or equal to 0.5 mg/m3 (8 hour average</w:t>
            </w:r>
            <w:r>
              <w:t>) and 2 mg/m3 (1-hour average).”</w:t>
            </w:r>
          </w:p>
        </w:tc>
        <w:tc>
          <w:tcPr>
            <w:tcW w:w="4320" w:type="dxa"/>
            <w:tcBorders>
              <w:bottom w:val="double" w:sz="6" w:space="0" w:color="auto"/>
            </w:tcBorders>
          </w:tcPr>
          <w:p w:rsidR="007B151A" w:rsidRPr="005A5027" w:rsidRDefault="007B151A" w:rsidP="00344BE5">
            <w:r>
              <w:lastRenderedPageBreak/>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w:t>
            </w:r>
            <w:r w:rsidRPr="00210118">
              <w:rPr>
                <w:bCs/>
              </w:rPr>
              <w:lastRenderedPageBreak/>
              <w:t xml:space="preserve">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w:t>
            </w:r>
            <w:r w:rsidRPr="00210118">
              <w:lastRenderedPageBreak/>
              <w:t xml:space="preserve">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w:t>
            </w:r>
            <w:r w:rsidRPr="00210118">
              <w:lastRenderedPageBreak/>
              <w:t xml:space="preserve">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lastRenderedPageBreak/>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lastRenderedPageBreak/>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w:t>
            </w:r>
            <w:r w:rsidRPr="00EC2737">
              <w:lastRenderedPageBreak/>
              <w:t>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w:t>
            </w:r>
            <w:r w:rsidRPr="0028280C">
              <w:rPr>
                <w:bCs/>
              </w:rPr>
              <w:lastRenderedPageBreak/>
              <w:t xml:space="preserve">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w:t>
            </w:r>
            <w:r w:rsidRPr="006E233D">
              <w:lastRenderedPageBreak/>
              <w:t xml:space="preserve">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lastRenderedPageBreak/>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 or</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3A0448" w:rsidRPr="003A0448" w:rsidRDefault="003A0448" w:rsidP="003A0448">
            <w:pPr>
              <w:rPr>
                <w:bCs/>
              </w:rPr>
            </w:pPr>
            <w:r>
              <w:rPr>
                <w:bCs/>
              </w:rPr>
              <w:t>“</w:t>
            </w:r>
            <w:r w:rsidRPr="003A0448">
              <w:rPr>
                <w:bCs/>
              </w:rPr>
              <w:t>(3) For sources, other than wood-fired boilers, that existed prior to June 1, 1970 and have not been modified since May 31, 1970:</w:t>
            </w:r>
          </w:p>
          <w:p w:rsidR="003A0448" w:rsidRPr="003A0448" w:rsidRDefault="003A0448" w:rsidP="003A0448">
            <w:pPr>
              <w:rPr>
                <w:bCs/>
              </w:rPr>
            </w:pPr>
            <w:r w:rsidRPr="003A0448">
              <w:rPr>
                <w:bCs/>
              </w:rPr>
              <w:t>(a) If located outside a special control area, visible emissions must not equal or exceed:</w:t>
            </w:r>
          </w:p>
          <w:p w:rsidR="003A0448" w:rsidRPr="003A0448" w:rsidRDefault="003A0448" w:rsidP="003A0448">
            <w:pPr>
              <w:rPr>
                <w:bCs/>
              </w:rPr>
            </w:pPr>
            <w:r w:rsidRPr="003A0448">
              <w:rPr>
                <w:bCs/>
              </w:rPr>
              <w:t>(A) 40 percent opacity through December 31, 2019; and</w:t>
            </w:r>
          </w:p>
          <w:p w:rsidR="003A0448" w:rsidRPr="003A0448" w:rsidRDefault="003A0448" w:rsidP="003A0448">
            <w:pPr>
              <w:rPr>
                <w:bCs/>
              </w:rPr>
            </w:pPr>
            <w:r w:rsidRPr="003A0448">
              <w:rPr>
                <w:bCs/>
              </w:rPr>
              <w:t>(B) 20 percent opacity on and after January 1, 2020</w:t>
            </w:r>
          </w:p>
          <w:p w:rsidR="007B151A" w:rsidRPr="00220D39" w:rsidRDefault="003A0448" w:rsidP="002E3732">
            <w:pPr>
              <w:rPr>
                <w:bCs/>
              </w:rPr>
            </w:pPr>
            <w:r w:rsidRPr="003A0448">
              <w:rPr>
                <w:bCs/>
              </w:rPr>
              <w:t>(b) If located inside a special control area, visible emissions must not equal or exceed 20 percent</w:t>
            </w:r>
            <w:r>
              <w:rPr>
                <w:bCs/>
              </w:rPr>
              <w:t xml:space="preserve">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3A0448" w:rsidRPr="003A0448" w:rsidRDefault="007B151A" w:rsidP="003A0448">
            <w:pPr>
              <w:rPr>
                <w:bCs/>
              </w:rPr>
            </w:pPr>
            <w:r w:rsidRPr="006054B0">
              <w:rPr>
                <w:bCs/>
              </w:rPr>
              <w:t>“(</w:t>
            </w:r>
            <w:r w:rsidR="003A0448" w:rsidRPr="003A0448">
              <w:rPr>
                <w:bCs/>
              </w:rPr>
              <w:t>5) For wood-fired boilers that existed prior to June 1, 1970 and have not been modified since May 31, 1970, visible emissions must not equal or exceed:</w:t>
            </w:r>
          </w:p>
          <w:p w:rsidR="003A0448" w:rsidRPr="003A0448" w:rsidRDefault="003A0448" w:rsidP="003A0448">
            <w:pPr>
              <w:rPr>
                <w:bCs/>
              </w:rPr>
            </w:pPr>
            <w:r w:rsidRPr="003A0448">
              <w:rPr>
                <w:bCs/>
              </w:rPr>
              <w:t xml:space="preserve">(a) </w:t>
            </w:r>
            <w:r w:rsidRPr="003A0448">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3A0448">
              <w:rPr>
                <w:bCs/>
              </w:rPr>
              <w:t>.</w:t>
            </w:r>
          </w:p>
          <w:p w:rsidR="003A0448" w:rsidRPr="003A0448" w:rsidRDefault="003A0448" w:rsidP="003A0448">
            <w:pPr>
              <w:rPr>
                <w:bCs/>
              </w:rPr>
            </w:pPr>
            <w:r w:rsidRPr="003A0448">
              <w:rPr>
                <w:bCs/>
              </w:rPr>
              <w:t>(b) 20 percent opacity on or after January 1, 2020, with one or more of the following exceptions:</w:t>
            </w:r>
          </w:p>
          <w:p w:rsidR="003A0448" w:rsidRPr="003A0448" w:rsidRDefault="003A0448" w:rsidP="003A0448">
            <w:pPr>
              <w:rPr>
                <w:bCs/>
              </w:rPr>
            </w:pPr>
            <w:r w:rsidRPr="003A0448">
              <w:rPr>
                <w:bCs/>
              </w:rPr>
              <w:t xml:space="preserve">(A) Visible emissions may equal or exceed 20 percent opacity for up to two independent six-minute blocks in </w:t>
            </w:r>
            <w:r w:rsidRPr="003A0448">
              <w:rPr>
                <w:bCs/>
              </w:rPr>
              <w:lastRenderedPageBreak/>
              <w:t>any hour, as long as the average opacity during each of these two six-minute blocks is less than 40 percent.</w:t>
            </w:r>
          </w:p>
          <w:p w:rsidR="003A0448" w:rsidRPr="003A0448" w:rsidRDefault="003A0448" w:rsidP="003A0448">
            <w:pPr>
              <w:rPr>
                <w:bCs/>
              </w:rPr>
            </w:pPr>
            <w:r w:rsidRPr="003A0448">
              <w:rPr>
                <w:bCs/>
              </w:rPr>
              <w:t xml:space="preserve">(B) Visible emissions may equal or exceed 20 percent opacity but may not equal or exceed 40 percent opacity, as the average of all six-minute blocks during grate cleaning operations provided the grate cleaning is performed in accordance with a </w:t>
            </w:r>
            <w:proofErr w:type="spellStart"/>
            <w:r w:rsidRPr="003A0448">
              <w:rPr>
                <w:bCs/>
              </w:rPr>
              <w:t>grate</w:t>
            </w:r>
            <w:proofErr w:type="spellEnd"/>
            <w:r w:rsidRPr="003A0448">
              <w:rPr>
                <w:bCs/>
              </w:rPr>
              <w:t xml:space="preserve"> cleaning plan approved by DEQ; and</w:t>
            </w:r>
          </w:p>
          <w:p w:rsidR="003A0448" w:rsidRPr="003A0448" w:rsidRDefault="003A0448" w:rsidP="003A0448">
            <w:pPr>
              <w:rPr>
                <w:bCs/>
              </w:rPr>
            </w:pPr>
            <w:r w:rsidRPr="003A0448">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A0448" w:rsidRPr="003A0448" w:rsidRDefault="003A0448" w:rsidP="003A0448">
            <w:pPr>
              <w:rPr>
                <w:bCs/>
              </w:rPr>
            </w:pPr>
            <w:r w:rsidRPr="003A0448">
              <w:rPr>
                <w:bCs/>
              </w:rPr>
              <w:t>(i) Opacity must be measured for at least 60 minutes during each compliance source test run using any method included in section (2);</w:t>
            </w:r>
          </w:p>
          <w:p w:rsidR="003A0448" w:rsidRPr="003A0448" w:rsidRDefault="003A0448" w:rsidP="003A0448">
            <w:pPr>
              <w:rPr>
                <w:bCs/>
              </w:rPr>
            </w:pPr>
            <w:r w:rsidRPr="003A0448">
              <w:rPr>
                <w:bCs/>
              </w:rPr>
              <w:t xml:space="preserve">(ii) The boiler specific limit will be the average of at least 30 six-minute block averages obtained during the compliance source test; </w:t>
            </w:r>
          </w:p>
          <w:p w:rsidR="003A0448" w:rsidRPr="003A0448" w:rsidRDefault="003A0448" w:rsidP="003A0448">
            <w:pPr>
              <w:rPr>
                <w:bCs/>
              </w:rPr>
            </w:pPr>
            <w:r w:rsidRPr="003A0448">
              <w:rPr>
                <w:bCs/>
              </w:rPr>
              <w:t>(iii) The boiler specific limit will include a higher limit for one six minute period during any hour based on the maximum six-minute block average measured during the compliance source test;</w:t>
            </w:r>
          </w:p>
          <w:p w:rsidR="003A0448" w:rsidRPr="003A0448" w:rsidRDefault="003A0448" w:rsidP="003A0448">
            <w:pPr>
              <w:rPr>
                <w:bCs/>
              </w:rPr>
            </w:pPr>
            <w:r w:rsidRPr="003A0448">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3A0448" w:rsidP="00C66993">
            <w:pPr>
              <w:rPr>
                <w:bCs/>
              </w:rPr>
            </w:pPr>
            <w:r w:rsidRPr="003A0448">
              <w:rPr>
                <w:bCs/>
              </w:rPr>
              <w:t>(</w:t>
            </w:r>
            <w:proofErr w:type="gramStart"/>
            <w:r w:rsidRPr="003A0448">
              <w:rPr>
                <w:bCs/>
              </w:rPr>
              <w:t>v</w:t>
            </w:r>
            <w:proofErr w:type="gramEnd"/>
            <w:r w:rsidRPr="003A0448">
              <w:rPr>
                <w:bCs/>
              </w:rPr>
              <w:t xml:space="preserve">)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w:t>
            </w:r>
            <w:r>
              <w:lastRenderedPageBreak/>
              <w:t>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 xml:space="preserve">In addition, the proposed rules for pre-1970 wood-fired boilers include a 40 percent opacity limit during grate cleaning operations provided the owner or operator develops and implements a </w:t>
            </w:r>
            <w:proofErr w:type="spellStart"/>
            <w:r>
              <w:t>grate</w:t>
            </w:r>
            <w:proofErr w:type="spellEnd"/>
            <w:r>
              <w:t xml:space="preserv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001A4854" w:rsidRPr="001A4854">
              <w:rPr>
                <w:bCs/>
              </w:rPr>
              <w:t>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w:t>
            </w:r>
            <w:r w:rsidRPr="00C66993">
              <w:rPr>
                <w:bCs/>
              </w:rPr>
              <w:t>.</w:t>
            </w:r>
            <w:r>
              <w:rPr>
                <w:bCs/>
              </w:rPr>
              <w:t>”</w:t>
            </w:r>
          </w:p>
        </w:tc>
        <w:tc>
          <w:tcPr>
            <w:tcW w:w="4320" w:type="dxa"/>
          </w:tcPr>
          <w:p w:rsidR="007B151A" w:rsidRPr="003C4960" w:rsidRDefault="007B151A" w:rsidP="003C4960">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w:t>
            </w:r>
            <w:r w:rsidRPr="00680823">
              <w:lastRenderedPageBreak/>
              <w:t>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xml:space="preserve">, </w:t>
            </w:r>
            <w:r w:rsidR="00797524">
              <w:rPr>
                <w:bCs/>
              </w:rPr>
              <w:t xml:space="preserve">visible </w:t>
            </w:r>
            <w:r w:rsidRPr="00D36F6E">
              <w:rPr>
                <w:bCs/>
              </w:rPr>
              <w:t>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w:t>
            </w:r>
            <w:r>
              <w:lastRenderedPageBreak/>
              <w:t xml:space="preserve">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lastRenderedPageBreak/>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w:t>
            </w:r>
            <w:r w:rsidRPr="00934281">
              <w:lastRenderedPageBreak/>
              <w:t>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proofErr w:type="gramStart"/>
            <w:r>
              <w:t>all</w:t>
            </w:r>
            <w:r w:rsidRPr="005A5027">
              <w:t xml:space="preserve">  opacity</w:t>
            </w:r>
            <w:proofErr w:type="gramEnd"/>
            <w:r w:rsidRPr="005A5027">
              <w:t xml:space="preserve">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964FC2">
            <w:pPr>
              <w:jc w:val="center"/>
            </w:pPr>
            <w:r>
              <w:lastRenderedPageBreak/>
              <w:t>SIP</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 xml:space="preserve">Require that public hearings </w:t>
            </w:r>
            <w:proofErr w:type="spellStart"/>
            <w:r w:rsidR="003522CA">
              <w:rPr>
                <w:color w:val="000000"/>
              </w:rPr>
              <w:t>beheld</w:t>
            </w:r>
            <w:proofErr w:type="spellEnd"/>
            <w:r w:rsidR="003522CA">
              <w:rPr>
                <w:color w:val="000000"/>
              </w:rPr>
              <w:t xml:space="preserve">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lastRenderedPageBreak/>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w:t>
            </w:r>
            <w:proofErr w:type="gramStart"/>
            <w:r w:rsidRPr="002B13AD">
              <w:t xml:space="preserve">after </w:t>
            </w:r>
            <w:r w:rsidRPr="00104125">
              <w:rPr>
                <w:i/>
              </w:rPr>
              <w:t xml:space="preserve"> </w:t>
            </w:r>
            <w:r w:rsidRPr="00104125">
              <w:t>DEQ</w:t>
            </w:r>
            <w:proofErr w:type="gramEnd"/>
            <w:r w:rsidRPr="00104125">
              <w:t xml:space="preserve">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revocation, in which case the person must not have had </w:t>
            </w:r>
            <w:r w:rsidRPr="00D7180A">
              <w:lastRenderedPageBreak/>
              <w:t>their registration terminated or revoked since the change in ownership</w:t>
            </w:r>
            <w:r>
              <w:t>.”</w:t>
            </w:r>
          </w:p>
        </w:tc>
        <w:tc>
          <w:tcPr>
            <w:tcW w:w="4320" w:type="dxa"/>
          </w:tcPr>
          <w:p w:rsidR="007B151A" w:rsidRPr="005A5027" w:rsidRDefault="007B151A" w:rsidP="00D7180A">
            <w:r w:rsidRPr="005A5027">
              <w:lastRenderedPageBreak/>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proofErr w:type="gramStart"/>
            <w:r w:rsidRPr="002B13AD">
              <w:t>a</w:t>
            </w:r>
            <w:proofErr w:type="gramEnd"/>
            <w:r w:rsidRPr="002B13AD">
              <w:t>)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w:t>
            </w:r>
            <w:proofErr w:type="spellStart"/>
            <w:r w:rsidRPr="006E233D">
              <w:t>ed</w:t>
            </w:r>
            <w:proofErr w:type="spellEnd"/>
            <w:r w:rsidRPr="006E233D">
              <w:t>”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 xml:space="preserve">(5) Hearing. A person against whom an order prohibiting construction or modification is directed may </w:t>
            </w:r>
            <w:r w:rsidRPr="00CA2C0B">
              <w:lastRenderedPageBreak/>
              <w:t>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lastRenderedPageBreak/>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 xml:space="preserve">this division within its area of </w:t>
            </w:r>
            <w:r w:rsidR="00FE7F4C" w:rsidRPr="00ED6426">
              <w:lastRenderedPageBreak/>
              <w:t>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lastRenderedPageBreak/>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 xml:space="preserve">(2) OAR 340-214-0200 through 340-214-0220apply to sources of VOC and NOx in ozone nonattainment areas that have a PSEL equal to or greater than 25 tons per year </w:t>
            </w:r>
            <w:r w:rsidRPr="00357024">
              <w:lastRenderedPageBreak/>
              <w:t>for either regulated pollutant, or whose actual emissions are equal to or greater than 25 tons per year for either regulated pollutant.</w:t>
            </w:r>
            <w:r>
              <w:t>”</w:t>
            </w:r>
          </w:p>
        </w:tc>
        <w:tc>
          <w:tcPr>
            <w:tcW w:w="4320" w:type="dxa"/>
          </w:tcPr>
          <w:p w:rsidR="007B151A" w:rsidRPr="00B02476" w:rsidRDefault="007B151A" w:rsidP="00867B15">
            <w:r>
              <w:lastRenderedPageBreak/>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lastRenderedPageBreak/>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 xml:space="preserve">of sources with </w:t>
            </w:r>
            <w:proofErr w:type="gramStart"/>
            <w:r w:rsidRPr="00B16C10">
              <w:t>Oregon  Title</w:t>
            </w:r>
            <w:proofErr w:type="gramEnd"/>
            <w:r w:rsidRPr="00B16C10">
              <w:t xml:space="preserv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lastRenderedPageBreak/>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lastRenderedPageBreak/>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lastRenderedPageBreak/>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lastRenderedPageBreak/>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w:t>
            </w:r>
            <w:proofErr w:type="gramStart"/>
            <w:r w:rsidRPr="004108DC">
              <w:t>)(</w:t>
            </w:r>
            <w:proofErr w:type="gramEnd"/>
            <w:r w:rsidRPr="004108DC">
              <w:t xml:space="preserve">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w:t>
            </w:r>
            <w:r w:rsidRPr="00147052">
              <w:lastRenderedPageBreak/>
              <w:t xml:space="preserve">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proofErr w:type="gramStart"/>
            <w:r w:rsidRPr="00C62A1A">
              <w:t>a</w:t>
            </w:r>
            <w:proofErr w:type="gramEnd"/>
            <w:r w:rsidRPr="00C62A1A">
              <w:t>)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lastRenderedPageBreak/>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lastRenderedPageBreak/>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lastRenderedPageBreak/>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090828">
              <w:t>rules ,</w:t>
            </w:r>
            <w:proofErr w:type="gramEnd"/>
            <w:r w:rsidRPr="00090828">
              <w:t xml:space="preserve">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 xml:space="preserve">(5) “Simple technical modification” includes, but is not limited to modifying a compliance method to use different emission factors or process parameters, </w:t>
            </w:r>
            <w:r w:rsidRPr="00090828">
              <w:lastRenderedPageBreak/>
              <w:t>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w:t>
            </w:r>
            <w:proofErr w:type="spellStart"/>
            <w:r>
              <w:rPr>
                <w:bCs/>
              </w:rPr>
              <w:t>mods</w:t>
            </w:r>
            <w:proofErr w:type="spellEnd"/>
            <w:r>
              <w:rPr>
                <w:bCs/>
              </w:rPr>
              <w:t xml:space="preserve">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w:t>
            </w:r>
            <w:r w:rsidRPr="007900D5">
              <w:rPr>
                <w:bCs/>
                <w:color w:val="000000"/>
                <w:sz w:val="20"/>
                <w:szCs w:val="20"/>
              </w:rPr>
              <w:lastRenderedPageBreak/>
              <w:t>applicable to those changes. When preparing an application, the applicant should also consider the timelines provided in subsection (2</w:t>
            </w:r>
            <w:proofErr w:type="gramStart"/>
            <w:r w:rsidRPr="007900D5">
              <w:rPr>
                <w:bCs/>
                <w:color w:val="000000"/>
                <w:sz w:val="20"/>
                <w:szCs w:val="20"/>
              </w:rPr>
              <w:t>)(</w:t>
            </w:r>
            <w:proofErr w:type="gramEnd"/>
            <w:r w:rsidRPr="007900D5">
              <w:rPr>
                <w:bCs/>
                <w:color w:val="000000"/>
                <w:sz w:val="20"/>
                <w:szCs w:val="20"/>
              </w:rPr>
              <w:t xml:space="preserve">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lastRenderedPageBreak/>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lastRenderedPageBreak/>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 xml:space="preserve">This requirement comes from NSR/PSD </w:t>
            </w:r>
            <w:proofErr w:type="spellStart"/>
            <w:r w:rsidRPr="00127CCF">
              <w:t>requirements</w:t>
            </w:r>
            <w:r w:rsidR="00F811EF">
              <w:t>so</w:t>
            </w:r>
            <w:proofErr w:type="spellEnd"/>
            <w:r w:rsidR="00F811EF">
              <w:t xml:space="preserve">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lastRenderedPageBreak/>
              <w:t>“</w:t>
            </w:r>
            <w:r w:rsidRPr="00072409">
              <w:t xml:space="preserve">(B) Public notice as a Category II </w:t>
            </w:r>
            <w:proofErr w:type="gramStart"/>
            <w:r w:rsidRPr="00072409">
              <w:t>permit</w:t>
            </w:r>
            <w:proofErr w:type="gramEnd"/>
            <w:r w:rsidRPr="00072409">
              <w:t xml:space="preserve">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lastRenderedPageBreak/>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 xml:space="preserve">(b) Fees. Applicants must pay the </w:t>
            </w:r>
            <w:proofErr w:type="gramStart"/>
            <w:r w:rsidRPr="00391D3B">
              <w:t>fees  in</w:t>
            </w:r>
            <w:proofErr w:type="gramEnd"/>
            <w:r w:rsidRPr="00391D3B">
              <w:t xml:space="preserve">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lastRenderedPageBreak/>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lastRenderedPageBreak/>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lastRenderedPageBreak/>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proofErr w:type="gramStart"/>
            <w:r>
              <w:t>has</w:t>
            </w:r>
            <w:proofErr w:type="gramEnd"/>
            <w:r>
              <w:t xml:space="preserve"> caused confusion. </w:t>
            </w:r>
            <w:r w:rsidRPr="005A5027">
              <w:t>The current rule wording is unclear as to their categorization and d</w:t>
            </w:r>
            <w:r>
              <w:t xml:space="preserve">ue to this wording there is an </w:t>
            </w:r>
            <w:r w:rsidRPr="005A5027">
              <w:t xml:space="preserve">issue of regional inconsistency in assigning to the </w:t>
            </w:r>
            <w:r w:rsidRPr="005A5027">
              <w:lastRenderedPageBreak/>
              <w:t>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lastRenderedPageBreak/>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proofErr w:type="gramStart"/>
            <w:r>
              <w:t>Clarification  and</w:t>
            </w:r>
            <w:proofErr w:type="gramEnd"/>
            <w:r>
              <w:t xml:space="preserve">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w:t>
            </w:r>
            <w:proofErr w:type="gramStart"/>
            <w:r w:rsidRPr="006E2930">
              <w:t>)(</w:t>
            </w:r>
            <w:proofErr w:type="gramEnd"/>
            <w:r w:rsidRPr="006E2930">
              <w:t>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lastRenderedPageBreak/>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 xml:space="preserve">A) Public notice as a Category III permit action for permit actions that </w:t>
            </w:r>
            <w:proofErr w:type="gramStart"/>
            <w:r w:rsidRPr="0019281B">
              <w:t>will  increase</w:t>
            </w:r>
            <w:proofErr w:type="gramEnd"/>
            <w:r w:rsidRPr="0019281B">
              <w:t xml:space="preserv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 xml:space="preserve">B) Public notice as a Category IV </w:t>
            </w:r>
            <w:proofErr w:type="gramStart"/>
            <w:r w:rsidRPr="0019281B">
              <w:t>permit</w:t>
            </w:r>
            <w:proofErr w:type="gramEnd"/>
            <w:r w:rsidRPr="0019281B">
              <w:t xml:space="preserve"> action for permit actions that are Major NSR or Type A State NSR </w:t>
            </w:r>
            <w:r w:rsidRPr="0019281B">
              <w:lastRenderedPageBreak/>
              <w:t>permit actions under OAR 340 division 224</w:t>
            </w:r>
            <w:r w:rsidRPr="007765D9">
              <w:t>.</w:t>
            </w:r>
            <w:r>
              <w:t>”</w:t>
            </w:r>
          </w:p>
        </w:tc>
        <w:tc>
          <w:tcPr>
            <w:tcW w:w="4320" w:type="dxa"/>
            <w:tcBorders>
              <w:bottom w:val="double" w:sz="6" w:space="0" w:color="auto"/>
            </w:tcBorders>
          </w:tcPr>
          <w:p w:rsidR="007B151A" w:rsidRPr="005A5027" w:rsidRDefault="007B151A" w:rsidP="00AA6634">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 xml:space="preserve">Public notice as a Category IV permit </w:t>
            </w:r>
            <w:proofErr w:type="gramStart"/>
            <w:r w:rsidRPr="004A1EBE">
              <w:t>action  for</w:t>
            </w:r>
            <w:proofErr w:type="gramEnd"/>
            <w:r w:rsidRPr="004A1EBE">
              <w:t xml:space="preserve">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proofErr w:type="gramStart"/>
            <w:r w:rsidRPr="00A5225C">
              <w:t>a</w:t>
            </w:r>
            <w:proofErr w:type="gramEnd"/>
            <w:r w:rsidRPr="00A5225C">
              <w:t>)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w:t>
            </w:r>
            <w:proofErr w:type="gramStart"/>
            <w:r w:rsidRPr="00EE4813">
              <w:t>a</w:t>
            </w:r>
            <w:proofErr w:type="gramEnd"/>
            <w:r w:rsidRPr="00EE4813">
              <w:t xml:space="preserve">) Adding an ACDP Attachment to a Simple or </w:t>
            </w:r>
            <w:r w:rsidRPr="00EE4813">
              <w:lastRenderedPageBreak/>
              <w:t>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lastRenderedPageBreak/>
              <w:t>Not necessary. This requirement is covered in subsection (2</w:t>
            </w:r>
            <w:proofErr w:type="gramStart"/>
            <w:r>
              <w:t>)(</w:t>
            </w:r>
            <w:proofErr w:type="gramEnd"/>
            <w:r>
              <w:t>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lastRenderedPageBreak/>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w:t>
            </w:r>
            <w:proofErr w:type="gramStart"/>
            <w:r w:rsidRPr="00EC7187">
              <w:t>)(</w:t>
            </w:r>
            <w:proofErr w:type="gramEnd"/>
            <w:r w:rsidRPr="00EC7187">
              <w:t>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w:t>
            </w:r>
            <w:r w:rsidRPr="0067386E">
              <w:lastRenderedPageBreak/>
              <w:t>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 xml:space="preserve">“[ED. NOTE: Tables referenced are available from the </w:t>
            </w:r>
            <w:r w:rsidRPr="00AF135F">
              <w:lastRenderedPageBreak/>
              <w:t>agency.]”</w:t>
            </w:r>
          </w:p>
        </w:tc>
        <w:tc>
          <w:tcPr>
            <w:tcW w:w="4320" w:type="dxa"/>
            <w:tcBorders>
              <w:bottom w:val="double" w:sz="6" w:space="0" w:color="auto"/>
            </w:tcBorders>
          </w:tcPr>
          <w:p w:rsidR="007B151A" w:rsidRPr="00AF135F" w:rsidRDefault="007B151A" w:rsidP="00C017D9">
            <w:r w:rsidRPr="00AF135F">
              <w:lastRenderedPageBreak/>
              <w:t>Clarification. Renumber tables so that each table has its own rule number. Change ref</w:t>
            </w:r>
            <w:r>
              <w:t xml:space="preserve">erence from </w:t>
            </w:r>
            <w:r>
              <w:lastRenderedPageBreak/>
              <w:t>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8B1F3B">
        <w:tc>
          <w:tcPr>
            <w:tcW w:w="918" w:type="dxa"/>
            <w:tcBorders>
              <w:bottom w:val="double" w:sz="6" w:space="0" w:color="auto"/>
            </w:tcBorders>
          </w:tcPr>
          <w:p w:rsidR="007B151A" w:rsidRPr="005A5027" w:rsidRDefault="007B151A" w:rsidP="008B1F3B">
            <w:r>
              <w:lastRenderedPageBreak/>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emission parameters are based on the latest consecutive 12 month period, or future projected operation, whichever is higher. Emission cutoffs are based on actual </w:t>
            </w:r>
            <w:r w:rsidRPr="0017084D">
              <w:lastRenderedPageBreak/>
              <w:t>emissions.</w:t>
            </w:r>
            <w:r>
              <w:t>”</w:t>
            </w:r>
          </w:p>
        </w:tc>
        <w:tc>
          <w:tcPr>
            <w:tcW w:w="4320" w:type="dxa"/>
          </w:tcPr>
          <w:p w:rsidR="007B151A" w:rsidRPr="005A5027" w:rsidRDefault="007B151A" w:rsidP="00C017D9">
            <w:r w:rsidRPr="005A5027">
              <w:lastRenderedPageBreak/>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004D4EB2" w:rsidRPr="004D4EB2">
              <w:t>4</w:t>
            </w:r>
            <w:r w:rsidR="004D4EB2" w:rsidRPr="004D4EB2">
              <w:tab/>
              <w:t>Natural gas and propane fired boilers, with or without #2 diesel oil backup; with “backup” meaning less than 10,000 gallons of fuel per year, with individual capacity ratings of 10 or more MMBTU but less than 30 MMBTU/hour heat input and constructed after June 9, 1989.</w:t>
            </w:r>
            <w:r w:rsidR="004D4EB2">
              <w:t>”</w:t>
            </w:r>
          </w:p>
        </w:tc>
        <w:tc>
          <w:tcPr>
            <w:tcW w:w="4320" w:type="dxa"/>
          </w:tcPr>
          <w:p w:rsidR="007B151A" w:rsidRPr="005A5027" w:rsidRDefault="007B151A" w:rsidP="00C017D9">
            <w:r w:rsidRPr="005A5027">
              <w:t>Clarification</w:t>
            </w:r>
            <w:r>
              <w:t>. Incorporate the footnote into the text since the footnote is only used once</w:t>
            </w:r>
            <w:r w:rsidR="004D4EB2">
              <w:t>.  Clarify that the heat input rates are for the individual boiler, not an aggregate of boilers onsite.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 xml:space="preserve">Boilers and other fuel burning equipment equal to or greater than 10 MMBTU/hour heat input each, except exclusively natural gas and propane fired boilers (with or </w:t>
            </w:r>
            <w:r w:rsidRPr="00A137B4">
              <w:lastRenderedPageBreak/>
              <w:t>without #2 diesel backup) less than 30 MMBTU/hour each</w:t>
            </w:r>
            <w:r w:rsidRPr="006E233D">
              <w:t>”</w:t>
            </w:r>
          </w:p>
        </w:tc>
        <w:tc>
          <w:tcPr>
            <w:tcW w:w="4320" w:type="dxa"/>
          </w:tcPr>
          <w:p w:rsidR="007B151A" w:rsidRPr="006E233D" w:rsidRDefault="007B151A" w:rsidP="00CD4350">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w:t>
            </w:r>
            <w:r>
              <w:lastRenderedPageBreak/>
              <w:t xml:space="preserve">standard” to waste incineration, leaving some of the public at higher risk to air toxics air pollutants. The Department believes that until more is known about safe levels of exposure to dioxin and other carcinogenic compounds, uniform standards should be established for waste </w:t>
            </w:r>
            <w:proofErr w:type="gramStart"/>
            <w:r>
              <w:t>incineration which afford</w:t>
            </w:r>
            <w:proofErr w:type="gramEnd"/>
            <w:r>
              <w:t xml:space="preserve">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49.</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 xml:space="preserve">All other sources, both stationary and portable, not listed </w:t>
            </w:r>
            <w:r w:rsidRPr="00B11B2A">
              <w:lastRenderedPageBreak/>
              <w:t>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lastRenderedPageBreak/>
              <w:t>Clarification. DEQ has added “both stationary and portable”</w:t>
            </w:r>
            <w:r>
              <w:t xml:space="preserve"> to category </w:t>
            </w:r>
            <w:r w:rsidRPr="00B11B2A">
              <w:t xml:space="preserve">85 (sources with 5 tons per </w:t>
            </w:r>
            <w:r w:rsidRPr="00B11B2A">
              <w:lastRenderedPageBreak/>
              <w:t xml:space="preserve">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B2315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proofErr w:type="gramStart"/>
            <w:r w:rsidRPr="00D2016C">
              <w:rPr>
                <w:bCs/>
              </w:rPr>
              <w:t>d.  For</w:t>
            </w:r>
            <w:proofErr w:type="gramEnd"/>
            <w:r w:rsidRPr="00D2016C">
              <w:rPr>
                <w:bCs/>
              </w:rPr>
              <w:t xml:space="preserve">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 xml:space="preserve">All sources subject to RACT under OAR division 232, BACT or LAER under OAR division 224, a NESHAP under OAR 340 division 244, a NSPS under </w:t>
            </w:r>
            <w:r w:rsidRPr="006B27B0">
              <w:rPr>
                <w:bCs/>
              </w:rPr>
              <w:lastRenderedPageBreak/>
              <w:t>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lastRenderedPageBreak/>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 xml:space="preserve">is not necessary because the requirements for which a source may be subject to </w:t>
            </w:r>
            <w:r w:rsidRPr="00D82B75">
              <w:rPr>
                <w:bCs/>
              </w:rPr>
              <w:lastRenderedPageBreak/>
              <w:t>are included in the list.</w:t>
            </w:r>
          </w:p>
        </w:tc>
        <w:tc>
          <w:tcPr>
            <w:tcW w:w="787" w:type="dxa"/>
          </w:tcPr>
          <w:p w:rsidR="007B151A" w:rsidRPr="006E233D" w:rsidRDefault="007B151A" w:rsidP="0028280C">
            <w:pPr>
              <w:jc w:val="center"/>
            </w:pPr>
            <w:r w:rsidRPr="006B27B0">
              <w:lastRenderedPageBreak/>
              <w:t>SIP</w:t>
            </w:r>
          </w:p>
        </w:tc>
      </w:tr>
      <w:tr w:rsidR="007B151A" w:rsidRPr="006E233D" w:rsidTr="0028280C">
        <w:tc>
          <w:tcPr>
            <w:tcW w:w="918" w:type="dxa"/>
          </w:tcPr>
          <w:p w:rsidR="007B151A" w:rsidRPr="006B27B0" w:rsidRDefault="007B151A" w:rsidP="0028280C">
            <w:r>
              <w:lastRenderedPageBreak/>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t>SIP</w:t>
            </w:r>
          </w:p>
        </w:tc>
      </w:tr>
      <w:tr w:rsidR="007B151A" w:rsidRPr="006E233D" w:rsidTr="00C017D9">
        <w:tc>
          <w:tcPr>
            <w:tcW w:w="918" w:type="dxa"/>
          </w:tcPr>
          <w:p w:rsidR="007B151A" w:rsidRPr="006B27B0" w:rsidRDefault="007B151A" w:rsidP="00C017D9">
            <w:r>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 xml:space="preserve">Gasoline dispensing facilities, provided the </w:t>
            </w:r>
            <w:r w:rsidRPr="005A5027">
              <w:rPr>
                <w:bCs/>
                <w:color w:val="000000"/>
                <w:sz w:val="20"/>
                <w:szCs w:val="20"/>
              </w:rPr>
              <w:lastRenderedPageBreak/>
              <w:t>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w:t>
            </w:r>
            <w:r w:rsidRPr="005A5027">
              <w:lastRenderedPageBreak/>
              <w:t xml:space="preserve">type of permit is redundant.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 xml:space="preserve">tial greenhouse gas emissions. DEQ is </w:t>
            </w:r>
            <w:r>
              <w:lastRenderedPageBreak/>
              <w:t>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 xml:space="preserve">“(F) Applications for Compliance Extensions for Early Reductions of HAP must be submitted before proposal </w:t>
            </w:r>
            <w:proofErr w:type="gramStart"/>
            <w:r w:rsidRPr="00350D4C">
              <w:t>of an applicable emissions</w:t>
            </w:r>
            <w:proofErr w:type="gramEnd"/>
            <w:r w:rsidRPr="00350D4C">
              <w:t xml:space="preserve">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lastRenderedPageBreak/>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w:t>
            </w:r>
            <w:proofErr w:type="gramStart"/>
            <w:r w:rsidRPr="00A8701B">
              <w:rPr>
                <w:bCs/>
              </w:rPr>
              <w:t>)(</w:t>
            </w:r>
            <w:proofErr w:type="gramEnd"/>
            <w:r w:rsidRPr="00A8701B">
              <w:rPr>
                <w:bCs/>
              </w:rPr>
              <w:t>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proofErr w:type="spellStart"/>
            <w:r w:rsidR="00901E88">
              <w:t>divison</w:t>
            </w:r>
            <w:proofErr w:type="spellEnd"/>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 xml:space="preserve">ivision 204 as another division that has definitions </w:t>
            </w:r>
            <w:r w:rsidRPr="006E233D">
              <w:lastRenderedPageBreak/>
              <w:t>that would apply to this division</w:t>
            </w:r>
          </w:p>
        </w:tc>
        <w:tc>
          <w:tcPr>
            <w:tcW w:w="4320" w:type="dxa"/>
            <w:tcBorders>
              <w:bottom w:val="double" w:sz="6" w:space="0" w:color="auto"/>
            </w:tcBorders>
          </w:tcPr>
          <w:p w:rsidR="007B151A" w:rsidRPr="006E233D" w:rsidRDefault="007B151A" w:rsidP="00875861">
            <w:r w:rsidRPr="006E233D">
              <w:lastRenderedPageBreak/>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lastRenderedPageBreak/>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w:t>
            </w:r>
            <w:proofErr w:type="spellStart"/>
            <w:r>
              <w:t>can not</w:t>
            </w:r>
            <w:proofErr w:type="spellEnd"/>
            <w:r>
              <w: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w:t>
            </w:r>
            <w:r w:rsidRPr="00EE485B">
              <w:lastRenderedPageBreak/>
              <w:t>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proofErr w:type="gramStart"/>
            <w:r>
              <w:rPr>
                <w:color w:val="000000"/>
              </w:rPr>
              <w:lastRenderedPageBreak/>
              <w:t>C</w:t>
            </w:r>
            <w:r w:rsidRPr="006E233D">
              <w:rPr>
                <w:color w:val="000000"/>
              </w:rPr>
              <w:t>orrection</w:t>
            </w:r>
            <w:r w:rsidRPr="006E233D">
              <w:t xml:space="preserve"> </w:t>
            </w:r>
            <w:r>
              <w:t xml:space="preserve"> and</w:t>
            </w:r>
            <w:proofErr w:type="gramEnd"/>
            <w:r>
              <w:t xml:space="preserve">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 xml:space="preserve">at the time of a permit renewal, or if DEQ modifies a permit pursuant to </w:t>
            </w:r>
            <w:r w:rsidRPr="00BD5166">
              <w:lastRenderedPageBreak/>
              <w:t>OAR 340-216-0084, Department Initiated Modifications, or 340-218-0200, Reopenings, if</w:t>
            </w:r>
            <w:r>
              <w:t>:”</w:t>
            </w:r>
          </w:p>
        </w:tc>
        <w:tc>
          <w:tcPr>
            <w:tcW w:w="4320" w:type="dxa"/>
          </w:tcPr>
          <w:p w:rsidR="007B151A" w:rsidRPr="006E233D" w:rsidRDefault="007B151A" w:rsidP="003B13DA">
            <w:r>
              <w:lastRenderedPageBreak/>
              <w:t xml:space="preserve">Clarification and move from (c). These types of permit changes are times when PSELs can be </w:t>
            </w:r>
            <w:r>
              <w:lastRenderedPageBreak/>
              <w:t xml:space="preserve">changed, </w:t>
            </w:r>
            <w:proofErr w:type="gramStart"/>
            <w:r>
              <w:t>not  a</w:t>
            </w:r>
            <w:proofErr w:type="gramEnd"/>
            <w:r>
              <w:t xml:space="preserve"> trigger of when a PSEL should be changed. </w:t>
            </w:r>
          </w:p>
        </w:tc>
        <w:tc>
          <w:tcPr>
            <w:tcW w:w="787" w:type="dxa"/>
          </w:tcPr>
          <w:p w:rsidR="007B151A" w:rsidRPr="006E233D" w:rsidRDefault="007B151A" w:rsidP="00093509">
            <w:pPr>
              <w:jc w:val="center"/>
            </w:pPr>
            <w:r>
              <w:lastRenderedPageBreak/>
              <w:t>SIP</w:t>
            </w:r>
          </w:p>
        </w:tc>
      </w:tr>
      <w:tr w:rsidR="007B151A" w:rsidRPr="006E233D" w:rsidTr="00093509">
        <w:trPr>
          <w:trHeight w:val="198"/>
        </w:trPr>
        <w:tc>
          <w:tcPr>
            <w:tcW w:w="918" w:type="dxa"/>
          </w:tcPr>
          <w:p w:rsidR="007B151A" w:rsidRPr="006E233D" w:rsidRDefault="007B151A" w:rsidP="00093509">
            <w:r w:rsidRPr="006E233D">
              <w:lastRenderedPageBreak/>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proofErr w:type="gramStart"/>
            <w:r w:rsidRPr="00DC4767">
              <w:t>.</w:t>
            </w:r>
            <w:r>
              <w:t>.”</w:t>
            </w:r>
            <w:proofErr w:type="gramEnd"/>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lastRenderedPageBreak/>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lastRenderedPageBreak/>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7B151A" w:rsidRPr="00AD4D5D" w:rsidRDefault="007B151A" w:rsidP="000A1C29"/>
        </w:tc>
        <w:tc>
          <w:tcPr>
            <w:tcW w:w="787" w:type="dxa"/>
          </w:tcPr>
          <w:p w:rsidR="007B151A" w:rsidRPr="00AD4D5D" w:rsidRDefault="007B151A" w:rsidP="0066018C">
            <w:pPr>
              <w:jc w:val="center"/>
            </w:pPr>
            <w:r w:rsidRPr="00AD4D5D">
              <w:lastRenderedPageBreak/>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(b) The PSEL exceeds the netting basis by more than or equal to the SER solely as a result of a revision described in subsection (a); and</w:t>
            </w:r>
          </w:p>
          <w:p w:rsidR="007B151A" w:rsidRPr="002463A4" w:rsidRDefault="007F64FB" w:rsidP="00D53366">
            <w:pPr>
              <w:rPr>
                <w:color w:val="000000"/>
              </w:rPr>
            </w:pPr>
            <w:r w:rsidRPr="007F64FB">
              <w:rPr>
                <w:color w:val="000000"/>
              </w:rPr>
              <w:t xml:space="preserve">(c) The source would not have been subject to Major NSR </w:t>
            </w:r>
            <w:r w:rsidR="00406DF2">
              <w:rPr>
                <w:color w:val="000000"/>
              </w:rPr>
              <w:t xml:space="preserve">or Type A State NSR </w:t>
            </w:r>
            <w:r w:rsidRPr="007F64FB">
              <w:rPr>
                <w:color w:val="000000"/>
              </w:rPr>
              <w:t>under the applicable requirements of division 224 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lastRenderedPageBreak/>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lastRenderedPageBreak/>
              <w:t>Move to division 224</w:t>
            </w:r>
          </w:p>
        </w:tc>
        <w:tc>
          <w:tcPr>
            <w:tcW w:w="4320" w:type="dxa"/>
          </w:tcPr>
          <w:p w:rsidR="007B151A" w:rsidRPr="006E233D" w:rsidRDefault="007B151A" w:rsidP="00D53366">
            <w:pPr>
              <w:rPr>
                <w:bCs/>
              </w:rPr>
            </w:pPr>
            <w:r w:rsidRPr="006E233D">
              <w:rPr>
                <w:bCs/>
              </w:rPr>
              <w:t xml:space="preserve">The requirement for demonstrating compliance with AQRV protection are in OAR 340-224-0250 </w:t>
            </w:r>
            <w:r w:rsidRPr="006E233D">
              <w:rPr>
                <w:bCs/>
              </w:rPr>
              <w:lastRenderedPageBreak/>
              <w:t>for nonattainment areas, OAR 340-224-0260 for maintenance areas, and OAR 340-224-0270 for attainment and unclassified areas.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w:t>
            </w:r>
            <w:proofErr w:type="gramStart"/>
            <w:r w:rsidRPr="00FF57DE">
              <w:t>an</w:t>
            </w:r>
            <w:proofErr w:type="gramEnd"/>
            <w:r w:rsidRPr="00FF57DE">
              <w:t xml:space="preserve">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a) Obtain offsets in accordance with the offset provisions for the designated area as specified in OAR 340-224-0510 through 340-224-0530, as applicable;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lastRenderedPageBreak/>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lastRenderedPageBreak/>
              <w:t>Clarification. These requirements are reworded in subsection (2</w:t>
            </w:r>
            <w:proofErr w:type="gramStart"/>
            <w:r>
              <w:t>)(</w:t>
            </w:r>
            <w:proofErr w:type="gramEnd"/>
            <w:r>
              <w:t>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lastRenderedPageBreak/>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w:t>
            </w:r>
            <w:proofErr w:type="gramStart"/>
            <w:r w:rsidRPr="003B1B02">
              <w:t>b</w:t>
            </w:r>
            <w:proofErr w:type="gramEnd"/>
            <w:r w:rsidRPr="003B1B02">
              <w:t>)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w:t>
            </w:r>
            <w:proofErr w:type="gramStart"/>
            <w:r w:rsidRPr="006E233D">
              <w:t>i</w:t>
            </w:r>
            <w:proofErr w:type="gramEnd"/>
            <w:r w:rsidRPr="006E233D">
              <w:t xml:space="preserve">)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w:t>
            </w:r>
            <w:r w:rsidRPr="006E233D">
              <w:lastRenderedPageBreak/>
              <w:t>(ii)</w:t>
            </w:r>
          </w:p>
        </w:tc>
        <w:tc>
          <w:tcPr>
            <w:tcW w:w="4860" w:type="dxa"/>
          </w:tcPr>
          <w:p w:rsidR="007B151A" w:rsidRDefault="007B151A" w:rsidP="00FE68CE">
            <w:r w:rsidRPr="006E233D">
              <w:lastRenderedPageBreak/>
              <w:t>Add</w:t>
            </w:r>
            <w:r>
              <w:t>:</w:t>
            </w:r>
          </w:p>
          <w:p w:rsidR="007B151A" w:rsidRPr="006E233D" w:rsidRDefault="007B151A" w:rsidP="00FE68CE">
            <w:r w:rsidRPr="006E233D">
              <w:lastRenderedPageBreak/>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lastRenderedPageBreak/>
              <w:t>Clarification</w:t>
            </w:r>
            <w:r>
              <w:t xml:space="preserve">. </w:t>
            </w:r>
            <w:r w:rsidRPr="006E233D">
              <w:t xml:space="preserve">Correcting the PM10 netting basis </w:t>
            </w:r>
            <w:r w:rsidRPr="006E233D">
              <w:lastRenderedPageBreak/>
              <w:t>could result in further requirements such as a different permit, modeling, or triggering NSR/PSD</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w:t>
            </w:r>
            <w:proofErr w:type="gramStart"/>
            <w:r w:rsidRPr="00E065C4">
              <w:t>rule</w:t>
            </w:r>
            <w:r>
              <w:t>,</w:t>
            </w:r>
            <w:proofErr w:type="gramEnd"/>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w:t>
            </w:r>
            <w:r w:rsidRPr="006E233D">
              <w:lastRenderedPageBreak/>
              <w:t>month period during the calendar years 2000 through 2010.”</w:t>
            </w:r>
          </w:p>
        </w:tc>
        <w:tc>
          <w:tcPr>
            <w:tcW w:w="4320" w:type="dxa"/>
          </w:tcPr>
          <w:p w:rsidR="007B151A" w:rsidRPr="006E233D" w:rsidRDefault="007B151A" w:rsidP="00D37AB3">
            <w:r w:rsidRPr="006E233D">
              <w:lastRenderedPageBreak/>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 xml:space="preserve">le, order, or permit </w:t>
            </w:r>
            <w:r>
              <w:lastRenderedPageBreak/>
              <w:t>condition.”</w:t>
            </w:r>
          </w:p>
        </w:tc>
        <w:tc>
          <w:tcPr>
            <w:tcW w:w="4320" w:type="dxa"/>
          </w:tcPr>
          <w:p w:rsidR="007B151A" w:rsidRPr="006E233D" w:rsidRDefault="007B151A" w:rsidP="00EB3156">
            <w:r w:rsidRPr="006E233D">
              <w:lastRenderedPageBreak/>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lastRenderedPageBreak/>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w:t>
            </w:r>
            <w:proofErr w:type="gramStart"/>
            <w:r>
              <w:rPr>
                <w:color w:val="000000"/>
              </w:rPr>
              <w:t xml:space="preserve">) </w:t>
            </w:r>
            <w:r w:rsidRPr="00862612">
              <w:rPr>
                <w:color w:val="000000"/>
              </w:rPr>
              <w:t xml:space="preserve"> and</w:t>
            </w:r>
            <w:proofErr w:type="gramEnd"/>
            <w:r w:rsidRPr="00862612">
              <w:rPr>
                <w:color w:val="000000"/>
              </w:rPr>
              <w:t xml:space="preserve">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w:t>
            </w:r>
            <w:proofErr w:type="gramStart"/>
            <w:r w:rsidRPr="00F22D2B">
              <w:t>)  A</w:t>
            </w:r>
            <w:proofErr w:type="gramEnd"/>
            <w:r w:rsidRPr="00F22D2B">
              <w:t xml:space="preserve">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 xml:space="preserve">(B) Any source or part of a source that will emit </w:t>
            </w:r>
            <w:r w:rsidRPr="00D215ED">
              <w:lastRenderedPageBreak/>
              <w:t>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lastRenderedPageBreak/>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lastRenderedPageBreak/>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 xml:space="preserve">(B) The combined source must have the same primary SIC code as at least one of the </w:t>
            </w:r>
            <w:proofErr w:type="gramStart"/>
            <w:r w:rsidRPr="00EB1D11">
              <w:rPr>
                <w:color w:val="000000"/>
              </w:rPr>
              <w:t>primary</w:t>
            </w:r>
            <w:proofErr w:type="gramEnd"/>
            <w:r w:rsidRPr="00EB1D11">
              <w:rPr>
                <w:color w:val="000000"/>
              </w:rPr>
              <w:t xml:space="preserve">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lastRenderedPageBreak/>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w:t>
            </w:r>
            <w:proofErr w:type="gramStart"/>
            <w:r>
              <w:t>)(</w:t>
            </w:r>
            <w:proofErr w:type="gramEnd"/>
            <w:r>
              <w:t>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w:t>
            </w:r>
            <w:r w:rsidRPr="002F08FE">
              <w:rPr>
                <w:color w:val="000000"/>
              </w:rPr>
              <w:lastRenderedPageBreak/>
              <w:t xml:space="preserve">baseline period or most recent </w:t>
            </w:r>
            <w:r>
              <w:rPr>
                <w:color w:val="000000"/>
              </w:rPr>
              <w:t>Major NSR</w:t>
            </w:r>
            <w:r w:rsidRPr="002F08FE">
              <w:rPr>
                <w:color w:val="000000"/>
              </w:rPr>
              <w:t xml:space="preserve"> </w:t>
            </w:r>
            <w:r>
              <w:rPr>
                <w:color w:val="000000"/>
              </w:rPr>
              <w:t xml:space="preserve">or Type A State NSR action under OAR 340 division 224. These records must </w:t>
            </w:r>
            <w:proofErr w:type="gramStart"/>
            <w:r>
              <w:rPr>
                <w:color w:val="000000"/>
              </w:rPr>
              <w:t>be  included</w:t>
            </w:r>
            <w:proofErr w:type="gramEnd"/>
            <w:r>
              <w:rPr>
                <w:color w:val="000000"/>
              </w:rPr>
              <w:t xml:space="preserve">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xml:space="preserve">. These records are needed </w:t>
            </w:r>
            <w:r>
              <w:lastRenderedPageBreak/>
              <w:t>to determine if NSR will be triggered in the future.</w:t>
            </w:r>
          </w:p>
        </w:tc>
        <w:tc>
          <w:tcPr>
            <w:tcW w:w="787" w:type="dxa"/>
          </w:tcPr>
          <w:p w:rsidR="007B151A" w:rsidRPr="006E233D" w:rsidRDefault="007B151A" w:rsidP="0066018C">
            <w:pPr>
              <w:jc w:val="center"/>
            </w:pPr>
            <w:r>
              <w:lastRenderedPageBreak/>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(1) Except as provided in subsection (7),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lastRenderedPageBreak/>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2)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(A) Construction of a new source that will have emissions of the nonattainment, reattainment or maintenance pollutant equal to or greater than the SER; 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1F4AFC" w:rsidRPr="001F4AFC" w:rsidRDefault="005A64B6" w:rsidP="001F4AFC">
            <w:pPr>
              <w:rPr>
                <w:color w:val="000000"/>
              </w:rPr>
            </w:pPr>
            <w:r w:rsidRPr="005A64B6">
              <w:rPr>
                <w:color w:val="000000"/>
              </w:rPr>
              <w:t>(</w:t>
            </w:r>
            <w:r w:rsidR="001F4AFC" w:rsidRPr="001F4AFC">
              <w:rPr>
                <w:color w:val="000000"/>
              </w:rPr>
              <w:t>A) Construction of a new source that will have emissions of a regulated pollutant, other than GHGs, equal to or greater than the SER; or</w:t>
            </w:r>
          </w:p>
          <w:p w:rsidR="007B151A" w:rsidRPr="005A5027" w:rsidRDefault="001F4AFC" w:rsidP="001354B0">
            <w:pPr>
              <w:rPr>
                <w:color w:val="000000"/>
              </w:rPr>
            </w:pPr>
            <w:r w:rsidRPr="001F4AFC">
              <w:rPr>
                <w:color w:val="000000"/>
              </w:rPr>
              <w:t>(B) Increasing emissions of a regulated pollutant, other than GHGs, to an amount that is equal to or greater than</w:t>
            </w:r>
            <w:r>
              <w:rPr>
                <w:color w:val="000000"/>
              </w:rPr>
              <w:t xml:space="preserve">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5F13F3" w:rsidRPr="005F13F3" w:rsidRDefault="0081156E" w:rsidP="005F13F3">
            <w:pPr>
              <w:rPr>
                <w:color w:val="000000"/>
              </w:rPr>
            </w:pPr>
            <w:r>
              <w:rPr>
                <w:color w:val="000000"/>
              </w:rPr>
              <w:t>“(</w:t>
            </w:r>
            <w:r w:rsidR="007B41B9" w:rsidRPr="007B41B9">
              <w:rPr>
                <w:color w:val="000000"/>
              </w:rPr>
              <w:t xml:space="preserve">3) </w:t>
            </w:r>
            <w:r w:rsidR="005F13F3" w:rsidRPr="005F13F3">
              <w:rPr>
                <w:color w:val="000000"/>
              </w:rPr>
              <w:t xml:space="preserve">The owner or operator of a source subject to section </w:t>
            </w:r>
            <w:r w:rsidR="005F13F3" w:rsidRPr="005F13F3">
              <w:rPr>
                <w:color w:val="000000"/>
              </w:rPr>
              <w:lastRenderedPageBreak/>
              <w:t>(1) or (2) must apply this division based on the type of designated area where the source is located for each regulated pollutant other than GHGs, taking the following into consideration:</w:t>
            </w:r>
          </w:p>
          <w:p w:rsidR="005F13F3" w:rsidRPr="005F13F3" w:rsidRDefault="005F13F3" w:rsidP="005F13F3">
            <w:pPr>
              <w:rPr>
                <w:color w:val="000000"/>
              </w:rPr>
            </w:pPr>
            <w:r w:rsidRPr="005F13F3">
              <w:rPr>
                <w:color w:val="000000"/>
              </w:rPr>
              <w:t>(a) The source may be subject to this division for multiple pollutants;</w:t>
            </w:r>
          </w:p>
          <w:p w:rsidR="005F13F3" w:rsidRPr="005F13F3" w:rsidRDefault="005F13F3" w:rsidP="005F13F3">
            <w:pPr>
              <w:rPr>
                <w:color w:val="000000"/>
              </w:rPr>
            </w:pPr>
            <w:r w:rsidRPr="005F13F3">
              <w:rPr>
                <w:color w:val="000000"/>
              </w:rPr>
              <w:t>(b) Some pollutants, including but not limited to NOx, may be subject to multiple requirements in this division both as pollutants and as precursors to other pollutants;</w:t>
            </w:r>
          </w:p>
          <w:p w:rsidR="005F13F3" w:rsidRPr="005F13F3" w:rsidRDefault="005F13F3" w:rsidP="005F13F3">
            <w:pPr>
              <w:rPr>
                <w:color w:val="000000"/>
              </w:rPr>
            </w:pPr>
            <w:r w:rsidRPr="005F13F3">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5F13F3" w:rsidP="005F13F3">
            <w:r w:rsidRPr="005F13F3">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lastRenderedPageBreak/>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lastRenderedPageBreak/>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841ECB" w:rsidRPr="00841ECB" w:rsidRDefault="007B151A" w:rsidP="00841ECB">
            <w:pPr>
              <w:rPr>
                <w:color w:val="000000"/>
              </w:rPr>
            </w:pPr>
            <w:r>
              <w:rPr>
                <w:color w:val="000000"/>
              </w:rPr>
              <w:t>“</w:t>
            </w:r>
            <w:r w:rsidRPr="00B61883">
              <w:rPr>
                <w:color w:val="000000"/>
              </w:rPr>
              <w:t>(</w:t>
            </w:r>
            <w:r w:rsidR="00841ECB" w:rsidRPr="00841ECB">
              <w:rPr>
                <w:color w:val="000000"/>
              </w:rPr>
              <w:t>7) OAR 340 division 224 applies to GHGs only as follows:</w:t>
            </w:r>
          </w:p>
          <w:p w:rsidR="00841ECB" w:rsidRPr="00841ECB" w:rsidRDefault="00841ECB" w:rsidP="00841ECB">
            <w:pPr>
              <w:rPr>
                <w:color w:val="000000"/>
              </w:rPr>
            </w:pPr>
            <w:r w:rsidRPr="00841ECB">
              <w:rPr>
                <w:color w:val="000000"/>
              </w:rPr>
              <w:t xml:space="preserve">(a) The owner or operator of a source undertaking one of the following actions must comply with the applicable </w:t>
            </w:r>
            <w:r w:rsidRPr="00841ECB">
              <w:rPr>
                <w:color w:val="000000"/>
              </w:rPr>
              <w:lastRenderedPageBreak/>
              <w:t>Major New Source Review requirements of OAR 340-224-0010 through 340-224-0070 and OAR 340-224-0500 through 340-224-0540 for its GHG emissions prior to construction or operation:</w:t>
            </w:r>
          </w:p>
          <w:p w:rsidR="00841ECB" w:rsidRPr="00841ECB" w:rsidRDefault="00841ECB" w:rsidP="00841ECB">
            <w:pPr>
              <w:rPr>
                <w:color w:val="000000"/>
              </w:rPr>
            </w:pPr>
            <w:r w:rsidRPr="00841ECB">
              <w:rPr>
                <w:color w:val="000000"/>
              </w:rPr>
              <w:t>(A) Construction of a new federal major source after May 1, 2011 and the source has the potential to emit GHGs equal to or greater than the SER;</w:t>
            </w:r>
          </w:p>
          <w:p w:rsidR="00841ECB" w:rsidRPr="00841ECB" w:rsidRDefault="00841ECB" w:rsidP="00841ECB">
            <w:pPr>
              <w:rPr>
                <w:color w:val="000000"/>
              </w:rPr>
            </w:pPr>
            <w:r w:rsidRPr="00841ECB">
              <w:rPr>
                <w:color w:val="000000"/>
              </w:rPr>
              <w:t xml:space="preserve">(B) A major modification undertaken after May 1, 2011 for a regulated pollutant other than GHGs at an existing federal major source and the source also has a major modification for GHGs; or </w:t>
            </w:r>
          </w:p>
          <w:p w:rsidR="00841ECB" w:rsidRPr="00841ECB" w:rsidRDefault="00841ECB" w:rsidP="00841ECB">
            <w:pPr>
              <w:rPr>
                <w:color w:val="000000"/>
              </w:rPr>
            </w:pPr>
            <w:r w:rsidRPr="00841ECB">
              <w:rPr>
                <w:color w:val="000000"/>
              </w:rPr>
              <w:t>(C) A major modification undertaken after May 1, 2011 for a regulated pollutant other than GHGs at an existing source that will become a federal major source because emissions of a regulated pollutant are increased to the federal major source level or more and the source also has a major modification for GHGs.</w:t>
            </w:r>
          </w:p>
          <w:p w:rsidR="007B151A" w:rsidRPr="005A5027" w:rsidRDefault="00841ECB" w:rsidP="00A115B2">
            <w:pPr>
              <w:rPr>
                <w:color w:val="000000"/>
              </w:rPr>
            </w:pPr>
            <w:r w:rsidRPr="00841ECB">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lastRenderedPageBreak/>
              <w:t>T</w:t>
            </w:r>
            <w:r w:rsidRPr="0008465B">
              <w:t xml:space="preserve">he Utility Air Regulatory Group and numerous other parties, including several states, challenged EPA’s rule and on June 23, 2014, the U.S. Supreme Court determined that the Clean Air Act neither compels nor permits EPA to adopt rules </w:t>
            </w:r>
            <w:r w:rsidRPr="0008465B">
              <w:lastRenderedPageBreak/>
              <w:t xml:space="preserve">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lastRenderedPageBreak/>
              <w:t>SIP</w:t>
            </w:r>
          </w:p>
        </w:tc>
      </w:tr>
      <w:tr w:rsidR="00166A11" w:rsidRPr="005A5027" w:rsidTr="00CB63C4">
        <w:tc>
          <w:tcPr>
            <w:tcW w:w="918" w:type="dxa"/>
          </w:tcPr>
          <w:p w:rsidR="00166A11" w:rsidRPr="005A5027" w:rsidRDefault="00166A11" w:rsidP="00CB63C4">
            <w:r w:rsidRPr="005A5027">
              <w:lastRenderedPageBreak/>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w:t>
            </w:r>
            <w:r w:rsidR="00B87DC1" w:rsidRPr="00B87DC1">
              <w:rPr>
                <w:color w:val="000000"/>
              </w:rPr>
              <w:lastRenderedPageBreak/>
              <w:t xml:space="preserve">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lastRenderedPageBreak/>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lastRenderedPageBreak/>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rsidR="009F5AD6">
              <w:t xml:space="preserve"> &amp;</w:t>
            </w:r>
            <w:r>
              <w:t xml:space="preserve"> (b)</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9F5AD6" w:rsidRPr="009F5AD6" w:rsidRDefault="007B151A" w:rsidP="009F5AD6">
            <w:r>
              <w:t>“</w:t>
            </w:r>
            <w:r w:rsidRPr="00264B8F">
              <w:t>(</w:t>
            </w:r>
            <w:r w:rsidR="009F5AD6" w:rsidRPr="009F5AD6">
              <w:t>2) Any physical change or change in the method of operation of a source that results in emissions described in paragraphs (a) and (b):</w:t>
            </w:r>
          </w:p>
          <w:p w:rsidR="009F5AD6" w:rsidRPr="009F5AD6" w:rsidRDefault="009F5AD6" w:rsidP="009F5AD6">
            <w:r w:rsidRPr="009F5AD6">
              <w:t xml:space="preserve">(a) A PSEL or actual emissions that exceed the netting basis by an amount that is equal to or greater than the SER; and </w:t>
            </w:r>
          </w:p>
          <w:p w:rsidR="007B151A" w:rsidRPr="005A5027" w:rsidRDefault="009F5AD6" w:rsidP="00EE0F53">
            <w:r w:rsidRPr="009F5AD6">
              <w:t>(b) The accumulation of emission increases due to all physical changes and changes in the method of operation since the later of the dates in subsections (1)(a) through (1)(c), as applicable for each pollutant, is equal to or greater than the SER. For purposes of this paragraph, emission increases must be determined as required in section (3)</w:t>
            </w:r>
            <w:r w:rsidR="007B151A">
              <w:t>.”</w:t>
            </w:r>
          </w:p>
        </w:tc>
        <w:tc>
          <w:tcPr>
            <w:tcW w:w="4320" w:type="dxa"/>
          </w:tcPr>
          <w:p w:rsidR="007B151A" w:rsidRPr="005A5027" w:rsidRDefault="007B151A" w:rsidP="009F5AD6">
            <w:r w:rsidRPr="005A5027">
              <w:t>Restructure</w:t>
            </w:r>
            <w:r>
              <w:t xml:space="preserve"> and clarify. </w:t>
            </w:r>
            <w:r w:rsidRPr="00CC1763">
              <w:t xml:space="preserve">There is no baseline period for PM2.5 so the changes must be tracked since the netting basis was last established. </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t>200</w:t>
            </w:r>
          </w:p>
        </w:tc>
        <w:tc>
          <w:tcPr>
            <w:tcW w:w="1350" w:type="dxa"/>
          </w:tcPr>
          <w:p w:rsidR="009F5AD6" w:rsidRPr="005A5027" w:rsidRDefault="009F5AD6" w:rsidP="00FC7767">
            <w:r>
              <w:t>0020(71)(b</w:t>
            </w:r>
            <w:r w:rsidRPr="005A5027">
              <w:t>)</w:t>
            </w:r>
            <w:r>
              <w:t>(A), (B) &amp; (d)</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9F5AD6" w:rsidRPr="009F5AD6" w:rsidRDefault="009F5AD6" w:rsidP="009F5AD6">
            <w:r>
              <w:t>“</w:t>
            </w:r>
            <w:commentRangeStart w:id="10"/>
            <w:r w:rsidRPr="009F5AD6">
              <w:t>(3) Calculation of emission increases for the purposes of subsection (2</w:t>
            </w:r>
            <w:proofErr w:type="gramStart"/>
            <w:r w:rsidRPr="009F5AD6">
              <w:t>)(</w:t>
            </w:r>
            <w:proofErr w:type="gramEnd"/>
            <w:r w:rsidRPr="009F5AD6">
              <w:t>b) must be made as specified in this section.</w:t>
            </w:r>
            <w:commentRangeEnd w:id="10"/>
            <w:r w:rsidRPr="009F5AD6">
              <w:commentReference w:id="10"/>
            </w:r>
          </w:p>
          <w:p w:rsidR="009F5AD6" w:rsidRPr="009F5AD6" w:rsidRDefault="009F5AD6" w:rsidP="009F5AD6">
            <w:r w:rsidRPr="009F5AD6">
              <w:t>(a) Calculations of emission increases must account for all accumulated increases in actual emissions due to physical changes and changes in the method of operation occurring at the source since the later of the dates in subsections (1)(a) through (1)(c) as applicable for each pollutant;</w:t>
            </w:r>
          </w:p>
          <w:p w:rsidR="009F5AD6" w:rsidRPr="009F5AD6" w:rsidRDefault="009F5AD6" w:rsidP="009F5AD6">
            <w:r w:rsidRPr="009F5AD6">
              <w:t>(b) Emissions from categorically insignificant activities, aggregate insignificant emissions, and fugitive emissions must be included in the calculations;</w:t>
            </w:r>
          </w:p>
          <w:p w:rsidR="009F5AD6" w:rsidRPr="009F5AD6" w:rsidRDefault="009F5AD6" w:rsidP="009F5AD6">
            <w:r w:rsidRPr="009F5AD6">
              <w:t xml:space="preserve">(c) Any calculations in this section that result in a </w:t>
            </w:r>
            <w:r w:rsidRPr="009F5AD6">
              <w:lastRenderedPageBreak/>
              <w:t>negative number will be counted as zero;</w:t>
            </w:r>
          </w:p>
          <w:p w:rsidR="009F5AD6" w:rsidRPr="009F5AD6" w:rsidRDefault="009F5AD6" w:rsidP="009F5AD6">
            <w:r w:rsidRPr="009F5AD6">
              <w:t>(d) 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p>
          <w:p w:rsidR="009F5AD6" w:rsidRPr="009F5AD6" w:rsidRDefault="009F5AD6" w:rsidP="009F5AD6">
            <w:r w:rsidRPr="009F5AD6">
              <w:t>(e) For a unit that was included in a prior NSR action that was capable of changing the netting basis, and undertakes or previously undertook a physical change or change in the method of operation since the most recent NSR action that was capable of changing the netting basis, the emission increase equals the post-change PTE minus the emission rate approved in the most recent NSR action that was capable of changing the netting basis;</w:t>
            </w:r>
          </w:p>
          <w:p w:rsidR="009F5AD6" w:rsidRPr="009F5AD6" w:rsidRDefault="009F5AD6" w:rsidP="009F5AD6">
            <w:r w:rsidRPr="009F5AD6">
              <w:t xml:space="preserve">(f) For a unit that was installed after the baseline period and was not included in a prior NSR action that was capable of changing the netting basis, the emission increase equals the post-change PTE minus zero; </w:t>
            </w:r>
          </w:p>
          <w:p w:rsidR="009F5AD6" w:rsidRPr="009F5AD6" w:rsidRDefault="009F5AD6" w:rsidP="009F5AD6">
            <w:r w:rsidRPr="009F5AD6">
              <w:t>(g) For a unit that existed during the baseline period and was not included in a prior NSR action that was capable of changing the netting basis, and undertakes or previously undertook a physical change or change in the method of operation, the emission increase equals the unit’s post-change PTE minus the unit’s baseline emission rate;</w:t>
            </w:r>
          </w:p>
          <w:p w:rsidR="009F5AD6" w:rsidRPr="009F5AD6" w:rsidRDefault="009F5AD6" w:rsidP="009F5AD6">
            <w:commentRangeStart w:id="11"/>
            <w:r w:rsidRPr="009F5AD6">
              <w:t>(h) For a unit that existed during the baseline period and was not included in a prior NSR action that was capable of changing the netting basis, and is not undertaking and did not previously undertake a physical change or change in the method of operation, and is increasing emissions to support a physical change or change in the method of operation elsewhere in the facility by making increased use of existing capacity, the emission increase equals the unit’s post-change expected emission rate minus the unit’s baseline emission rate, where, for the purpose of this subsection, expected emission rate means, at a minimum, the emission rate necessary to support the facility’s maximum post-change operating rate unless a unit-specific emission limit is requested;</w:t>
            </w:r>
            <w:commentRangeEnd w:id="11"/>
            <w:r w:rsidRPr="009F5AD6">
              <w:commentReference w:id="11"/>
            </w:r>
          </w:p>
          <w:p w:rsidR="009F5AD6" w:rsidRPr="009F5AD6" w:rsidRDefault="009F5AD6" w:rsidP="009F5AD6">
            <w:r w:rsidRPr="009F5AD6">
              <w:t>(i) For purposes of this section:</w:t>
            </w:r>
          </w:p>
          <w:p w:rsidR="009F5AD6" w:rsidRPr="009F5AD6" w:rsidRDefault="009F5AD6" w:rsidP="009F5AD6">
            <w:r w:rsidRPr="009F5AD6">
              <w:lastRenderedPageBreak/>
              <w:t xml:space="preserve">(A) Emission increases due solely to increased </w:t>
            </w:r>
            <w:proofErr w:type="gramStart"/>
            <w:r w:rsidRPr="009F5AD6">
              <w:t>use of equipment or facilities that existed or were</w:t>
            </w:r>
            <w:proofErr w:type="gramEnd"/>
            <w:r w:rsidRPr="009F5AD6">
              <w:t xml:space="preserve"> permitted or approved to construct in accordance with OAR 340 division 210 during the applicable baseline period are not included, except if the increased use is to support a physical change or change in the method of operation. </w:t>
            </w:r>
          </w:p>
          <w:p w:rsidR="009F5AD6" w:rsidRDefault="009F5AD6" w:rsidP="00DF53FB">
            <w:r w:rsidRPr="009F5AD6">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9F5AD6">
              <w:t>)(</w:t>
            </w:r>
            <w:proofErr w:type="gramEnd"/>
            <w:r w:rsidRPr="009F5AD6">
              <w:t>d) and 340-222-0051(3).</w:t>
            </w:r>
            <w:r>
              <w:t>”</w:t>
            </w:r>
          </w:p>
        </w:tc>
        <w:tc>
          <w:tcPr>
            <w:tcW w:w="4320" w:type="dxa"/>
          </w:tcPr>
          <w:p w:rsidR="009F5AD6" w:rsidRPr="005A5027" w:rsidRDefault="009F5AD6" w:rsidP="002150F9">
            <w:r>
              <w:lastRenderedPageBreak/>
              <w:t xml:space="preserve">Clarification.  </w:t>
            </w:r>
            <w:r w:rsidR="00B6250B">
              <w:t xml:space="preserve">Specify how the calculation of emissions for </w:t>
            </w:r>
            <w:proofErr w:type="spellStart"/>
            <w:r w:rsidR="00B6250B">
              <w:t>determing</w:t>
            </w:r>
            <w:proofErr w:type="spellEnd"/>
            <w:r w:rsidR="00B6250B">
              <w:t xml:space="preserve"> whether a major modification has taken place. </w:t>
            </w:r>
            <w:r w:rsidRPr="009F5AD6">
              <w:t>Reword the requirement that emissions from categorically insignificant activities, aggregate insignificant emissions and fugitive emissions must be included in the calculations.</w:t>
            </w:r>
          </w:p>
        </w:tc>
        <w:tc>
          <w:tcPr>
            <w:tcW w:w="787" w:type="dxa"/>
          </w:tcPr>
          <w:p w:rsidR="009F5AD6" w:rsidRDefault="009F5AD6" w:rsidP="0066018C">
            <w:pPr>
              <w:jc w:val="center"/>
            </w:pPr>
          </w:p>
        </w:tc>
      </w:tr>
      <w:tr w:rsidR="009F5AD6" w:rsidRPr="005A5027" w:rsidTr="00DF53FB">
        <w:tc>
          <w:tcPr>
            <w:tcW w:w="918" w:type="dxa"/>
          </w:tcPr>
          <w:p w:rsidR="009F5AD6" w:rsidRPr="005A5027" w:rsidRDefault="009F5AD6" w:rsidP="00DF53FB">
            <w:r w:rsidRPr="005A5027">
              <w:lastRenderedPageBreak/>
              <w:t>200</w:t>
            </w:r>
          </w:p>
        </w:tc>
        <w:tc>
          <w:tcPr>
            <w:tcW w:w="1350" w:type="dxa"/>
          </w:tcPr>
          <w:p w:rsidR="009F5AD6" w:rsidRPr="005A5027" w:rsidRDefault="009F5AD6" w:rsidP="007B1AA9">
            <w:r>
              <w:t>0020(71)(c</w:t>
            </w:r>
            <w:r w:rsidRPr="005A5027">
              <w:t>)</w:t>
            </w:r>
          </w:p>
        </w:tc>
        <w:tc>
          <w:tcPr>
            <w:tcW w:w="990" w:type="dxa"/>
          </w:tcPr>
          <w:p w:rsidR="009F5AD6" w:rsidRPr="005A5027" w:rsidRDefault="009F5AD6" w:rsidP="00DF53FB">
            <w:pPr>
              <w:rPr>
                <w:color w:val="000000"/>
              </w:rPr>
            </w:pPr>
            <w:r w:rsidRPr="005A5027">
              <w:rPr>
                <w:color w:val="000000"/>
              </w:rPr>
              <w:t>224</w:t>
            </w:r>
          </w:p>
        </w:tc>
        <w:tc>
          <w:tcPr>
            <w:tcW w:w="1350" w:type="dxa"/>
          </w:tcPr>
          <w:p w:rsidR="009F5AD6" w:rsidRPr="005A5027" w:rsidRDefault="009F5AD6" w:rsidP="00DF53FB">
            <w:pPr>
              <w:rPr>
                <w:color w:val="000000"/>
              </w:rPr>
            </w:pPr>
            <w:r>
              <w:rPr>
                <w:color w:val="000000"/>
              </w:rPr>
              <w:t>0025(4</w:t>
            </w:r>
            <w:r w:rsidRPr="005A5027">
              <w:rPr>
                <w:color w:val="000000"/>
              </w:rPr>
              <w:t>)</w:t>
            </w:r>
          </w:p>
        </w:tc>
        <w:tc>
          <w:tcPr>
            <w:tcW w:w="4860" w:type="dxa"/>
          </w:tcPr>
          <w:p w:rsidR="009F5AD6" w:rsidRDefault="009F5AD6" w:rsidP="00DF53FB">
            <w:r>
              <w:t>Change to:</w:t>
            </w:r>
          </w:p>
          <w:p w:rsidR="009F5AD6" w:rsidRPr="009F5AD6" w:rsidRDefault="009F5AD6" w:rsidP="009F5AD6">
            <w:r>
              <w:t>“</w:t>
            </w:r>
            <w:r w:rsidRPr="00213067">
              <w:t>(</w:t>
            </w:r>
            <w:r w:rsidRPr="009F5AD6">
              <w:t xml:space="preserve">4) For a source that obtained a permit to construct and operate after the applicable baseline period but has not undergone Major NSR or Type A State NSR action under OAR 340 division 224, any change, including production increases, that would result in a PSEL increase of the de minimis level or more for any regulated pollutant at a federal major source in attainment, unclassified or sustainment areas or for any regulated pollutant for which the source is a major source in nonattainment, reattainment, or maintenance areas. </w:t>
            </w:r>
          </w:p>
          <w:p w:rsidR="009F5AD6" w:rsidRPr="009F5AD6" w:rsidRDefault="009F5AD6" w:rsidP="009F5AD6">
            <w:r w:rsidRPr="009F5AD6">
              <w:t xml:space="preserve">(a) This section does not apply to PM2.5 and greenhouse gases. </w:t>
            </w:r>
          </w:p>
          <w:p w:rsidR="009F5AD6" w:rsidRPr="005A5027" w:rsidRDefault="009F5AD6" w:rsidP="00DF53FB">
            <w:r w:rsidRPr="009F5AD6">
              <w:t>(b) Changes to the PSEL solely due to the availability of more accurate and reliable emissions information are exempt from being considered an increase under this section</w:t>
            </w:r>
            <w:r>
              <w:t>.”</w:t>
            </w:r>
          </w:p>
        </w:tc>
        <w:tc>
          <w:tcPr>
            <w:tcW w:w="4320" w:type="dxa"/>
          </w:tcPr>
          <w:p w:rsidR="009F5AD6" w:rsidRPr="005A5027" w:rsidRDefault="009F5AD6" w:rsidP="009F5AD6">
            <w:r w:rsidRPr="005A5027">
              <w:t>Restructure</w:t>
            </w:r>
            <w:r>
              <w:t xml:space="preserve"> and clarify.</w:t>
            </w:r>
            <w:r w:rsidRPr="006678DD">
              <w:t xml:space="preserve"> The requirement applies in all areas of the state</w:t>
            </w:r>
            <w:r>
              <w:t xml:space="preserve"> so add sustainment and reattainment areas</w:t>
            </w:r>
            <w:r w:rsidRPr="006678DD">
              <w:t>.</w:t>
            </w:r>
            <w:r w:rsidRPr="009F5AD6">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FC7767" w:rsidP="00450A40">
            <w:pPr>
              <w:rPr>
                <w:color w:val="000000"/>
              </w:rPr>
            </w:pPr>
            <w:r>
              <w:rPr>
                <w:color w:val="000000"/>
              </w:rPr>
              <w:t>0025(5</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FC7767">
              <w:t>.5, respectively.” to section (5</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FC7767" w:rsidP="0035283B">
            <w:pPr>
              <w:rPr>
                <w:color w:val="000000"/>
              </w:rPr>
            </w:pPr>
            <w:r>
              <w:rPr>
                <w:color w:val="000000"/>
              </w:rPr>
              <w:t>0025(6</w:t>
            </w:r>
            <w:r w:rsidR="009F5AD6" w:rsidRPr="006E233D">
              <w:rPr>
                <w:color w:val="000000"/>
              </w:rPr>
              <w:t>)</w:t>
            </w:r>
          </w:p>
        </w:tc>
        <w:tc>
          <w:tcPr>
            <w:tcW w:w="4860" w:type="dxa"/>
          </w:tcPr>
          <w:p w:rsidR="009F5AD6" w:rsidRPr="00985188" w:rsidRDefault="009F5AD6" w:rsidP="00985188">
            <w:pPr>
              <w:rPr>
                <w:color w:val="000000"/>
              </w:rPr>
            </w:pPr>
            <w:r w:rsidRPr="006E233D">
              <w:rPr>
                <w:color w:val="000000"/>
              </w:rPr>
              <w:t>Change to</w:t>
            </w:r>
            <w:r>
              <w:rPr>
                <w:color w:val="000000"/>
              </w:rPr>
              <w:t>:</w:t>
            </w:r>
            <w:r>
              <w:rPr>
                <w:color w:val="000000"/>
              </w:rPr>
              <w:br/>
              <w:t>“</w:t>
            </w:r>
            <w:r w:rsidRPr="00985188">
              <w:rPr>
                <w:color w:val="000000"/>
              </w:rPr>
              <w:t>(</w:t>
            </w:r>
            <w:r w:rsidR="00FC7767">
              <w:rPr>
                <w:color w:val="000000"/>
              </w:rPr>
              <w:t>6</w:t>
            </w:r>
            <w:r w:rsidRPr="00985188">
              <w:rPr>
                <w:color w:val="000000"/>
              </w:rPr>
              <w:t xml:space="preserve">) The following are not major modifications: </w:t>
            </w:r>
          </w:p>
          <w:p w:rsidR="009F5AD6" w:rsidRPr="00985188" w:rsidRDefault="009F5AD6"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9F5AD6" w:rsidRPr="00985188" w:rsidRDefault="009F5AD6" w:rsidP="00985188">
            <w:pPr>
              <w:rPr>
                <w:color w:val="000000"/>
              </w:rPr>
            </w:pPr>
            <w:r w:rsidRPr="00985188">
              <w:rPr>
                <w:color w:val="000000"/>
              </w:rPr>
              <w:t xml:space="preserve">(b) Routine maintenance, repair, and replacement of components. </w:t>
            </w:r>
          </w:p>
          <w:p w:rsidR="009F5AD6" w:rsidRPr="00985188" w:rsidRDefault="009F5AD6" w:rsidP="00985188">
            <w:pPr>
              <w:rPr>
                <w:color w:val="000000"/>
              </w:rPr>
            </w:pPr>
            <w:r w:rsidRPr="00985188">
              <w:rPr>
                <w:color w:val="000000"/>
              </w:rPr>
              <w:t xml:space="preserve">(c) Temporary equipment installed for maintenance of the </w:t>
            </w:r>
            <w:r w:rsidRPr="00985188">
              <w:rPr>
                <w:color w:val="000000"/>
              </w:rPr>
              <w:lastRenderedPageBreak/>
              <w:t xml:space="preserve">permanent equipment if the temporary equipment is in place for less than six months and operated within the permanent equipment's existing PSEL. </w:t>
            </w:r>
          </w:p>
          <w:p w:rsidR="009F5AD6" w:rsidRPr="006E233D" w:rsidRDefault="009F5AD6"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9F5AD6" w:rsidRPr="006E233D" w:rsidRDefault="009F5AD6" w:rsidP="006678DD">
            <w:r>
              <w:lastRenderedPageBreak/>
              <w:t>Correction. The reset of the netting basis has been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FC7767" w:rsidP="00A65851">
            <w:pPr>
              <w:rPr>
                <w:color w:val="000000"/>
              </w:rPr>
            </w:pPr>
            <w:r>
              <w:rPr>
                <w:color w:val="000000"/>
              </w:rPr>
              <w:t>0025(7</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FE7F40">
            <w:pPr>
              <w:rPr>
                <w:color w:val="000000"/>
              </w:rPr>
            </w:pPr>
            <w:r>
              <w:rPr>
                <w:color w:val="000000"/>
              </w:rPr>
              <w:t>“</w:t>
            </w:r>
            <w:r w:rsidRPr="006678DD">
              <w:rPr>
                <w:color w:val="000000"/>
              </w:rPr>
              <w:t>(</w:t>
            </w:r>
            <w:r w:rsidR="00FC7767">
              <w:rPr>
                <w:color w:val="000000"/>
              </w:rPr>
              <w:t>7</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proofErr w:type="gramStart"/>
            <w:r w:rsidRPr="00213067">
              <w:t>(1) Information</w:t>
            </w:r>
            <w:proofErr w:type="gramEnd"/>
            <w:r w:rsidRPr="00213067">
              <w:t xml:space="preserve">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 xml:space="preserve">Clarify that Major NSR and Type A State NSR actions require information for processing under division 216. If a Type B State NSR action is requested for a PSEL increase using existing capacity, it can be processed under division 216 or 218, depending on </w:t>
            </w:r>
            <w:proofErr w:type="gramStart"/>
            <w:r>
              <w:t>the  type</w:t>
            </w:r>
            <w:proofErr w:type="gramEnd"/>
            <w:r>
              <w:t xml:space="preserv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 xml:space="preserve">(a) For Type B State NSR, DEQ will review applications and issue permits using the procedures in OAR 340 </w:t>
            </w:r>
            <w:r w:rsidRPr="00FC7767">
              <w:lastRenderedPageBreak/>
              <w:t>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lastRenderedPageBreak/>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w:t>
            </w:r>
            <w:r w:rsidRPr="00217F7D">
              <w:lastRenderedPageBreak/>
              <w:t xml:space="preserve">actions require information for processing </w:t>
            </w:r>
            <w:r>
              <w:t>under division 216. If a Type B</w:t>
            </w:r>
            <w:r w:rsidRPr="00217F7D">
              <w:t xml:space="preserve"> State NSR action is requested for a PSEL increase using existing capacity, it can be processed under division 216 or 218, depending on </w:t>
            </w:r>
            <w:proofErr w:type="gramStart"/>
            <w:r w:rsidRPr="00217F7D">
              <w:t>the  type</w:t>
            </w:r>
            <w:proofErr w:type="gramEnd"/>
            <w:r w:rsidRPr="00217F7D">
              <w:t xml:space="preserve"> of permit.</w:t>
            </w:r>
          </w:p>
          <w:p w:rsidR="009F5AD6" w:rsidRDefault="009F5AD6" w:rsidP="00D14E30"/>
          <w:p w:rsidR="009F5AD6" w:rsidRDefault="009F5AD6" w:rsidP="00D14E30">
            <w:r>
              <w:t>The Category IV public participation procedures 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lastRenderedPageBreak/>
              <w:t>SIP</w:t>
            </w:r>
          </w:p>
        </w:tc>
      </w:tr>
      <w:tr w:rsidR="009F5AD6" w:rsidRPr="005A5027" w:rsidTr="00406DF2">
        <w:tc>
          <w:tcPr>
            <w:tcW w:w="918" w:type="dxa"/>
          </w:tcPr>
          <w:p w:rsidR="009F5AD6" w:rsidRPr="005A5027" w:rsidRDefault="009F5AD6" w:rsidP="00406DF2">
            <w:r>
              <w:lastRenderedPageBreak/>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 xml:space="preserve">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w:t>
            </w:r>
            <w:r w:rsidR="00FC7767" w:rsidRPr="00FC7767">
              <w:rPr>
                <w:color w:val="000000"/>
              </w:rPr>
              <w:lastRenderedPageBreak/>
              <w:t>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Pr>
                <w:color w:val="000000"/>
              </w:rPr>
              <w:t>.</w:t>
            </w:r>
            <w:r w:rsidRPr="00F9086E">
              <w:rPr>
                <w:color w:val="000000"/>
              </w:rPr>
              <w:t>”</w:t>
            </w:r>
          </w:p>
        </w:tc>
        <w:tc>
          <w:tcPr>
            <w:tcW w:w="4320" w:type="dxa"/>
          </w:tcPr>
          <w:p w:rsidR="009F5AD6" w:rsidRPr="005A5027" w:rsidRDefault="009F5AD6" w:rsidP="003D0D80">
            <w:r w:rsidRPr="005A5027">
              <w:lastRenderedPageBreak/>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5A5027" w:rsidRDefault="009F5AD6" w:rsidP="0035283B">
            <w:r w:rsidRPr="005A5027">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lastRenderedPageBreak/>
              <w:t>(iii) Any new ambient air quality standards or PSD increments for the regulated pollutants that were subject to review under the original application; and</w:t>
            </w:r>
          </w:p>
          <w:p w:rsidR="009F5AD6" w:rsidRPr="00A37CCE" w:rsidRDefault="009F5AD6" w:rsidP="00A37CCE">
            <w:r w:rsidRPr="00A37CCE">
              <w:t>(iv) Any changes to EPA approved models that would affect modeling results since the original application was submitted, and</w:t>
            </w:r>
          </w:p>
          <w:p w:rsidR="009F5AD6" w:rsidRPr="000F3E79" w:rsidRDefault="009F5AD6" w:rsidP="00677E22">
            <w:r w:rsidRPr="00A37CCE">
              <w:t>(D) Payment of the moderate technical permit 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w:t>
            </w:r>
            <w:proofErr w:type="gramStart"/>
            <w:r w:rsidRPr="00AD369F">
              <w:rPr>
                <w:color w:val="000000"/>
              </w:rPr>
              <w:t>,  to</w:t>
            </w:r>
            <w:proofErr w:type="gramEnd"/>
            <w:r w:rsidRPr="00AD369F">
              <w:rPr>
                <w:color w:val="000000"/>
              </w:rPr>
              <w:t xml:space="preserve">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(ii) Category III for an extension that requires an air quality analysis.”</w:t>
            </w:r>
          </w:p>
        </w:tc>
        <w:tc>
          <w:tcPr>
            <w:tcW w:w="4320" w:type="dxa"/>
          </w:tcPr>
          <w:p w:rsidR="009F5AD6" w:rsidRPr="005A5027" w:rsidRDefault="009F5AD6"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 xml:space="preserve">“(h) DEQ will grant a permit modification extending the construction approval for 18 months from the end of the </w:t>
            </w:r>
            <w:r w:rsidRPr="00A05D84">
              <w:rPr>
                <w:color w:val="000000"/>
              </w:rPr>
              <w:lastRenderedPageBreak/>
              <w:t>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9F5AD6" w:rsidRPr="00A05D84" w:rsidRDefault="009F5AD6" w:rsidP="00406DF2">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lastRenderedPageBreak/>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proofErr w:type="gramStart"/>
            <w:r w:rsidRPr="00213067">
              <w:t>constructi</w:t>
            </w:r>
            <w:r>
              <w:t>o</w:t>
            </w:r>
            <w:r w:rsidRPr="00213067">
              <w:t>n  or</w:t>
            </w:r>
            <w:proofErr w:type="gramEnd"/>
            <w:r w:rsidRPr="00213067">
              <w:t xml:space="preserve"> </w:t>
            </w:r>
            <w:r>
              <w:t xml:space="preserve">making the change in </w:t>
            </w:r>
            <w:r w:rsidRPr="00213067">
              <w:t>operation.</w:t>
            </w:r>
            <w:r>
              <w:rPr>
                <w:color w:val="000000"/>
              </w:rPr>
              <w:t>”</w:t>
            </w:r>
          </w:p>
        </w:tc>
        <w:tc>
          <w:tcPr>
            <w:tcW w:w="4320" w:type="dxa"/>
          </w:tcPr>
          <w:p w:rsidR="009F5AD6" w:rsidRPr="005A5027" w:rsidRDefault="009F5AD6" w:rsidP="00396B05">
            <w:r w:rsidRPr="005A5027">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w:t>
            </w:r>
            <w:r w:rsidRPr="00213067">
              <w:rPr>
                <w:bCs/>
              </w:rPr>
              <w:lastRenderedPageBreak/>
              <w:t xml:space="preserve">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lastRenderedPageBreak/>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lastRenderedPageBreak/>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801662" w:rsidRDefault="009F5AD6"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9F5AD6" w:rsidRPr="006E233D" w:rsidRDefault="009F5AD6" w:rsidP="001551F2">
            <w:r>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w:t>
            </w:r>
            <w:r w:rsidRPr="005A5027">
              <w:lastRenderedPageBreak/>
              <w:t xml:space="preserve">both major and minor new source review  </w:t>
            </w:r>
          </w:p>
        </w:tc>
        <w:tc>
          <w:tcPr>
            <w:tcW w:w="787" w:type="dxa"/>
            <w:tcBorders>
              <w:bottom w:val="double" w:sz="6" w:space="0" w:color="auto"/>
            </w:tcBorders>
          </w:tcPr>
          <w:p w:rsidR="009F5AD6" w:rsidRPr="006E233D" w:rsidRDefault="009F5AD6" w:rsidP="00B41634">
            <w:pPr>
              <w:jc w:val="center"/>
            </w:pPr>
            <w:r>
              <w:lastRenderedPageBreak/>
              <w:t>SIP</w:t>
            </w:r>
          </w:p>
        </w:tc>
      </w:tr>
      <w:tr w:rsidR="009F5AD6" w:rsidRPr="00396B05" w:rsidTr="00D66578">
        <w:tc>
          <w:tcPr>
            <w:tcW w:w="918" w:type="dxa"/>
          </w:tcPr>
          <w:p w:rsidR="009F5AD6" w:rsidRPr="00EF5278" w:rsidRDefault="009F5AD6" w:rsidP="00A65851">
            <w:r w:rsidRPr="00EF5278">
              <w:lastRenderedPageBreak/>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under OAR 340-224-0010 must meet the requirements listed below for each sustainment pollutant: </w:t>
            </w:r>
          </w:p>
          <w:p w:rsidR="009F5AD6" w:rsidRPr="00435B39" w:rsidRDefault="009F5AD6" w:rsidP="00435B39">
            <w:r w:rsidRPr="00435B39">
              <w:t>(1) OAR 340-224-0070; and</w:t>
            </w:r>
          </w:p>
          <w:p w:rsidR="009F5AD6" w:rsidRPr="00EF5278" w:rsidRDefault="00436A4C" w:rsidP="00042186">
            <w:r w:rsidRPr="00436A4C">
              <w:t>(2) Net Air Quality Benefit: Satisfy OAR 340-224-0510 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9F5AD6" w:rsidRPr="006E233D" w:rsidRDefault="009F5AD6" w:rsidP="0066018C">
            <w:pPr>
              <w:jc w:val="center"/>
            </w:pPr>
            <w:r w:rsidRPr="00EF5278">
              <w:t>SIP</w:t>
            </w:r>
          </w:p>
        </w:tc>
      </w:tr>
      <w:tr w:rsidR="009F5AD6" w:rsidRPr="006E233D" w:rsidTr="00D63F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proofErr w:type="gramStart"/>
            <w:r w:rsidRPr="0047723A">
              <w:rPr>
                <w:bCs/>
                <w:color w:val="000000"/>
              </w:rPr>
              <w:t>)(</w:t>
            </w:r>
            <w:proofErr w:type="gramEnd"/>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w:t>
            </w:r>
            <w:r w:rsidRPr="00B13ADB">
              <w:rPr>
                <w:bCs/>
                <w:color w:val="000000"/>
              </w:rPr>
              <w:lastRenderedPageBreak/>
              <w:t>than 10 percent of the SER are exemp</w:t>
            </w:r>
            <w:r>
              <w:rPr>
                <w:bCs/>
                <w:color w:val="000000"/>
              </w:rPr>
              <w:t>t from this section unless:”</w:t>
            </w:r>
          </w:p>
        </w:tc>
        <w:tc>
          <w:tcPr>
            <w:tcW w:w="4320" w:type="dxa"/>
          </w:tcPr>
          <w:p w:rsidR="009F5AD6" w:rsidRPr="006E233D" w:rsidRDefault="009F5AD6" w:rsidP="00E62C63">
            <w:r w:rsidRPr="00B13ADB">
              <w:lastRenderedPageBreak/>
              <w:t>Correction and clarification</w:t>
            </w:r>
            <w:r>
              <w:t xml:space="preserve">. </w:t>
            </w:r>
            <w:r w:rsidRPr="00B13ADB">
              <w:t xml:space="preserve">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t>SIP</w:t>
            </w:r>
          </w:p>
        </w:tc>
      </w:tr>
      <w:tr w:rsidR="009F5AD6" w:rsidRPr="006E233D" w:rsidTr="00D66578">
        <w:tc>
          <w:tcPr>
            <w:tcW w:w="918" w:type="dxa"/>
          </w:tcPr>
          <w:p w:rsidR="009F5AD6" w:rsidRPr="006E233D" w:rsidRDefault="009F5AD6" w:rsidP="00F53C99">
            <w:r w:rsidRPr="006E233D">
              <w:lastRenderedPageBreak/>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9F5AD6" w:rsidRPr="006E233D" w:rsidRDefault="009F5AD6" w:rsidP="00B13ADB">
            <w:r>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t>SIP</w:t>
            </w:r>
          </w:p>
        </w:tc>
      </w:tr>
      <w:tr w:rsidR="009F5AD6" w:rsidRPr="006E233D" w:rsidTr="00D66578">
        <w:tc>
          <w:tcPr>
            <w:tcW w:w="918" w:type="dxa"/>
          </w:tcPr>
          <w:p w:rsidR="009F5AD6" w:rsidRPr="00EB74AF" w:rsidRDefault="009F5AD6" w:rsidP="00A65851">
            <w:r w:rsidRPr="00EB74AF">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w:t>
            </w:r>
            <w:r w:rsidRPr="00985AE9">
              <w:rPr>
                <w:color w:val="000000"/>
              </w:rPr>
              <w:lastRenderedPageBreak/>
              <w:t xml:space="preserve">source or major modification and demonstrate that 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lastRenderedPageBreak/>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bookmarkStart w:id="12" w:name="_GoBack"/>
            <w:bookmarkEnd w:id="12"/>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340-224-0530(3) and (4) for non-ozone maintenance areas, whichever is applicable;</w:t>
            </w:r>
          </w:p>
          <w:p w:rsidR="009F5AD6" w:rsidRPr="0075041C" w:rsidRDefault="009F5AD6" w:rsidP="00D67A07">
            <w:pPr>
              <w:rPr>
                <w:color w:val="000000"/>
              </w:rPr>
            </w:pPr>
            <w:r w:rsidRPr="00D909FB">
              <w:rPr>
                <w:color w:val="000000"/>
              </w:rPr>
              <w:t xml:space="preserve">(b) Demonstrate that the source or modification will not cause or contribute to an air quality impact in excess of </w:t>
            </w:r>
            <w:r w:rsidRPr="00D909FB">
              <w:rPr>
                <w:color w:val="000000"/>
              </w:rPr>
              <w:lastRenderedPageBreak/>
              <w:t>the impact levels in OAR 340-202-0225 by performing 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lastRenderedPageBreak/>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lastRenderedPageBreak/>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w:t>
            </w:r>
            <w:r w:rsidRPr="00B836F6">
              <w:lastRenderedPageBreak/>
              <w:t xml:space="preserve">ozone designated areas. </w:t>
            </w:r>
          </w:p>
          <w:p w:rsidR="009F5AD6" w:rsidRPr="000174E9" w:rsidRDefault="009F5AD6" w:rsidP="008F149D">
            <w:r w:rsidRPr="00B836F6">
              <w:t xml:space="preserve">(b) The owner or operator of any source that emits any criteria pollutant, other than NOx as an ozone precursor, at or above the SER and has a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lastRenderedPageBreak/>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The contingency plan requirements kick in if the monitoring data exceeds the NAAQS. Therefore, LAER and offsets are required for projects in the area. Growth allowance is for ozone and CO maintenance areas and is covered in the new 340-224-0060(4</w:t>
            </w:r>
            <w:proofErr w:type="gramStart"/>
            <w:r>
              <w:t>)(</w:t>
            </w:r>
            <w:proofErr w:type="gramEnd"/>
            <w:r>
              <w:t xml:space="preserve">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w:t>
            </w:r>
            <w:proofErr w:type="gramStart"/>
            <w:r w:rsidRPr="0075041C">
              <w:rPr>
                <w:color w:val="000000"/>
              </w:rPr>
              <w:t>)(</w:t>
            </w:r>
            <w:proofErr w:type="gramEnd"/>
            <w:r w:rsidRPr="0075041C">
              <w:rPr>
                <w:color w:val="000000"/>
              </w:rPr>
              <w:t>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094DBC">
        <w:tc>
          <w:tcPr>
            <w:tcW w:w="918" w:type="dxa"/>
          </w:tcPr>
          <w:p w:rsidR="009F5AD6" w:rsidRDefault="009F5AD6" w:rsidP="00A65851">
            <w:r>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9F5AD6" w:rsidRPr="006E233D" w:rsidRDefault="009F5AD6" w:rsidP="0066018C">
            <w:pPr>
              <w:jc w:val="center"/>
            </w:pPr>
            <w:r>
              <w:t>SIP</w:t>
            </w:r>
          </w:p>
        </w:tc>
      </w:tr>
      <w:tr w:rsidR="009F5AD6" w:rsidRPr="005A5027"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w:t>
            </w:r>
            <w:proofErr w:type="gramStart"/>
            <w:r w:rsidRPr="00B32CC4">
              <w:rPr>
                <w:color w:val="000000"/>
              </w:rPr>
              <w:t>i</w:t>
            </w:r>
            <w:proofErr w:type="gramEnd"/>
            <w:r w:rsidRPr="00B32CC4">
              <w:rPr>
                <w:color w:val="000000"/>
              </w:rPr>
              <w:t xml:space="preserve">)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9F5AD6" w:rsidRPr="006E233D" w:rsidRDefault="009F5AD6" w:rsidP="0079611E">
            <w:pPr>
              <w:jc w:val="center"/>
            </w:pPr>
            <w:r>
              <w:t>SIP</w:t>
            </w:r>
          </w:p>
        </w:tc>
      </w:tr>
      <w:tr w:rsidR="009F5AD6" w:rsidRPr="006E233D"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w:t>
            </w:r>
            <w:r>
              <w:rPr>
                <w:color w:val="000000"/>
              </w:rPr>
              <w:lastRenderedPageBreak/>
              <w:t>(vii)</w:t>
            </w:r>
          </w:p>
        </w:tc>
        <w:tc>
          <w:tcPr>
            <w:tcW w:w="4860" w:type="dxa"/>
            <w:tcBorders>
              <w:bottom w:val="double" w:sz="6" w:space="0" w:color="auto"/>
            </w:tcBorders>
          </w:tcPr>
          <w:p w:rsidR="009F5AD6" w:rsidRDefault="009F5AD6" w:rsidP="00E3031F">
            <w:pPr>
              <w:rPr>
                <w:color w:val="000000"/>
              </w:rPr>
            </w:pPr>
            <w:r>
              <w:rPr>
                <w:color w:val="000000"/>
              </w:rPr>
              <w:lastRenderedPageBreak/>
              <w:t>Add:</w:t>
            </w:r>
          </w:p>
          <w:p w:rsidR="009F5AD6" w:rsidRPr="005A5027" w:rsidRDefault="009F5AD6" w:rsidP="00E3031F">
            <w:pPr>
              <w:rPr>
                <w:color w:val="000000"/>
              </w:rPr>
            </w:pPr>
            <w:r>
              <w:rPr>
                <w:color w:val="000000"/>
              </w:rPr>
              <w:lastRenderedPageBreak/>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lastRenderedPageBreak/>
              <w:t xml:space="preserve">The previous language allowing the owner or </w:t>
            </w:r>
            <w:r w:rsidRPr="005A5027">
              <w:lastRenderedPageBreak/>
              <w:t>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9F5AD6" w:rsidRPr="005A5027" w:rsidRDefault="009F5AD6"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076F7B">
        <w:tc>
          <w:tcPr>
            <w:tcW w:w="918" w:type="dxa"/>
            <w:tcBorders>
              <w:bottom w:val="double" w:sz="6" w:space="0" w:color="auto"/>
            </w:tcBorders>
          </w:tcPr>
          <w:p w:rsidR="009F5AD6" w:rsidRPr="005A5027" w:rsidRDefault="009F5AD6" w:rsidP="00076F7B">
            <w:r w:rsidRPr="005A5027">
              <w:lastRenderedPageBreak/>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 xml:space="preserve">cubic meter </w:t>
            </w:r>
            <w:r w:rsidRPr="00C4407F">
              <w:lastRenderedPageBreak/>
              <w:t>(0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9F5AD6" w:rsidRPr="00C4407F" w:rsidRDefault="009F5AD6" w:rsidP="00E3031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9F5AD6" w:rsidRPr="00C4407F" w:rsidRDefault="009F5AD6" w:rsidP="00E3031F">
            <w:pPr>
              <w:shd w:val="clear" w:color="auto" w:fill="FFFFFF"/>
            </w:pPr>
            <w:r w:rsidRPr="00C4407F">
              <w:t xml:space="preserve">(i)(5)(i)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9F5AD6" w:rsidRPr="00C4407F" w:rsidRDefault="009F5AD6" w:rsidP="00E3031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9F5AD6" w:rsidRPr="00C4407F" w:rsidRDefault="009F5AD6" w:rsidP="00E3031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9F5AD6" w:rsidRPr="00C4407F" w:rsidRDefault="009F5AD6" w:rsidP="00E3031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 xml:space="preserve">(D) The Department may allow the owner or operator of a source (where required by divisions 222 or 224) to </w:t>
            </w:r>
            <w:r w:rsidRPr="00AE7714">
              <w:rPr>
                <w:color w:val="000000"/>
              </w:rPr>
              <w:lastRenderedPageBreak/>
              <w:t>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lastRenderedPageBreak/>
              <w:t>DEQ will not allow the substitution of post construction for preconstruction monitoring. Post construction monitoring is covered under 340-224-</w:t>
            </w:r>
            <w:r>
              <w:lastRenderedPageBreak/>
              <w:t>0070(1)(b)</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BC5F1F">
        <w:tc>
          <w:tcPr>
            <w:tcW w:w="918" w:type="dxa"/>
          </w:tcPr>
          <w:p w:rsidR="009F5AD6" w:rsidRDefault="009F5AD6" w:rsidP="00BC5F1F">
            <w:r>
              <w:lastRenderedPageBreak/>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w:t>
            </w:r>
            <w:proofErr w:type="gramStart"/>
            <w:r w:rsidRPr="008717FA">
              <w:rPr>
                <w:color w:val="000000"/>
              </w:rPr>
              <w:t>)(</w:t>
            </w:r>
            <w:proofErr w:type="gramEnd"/>
            <w:r w:rsidRPr="008717FA">
              <w:rPr>
                <w:color w:val="000000"/>
              </w:rPr>
              <w:t>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w:t>
            </w:r>
            <w:proofErr w:type="gramStart"/>
            <w:r w:rsidRPr="009F4757">
              <w:rPr>
                <w:color w:val="000000"/>
              </w:rPr>
              <w:t>)(</w:t>
            </w:r>
            <w:proofErr w:type="gramEnd"/>
            <w:r w:rsidRPr="009F4757">
              <w:rPr>
                <w:color w:val="000000"/>
              </w:rPr>
              <w:t xml:space="preserve">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w:t>
            </w:r>
            <w:proofErr w:type="spellStart"/>
            <w:r w:rsidRPr="006E233D">
              <w:rPr>
                <w:color w:val="000000"/>
              </w:rPr>
              <w:t>c</w:t>
            </w:r>
            <w:r>
              <w:rPr>
                <w:color w:val="000000"/>
              </w:rPr>
              <w:t>d</w:t>
            </w:r>
            <w:proofErr w:type="spellEnd"/>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w:t>
            </w:r>
            <w:proofErr w:type="spellStart"/>
            <w:r>
              <w:t>comparted</w:t>
            </w:r>
            <w:proofErr w:type="spellEnd"/>
            <w:r>
              <w:t xml:space="preserve">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w:t>
            </w:r>
            <w:r w:rsidRPr="00B836F6">
              <w:lastRenderedPageBreak/>
              <w:t xml:space="preserve">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(b) The owner or operator of any source that emits any criteria pollutant, other than NOx as an ozone precursor, at or above the SER and has a</w:t>
            </w:r>
            <w:r>
              <w:t>n</w:t>
            </w:r>
            <w:r w:rsidRPr="00B836F6">
              <w:t xml:space="preserve">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w:t>
            </w:r>
            <w:r w:rsidRPr="002412C1">
              <w:rPr>
                <w:bCs/>
              </w:rPr>
              <w:lastRenderedPageBreak/>
              <w:t>“New Source Review Program Supplemental Discussion.”</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B41634">
        <w:tc>
          <w:tcPr>
            <w:tcW w:w="918" w:type="dxa"/>
            <w:tcBorders>
              <w:bottom w:val="double" w:sz="6" w:space="0" w:color="auto"/>
            </w:tcBorders>
          </w:tcPr>
          <w:p w:rsidR="009F5AD6" w:rsidRPr="005A5027" w:rsidRDefault="009F5AD6" w:rsidP="00B41634">
            <w:r w:rsidRPr="005A5027">
              <w:lastRenderedPageBreak/>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B3061">
            <w:pPr>
              <w:rPr>
                <w:color w:val="000000"/>
              </w:rPr>
            </w:pPr>
            <w:r>
              <w:rPr>
                <w:color w:val="000000"/>
              </w:rPr>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lastRenderedPageBreak/>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lastRenderedPageBreak/>
              <w:t>Restructure.</w:t>
            </w:r>
            <w:r>
              <w:rPr>
                <w:bCs/>
                <w:color w:val="000000"/>
              </w:rPr>
              <w:t xml:space="preserve"> Move the definition of “ozone </w:t>
            </w:r>
            <w:r>
              <w:rPr>
                <w:bCs/>
                <w:color w:val="000000"/>
              </w:rPr>
              <w:lastRenderedPageBreak/>
              <w:t>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184303" w:rsidTr="00B632DB">
        <w:tc>
          <w:tcPr>
            <w:tcW w:w="918" w:type="dxa"/>
            <w:tcBorders>
              <w:bottom w:val="double" w:sz="6" w:space="0" w:color="auto"/>
            </w:tcBorders>
          </w:tcPr>
          <w:p w:rsidR="009F5AD6" w:rsidRPr="00BC7A1A" w:rsidRDefault="009F5AD6" w:rsidP="00B632DB">
            <w:r w:rsidRPr="00BC7A1A">
              <w:lastRenderedPageBreak/>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0090(1)(b)(A</w:t>
            </w:r>
            <w:r w:rsidRPr="005A5027">
              <w:lastRenderedPageBreak/>
              <w:t>)</w:t>
            </w:r>
          </w:p>
        </w:tc>
        <w:tc>
          <w:tcPr>
            <w:tcW w:w="990" w:type="dxa"/>
            <w:tcBorders>
              <w:bottom w:val="double" w:sz="6" w:space="0" w:color="auto"/>
            </w:tcBorders>
          </w:tcPr>
          <w:p w:rsidR="009F5AD6" w:rsidRPr="005A5027" w:rsidRDefault="009F5AD6" w:rsidP="00E3031F">
            <w:pPr>
              <w:rPr>
                <w:color w:val="000000"/>
              </w:rPr>
            </w:pPr>
            <w:r w:rsidRPr="005A5027">
              <w:rPr>
                <w:color w:val="000000"/>
              </w:rPr>
              <w:lastRenderedPageBreak/>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lastRenderedPageBreak/>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(offsets</w:t>
            </w:r>
            <w:proofErr w:type="gramStart"/>
            <w:r w:rsidRPr="0038765E">
              <w:rPr>
                <w:bCs/>
                <w:color w:val="000000"/>
              </w:rPr>
              <w:t>:emissions</w:t>
            </w:r>
            <w:proofErr w:type="gramEnd"/>
            <w:r w:rsidRPr="0038765E">
              <w:rPr>
                <w:bCs/>
                <w:color w:val="000000"/>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w:t>
            </w:r>
            <w:proofErr w:type="gramStart"/>
            <w:r w:rsidRPr="00B823C6">
              <w:rPr>
                <w:bCs/>
                <w:color w:val="000000"/>
              </w:rPr>
              <w:t>:emissions</w:t>
            </w:r>
            <w:proofErr w:type="gramEnd"/>
            <w:r w:rsidRPr="00B823C6">
              <w:rPr>
                <w:bCs/>
                <w:color w:val="000000"/>
              </w:rPr>
              <w:t>).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lastRenderedPageBreak/>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 xml:space="preserve">iii) SD is the source distance in kilometers to the nearest boundary of the </w:t>
            </w:r>
            <w:proofErr w:type="gramStart"/>
            <w:r w:rsidRPr="0008171C">
              <w:rPr>
                <w:bCs/>
                <w:color w:val="000000"/>
              </w:rPr>
              <w:t>designated  area</w:t>
            </w:r>
            <w:proofErr w:type="gramEnd"/>
            <w:r w:rsidRPr="0008171C">
              <w:rPr>
                <w:bCs/>
                <w:color w:val="000000"/>
              </w:rPr>
              <w:t xml:space="preserve">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08171C">
              <w:rPr>
                <w:bCs/>
                <w:color w:val="000000"/>
              </w:rPr>
              <w:t>)(</w:t>
            </w:r>
            <w:proofErr w:type="gramEnd"/>
            <w:r w:rsidRPr="0008171C">
              <w:rPr>
                <w:bCs/>
                <w:color w:val="000000"/>
              </w:rPr>
              <w:t>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w:t>
            </w:r>
            <w:r w:rsidRPr="00572311">
              <w:rPr>
                <w:bCs/>
                <w:color w:val="000000"/>
              </w:rPr>
              <w:lastRenderedPageBreak/>
              <w:t>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lastRenderedPageBreak/>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lastRenderedPageBreak/>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Add Sources in a Designated Area Impacting Other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w:t>
            </w:r>
            <w:r w:rsidRPr="002412C1">
              <w:rPr>
                <w:bCs/>
              </w:rPr>
              <w:lastRenderedPageBreak/>
              <w:t>“New Source Review Program Supplemental Discussion.”</w:t>
            </w:r>
          </w:p>
        </w:tc>
        <w:tc>
          <w:tcPr>
            <w:tcW w:w="787" w:type="dxa"/>
            <w:tcBorders>
              <w:bottom w:val="double" w:sz="6" w:space="0" w:color="auto"/>
            </w:tcBorders>
          </w:tcPr>
          <w:p w:rsidR="009F5AD6" w:rsidRDefault="009F5AD6" w:rsidP="0066018C">
            <w:pPr>
              <w:jc w:val="center"/>
            </w:pPr>
            <w:r>
              <w:lastRenderedPageBreak/>
              <w:t>SIP</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w:t>
            </w:r>
            <w:proofErr w:type="gramStart"/>
            <w:r w:rsidRPr="00E9746C">
              <w:t>,  New</w:t>
            </w:r>
            <w:proofErr w:type="gramEnd"/>
            <w:r w:rsidRPr="00E9746C">
              <w:t xml:space="preserve">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9F5AD6" w:rsidRPr="005A5027" w:rsidRDefault="009F5AD6" w:rsidP="0083181B">
            <w:r>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t>SIP</w:t>
            </w:r>
          </w:p>
        </w:tc>
      </w:tr>
      <w:tr w:rsidR="009F5AD6" w:rsidRPr="006E233D" w:rsidTr="0083181B">
        <w:tc>
          <w:tcPr>
            <w:tcW w:w="918" w:type="dxa"/>
          </w:tcPr>
          <w:p w:rsidR="009F5AD6" w:rsidRPr="005A5027" w:rsidRDefault="009F5AD6" w:rsidP="0083181B">
            <w:r w:rsidRPr="005A5027">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Move definition of “ozone precursor distance” to division 224</w:t>
            </w:r>
          </w:p>
        </w:tc>
        <w:tc>
          <w:tcPr>
            <w:tcW w:w="4320" w:type="dxa"/>
          </w:tcPr>
          <w:p w:rsidR="009F5AD6" w:rsidRPr="006E233D" w:rsidRDefault="009F5AD6"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w:t>
            </w:r>
            <w:proofErr w:type="gramStart"/>
            <w:r w:rsidRPr="004F26D1">
              <w:t xml:space="preserve">areas, the Range of Influence </w:t>
            </w:r>
            <w:r>
              <w:t xml:space="preserve">formula </w:t>
            </w:r>
            <w:r w:rsidRPr="004F26D1">
              <w:t>of a competing source includes</w:t>
            </w:r>
            <w:proofErr w:type="gramEnd"/>
            <w:r w:rsidRPr="004F26D1">
              <w:t xml:space="preserve">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 xml:space="preserve">where predicted impacts from the source or modification equal or exceed the Class II significant impact levels set </w:t>
            </w:r>
            <w:r w:rsidRPr="006719EB">
              <w:rPr>
                <w:color w:val="000000"/>
              </w:rPr>
              <w:lastRenderedPageBreak/>
              <w:t>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lastRenderedPageBreak/>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9F5AD6" w:rsidRPr="006E233D" w:rsidRDefault="009F5AD6"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w:t>
            </w:r>
            <w:r w:rsidRPr="006E233D">
              <w:lastRenderedPageBreak/>
              <w:t>maintenance areas that were moved to division 202.</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lastRenderedPageBreak/>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9F5AD6" w:rsidRPr="004A1283" w:rsidRDefault="009F5AD6"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w:t>
            </w:r>
            <w:r w:rsidRPr="00170A06">
              <w:rPr>
                <w:color w:val="000000"/>
              </w:rPr>
              <w:lastRenderedPageBreak/>
              <w:t xml:space="preserve">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lastRenderedPageBreak/>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lastRenderedPageBreak/>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w:t>
            </w:r>
            <w:r w:rsidRPr="00B7424B">
              <w:rPr>
                <w:color w:val="000000"/>
              </w:rPr>
              <w:lastRenderedPageBreak/>
              <w:t xml:space="preserve">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9F5AD6" w:rsidRPr="005A5027" w:rsidRDefault="009F5AD6" w:rsidP="00FD37F3">
            <w:r w:rsidRPr="005A5027">
              <w:lastRenderedPageBreak/>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lastRenderedPageBreak/>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w:t>
            </w:r>
            <w:proofErr w:type="gramStart"/>
            <w:r w:rsidRPr="00B075CE">
              <w:rPr>
                <w:color w:val="000000"/>
              </w:rPr>
              <w:t>)(</w:t>
            </w:r>
            <w:proofErr w:type="gramEnd"/>
            <w:r w:rsidRPr="00B075CE">
              <w:rPr>
                <w:color w:val="000000"/>
              </w:rPr>
              <w:t>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9F5AD6" w:rsidRPr="005A5027" w:rsidRDefault="009F5AD6" w:rsidP="00D814E0">
            <w:r>
              <w:rPr>
                <w:bCs/>
              </w:rPr>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xml:space="preserve">) Any analyses performed under this section must be </w:t>
            </w:r>
            <w:r w:rsidRPr="00207AC5">
              <w:lastRenderedPageBreak/>
              <w:t>done in compliance with OAR 340-225-0030 and 340-225-0040, as applicable.</w:t>
            </w:r>
            <w:r>
              <w:t>”</w:t>
            </w:r>
          </w:p>
        </w:tc>
        <w:tc>
          <w:tcPr>
            <w:tcW w:w="4320" w:type="dxa"/>
          </w:tcPr>
          <w:p w:rsidR="009F5AD6" w:rsidRPr="001D57AC" w:rsidRDefault="009F5AD6" w:rsidP="00B41634">
            <w:pPr>
              <w:rPr>
                <w:bCs/>
              </w:rPr>
            </w:pPr>
            <w:r>
              <w:rPr>
                <w:bCs/>
              </w:rPr>
              <w:lastRenderedPageBreak/>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lastRenderedPageBreak/>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t>“</w:t>
            </w:r>
            <w:r w:rsidRPr="00572DF2">
              <w:rPr>
                <w:color w:val="000000"/>
              </w:rPr>
              <w:t xml:space="preserve">(1) </w:t>
            </w:r>
            <w:proofErr w:type="gramStart"/>
            <w:r w:rsidRPr="00572DF2">
              <w:rPr>
                <w:color w:val="000000"/>
              </w:rPr>
              <w:t>Sources</w:t>
            </w:r>
            <w:proofErr w:type="gramEnd"/>
            <w:r w:rsidRPr="00572DF2">
              <w:rPr>
                <w:color w:val="000000"/>
              </w:rPr>
              <w:t xml:space="preserve">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r w:rsidRPr="001661B3">
              <w:rPr>
                <w:color w:val="000000"/>
              </w:rPr>
              <w:t>, .</w:t>
            </w:r>
            <w:proofErr w:type="gramEnd"/>
            <w:r w:rsidRPr="001661B3">
              <w:rPr>
                <w:color w:val="000000"/>
              </w:rPr>
              <w:t xml:space="preserve">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lastRenderedPageBreak/>
              <w:t>“</w:t>
            </w:r>
            <w:r w:rsidRPr="004F26D1">
              <w:t>(d) As a part of the notification required in OAR 340-209-0060, DEQ will provide the Federal Land Manager an opportunity to demonstrate that the emissions from the proposed source would have an adverse impact on air 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9F5AD6" w:rsidRPr="006E233D" w:rsidRDefault="009F5AD6" w:rsidP="00031590">
            <w:r w:rsidRPr="006E233D">
              <w:lastRenderedPageBreak/>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lastRenderedPageBreak/>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Division 222 has been changed to refer to sources to division 224 rather than division 225</w:t>
            </w:r>
          </w:p>
        </w:tc>
        <w:tc>
          <w:tcPr>
            <w:tcW w:w="787" w:type="dxa"/>
          </w:tcPr>
          <w:p w:rsidR="009F5AD6" w:rsidRDefault="009F5AD6" w:rsidP="00E9746C">
            <w:pPr>
              <w:jc w:val="center"/>
            </w:pPr>
            <w:r w:rsidRPr="00BD311C">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w:t>
            </w:r>
            <w:proofErr w:type="gramStart"/>
            <w:r w:rsidRPr="00B93417">
              <w:rPr>
                <w:color w:val="000000"/>
              </w:rPr>
              <w:t>d</w:t>
            </w:r>
            <w:proofErr w:type="gramEnd"/>
            <w:r w:rsidRPr="00B93417">
              <w:rPr>
                <w:color w:val="000000"/>
              </w:rPr>
              <w:t xml:space="preserve">)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9F5AD6" w:rsidRDefault="009F5AD6" w:rsidP="00A624EA">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 xml:space="preserve">Division 222 has been changed to refer to sources </w:t>
            </w:r>
            <w:r w:rsidRPr="006E233D">
              <w:rPr>
                <w:bCs/>
              </w:rPr>
              <w:lastRenderedPageBreak/>
              <w:t>to division 224 rather than division 225</w:t>
            </w:r>
            <w:r>
              <w:rPr>
                <w:bCs/>
              </w:rPr>
              <w:t>.  Correction</w:t>
            </w:r>
          </w:p>
        </w:tc>
        <w:tc>
          <w:tcPr>
            <w:tcW w:w="787" w:type="dxa"/>
          </w:tcPr>
          <w:p w:rsidR="009F5AD6" w:rsidRDefault="009F5AD6" w:rsidP="00E9746C">
            <w:pPr>
              <w:jc w:val="center"/>
            </w:pPr>
            <w:r>
              <w:lastRenderedPageBreak/>
              <w:t>SIP</w:t>
            </w:r>
          </w:p>
        </w:tc>
      </w:tr>
      <w:tr w:rsidR="009F5AD6" w:rsidRPr="006E233D" w:rsidTr="00914447">
        <w:tc>
          <w:tcPr>
            <w:tcW w:w="918" w:type="dxa"/>
          </w:tcPr>
          <w:p w:rsidR="009F5AD6" w:rsidRPr="006E233D" w:rsidRDefault="009F5AD6" w:rsidP="00914447">
            <w:r w:rsidRPr="006E233D">
              <w:lastRenderedPageBreak/>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and DEQ agrees</w:t>
            </w:r>
            <w:proofErr w:type="gramStart"/>
            <w:r w:rsidRPr="00E05F6F">
              <w:t>,</w:t>
            </w:r>
            <w:proofErr w:type="gramEnd"/>
            <w:r w:rsidRPr="00E05F6F">
              <w:t xml:space="preserve"> DEQ will not issue a permit for the proposed sourc</w:t>
            </w:r>
            <w:r>
              <w:t>e.”</w:t>
            </w:r>
          </w:p>
        </w:tc>
        <w:tc>
          <w:tcPr>
            <w:tcW w:w="4320" w:type="dxa"/>
          </w:tcPr>
          <w:p w:rsidR="009F5AD6" w:rsidRPr="001D57AC" w:rsidRDefault="009F5AD6" w:rsidP="00B41634">
            <w:pPr>
              <w:rPr>
                <w:bCs/>
                <w:color w:val="000000"/>
              </w:rPr>
            </w:pPr>
            <w:r>
              <w:rPr>
                <w:color w:val="000000"/>
              </w:rPr>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lastRenderedPageBreak/>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9F5AD6" w:rsidRPr="006E233D" w:rsidRDefault="009F5AD6" w:rsidP="00DF4613">
            <w:r w:rsidRPr="00CB0F7B">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w:t>
            </w:r>
            <w:r w:rsidRPr="00306437">
              <w:lastRenderedPageBreak/>
              <w:t>)(iv)</w:t>
            </w:r>
          </w:p>
        </w:tc>
        <w:tc>
          <w:tcPr>
            <w:tcW w:w="4860" w:type="dxa"/>
          </w:tcPr>
          <w:p w:rsidR="009F5AD6" w:rsidRPr="006E233D" w:rsidRDefault="009F5AD6" w:rsidP="00C265B0">
            <w:pPr>
              <w:rPr>
                <w:color w:val="000000"/>
              </w:rPr>
            </w:pPr>
            <w:r w:rsidRPr="006E233D">
              <w:rPr>
                <w:color w:val="000000"/>
              </w:rPr>
              <w:lastRenderedPageBreak/>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lastRenderedPageBreak/>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lastRenderedPageBreak/>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lastRenderedPageBreak/>
              <w:t xml:space="preserve">The definition of “new source” has been deleted so </w:t>
            </w:r>
            <w:r>
              <w:lastRenderedPageBreak/>
              <w:t>put the definition in the text.</w:t>
            </w:r>
          </w:p>
        </w:tc>
        <w:tc>
          <w:tcPr>
            <w:tcW w:w="787" w:type="dxa"/>
          </w:tcPr>
          <w:p w:rsidR="009F5AD6" w:rsidRDefault="009F5AD6" w:rsidP="0066018C">
            <w:pPr>
              <w:jc w:val="center"/>
            </w:pPr>
            <w:r>
              <w:lastRenderedPageBreak/>
              <w:t>SIP</w:t>
            </w:r>
          </w:p>
        </w:tc>
      </w:tr>
      <w:tr w:rsidR="009F5AD6" w:rsidRPr="006E233D" w:rsidTr="00F305C6">
        <w:tc>
          <w:tcPr>
            <w:tcW w:w="918" w:type="dxa"/>
          </w:tcPr>
          <w:p w:rsidR="009F5AD6" w:rsidRPr="006E233D" w:rsidRDefault="009F5AD6" w:rsidP="00F305C6">
            <w:r>
              <w:lastRenderedPageBreak/>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9F5AD6" w:rsidRDefault="009F5AD6" w:rsidP="00D8314D">
            <w:pPr>
              <w:rPr>
                <w:bCs/>
              </w:rPr>
            </w:pPr>
            <w:r>
              <w:rPr>
                <w:bCs/>
              </w:rPr>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lastRenderedPageBreak/>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lastRenderedPageBreak/>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lastRenderedPageBreak/>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More and more areas of the state are special 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lastRenderedPageBreak/>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9F5AD6" w:rsidRPr="006E233D" w:rsidRDefault="009F5AD6" w:rsidP="007522B9">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2) No person may cause, suffer, allow, or permit 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(e.g., backup fuel) that is used less than 876 hours per calendar year,</w:t>
            </w:r>
            <w:r w:rsidRPr="00BE01A4">
              <w:rPr>
                <w:bCs/>
              </w:rPr>
              <w:t xml:space="preserve"> 0.24 grains per standard cubic foot from [INSERT SOS FILING DATE OF RULES] through December 31, 2019, and</w:t>
            </w:r>
            <w:r w:rsidRPr="00BE01A4">
              <w:t xml:space="preserve"> 0.20 grains per 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9F5AD6" w:rsidRPr="00BE01A4" w:rsidRDefault="009F5AD6" w:rsidP="00BE01A4">
            <w:r w:rsidRPr="00BE01A4">
              <w:lastRenderedPageBreak/>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(c) For sources installed, constructed or modified after [INSERT SOS FILING DATE OF RULES], 0.10 grains per dry standard cubic foot.</w:t>
            </w:r>
          </w:p>
          <w:p w:rsidR="009F5AD6" w:rsidRPr="00042190" w:rsidRDefault="009F5AD6" w:rsidP="002959E0">
            <w:r w:rsidRPr="00BE01A4">
              <w:t>(d) The owner or operator of a source installed, constructed, or modified before June 1, 1970 who is unable to comply with the standard in subparagraph (a</w:t>
            </w:r>
            <w:proofErr w:type="gramStart"/>
            <w:r w:rsidRPr="00BE01A4">
              <w:t>)(</w:t>
            </w:r>
            <w:proofErr w:type="gramEnd"/>
            <w:r w:rsidRPr="00BE01A4">
              <w:t>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lastRenderedPageBreak/>
              <w:t>For sources installed, constructed, or modified before June 1, 1970:</w:t>
            </w:r>
          </w:p>
          <w:p w:rsidR="009F5AD6" w:rsidRPr="00E95FDE" w:rsidRDefault="009F5AD6" w:rsidP="007522B9">
            <w:pPr>
              <w:pStyle w:val="ListParagraph"/>
              <w:numPr>
                <w:ilvl w:val="0"/>
                <w:numId w:val="42"/>
              </w:numPr>
            </w:pPr>
            <w:r w:rsidRPr="00E95FDE">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E95FDE">
            <w:pPr>
              <w:numPr>
                <w:ilvl w:val="0"/>
                <w:numId w:val="41"/>
              </w:numPr>
            </w:pPr>
            <w:r w:rsidRPr="00E95FDE">
              <w:t xml:space="preserve">Sources with source test </w:t>
            </w:r>
            <w:r>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 xml:space="preserve">Sources installed, constructed, or modified </w:t>
            </w:r>
            <w:r>
              <w:lastRenderedPageBreak/>
              <w:t>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lastRenderedPageBreak/>
              <w:t>SIP</w:t>
            </w:r>
          </w:p>
        </w:tc>
      </w:tr>
      <w:tr w:rsidR="009F5AD6" w:rsidRPr="006E233D" w:rsidTr="00E33F03">
        <w:tc>
          <w:tcPr>
            <w:tcW w:w="918" w:type="dxa"/>
          </w:tcPr>
          <w:p w:rsidR="009F5AD6" w:rsidRPr="006E233D" w:rsidRDefault="009F5AD6" w:rsidP="00E33F03">
            <w:r>
              <w:lastRenderedPageBreak/>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w:t>
            </w:r>
            <w:r w:rsidRPr="005E59A2">
              <w:lastRenderedPageBreak/>
              <w:t xml:space="preserve">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 xml:space="preserve">(h) The emissions unit that reduces its emissions achieves the reductions by </w:t>
            </w:r>
            <w:proofErr w:type="gramStart"/>
            <w:r w:rsidRPr="005E59A2">
              <w:t>reducing  its</w:t>
            </w:r>
            <w:proofErr w:type="gramEnd"/>
            <w:r w:rsidRPr="005E59A2">
              <w:t xml:space="preserve"> allowable emission rate, and not by reducing production, throughput, or hours of operation.</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lastRenderedPageBreak/>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 xml:space="preserve">OAR 340-224-0090, Requirements for Net Air </w:t>
            </w:r>
            <w:r w:rsidRPr="007D4730">
              <w:lastRenderedPageBreak/>
              <w:t>Quality Benefit</w:t>
            </w:r>
            <w:r>
              <w:t xml:space="preserve">” to OAR 340-224-0520 and 340-224-0530 </w:t>
            </w:r>
          </w:p>
        </w:tc>
        <w:tc>
          <w:tcPr>
            <w:tcW w:w="4320" w:type="dxa"/>
          </w:tcPr>
          <w:p w:rsidR="009F5AD6" w:rsidRPr="006E233D" w:rsidRDefault="009F5AD6" w:rsidP="009F0E27">
            <w:r>
              <w:lastRenderedPageBreak/>
              <w:t xml:space="preserve">The Net Air Quality Benefit requirements were </w:t>
            </w:r>
            <w:r>
              <w:lastRenderedPageBreak/>
              <w:t>moved to division 224</w:t>
            </w:r>
          </w:p>
        </w:tc>
        <w:tc>
          <w:tcPr>
            <w:tcW w:w="787" w:type="dxa"/>
          </w:tcPr>
          <w:p w:rsidR="009F5AD6" w:rsidRPr="006E233D" w:rsidRDefault="009F5AD6" w:rsidP="009F0E27">
            <w:pPr>
              <w:jc w:val="center"/>
            </w:pPr>
            <w:r>
              <w:lastRenderedPageBreak/>
              <w:t>SIP</w:t>
            </w:r>
          </w:p>
        </w:tc>
      </w:tr>
      <w:tr w:rsidR="009F5AD6" w:rsidRPr="006E233D" w:rsidTr="00914447">
        <w:tc>
          <w:tcPr>
            <w:tcW w:w="918" w:type="dxa"/>
          </w:tcPr>
          <w:p w:rsidR="009F5AD6" w:rsidRPr="006E233D" w:rsidRDefault="009F5AD6" w:rsidP="00914447">
            <w:r w:rsidRPr="006E233D">
              <w:lastRenderedPageBreak/>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9F5AD6" w:rsidRPr="006E233D" w:rsidRDefault="009F5AD6" w:rsidP="0066018C">
            <w:pPr>
              <w:jc w:val="center"/>
            </w:pPr>
            <w:r>
              <w:lastRenderedPageBreak/>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Move “only” to before “applicable to sources” from the end of the phrase</w:t>
            </w:r>
          </w:p>
        </w:tc>
        <w:tc>
          <w:tcPr>
            <w:tcW w:w="4320" w:type="dxa"/>
          </w:tcPr>
          <w:p w:rsidR="009F5AD6" w:rsidRPr="005A5027" w:rsidRDefault="009F5AD6" w:rsidP="00271A00">
            <w:r w:rsidRPr="005A5027">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(a) For sources installed, constructed, or modified before June 1, 1970:</w:t>
            </w:r>
          </w:p>
          <w:p w:rsidR="009F5AD6" w:rsidRPr="008A28D1" w:rsidRDefault="009F5AD6" w:rsidP="008A28D1">
            <w:r w:rsidRPr="008A28D1">
              <w:t xml:space="preserve">(A) 0.10 grains per dry standard cubic foot provided that </w:t>
            </w:r>
            <w:r w:rsidRPr="008A28D1">
              <w:lastRenderedPageBreak/>
              <w:t>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standard cubic foot from [INSERT SOS FILING DATE OF RULES] through December 31, 2019, and </w:t>
            </w:r>
            <w:r w:rsidRPr="008A28D1">
              <w:t>0.20 grains per 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w:t>
            </w:r>
            <w:proofErr w:type="gramStart"/>
            <w:r w:rsidRPr="008A28D1">
              <w:t>)(</w:t>
            </w:r>
            <w:proofErr w:type="gramEnd"/>
            <w:r w:rsidRPr="008A28D1">
              <w:t xml:space="preserve">B)(ii) may request that DEQ set a source specific limit of 0.17 grains per dry standard cubic foot. The owner or operator must submit an application for a permit modification to request the alternative limit by no later </w:t>
            </w:r>
            <w:r w:rsidRPr="008A28D1">
              <w:lastRenderedPageBreak/>
              <w:t>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(ii) Conducting a boiler tune-up if the boiler does not 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lastRenderedPageBreak/>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 xml:space="preserve">at less than 0.080 gr/dscf must continue to be operated at Highest and Best and will receive </w:t>
            </w:r>
            <w:r w:rsidRPr="00E95FDE">
              <w:lastRenderedPageBreak/>
              <w:t xml:space="preserve">a grain loading limit </w:t>
            </w:r>
            <w:proofErr w:type="gramStart"/>
            <w:r w:rsidRPr="00E95FDE">
              <w:t>of 0.10 gr/dscf</w:t>
            </w:r>
            <w:proofErr w:type="gramEnd"/>
            <w:r w:rsidRPr="00E95FDE">
              <w:t>.</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FILING DATE OF RULES]; and</w:t>
            </w:r>
            <w:r w:rsidRPr="008A28D1">
              <w:t xml:space="preserve"> </w:t>
            </w:r>
          </w:p>
          <w:p w:rsidR="009F5AD6" w:rsidRPr="00042190" w:rsidRDefault="009F5AD6" w:rsidP="0021572F">
            <w:r w:rsidRPr="008A28D1">
              <w:t xml:space="preserve">(B) When a source is operating and maintaining air </w:t>
            </w:r>
            <w:r w:rsidRPr="008A28D1">
              <w:lastRenderedPageBreak/>
              <w:t xml:space="preserve">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lastRenderedPageBreak/>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9F5AD6" w:rsidRPr="0066546E" w:rsidRDefault="009F5AD6" w:rsidP="0066546E">
            <w:pPr>
              <w:rPr>
                <w:bCs/>
              </w:rPr>
            </w:pPr>
            <w:r>
              <w:t>“</w:t>
            </w:r>
            <w:r w:rsidRPr="0066546E">
              <w:rPr>
                <w:bCs/>
              </w:rPr>
              <w:t>(a) Bulk Gasoline Plants Including Transfer of Gasoline;</w:t>
            </w:r>
          </w:p>
          <w:p w:rsidR="009F5AD6" w:rsidRPr="0066546E" w:rsidRDefault="009F5AD6" w:rsidP="0066546E">
            <w:pPr>
              <w:rPr>
                <w:bCs/>
              </w:rPr>
            </w:pPr>
            <w:r w:rsidRPr="0066546E">
              <w:rPr>
                <w:bCs/>
              </w:rPr>
              <w:t>(b) Gasoline Delivery Vessels;</w:t>
            </w:r>
          </w:p>
          <w:p w:rsidR="009F5AD6" w:rsidRPr="0066546E" w:rsidRDefault="009F5AD6" w:rsidP="0066546E">
            <w:pPr>
              <w:rPr>
                <w:bCs/>
              </w:rPr>
            </w:pPr>
            <w:r w:rsidRPr="0066546E">
              <w:rPr>
                <w:bCs/>
              </w:rPr>
              <w:t>(c) Bulk Gasoline Terminals Including Truck and Trailer Loading;</w:t>
            </w:r>
          </w:p>
          <w:p w:rsidR="009F5AD6" w:rsidRPr="0066546E" w:rsidRDefault="009F5AD6" w:rsidP="0066546E">
            <w:pPr>
              <w:rPr>
                <w:bCs/>
              </w:rPr>
            </w:pPr>
            <w:r w:rsidRPr="0066546E">
              <w:rPr>
                <w:bCs/>
              </w:rPr>
              <w:t>(d) Testing Vapor Transfer and Collection Systems;</w:t>
            </w:r>
          </w:p>
          <w:p w:rsidR="009F5AD6" w:rsidRPr="0066546E" w:rsidRDefault="009F5AD6" w:rsidP="0066546E">
            <w:pPr>
              <w:rPr>
                <w:bCs/>
              </w:rPr>
            </w:pPr>
            <w:r w:rsidRPr="0066546E">
              <w:rPr>
                <w:bCs/>
              </w:rPr>
              <w:t>(e) Loading Gasoline and Volatile Organic Liquids onto Marine Tank Vessels;</w:t>
            </w:r>
          </w:p>
          <w:p w:rsidR="009F5AD6" w:rsidRPr="0066546E" w:rsidRDefault="009F5AD6" w:rsidP="0066546E">
            <w:pPr>
              <w:rPr>
                <w:bCs/>
              </w:rPr>
            </w:pPr>
            <w:r w:rsidRPr="0066546E">
              <w:rPr>
                <w:bCs/>
              </w:rPr>
              <w:t>(f) Cutback and Emulsified Asphalt;</w:t>
            </w:r>
          </w:p>
          <w:p w:rsidR="009F5AD6" w:rsidRPr="0066546E" w:rsidRDefault="009F5AD6" w:rsidP="0066546E">
            <w:pPr>
              <w:rPr>
                <w:bCs/>
              </w:rPr>
            </w:pPr>
            <w:r w:rsidRPr="0066546E">
              <w:rPr>
                <w:bCs/>
              </w:rPr>
              <w:t>(g) Petroleum Refineries;</w:t>
            </w:r>
          </w:p>
          <w:p w:rsidR="009F5AD6" w:rsidRPr="0066546E" w:rsidRDefault="009F5AD6" w:rsidP="0066546E">
            <w:pPr>
              <w:rPr>
                <w:bCs/>
              </w:rPr>
            </w:pPr>
            <w:r w:rsidRPr="0066546E">
              <w:rPr>
                <w:bCs/>
              </w:rPr>
              <w:t>(h) Petroleum Refinery Leaks;</w:t>
            </w:r>
          </w:p>
          <w:p w:rsidR="009F5AD6" w:rsidRPr="0066546E" w:rsidRDefault="009F5AD6" w:rsidP="0066546E">
            <w:pPr>
              <w:rPr>
                <w:bCs/>
              </w:rPr>
            </w:pPr>
            <w:r w:rsidRPr="0066546E">
              <w:rPr>
                <w:bCs/>
              </w:rPr>
              <w:t>(i) VOC Liquid Storage;</w:t>
            </w:r>
          </w:p>
          <w:p w:rsidR="009F5AD6" w:rsidRPr="0066546E" w:rsidRDefault="009F5AD6" w:rsidP="0066546E">
            <w:pPr>
              <w:rPr>
                <w:bCs/>
              </w:rPr>
            </w:pPr>
            <w:r w:rsidRPr="0066546E">
              <w:rPr>
                <w:bCs/>
              </w:rPr>
              <w:t>(j) Surface Coating in Manufacturing;</w:t>
            </w:r>
          </w:p>
          <w:p w:rsidR="009F5AD6" w:rsidRPr="0066546E" w:rsidRDefault="009F5AD6" w:rsidP="0066546E">
            <w:pPr>
              <w:rPr>
                <w:bCs/>
              </w:rPr>
            </w:pPr>
            <w:r w:rsidRPr="0066546E">
              <w:rPr>
                <w:bCs/>
              </w:rPr>
              <w:t>(k) Aerospace Component Coating Operations;</w:t>
            </w:r>
          </w:p>
          <w:p w:rsidR="009F5AD6" w:rsidRPr="0066546E" w:rsidRDefault="009F5AD6" w:rsidP="0066546E">
            <w:pPr>
              <w:rPr>
                <w:bCs/>
              </w:rPr>
            </w:pPr>
            <w:r w:rsidRPr="0066546E">
              <w:rPr>
                <w:bCs/>
              </w:rPr>
              <w:t>(l) Degreasers;</w:t>
            </w:r>
          </w:p>
          <w:p w:rsidR="009F5AD6" w:rsidRPr="0066546E" w:rsidRDefault="009F5AD6" w:rsidP="0066546E">
            <w:pPr>
              <w:rPr>
                <w:bCs/>
              </w:rPr>
            </w:pPr>
            <w:r w:rsidRPr="0066546E">
              <w:rPr>
                <w:bCs/>
              </w:rPr>
              <w:t>(m) Open Top Vapor Degreasers;</w:t>
            </w:r>
          </w:p>
          <w:p w:rsidR="009F5AD6" w:rsidRPr="0066546E" w:rsidRDefault="009F5AD6" w:rsidP="0066546E">
            <w:pPr>
              <w:rPr>
                <w:bCs/>
              </w:rPr>
            </w:pPr>
            <w:r w:rsidRPr="0066546E">
              <w:rPr>
                <w:bCs/>
              </w:rPr>
              <w:lastRenderedPageBreak/>
              <w:t>(n) Conveyorized Degreasers;</w:t>
            </w:r>
          </w:p>
          <w:p w:rsidR="009F5AD6" w:rsidRPr="0066546E" w:rsidRDefault="009F5AD6" w:rsidP="0066546E">
            <w:pPr>
              <w:rPr>
                <w:bCs/>
              </w:rPr>
            </w:pPr>
            <w:r w:rsidRPr="0066546E">
              <w:rPr>
                <w:bCs/>
              </w:rPr>
              <w:t>(o) Asphaltic and Coal Tar Pitch Used for Roofing Coating;</w:t>
            </w:r>
          </w:p>
          <w:p w:rsidR="009F5AD6" w:rsidRPr="0066546E" w:rsidRDefault="009F5AD6" w:rsidP="0066546E">
            <w:pPr>
              <w:rPr>
                <w:bCs/>
              </w:rPr>
            </w:pPr>
            <w:r w:rsidRPr="0066546E">
              <w:rPr>
                <w:bCs/>
              </w:rPr>
              <w:t>(p) Flat Wood Coating; and</w:t>
            </w:r>
          </w:p>
          <w:p w:rsidR="009F5AD6" w:rsidRPr="0066546E" w:rsidRDefault="009F5AD6" w:rsidP="0066546E">
            <w:pPr>
              <w:rPr>
                <w:bCs/>
              </w:rPr>
            </w:pPr>
            <w:r w:rsidRPr="0066546E">
              <w:rPr>
                <w:bCs/>
              </w:rPr>
              <w:t>(q) Rotogravure and Flexographic Printing.</w:t>
            </w:r>
            <w:r>
              <w:rPr>
                <w:bCs/>
              </w:rPr>
              <w:t>”</w:t>
            </w:r>
          </w:p>
        </w:tc>
        <w:tc>
          <w:tcPr>
            <w:tcW w:w="4320" w:type="dxa"/>
          </w:tcPr>
          <w:p w:rsidR="009F5AD6" w:rsidRPr="006E233D" w:rsidRDefault="009F5AD6" w:rsidP="000F1173">
            <w:r>
              <w:lastRenderedPageBreak/>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emissions standard applies or for which different </w:t>
            </w:r>
            <w:r w:rsidRPr="00863B07">
              <w:lastRenderedPageBreak/>
              <w:t xml:space="preserve">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9F5AD6" w:rsidRDefault="009F5AD6" w:rsidP="00B519E4">
            <w:pPr>
              <w:rPr>
                <w:bCs/>
              </w:rPr>
            </w:pPr>
            <w:r w:rsidRPr="00863B07">
              <w:lastRenderedPageBreak/>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lastRenderedPageBreak/>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Change “gas service” which is not used to “gaseous service”</w:t>
            </w:r>
          </w:p>
        </w:tc>
        <w:tc>
          <w:tcPr>
            <w:tcW w:w="4320" w:type="dxa"/>
          </w:tcPr>
          <w:p w:rsidR="009F5AD6" w:rsidRPr="00863B07" w:rsidRDefault="009F5AD6" w:rsidP="00FE68CE">
            <w:r w:rsidRPr="00863B07">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(34) "Lightering" means the transfer of a liquid product identified in OAR 340-232-0110(1</w:t>
            </w:r>
            <w:proofErr w:type="gramStart"/>
            <w:r w:rsidRPr="00782FB7">
              <w:rPr>
                <w:bCs/>
              </w:rPr>
              <w:t>)(</w:t>
            </w:r>
            <w:proofErr w:type="gramEnd"/>
            <w:r w:rsidRPr="00782FB7">
              <w:rPr>
                <w:bCs/>
              </w:rPr>
              <w:t xml:space="preserve">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Use modified definition of “major modification”  in division 200</w:t>
            </w:r>
          </w:p>
          <w:p w:rsidR="009F5AD6" w:rsidRPr="00C41A40" w:rsidRDefault="009F5AD6" w:rsidP="00C1514E">
            <w:r w:rsidRPr="00C41A40">
              <w:lastRenderedPageBreak/>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lastRenderedPageBreak/>
              <w:t>Definition different from division 200. Delete and 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A43FC1" w:rsidRDefault="009F5AD6" w:rsidP="00A65851">
            <w:r w:rsidRPr="00A43FC1">
              <w:lastRenderedPageBreak/>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w:t>
            </w:r>
            <w:proofErr w:type="gramStart"/>
            <w:r w:rsidRPr="0012227F">
              <w:rPr>
                <w:bCs/>
              </w:rPr>
              <w:t>)(</w:t>
            </w:r>
            <w:proofErr w:type="gramEnd"/>
            <w:r w:rsidRPr="0012227F">
              <w:rPr>
                <w:bCs/>
              </w:rPr>
              <w:t>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Definition of “splash filling” not used in this division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(1) All existing sources operating prior to November 15, 1990, located inside the areas cited in OAR 340-232-0020(1</w:t>
            </w:r>
            <w:proofErr w:type="gramStart"/>
            <w:r w:rsidRPr="007F0C7B">
              <w:rPr>
                <w:bCs/>
              </w:rPr>
              <w:t>)(</w:t>
            </w:r>
            <w:proofErr w:type="gramEnd"/>
            <w:r w:rsidRPr="007F0C7B">
              <w:rPr>
                <w:bCs/>
              </w:rPr>
              <w:t xml:space="preserve">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w:t>
            </w:r>
            <w:r w:rsidRPr="007F0C7B">
              <w:rPr>
                <w:bCs/>
              </w:rPr>
              <w:lastRenderedPageBreak/>
              <w:t>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lastRenderedPageBreak/>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lastRenderedPageBreak/>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t>
            </w:r>
            <w:proofErr w:type="gramStart"/>
            <w:r w:rsidRPr="000062E9">
              <w:rPr>
                <w:bCs/>
              </w:rPr>
              <w:t>will  be</w:t>
            </w:r>
            <w:proofErr w:type="gramEnd"/>
            <w:r w:rsidRPr="000062E9">
              <w:rPr>
                <w:bCs/>
              </w:rPr>
              <w:t xml:space="preserv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lastRenderedPageBreak/>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lastRenderedPageBreak/>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lastRenderedPageBreak/>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Delete “or equivalent system as approved in writing by the Department”</w:t>
            </w:r>
          </w:p>
        </w:tc>
        <w:tc>
          <w:tcPr>
            <w:tcW w:w="4320" w:type="dxa"/>
            <w:tcBorders>
              <w:bottom w:val="double" w:sz="6" w:space="0" w:color="auto"/>
            </w:tcBorders>
          </w:tcPr>
          <w:p w:rsidR="009F5AD6" w:rsidRPr="005A5027" w:rsidRDefault="009F5AD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proofErr w:type="gramStart"/>
            <w:r>
              <w:t>“</w:t>
            </w:r>
            <w:r w:rsidRPr="000A578A">
              <w:t>(</w:t>
            </w:r>
            <w:r w:rsidRPr="001F27E5">
              <w:t>1) Applicability.</w:t>
            </w:r>
            <w:proofErr w:type="gramEnd"/>
            <w:r w:rsidRPr="001F27E5">
              <w:t xml:space="preserve">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previously held a liquid product identified in subsection </w:t>
            </w:r>
            <w:r w:rsidRPr="001F27E5">
              <w:lastRenderedPageBreak/>
              <w:t>(a)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(B) Any other volatile organic liquid with a Reid vapor 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lastRenderedPageBreak/>
              <w:t>Make changes to this rule to ensure that emissions of volatile organic compounds (VOC) other than gasoline receive the same level of control during marine loading events.</w:t>
            </w:r>
          </w:p>
          <w:p w:rsidR="009F5AD6" w:rsidRPr="00E8777D" w:rsidRDefault="009F5AD6" w:rsidP="00E8777D">
            <w:r w:rsidRPr="00E8777D">
              <w:t xml:space="preserve">This rule was originally adopted to require the control of VOC emissions when gasoline is loaded into marine tank vessel cargo tanks. Gasoline is a mixture of VOCs that exhibit significant vapor </w:t>
            </w:r>
            <w:r w:rsidRPr="00E8777D">
              <w:lastRenderedPageBreak/>
              <w:t>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909FB">
        <w:tc>
          <w:tcPr>
            <w:tcW w:w="918" w:type="dxa"/>
            <w:tcBorders>
              <w:bottom w:val="double" w:sz="6" w:space="0" w:color="auto"/>
            </w:tcBorders>
          </w:tcPr>
          <w:p w:rsidR="009F5AD6" w:rsidRPr="005A5027" w:rsidRDefault="009F5AD6" w:rsidP="00D909FB">
            <w:r w:rsidRPr="005A5027">
              <w:lastRenderedPageBreak/>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 xml:space="preserve">4) Marine Vapor Control Emission Limits. Vapors that are displaced and collected during marine tank vessel loading events must be reduced from the uncontrolled condition by at least 95 percent by weight, as determined by EPA Method 25 or other methods </w:t>
            </w:r>
            <w:proofErr w:type="spellStart"/>
            <w:r w:rsidRPr="001F27E5">
              <w:t>approvedunder</w:t>
            </w:r>
            <w:proofErr w:type="spellEnd"/>
            <w:r w:rsidRPr="001F27E5">
              <w:t xml:space="preserve">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 xml:space="preserve">(b) The owner or operator of any marine tank vessel must certify to DEQ that the vessel is leak free, vapor tight, and in good working order based on an annual inspection using EPA Method 21 or other method </w:t>
            </w:r>
            <w:proofErr w:type="spellStart"/>
            <w:r w:rsidRPr="001F27E5">
              <w:t>approvedunder</w:t>
            </w:r>
            <w:proofErr w:type="spellEnd"/>
            <w:r w:rsidRPr="001F27E5">
              <w:t xml:space="preserve"> OAR 340-212-0140</w:t>
            </w:r>
            <w:r>
              <w:t>.”</w:t>
            </w:r>
          </w:p>
        </w:tc>
        <w:tc>
          <w:tcPr>
            <w:tcW w:w="4320" w:type="dxa"/>
            <w:tcBorders>
              <w:bottom w:val="double" w:sz="6" w:space="0" w:color="auto"/>
            </w:tcBorders>
          </w:tcPr>
          <w:p w:rsidR="009F5AD6" w:rsidRPr="005A5027" w:rsidRDefault="009F5AD6" w:rsidP="00042186">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lastRenderedPageBreak/>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proofErr w:type="spellStart"/>
            <w:r w:rsidRPr="008343C2">
              <w:t>pproval</w:t>
            </w:r>
            <w:proofErr w:type="spellEnd"/>
            <w:r w:rsidRPr="008343C2">
              <w:t xml:space="preserve"> by DEQ and/or EPA</w:t>
            </w:r>
            <w:proofErr w:type="gramStart"/>
            <w:r w:rsidRPr="008343C2">
              <w:t>.</w:t>
            </w:r>
            <w:r w:rsidRPr="005A5027">
              <w:t>.</w:t>
            </w:r>
            <w:proofErr w:type="gramEnd"/>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B42C36">
              <w:t xml:space="preserve">(a) On a case-by-case basis, DEQ may approve </w:t>
            </w:r>
            <w:r w:rsidRPr="00B42C36">
              <w:lastRenderedPageBreak/>
              <w:t>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lastRenderedPageBreak/>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lastRenderedPageBreak/>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 xml:space="preserve">(b) Sources whose potential emit from activities identified in section (1) before add on controls of volatile organic compounds are less than ten tons per year (or 3 </w:t>
            </w:r>
            <w:r w:rsidRPr="00357709">
              <w:lastRenderedPageBreak/>
              <w:t>pounds VOC/hour or 15 pounds VOC/day actual);</w:t>
            </w:r>
            <w:r>
              <w:t>”</w:t>
            </w:r>
          </w:p>
        </w:tc>
        <w:tc>
          <w:tcPr>
            <w:tcW w:w="4320" w:type="dxa"/>
            <w:tcBorders>
              <w:bottom w:val="double" w:sz="6" w:space="0" w:color="auto"/>
            </w:tcBorders>
          </w:tcPr>
          <w:p w:rsidR="009F5AD6" w:rsidRPr="005A5027" w:rsidRDefault="009F5AD6" w:rsidP="000D2A22">
            <w:r>
              <w:lastRenderedPageBreak/>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lastRenderedPageBreak/>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w:t>
            </w:r>
            <w:proofErr w:type="gramStart"/>
            <w:r>
              <w:t>./</w:t>
            </w:r>
            <w:proofErr w:type="gramEnd"/>
            <w:r>
              <w:t>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lastRenderedPageBreak/>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lastRenderedPageBreak/>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lastRenderedPageBreak/>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 xml:space="preserve">C) An alternative volatile organic compound pollution control device demonstrated to have at least </w:t>
            </w:r>
            <w:proofErr w:type="gramStart"/>
            <w:r w:rsidRPr="001D46F6">
              <w:t>a 90.0</w:t>
            </w:r>
            <w:proofErr w:type="gramEnd"/>
            <w:r w:rsidRPr="001D46F6">
              <w:t xml:space="preserve">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(2) A capture system must be used in conjunction with the air pollution control devices in subsection (1</w:t>
            </w:r>
            <w:proofErr w:type="gramStart"/>
            <w:r w:rsidRPr="00E80A37">
              <w:t>)(</w:t>
            </w:r>
            <w:proofErr w:type="gramEnd"/>
            <w:r w:rsidRPr="00E80A37">
              <w:t xml:space="preserve">c). The design and operation of a capture system must be consistent with good engineering practice, and must  provide for a control efficiency in volatile organic </w:t>
            </w:r>
            <w:r>
              <w:lastRenderedPageBreak/>
              <w:t>compound emissions of at least:”</w:t>
            </w:r>
          </w:p>
        </w:tc>
        <w:tc>
          <w:tcPr>
            <w:tcW w:w="4320" w:type="dxa"/>
            <w:tcBorders>
              <w:bottom w:val="double" w:sz="6" w:space="0" w:color="auto"/>
            </w:tcBorders>
          </w:tcPr>
          <w:p w:rsidR="009F5AD6" w:rsidRDefault="009F5AD6" w:rsidP="00CB1A40">
            <w:r>
              <w:lastRenderedPageBreak/>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lastRenderedPageBreak/>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w:t>
            </w:r>
            <w:proofErr w:type="spellStart"/>
            <w:r w:rsidRPr="006E233D">
              <w:t>condensibles</w:t>
            </w:r>
            <w:proofErr w:type="spellEnd"/>
            <w:r w:rsidRPr="006E233D">
              <w:t>”</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er million” and use division 202</w:t>
            </w:r>
            <w:r w:rsidRPr="006E233D">
              <w:t xml:space="preserve"> definition</w:t>
            </w:r>
          </w:p>
        </w:tc>
        <w:tc>
          <w:tcPr>
            <w:tcW w:w="4320" w:type="dxa"/>
          </w:tcPr>
          <w:p w:rsidR="009F5AD6" w:rsidRPr="00AA71CC" w:rsidRDefault="009F5AD6" w:rsidP="008A51F0">
            <w:pPr>
              <w:rPr>
                <w:color w:val="000000"/>
              </w:rPr>
            </w:pPr>
            <w:r>
              <w:rPr>
                <w:bCs/>
              </w:rPr>
              <w:t xml:space="preserve">See discussion above in division 200 in definition of “parts per million.” </w:t>
            </w:r>
            <w:r>
              <w:t>D</w:t>
            </w:r>
            <w:r w:rsidRPr="00AA71CC">
              <w:t xml:space="preserve">efinition different division </w:t>
            </w:r>
            <w:r w:rsidRPr="00AA71CC">
              <w:lastRenderedPageBreak/>
              <w:t>202</w:t>
            </w:r>
            <w:r>
              <w:t xml:space="preserve">. </w:t>
            </w:r>
            <w:r w:rsidRPr="00AA71CC">
              <w:t>Clarify division 202 definition and  move to division 200</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t>Term used in divisions 240 and 244 but not 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 xml:space="preserve">(12) "Recovery furnace" means the combustion device in which dissolved wood solids are incinerated and pulping chemicals recovered from the molten smelt. For OAR 340-234-0200 through 340-234-0270, this </w:t>
            </w:r>
            <w:proofErr w:type="gramStart"/>
            <w:r w:rsidRPr="00482330">
              <w:t>term  includes</w:t>
            </w:r>
            <w:proofErr w:type="gramEnd"/>
            <w:r w:rsidRPr="00482330">
              <w:t xml:space="preserve">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of “veneer.” </w:t>
            </w:r>
            <w:r w:rsidRPr="006E233D">
              <w:t>Definition same as division 240</w:t>
            </w:r>
            <w:r>
              <w:t xml:space="preserve">. </w:t>
            </w:r>
            <w:r w:rsidRPr="006E233D">
              <w:lastRenderedPageBreak/>
              <w:t>Move to division 200</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0240(1), (1)(b), (1)(c), (1)(d), (2)(a), (2)(b), (3)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lastRenderedPageBreak/>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9F5AD6" w:rsidRPr="006E233D" w:rsidRDefault="009F5AD6" w:rsidP="002701E8">
            <w:r>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lastRenderedPageBreak/>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lastRenderedPageBreak/>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lastRenderedPageBreak/>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 xml:space="preserve">Correct spelling of </w:t>
            </w:r>
            <w:proofErr w:type="spellStart"/>
            <w:r w:rsidRPr="006E233D">
              <w:t>condensible</w:t>
            </w:r>
            <w:proofErr w:type="spellEnd"/>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9F5AD6" w:rsidRPr="005A5027" w:rsidRDefault="009F5AD6" w:rsidP="00A317D4">
            <w:r>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lastRenderedPageBreak/>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 xml:space="preserve">A test method should always be specified with </w:t>
            </w:r>
            <w:r w:rsidRPr="006E233D">
              <w:lastRenderedPageBreak/>
              <w:t>each standard  in order to be able to show compliance</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lastRenderedPageBreak/>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9F5AD6" w:rsidRPr="0067052D" w:rsidRDefault="009F5AD6" w:rsidP="0067052D">
            <w:r w:rsidRPr="0067052D">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w:t>
            </w:r>
            <w:r>
              <w:lastRenderedPageBreak/>
              <w:t xml:space="preserve">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lastRenderedPageBreak/>
              <w:t>Clarification. The public records law</w:t>
            </w:r>
            <w:r w:rsidRPr="008E7D7C">
              <w:t xml:space="preserve"> may require disclosure in some cases</w:t>
            </w:r>
            <w:r>
              <w:t xml:space="preserve">. </w:t>
            </w:r>
          </w:p>
          <w:p w:rsidR="009F5AD6" w:rsidRPr="005A5027" w:rsidRDefault="009F5AD6" w:rsidP="00A317D4"/>
        </w:tc>
        <w:tc>
          <w:tcPr>
            <w:tcW w:w="787" w:type="dxa"/>
          </w:tcPr>
          <w:p w:rsidR="009F5AD6" w:rsidRPr="006E233D" w:rsidRDefault="009F5AD6" w:rsidP="00A317D4">
            <w:pPr>
              <w:jc w:val="center"/>
            </w:pPr>
            <w:r>
              <w:lastRenderedPageBreak/>
              <w:t>SIP</w:t>
            </w:r>
          </w:p>
        </w:tc>
      </w:tr>
      <w:tr w:rsidR="009F5AD6" w:rsidRPr="006E233D" w:rsidTr="00037C5F">
        <w:tc>
          <w:tcPr>
            <w:tcW w:w="918" w:type="dxa"/>
          </w:tcPr>
          <w:p w:rsidR="009F5AD6" w:rsidRPr="005A5027" w:rsidRDefault="009F5AD6" w:rsidP="00037C5F">
            <w:r w:rsidRPr="005A5027">
              <w:lastRenderedPageBreak/>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9F5AD6" w:rsidRPr="005A5027" w:rsidRDefault="009F5AD6" w:rsidP="00037C5F">
            <w:r w:rsidRPr="005A5027">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w:t>
            </w:r>
            <w:proofErr w:type="gramStart"/>
            <w:r w:rsidRPr="00E73350">
              <w:t>standard  in</w:t>
            </w:r>
            <w:proofErr w:type="gramEnd"/>
            <w:r w:rsidRPr="00E73350">
              <w:t xml:space="preserve">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tables.”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lastRenderedPageBreak/>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w:t>
            </w:r>
            <w:proofErr w:type="spellStart"/>
            <w:r>
              <w:t>Disch</w:t>
            </w:r>
            <w:proofErr w:type="spellEnd"/>
            <w:r>
              <w:t>”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 xml:space="preserve">There has been confusion among the terms “capture efficiency,” “collection efficiency,” “removal efficiency,” and “control efficiency.” “Collection efficiency” is the only term currently </w:t>
            </w:r>
            <w:r w:rsidRPr="005A5027">
              <w:lastRenderedPageBreak/>
              <w:t>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Delete definition of “Medford-Ashland Air Quality Maintenance Area”</w:t>
            </w:r>
          </w:p>
        </w:tc>
        <w:tc>
          <w:tcPr>
            <w:tcW w:w="4320" w:type="dxa"/>
          </w:tcPr>
          <w:p w:rsidR="009F5AD6" w:rsidRPr="006E233D" w:rsidRDefault="009F5AD6" w:rsidP="00A76D2E">
            <w:r w:rsidRPr="006E233D">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emission point exceed the opacity limits specified in </w:t>
            </w:r>
            <w:r w:rsidRPr="00487D85">
              <w:lastRenderedPageBreak/>
              <w:t xml:space="preserve">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t>”</w:t>
            </w:r>
          </w:p>
        </w:tc>
        <w:tc>
          <w:tcPr>
            <w:tcW w:w="4320" w:type="dxa"/>
          </w:tcPr>
          <w:p w:rsidR="009F5AD6" w:rsidRPr="0088722F" w:rsidRDefault="009F5AD6"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 xml:space="preserve">opacity limits to 6 minute averages. See </w:t>
            </w:r>
            <w:r w:rsidRPr="00DD710C">
              <w:lastRenderedPageBreak/>
              <w:t>reason above for changing opacity to 6-minute average</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 xml:space="preserve">Requirements for “old” wood waste boilers were repealed in 12/2004 because the compliance date </w:t>
            </w:r>
            <w:r w:rsidRPr="006E233D">
              <w:rPr>
                <w:color w:val="000000"/>
              </w:rPr>
              <w:lastRenderedPageBreak/>
              <w:t>(12/31/94)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9F5AD6" w:rsidRPr="006E233D" w:rsidRDefault="009F5AD6" w:rsidP="002C7F45">
            <w:r>
              <w:rPr>
                <w:color w:val="000000"/>
              </w:rP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(b)(C) may request that DEQ grant an extension allowing </w:t>
            </w:r>
            <w:r w:rsidRPr="00C753FA">
              <w:lastRenderedPageBreak/>
              <w:t>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lastRenderedPageBreak/>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w:t>
            </w:r>
            <w:proofErr w:type="gramStart"/>
            <w:r w:rsidRPr="00FC0848">
              <w:t>sawmill</w:t>
            </w:r>
            <w:r>
              <w:t>s</w:t>
            </w:r>
            <w:r w:rsidRPr="00FC0848">
              <w:t>,</w:t>
            </w:r>
            <w:proofErr w:type="gramEnd"/>
            <w:r w:rsidRPr="00FC0848">
              <w:t xml:space="preserve">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t xml:space="preserve">Delete “, or charcoal manufacturing plant” since there are no charcoal manufacturing plants in the </w:t>
            </w:r>
            <w:r w:rsidRPr="000C0437">
              <w:lastRenderedPageBreak/>
              <w:t>La</w:t>
            </w:r>
            <w:r>
              <w:t>keview Urb</w:t>
            </w:r>
            <w:r w:rsidRPr="000C0437">
              <w:t>an Growth Area”</w:t>
            </w:r>
          </w:p>
        </w:tc>
        <w:tc>
          <w:tcPr>
            <w:tcW w:w="787" w:type="dxa"/>
          </w:tcPr>
          <w:p w:rsidR="009F5AD6" w:rsidRPr="006E233D" w:rsidRDefault="009F5AD6" w:rsidP="0066018C">
            <w:pPr>
              <w:jc w:val="center"/>
            </w:pPr>
            <w:r w:rsidRPr="00FC0848">
              <w:lastRenderedPageBreak/>
              <w:t>SIP</w:t>
            </w:r>
          </w:p>
        </w:tc>
      </w:tr>
      <w:tr w:rsidR="009F5AD6" w:rsidRPr="005A5027" w:rsidTr="00D66578">
        <w:tc>
          <w:tcPr>
            <w:tcW w:w="918" w:type="dxa"/>
          </w:tcPr>
          <w:p w:rsidR="009F5AD6" w:rsidRPr="005A5027" w:rsidRDefault="009F5AD6" w:rsidP="00A65851">
            <w:r>
              <w:lastRenderedPageBreak/>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Delete “asphalt, oil,” from the reasonable precautions to 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A317D4">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t>There is no an Air Quality Division at DEQ. It is now called the Operations Division.</w:t>
            </w:r>
          </w:p>
        </w:tc>
        <w:tc>
          <w:tcPr>
            <w:tcW w:w="787" w:type="dxa"/>
          </w:tcPr>
          <w:p w:rsidR="009F5AD6" w:rsidRPr="006E233D" w:rsidRDefault="009F5AD6" w:rsidP="00E965D9">
            <w:pPr>
              <w:jc w:val="center"/>
            </w:pPr>
            <w:r>
              <w:t>SIP</w:t>
            </w:r>
          </w:p>
        </w:tc>
      </w:tr>
      <w:tr w:rsidR="009F5AD6" w:rsidRPr="006E233D" w:rsidTr="002701E8">
        <w:tc>
          <w:tcPr>
            <w:tcW w:w="918" w:type="dxa"/>
          </w:tcPr>
          <w:p w:rsidR="009F5AD6" w:rsidRPr="006E233D" w:rsidRDefault="009F5AD6" w:rsidP="002701E8">
            <w:r w:rsidRPr="006E233D">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(1) All new or modified sources subject to OAR 340 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w:t>
            </w:r>
            <w:proofErr w:type="gramStart"/>
            <w:r w:rsidRPr="00421FE1">
              <w:rPr>
                <w:color w:val="000000"/>
              </w:rPr>
              <w:t>)(</w:t>
            </w:r>
            <w:proofErr w:type="gramEnd"/>
            <w:r w:rsidRPr="00421FE1">
              <w:rPr>
                <w:color w:val="000000"/>
              </w:rPr>
              <w:t>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9F5AD6" w:rsidRPr="005A5027" w:rsidRDefault="009F5AD6" w:rsidP="00E965D9"/>
        </w:tc>
        <w:tc>
          <w:tcPr>
            <w:tcW w:w="4320" w:type="dxa"/>
          </w:tcPr>
          <w:p w:rsidR="009F5AD6" w:rsidRPr="005A5027" w:rsidRDefault="009F5AD6" w:rsidP="00DF24F9">
            <w:r>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lastRenderedPageBreak/>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 xml:space="preserve">[NOTE: Underground piping requirements are described in OAR 340-150-0300 and 40 CFR 280.20(d). Systems installed according to Petroleum Equipment Institute Publication RP100, "Recommended Practices for </w:t>
            </w:r>
            <w:r w:rsidRPr="00BA5219">
              <w:rPr>
                <w:color w:val="000000"/>
              </w:rPr>
              <w:lastRenderedPageBreak/>
              <w:t>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lastRenderedPageBreak/>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lastRenderedPageBreak/>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t xml:space="preserve">Correction. </w:t>
            </w:r>
          </w:p>
          <w:p w:rsidR="009F5AD6" w:rsidRDefault="009F5AD6" w:rsidP="002F07DD"/>
          <w:p w:rsidR="009F5AD6" w:rsidRDefault="009F5AD6" w:rsidP="00BA5219">
            <w:r>
              <w:t>OAR 340-242-0510 defines:</w:t>
            </w:r>
          </w:p>
          <w:p w:rsidR="009F5AD6" w:rsidRDefault="009F5AD6"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 xml:space="preserve">Therefore, Note -2- </w:t>
            </w:r>
            <w:proofErr w:type="gramStart"/>
            <w:r>
              <w:t>is</w:t>
            </w:r>
            <w:proofErr w:type="gramEnd"/>
            <w:r>
              <w:t xml:space="preserve"> not necessary.</w:t>
            </w:r>
          </w:p>
        </w:tc>
        <w:tc>
          <w:tcPr>
            <w:tcW w:w="787" w:type="dxa"/>
            <w:tcBorders>
              <w:bottom w:val="double" w:sz="6" w:space="0" w:color="auto"/>
            </w:tcBorders>
          </w:tcPr>
          <w:p w:rsidR="009F5AD6" w:rsidRPr="005A5027" w:rsidRDefault="009F5AD6" w:rsidP="002F07DD">
            <w:r>
              <w:t>SIP</w:t>
            </w:r>
          </w:p>
        </w:tc>
      </w:tr>
      <w:tr w:rsidR="009F5AD6" w:rsidRPr="005A5027" w:rsidTr="003E6F95">
        <w:tc>
          <w:tcPr>
            <w:tcW w:w="918" w:type="dxa"/>
            <w:tcBorders>
              <w:bottom w:val="double" w:sz="6" w:space="0" w:color="auto"/>
            </w:tcBorders>
          </w:tcPr>
          <w:p w:rsidR="009F5AD6" w:rsidRPr="005A5027" w:rsidRDefault="009F5AD6" w:rsidP="003E6F95">
            <w:r w:rsidRPr="005A5027">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9F5AD6" w:rsidRPr="005A5027" w:rsidRDefault="009F5AD6" w:rsidP="00BB57E2">
            <w:r>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lastRenderedPageBreak/>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9F5AD6" w:rsidRPr="005A5027" w:rsidRDefault="009F5AD6" w:rsidP="00C32E47">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9F5AD6" w:rsidRDefault="009F5AD6" w:rsidP="003735BC">
            <w:r>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 xml:space="preserve">This rule establishes emission limitations and management practices for hazardous air pollutants and </w:t>
            </w:r>
            <w:r w:rsidRPr="00832D07">
              <w:rPr>
                <w:bCs/>
                <w:color w:val="000000"/>
              </w:rPr>
              <w:lastRenderedPageBreak/>
              <w:t xml:space="preserve">volatile organic compounds emitted from the loading of gasoline storage tanks and dispensing of fuel at gasoline dispensing </w:t>
            </w:r>
            <w:proofErr w:type="gramStart"/>
            <w:r w:rsidRPr="00832D07">
              <w:rPr>
                <w:bCs/>
                <w:color w:val="000000"/>
              </w:rPr>
              <w:t>facilities .</w:t>
            </w:r>
            <w:proofErr w:type="gramEnd"/>
            <w:r w:rsidRPr="00832D07">
              <w:rPr>
                <w:bCs/>
                <w:color w:val="000000"/>
              </w:rPr>
              <w:t xml:space="preserve">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lastRenderedPageBreak/>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lastRenderedPageBreak/>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In Clackamas, Multnomah, or Washington County whose annual throughput is120</w:t>
            </w:r>
            <w:proofErr w:type="gramStart"/>
            <w:r w:rsidRPr="009B1550">
              <w:rPr>
                <w:bCs/>
                <w:color w:val="000000"/>
              </w:rPr>
              <w:t>,000</w:t>
            </w:r>
            <w:proofErr w:type="gramEnd"/>
            <w:r w:rsidRPr="009B1550">
              <w:rPr>
                <w:bCs/>
                <w:color w:val="000000"/>
              </w:rPr>
              <w:t xml:space="preserve">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 xml:space="preserve">Add language from EPA's </w:t>
            </w:r>
            <w:proofErr w:type="gramStart"/>
            <w:r w:rsidRPr="00831354">
              <w:t>rules that is</w:t>
            </w:r>
            <w:proofErr w:type="gramEnd"/>
            <w:r w:rsidRPr="00831354">
              <w:t xml:space="preserve">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w:t>
            </w:r>
            <w:r>
              <w:lastRenderedPageBreak/>
              <w:t>)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lastRenderedPageBreak/>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lastRenderedPageBreak/>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January  to</w:t>
            </w:r>
            <w:proofErr w:type="gramEnd"/>
            <w:r>
              <w:rPr>
                <w:bCs/>
                <w:color w:val="000000"/>
              </w:rPr>
              <w:t xml:space="preserve">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October  to</w:t>
            </w:r>
            <w:proofErr w:type="gramEnd"/>
            <w:r>
              <w:rPr>
                <w:bCs/>
                <w:color w:val="000000"/>
              </w:rPr>
              <w:t xml:space="preserve">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November  to</w:t>
            </w:r>
            <w:proofErr w:type="gramEnd"/>
            <w:r>
              <w:rPr>
                <w:bCs/>
                <w:color w:val="000000"/>
              </w:rPr>
              <w:t xml:space="preserve">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February  to</w:t>
            </w:r>
            <w:proofErr w:type="gramEnd"/>
            <w:r>
              <w:rPr>
                <w:bCs/>
                <w:color w:val="000000"/>
              </w:rPr>
              <w:t xml:space="preserve">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lastRenderedPageBreak/>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lastRenderedPageBreak/>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w:t>
            </w:r>
            <w:r w:rsidRPr="0095479C">
              <w:lastRenderedPageBreak/>
              <w:t>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lastRenderedPageBreak/>
              <w:t>NA</w:t>
            </w:r>
          </w:p>
        </w:tc>
      </w:tr>
      <w:tr w:rsidR="009F5AD6" w:rsidRPr="006E233D" w:rsidTr="00A8758F">
        <w:tc>
          <w:tcPr>
            <w:tcW w:w="918" w:type="dxa"/>
            <w:shd w:val="clear" w:color="auto" w:fill="B2A1C7" w:themeFill="accent4" w:themeFillTint="99"/>
          </w:tcPr>
          <w:p w:rsidR="009F5AD6" w:rsidRPr="006E233D" w:rsidRDefault="009F5AD6" w:rsidP="00A8758F">
            <w:r>
              <w:lastRenderedPageBreak/>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t>SIP</w:t>
            </w:r>
          </w:p>
        </w:tc>
      </w:tr>
      <w:tr w:rsidR="009F5AD6" w:rsidRPr="006E233D" w:rsidTr="0014611E">
        <w:tc>
          <w:tcPr>
            <w:tcW w:w="918" w:type="dxa"/>
            <w:shd w:val="clear" w:color="auto" w:fill="B2A1C7" w:themeFill="accent4" w:themeFillTint="99"/>
          </w:tcPr>
          <w:p w:rsidR="009F5AD6" w:rsidRPr="006E233D" w:rsidRDefault="009F5AD6" w:rsidP="0014611E">
            <w:r>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lastRenderedPageBreak/>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t>This rule was last approved into the SIP by EPA on 04/25/13. The note was inadvertently omitted from the rule.</w:t>
            </w:r>
          </w:p>
        </w:tc>
        <w:tc>
          <w:tcPr>
            <w:tcW w:w="787" w:type="dxa"/>
            <w:tcBorders>
              <w:bottom w:val="double" w:sz="6" w:space="0" w:color="auto"/>
            </w:tcBorders>
          </w:tcPr>
          <w:p w:rsidR="009F5AD6" w:rsidRDefault="009F5AD6" w:rsidP="008E15AE">
            <w:pPr>
              <w:jc w:val="center"/>
            </w:pPr>
            <w:r>
              <w:t>SIP</w:t>
            </w:r>
          </w:p>
        </w:tc>
      </w:tr>
      <w:tr w:rsidR="009F5AD6" w:rsidRPr="005A5027" w:rsidTr="00654E73">
        <w:tc>
          <w:tcPr>
            <w:tcW w:w="918" w:type="dxa"/>
            <w:tcBorders>
              <w:bottom w:val="double" w:sz="6" w:space="0" w:color="auto"/>
            </w:tcBorders>
          </w:tcPr>
          <w:p w:rsidR="009F5AD6" w:rsidRPr="005A5027" w:rsidRDefault="009F5AD6" w:rsidP="00654E73">
            <w:r w:rsidRPr="005A5027">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t>SIP</w:t>
            </w:r>
          </w:p>
        </w:tc>
      </w:tr>
      <w:tr w:rsidR="009F5AD6" w:rsidRPr="006E233D" w:rsidTr="00042186">
        <w:tc>
          <w:tcPr>
            <w:tcW w:w="918" w:type="dxa"/>
          </w:tcPr>
          <w:p w:rsidR="009F5AD6" w:rsidRPr="006E233D" w:rsidRDefault="009F5AD6" w:rsidP="00042186">
            <w:r w:rsidRPr="006E233D">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9F5AD6" w:rsidRPr="006E233D" w:rsidRDefault="009F5AD6" w:rsidP="00B65845">
            <w:r>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 xml:space="preserve">Clarify that emission reduction credits not used prior to the expiration date and revert back to the source that </w:t>
            </w:r>
            <w:r w:rsidRPr="006E233D">
              <w:rPr>
                <w:color w:val="000000"/>
              </w:rPr>
              <w:lastRenderedPageBreak/>
              <w:t>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lastRenderedPageBreak/>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gdavis" w:date="2015-02-02T09:21:00Z" w:initials="gfd">
    <w:p w:rsidR="00FC7767" w:rsidRDefault="00FC7767" w:rsidP="009F5AD6">
      <w:pPr>
        <w:pStyle w:val="CommentText"/>
      </w:pPr>
      <w:r>
        <w:rPr>
          <w:rStyle w:val="CommentReference"/>
        </w:rPr>
        <w:annotationRef/>
      </w:r>
      <w:r>
        <w:t>gfd 1-28-15   this is the latest proposed version of major mod, taking into account discussions with EPA, except that subsection (h) may be removed pending internal discussion on 1-29-15.</w:t>
      </w:r>
    </w:p>
    <w:p w:rsidR="00FC7767" w:rsidRDefault="00FC7767" w:rsidP="009F5AD6">
      <w:pPr>
        <w:pStyle w:val="CommentText"/>
      </w:pPr>
    </w:p>
    <w:p w:rsidR="00FC7767" w:rsidRDefault="00FC7767" w:rsidP="009F5AD6">
      <w:pPr>
        <w:pStyle w:val="CommentText"/>
      </w:pPr>
    </w:p>
    <w:p w:rsidR="00FC7767" w:rsidRDefault="00FC7767" w:rsidP="009F5AD6">
      <w:pPr>
        <w:pStyle w:val="CommentText"/>
      </w:pPr>
      <w:r w:rsidRPr="00AB2D24">
        <w:rPr>
          <w:highlight w:val="yellow"/>
        </w:rPr>
        <w:t>UPDATE CROSSWALK AFTER EPA REVIEW</w:t>
      </w:r>
    </w:p>
    <w:p w:rsidR="00FC7767" w:rsidRDefault="00FC7767" w:rsidP="009F5AD6">
      <w:pPr>
        <w:pStyle w:val="CommentText"/>
      </w:pPr>
    </w:p>
  </w:comment>
  <w:comment w:id="11" w:author="gdavis" w:date="2015-02-02T09:21:00Z" w:initials="gfd">
    <w:p w:rsidR="00FC7767" w:rsidRDefault="00FC7767" w:rsidP="009F5AD6">
      <w:pPr>
        <w:pStyle w:val="CommentText"/>
      </w:pPr>
      <w:r>
        <w:rPr>
          <w:rStyle w:val="CommentReference"/>
        </w:rPr>
        <w:annotationRef/>
      </w:r>
      <w:r>
        <w:t>Depending on the outcome of Thursday’s discussion, this may come out and we will simply rely on (j</w:t>
      </w:r>
      <w:proofErr w:type="gramStart"/>
      <w:r>
        <w:t>)(</w:t>
      </w:r>
      <w:proofErr w:type="gramEnd"/>
      <w:r>
        <w: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767" w:rsidRDefault="00FC7767" w:rsidP="00213A82">
      <w:r>
        <w:separator/>
      </w:r>
    </w:p>
  </w:endnote>
  <w:endnote w:type="continuationSeparator" w:id="0">
    <w:p w:rsidR="00FC7767" w:rsidRDefault="00FC776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67" w:rsidRDefault="00FC7767" w:rsidP="00773C88">
    <w:pPr>
      <w:pStyle w:val="Footer"/>
    </w:pPr>
    <w:r>
      <w:t>03/XX/15</w:t>
    </w:r>
    <w:r>
      <w:tab/>
    </w:r>
    <w:r>
      <w:tab/>
      <w:t xml:space="preserve">Air Quality Rule Changes and Updates Crosswalk </w:t>
    </w:r>
    <w:r>
      <w:tab/>
    </w:r>
    <w:r>
      <w:tab/>
    </w:r>
    <w:r>
      <w:tab/>
    </w:r>
    <w:r>
      <w:tab/>
      <w:t xml:space="preserve">Page </w:t>
    </w:r>
    <w:r w:rsidR="00B97A43">
      <w:rPr>
        <w:b/>
        <w:sz w:val="24"/>
        <w:szCs w:val="24"/>
      </w:rPr>
      <w:fldChar w:fldCharType="begin"/>
    </w:r>
    <w:r>
      <w:rPr>
        <w:b/>
      </w:rPr>
      <w:instrText xml:space="preserve"> PAGE </w:instrText>
    </w:r>
    <w:r w:rsidR="00B97A43">
      <w:rPr>
        <w:b/>
        <w:sz w:val="24"/>
        <w:szCs w:val="24"/>
      </w:rPr>
      <w:fldChar w:fldCharType="separate"/>
    </w:r>
    <w:r w:rsidR="00436A4C">
      <w:rPr>
        <w:b/>
        <w:noProof/>
      </w:rPr>
      <w:t>124</w:t>
    </w:r>
    <w:r w:rsidR="00B97A43">
      <w:rPr>
        <w:b/>
        <w:sz w:val="24"/>
        <w:szCs w:val="24"/>
      </w:rPr>
      <w:fldChar w:fldCharType="end"/>
    </w:r>
    <w:r>
      <w:t xml:space="preserve"> of </w:t>
    </w:r>
    <w:r w:rsidR="00B97A43">
      <w:rPr>
        <w:b/>
        <w:sz w:val="24"/>
        <w:szCs w:val="24"/>
      </w:rPr>
      <w:fldChar w:fldCharType="begin"/>
    </w:r>
    <w:r>
      <w:rPr>
        <w:b/>
      </w:rPr>
      <w:instrText xml:space="preserve"> NUMPAGES  </w:instrText>
    </w:r>
    <w:r w:rsidR="00B97A43">
      <w:rPr>
        <w:b/>
        <w:sz w:val="24"/>
        <w:szCs w:val="24"/>
      </w:rPr>
      <w:fldChar w:fldCharType="separate"/>
    </w:r>
    <w:r w:rsidR="00436A4C">
      <w:rPr>
        <w:b/>
        <w:noProof/>
      </w:rPr>
      <w:t>205</w:t>
    </w:r>
    <w:r w:rsidR="00B97A43">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767" w:rsidRDefault="00FC7767" w:rsidP="00213A82">
      <w:r>
        <w:separator/>
      </w:r>
    </w:p>
  </w:footnote>
  <w:footnote w:type="continuationSeparator" w:id="0">
    <w:p w:rsidR="00FC7767" w:rsidRDefault="00FC7767" w:rsidP="00213A82">
      <w:r>
        <w:continuationSeparator/>
      </w:r>
    </w:p>
  </w:footnote>
  <w:footnote w:id="1">
    <w:p w:rsidR="00FC7767" w:rsidRPr="00C35ABC" w:rsidRDefault="00FC7767" w:rsidP="002819B9">
      <w:pPr>
        <w:pStyle w:val="FootnoteText"/>
      </w:pPr>
      <w:r>
        <w:rPr>
          <w:rStyle w:val="FootnoteReference"/>
        </w:rPr>
        <w:footnoteRef/>
      </w:r>
      <w:r>
        <w:t xml:space="preserve"> </w:t>
      </w:r>
      <w:r w:rsidRPr="00C35ABC">
        <w:t>22,500 kW/(0.7457 kW/hp x 0.85) = 35,498 hp</w:t>
      </w:r>
    </w:p>
    <w:p w:rsidR="00FC7767" w:rsidRDefault="00FC7767"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0E49"/>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987"/>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4C0DF-F2D3-4DBC-BC8E-4734D712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205</Pages>
  <Words>77942</Words>
  <Characters>444271</Characters>
  <Application>Microsoft Office Word</Application>
  <DocSecurity>0</DocSecurity>
  <Lines>3702</Lines>
  <Paragraphs>1042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521171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38</cp:revision>
  <cp:lastPrinted>2015-01-05T18:17:00Z</cp:lastPrinted>
  <dcterms:created xsi:type="dcterms:W3CDTF">2015-01-16T23:03:00Z</dcterms:created>
  <dcterms:modified xsi:type="dcterms:W3CDTF">2015-02-06T17:57:00Z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